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891FB">
      <w:pPr>
        <w:jc w:val="center"/>
        <w:rPr>
          <w:rFonts w:hint="eastAsia" w:ascii="宋体" w:hAnsi="宋体" w:eastAsia="宋体" w:cs="宋体"/>
          <w:b/>
          <w:bCs/>
          <w:sz w:val="28"/>
          <w:szCs w:val="36"/>
        </w:rPr>
      </w:pPr>
      <w:r>
        <w:rPr>
          <w:rFonts w:hint="eastAsia" w:ascii="宋体" w:hAnsi="宋体" w:eastAsia="宋体" w:cs="宋体"/>
          <w:b/>
          <w:bCs/>
          <w:sz w:val="28"/>
          <w:szCs w:val="36"/>
        </w:rPr>
        <w:t>河南黄河湿地国家</w:t>
      </w:r>
      <w:r>
        <w:rPr>
          <w:rFonts w:hint="eastAsia" w:ascii="宋体" w:hAnsi="宋体" w:eastAsia="宋体" w:cs="宋体"/>
          <w:b/>
          <w:bCs/>
          <w:sz w:val="28"/>
          <w:szCs w:val="36"/>
          <w:lang w:val="en-US" w:eastAsia="zh-CN"/>
        </w:rPr>
        <w:t>级自然保护区三门</w:t>
      </w:r>
      <w:r>
        <w:rPr>
          <w:rFonts w:hint="eastAsia" w:ascii="宋体" w:hAnsi="宋体" w:eastAsia="宋体" w:cs="宋体"/>
          <w:b/>
          <w:bCs/>
          <w:sz w:val="28"/>
          <w:szCs w:val="36"/>
        </w:rPr>
        <w:t>峡事务中心《河南黄河湿地国家级自然保护区总体规划</w:t>
      </w:r>
      <w:r>
        <w:rPr>
          <w:rFonts w:hint="eastAsia" w:ascii="宋体" w:hAnsi="宋体" w:eastAsia="宋体" w:cs="宋体"/>
          <w:b/>
          <w:bCs/>
          <w:sz w:val="28"/>
          <w:szCs w:val="36"/>
          <w:lang w:eastAsia="zh-CN"/>
        </w:rPr>
        <w:t>（</w:t>
      </w:r>
      <w:r>
        <w:rPr>
          <w:rFonts w:hint="eastAsia" w:ascii="宋体" w:hAnsi="宋体" w:eastAsia="宋体" w:cs="宋体"/>
          <w:b/>
          <w:bCs/>
          <w:sz w:val="28"/>
          <w:szCs w:val="36"/>
        </w:rPr>
        <w:t>2026-203</w:t>
      </w:r>
      <w:r>
        <w:rPr>
          <w:rFonts w:hint="eastAsia" w:ascii="宋体" w:hAnsi="宋体" w:eastAsia="宋体" w:cs="宋体"/>
          <w:b/>
          <w:bCs/>
          <w:sz w:val="28"/>
          <w:szCs w:val="36"/>
          <w:lang w:val="en-US" w:eastAsia="zh-CN"/>
        </w:rPr>
        <w:t>5</w:t>
      </w:r>
      <w:r>
        <w:rPr>
          <w:rFonts w:hint="eastAsia" w:ascii="宋体" w:hAnsi="宋体" w:eastAsia="宋体" w:cs="宋体"/>
          <w:b/>
          <w:bCs/>
          <w:sz w:val="28"/>
          <w:szCs w:val="36"/>
        </w:rPr>
        <w:t>年</w:t>
      </w:r>
      <w:r>
        <w:rPr>
          <w:rFonts w:hint="eastAsia" w:ascii="宋体" w:hAnsi="宋体" w:eastAsia="宋体" w:cs="宋体"/>
          <w:b/>
          <w:bCs/>
          <w:sz w:val="28"/>
          <w:szCs w:val="36"/>
          <w:lang w:eastAsia="zh-CN"/>
        </w:rPr>
        <w:t>）</w:t>
      </w:r>
      <w:r>
        <w:rPr>
          <w:rFonts w:hint="eastAsia" w:ascii="宋体" w:hAnsi="宋体" w:eastAsia="宋体" w:cs="宋体"/>
          <w:b/>
          <w:bCs/>
          <w:sz w:val="28"/>
          <w:szCs w:val="36"/>
        </w:rPr>
        <w:t>》编制项目</w:t>
      </w:r>
    </w:p>
    <w:p w14:paraId="102D057E">
      <w:pPr>
        <w:jc w:val="center"/>
        <w:rPr>
          <w:rFonts w:hint="eastAsia" w:ascii="宋体" w:hAnsi="宋体" w:eastAsia="宋体" w:cs="宋体"/>
          <w:b/>
          <w:bCs/>
          <w:sz w:val="36"/>
          <w:szCs w:val="44"/>
        </w:rPr>
      </w:pPr>
    </w:p>
    <w:p w14:paraId="45A161AC">
      <w:pPr>
        <w:jc w:val="center"/>
        <w:rPr>
          <w:rFonts w:hint="eastAsia" w:ascii="宋体" w:hAnsi="宋体" w:eastAsia="宋体" w:cs="宋体"/>
          <w:b/>
          <w:bCs/>
          <w:sz w:val="52"/>
          <w:szCs w:val="60"/>
          <w:lang w:val="en-US" w:eastAsia="zh-CN"/>
        </w:rPr>
      </w:pPr>
      <w:r>
        <w:rPr>
          <w:rFonts w:hint="eastAsia" w:ascii="宋体" w:hAnsi="宋体" w:eastAsia="宋体" w:cs="宋体"/>
          <w:b/>
          <w:bCs/>
          <w:sz w:val="52"/>
          <w:szCs w:val="60"/>
          <w:lang w:val="en-US" w:eastAsia="zh-CN"/>
        </w:rPr>
        <w:t>竞争性磋商文件</w:t>
      </w:r>
    </w:p>
    <w:p w14:paraId="0AD17C87">
      <w:pPr>
        <w:jc w:val="center"/>
        <w:rPr>
          <w:rFonts w:hint="eastAsia" w:ascii="宋体" w:hAnsi="宋体" w:eastAsia="宋体" w:cs="宋体"/>
          <w:b/>
          <w:bCs/>
          <w:sz w:val="44"/>
          <w:szCs w:val="52"/>
          <w:highlight w:val="yellow"/>
          <w:lang w:val="en-US" w:eastAsia="zh-CN"/>
        </w:rPr>
      </w:pPr>
    </w:p>
    <w:p w14:paraId="6E05C6E6">
      <w:pPr>
        <w:jc w:val="center"/>
        <w:rPr>
          <w:rFonts w:hint="eastAsia" w:ascii="宋体" w:hAnsi="宋体" w:eastAsia="宋体" w:cs="宋体"/>
          <w:b/>
          <w:bCs/>
          <w:sz w:val="32"/>
          <w:szCs w:val="40"/>
          <w:lang w:val="en-US" w:eastAsia="zh-CN"/>
        </w:rPr>
      </w:pPr>
      <w:r>
        <w:rPr>
          <w:rFonts w:hint="eastAsia" w:ascii="宋体" w:hAnsi="宋体" w:eastAsia="宋体" w:cs="宋体"/>
          <w:b/>
          <w:bCs/>
          <w:sz w:val="32"/>
          <w:szCs w:val="40"/>
          <w:lang w:val="en-US" w:eastAsia="zh-CN"/>
        </w:rPr>
        <w:t>项目编号：三财竞磋采购-2025-77、SGZ[2025]507-ZC332</w:t>
      </w:r>
    </w:p>
    <w:p w14:paraId="6C571954">
      <w:pPr>
        <w:jc w:val="center"/>
        <w:rPr>
          <w:rFonts w:hint="eastAsia" w:ascii="宋体" w:hAnsi="宋体" w:eastAsia="宋体" w:cs="宋体"/>
          <w:b/>
          <w:bCs/>
          <w:sz w:val="44"/>
          <w:szCs w:val="52"/>
          <w:lang w:val="en-US" w:eastAsia="zh-CN"/>
        </w:rPr>
      </w:pPr>
    </w:p>
    <w:p w14:paraId="4C46FD00">
      <w:pPr>
        <w:jc w:val="center"/>
        <w:rPr>
          <w:rFonts w:hint="eastAsia" w:ascii="宋体" w:hAnsi="宋体" w:eastAsia="宋体" w:cs="宋体"/>
          <w:b/>
          <w:bCs/>
          <w:sz w:val="44"/>
          <w:szCs w:val="52"/>
          <w:lang w:val="en-US" w:eastAsia="zh-CN"/>
        </w:rPr>
      </w:pPr>
    </w:p>
    <w:p w14:paraId="063CAAF6">
      <w:pPr>
        <w:jc w:val="center"/>
        <w:rPr>
          <w:rFonts w:hint="eastAsia" w:ascii="宋体" w:hAnsi="宋体" w:eastAsia="宋体" w:cs="宋体"/>
          <w:b/>
          <w:bCs/>
          <w:sz w:val="44"/>
          <w:szCs w:val="52"/>
          <w:lang w:val="en-US" w:eastAsia="zh-CN"/>
        </w:rPr>
      </w:pPr>
    </w:p>
    <w:p w14:paraId="7D3A6BED">
      <w:pPr>
        <w:jc w:val="center"/>
        <w:rPr>
          <w:rFonts w:hint="eastAsia" w:ascii="宋体" w:hAnsi="宋体" w:eastAsia="宋体" w:cs="宋体"/>
          <w:b/>
          <w:bCs/>
          <w:sz w:val="44"/>
          <w:szCs w:val="52"/>
          <w:lang w:val="en-US" w:eastAsia="zh-CN"/>
        </w:rPr>
      </w:pPr>
      <w:r>
        <w:rPr>
          <w:rFonts w:ascii="宋体" w:hAnsi="宋体" w:eastAsia="宋体" w:cs="宋体"/>
          <w:sz w:val="24"/>
          <w:szCs w:val="24"/>
        </w:rPr>
        <w:drawing>
          <wp:inline distT="0" distB="0" distL="114300" distR="114300">
            <wp:extent cx="2987675" cy="2310765"/>
            <wp:effectExtent l="0" t="0" r="3175" b="133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lum bright="12000" contrast="6000"/>
                    </a:blip>
                    <a:stretch>
                      <a:fillRect/>
                    </a:stretch>
                  </pic:blipFill>
                  <pic:spPr>
                    <a:xfrm>
                      <a:off x="0" y="0"/>
                      <a:ext cx="2987675" cy="2310765"/>
                    </a:xfrm>
                    <a:prstGeom prst="rect">
                      <a:avLst/>
                    </a:prstGeom>
                    <a:noFill/>
                    <a:ln>
                      <a:noFill/>
                    </a:ln>
                  </pic:spPr>
                </pic:pic>
              </a:graphicData>
            </a:graphic>
          </wp:inline>
        </w:drawing>
      </w:r>
    </w:p>
    <w:p w14:paraId="03259068">
      <w:pPr>
        <w:jc w:val="center"/>
        <w:rPr>
          <w:rFonts w:hint="eastAsia" w:ascii="宋体" w:hAnsi="宋体" w:eastAsia="宋体" w:cs="宋体"/>
          <w:b/>
          <w:bCs/>
          <w:sz w:val="44"/>
          <w:szCs w:val="52"/>
          <w:lang w:val="en-US" w:eastAsia="zh-CN"/>
        </w:rPr>
      </w:pPr>
    </w:p>
    <w:p w14:paraId="7C1231E1">
      <w:pPr>
        <w:ind w:left="2436" w:leftChars="760" w:hanging="840" w:hangingChars="400"/>
        <w:jc w:val="both"/>
        <w:rPr>
          <w:rFonts w:hint="eastAsia" w:ascii="宋体" w:hAnsi="宋体" w:eastAsia="宋体" w:cs="宋体"/>
          <w:b/>
          <w:bCs/>
          <w:sz w:val="32"/>
          <w:szCs w:val="32"/>
          <w:lang w:val="en-US" w:eastAsia="zh-CN"/>
        </w:rPr>
      </w:pPr>
      <w:r>
        <w:rPr>
          <w:rFonts w:hint="eastAsia" w:eastAsia="宋体"/>
          <w:lang w:eastAsia="zh-CN"/>
        </w:rPr>
        <w:drawing>
          <wp:anchor distT="0" distB="0" distL="114300" distR="114300" simplePos="0" relativeHeight="251659264" behindDoc="1" locked="0" layoutInCell="1" allowOverlap="1">
            <wp:simplePos x="0" y="0"/>
            <wp:positionH relativeFrom="column">
              <wp:posOffset>3161030</wp:posOffset>
            </wp:positionH>
            <wp:positionV relativeFrom="paragraph">
              <wp:posOffset>369570</wp:posOffset>
            </wp:positionV>
            <wp:extent cx="1553845" cy="1471930"/>
            <wp:effectExtent l="0" t="0" r="8255" b="13970"/>
            <wp:wrapNone/>
            <wp:docPr id="1" name="图片 1" descr="89e749af521cfb1de8517db5ecb1b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9e749af521cfb1de8517db5ecb1b5f"/>
                    <pic:cNvPicPr>
                      <a:picLocks noChangeAspect="1"/>
                    </pic:cNvPicPr>
                  </pic:nvPicPr>
                  <pic:blipFill>
                    <a:blip r:embed="rId7"/>
                    <a:stretch>
                      <a:fillRect/>
                    </a:stretch>
                  </pic:blipFill>
                  <pic:spPr>
                    <a:xfrm>
                      <a:off x="0" y="0"/>
                      <a:ext cx="1553845" cy="1471930"/>
                    </a:xfrm>
                    <a:prstGeom prst="rect">
                      <a:avLst/>
                    </a:prstGeom>
                    <a:noFill/>
                    <a:ln>
                      <a:noFill/>
                    </a:ln>
                  </pic:spPr>
                </pic:pic>
              </a:graphicData>
            </a:graphic>
          </wp:anchor>
        </w:drawing>
      </w:r>
      <w:r>
        <w:rPr>
          <w:rFonts w:hint="eastAsia" w:ascii="宋体" w:hAnsi="宋体" w:eastAsia="宋体" w:cs="宋体"/>
          <w:b/>
          <w:bCs/>
          <w:sz w:val="32"/>
          <w:szCs w:val="32"/>
          <w:lang w:val="en-US" w:eastAsia="zh-CN"/>
        </w:rPr>
        <w:t>采购人：</w:t>
      </w:r>
      <w:r>
        <w:rPr>
          <w:rFonts w:hint="eastAsia" w:ascii="宋体" w:hAnsi="宋体" w:eastAsia="宋体" w:cs="宋体"/>
          <w:b/>
          <w:bCs/>
          <w:sz w:val="32"/>
          <w:szCs w:val="32"/>
        </w:rPr>
        <w:t>河南黄河湿地国家</w:t>
      </w:r>
      <w:r>
        <w:rPr>
          <w:rFonts w:hint="eastAsia" w:ascii="宋体" w:hAnsi="宋体" w:eastAsia="宋体" w:cs="宋体"/>
          <w:b/>
          <w:bCs/>
          <w:sz w:val="32"/>
          <w:szCs w:val="32"/>
          <w:lang w:val="en-US" w:eastAsia="zh-CN"/>
        </w:rPr>
        <w:t>级自然保护区</w:t>
      </w:r>
    </w:p>
    <w:p w14:paraId="466F790D">
      <w:pPr>
        <w:ind w:left="2873" w:leftChars="1368" w:firstLine="0" w:firstLineChars="0"/>
        <w:jc w:val="both"/>
        <w:rPr>
          <w:rFonts w:hint="eastAsia" w:ascii="宋体" w:hAnsi="宋体" w:eastAsia="宋体" w:cs="宋体"/>
          <w:b/>
          <w:bCs/>
          <w:sz w:val="32"/>
          <w:szCs w:val="32"/>
        </w:rPr>
      </w:pPr>
      <w:r>
        <w:rPr>
          <w:rFonts w:hint="eastAsia" w:ascii="宋体" w:hAnsi="宋体" w:eastAsia="宋体" w:cs="宋体"/>
          <w:b/>
          <w:bCs/>
          <w:sz w:val="32"/>
          <w:szCs w:val="32"/>
          <w:lang w:val="en-US" w:eastAsia="zh-CN"/>
        </w:rPr>
        <w:t>三门</w:t>
      </w:r>
      <w:r>
        <w:rPr>
          <w:rFonts w:hint="eastAsia" w:ascii="宋体" w:hAnsi="宋体" w:eastAsia="宋体" w:cs="宋体"/>
          <w:b/>
          <w:bCs/>
          <w:sz w:val="32"/>
          <w:szCs w:val="32"/>
        </w:rPr>
        <w:t>峡事务中心</w:t>
      </w:r>
    </w:p>
    <w:p w14:paraId="27321170">
      <w:pPr>
        <w:ind w:firstLine="1606" w:firstLineChars="500"/>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代理机构：河南鸿儒工程管理有限公司</w:t>
      </w:r>
    </w:p>
    <w:p w14:paraId="154F57F4">
      <w:pPr>
        <w:ind w:firstLine="1606" w:firstLineChars="500"/>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日    期：二零二五年十一月</w:t>
      </w:r>
    </w:p>
    <w:p w14:paraId="69EA8313">
      <w:pPr>
        <w:pStyle w:val="16"/>
        <w:rPr>
          <w:rFonts w:hint="eastAsia" w:ascii="宋体" w:hAnsi="宋体" w:eastAsia="宋体" w:cs="宋体"/>
          <w:b/>
          <w:bCs/>
          <w:sz w:val="32"/>
          <w:szCs w:val="32"/>
          <w:lang w:val="en-US" w:eastAsia="zh-CN"/>
        </w:rPr>
      </w:pPr>
    </w:p>
    <w:p w14:paraId="6BE99CDB">
      <w:pPr>
        <w:rPr>
          <w:rFonts w:hint="eastAsia"/>
          <w:lang w:val="en-US" w:eastAsia="zh-CN"/>
        </w:rPr>
      </w:pPr>
    </w:p>
    <w:p w14:paraId="061A0351">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目  录</w:t>
      </w:r>
    </w:p>
    <w:sdt>
      <w:sdtPr>
        <w:rPr>
          <w:rFonts w:ascii="宋体" w:hAnsi="宋体" w:eastAsia="宋体" w:cstheme="minorBidi"/>
          <w:kern w:val="2"/>
          <w:sz w:val="21"/>
          <w:szCs w:val="24"/>
          <w:lang w:val="en-US" w:eastAsia="zh-CN" w:bidi="ar-SA"/>
        </w:rPr>
        <w:id w:val="14746770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16DF85E6">
          <w:pPr>
            <w:spacing w:before="0" w:beforeLines="0" w:after="0" w:afterLines="0" w:line="240" w:lineRule="auto"/>
            <w:ind w:left="0" w:leftChars="0" w:right="0" w:rightChars="0" w:firstLine="0" w:firstLineChars="0"/>
            <w:jc w:val="center"/>
          </w:pPr>
        </w:p>
        <w:p w14:paraId="4FC3AE2D">
          <w:pPr>
            <w:pStyle w:val="11"/>
            <w:tabs>
              <w:tab w:val="right" w:leader="dot" w:pos="8306"/>
            </w:tabs>
            <w:rPr>
              <w:sz w:val="28"/>
              <w:szCs w:val="36"/>
            </w:rPr>
          </w:pPr>
          <w:r>
            <w:rPr>
              <w:rFonts w:hint="eastAsia"/>
            </w:rPr>
            <w:fldChar w:fldCharType="begin"/>
          </w:r>
          <w:r>
            <w:rPr>
              <w:rFonts w:hint="eastAsia"/>
            </w:rPr>
            <w:instrText xml:space="preserve">TOC \o "1-1" \h \u </w:instrText>
          </w:r>
          <w:r>
            <w:rPr>
              <w:rFonts w:hint="eastAsia"/>
            </w:rPr>
            <w:fldChar w:fldCharType="separate"/>
          </w:r>
          <w:r>
            <w:rPr>
              <w:rFonts w:hint="eastAsia"/>
              <w:sz w:val="28"/>
              <w:szCs w:val="36"/>
            </w:rPr>
            <w:fldChar w:fldCharType="begin"/>
          </w:r>
          <w:r>
            <w:rPr>
              <w:rFonts w:hint="eastAsia"/>
              <w:sz w:val="28"/>
              <w:szCs w:val="36"/>
            </w:rPr>
            <w:instrText xml:space="preserve"> HYPERLINK \l _Toc6549 </w:instrText>
          </w:r>
          <w:r>
            <w:rPr>
              <w:rFonts w:hint="eastAsia"/>
              <w:sz w:val="28"/>
              <w:szCs w:val="36"/>
            </w:rPr>
            <w:fldChar w:fldCharType="separate"/>
          </w:r>
          <w:r>
            <w:rPr>
              <w:rFonts w:hint="eastAsia" w:ascii="宋体" w:hAnsi="宋体" w:eastAsia="宋体" w:cs="宋体"/>
              <w:bCs/>
              <w:kern w:val="0"/>
              <w:sz w:val="28"/>
              <w:szCs w:val="44"/>
            </w:rPr>
            <w:t>第一章</w:t>
          </w:r>
          <w:r>
            <w:rPr>
              <w:rFonts w:hint="eastAsia" w:ascii="宋体" w:hAnsi="宋体" w:eastAsia="宋体" w:cs="宋体"/>
              <w:bCs/>
              <w:kern w:val="0"/>
              <w:sz w:val="28"/>
              <w:szCs w:val="44"/>
              <w:lang w:val="en-US" w:eastAsia="zh-CN"/>
            </w:rPr>
            <w:t xml:space="preserve">  </w:t>
          </w:r>
          <w:r>
            <w:rPr>
              <w:rFonts w:hint="eastAsia" w:ascii="宋体" w:hAnsi="宋体" w:eastAsia="宋体" w:cs="宋体"/>
              <w:bCs/>
              <w:kern w:val="0"/>
              <w:sz w:val="28"/>
              <w:szCs w:val="44"/>
            </w:rPr>
            <w:t>竞争性磋商公告</w:t>
          </w:r>
          <w:r>
            <w:rPr>
              <w:sz w:val="28"/>
              <w:szCs w:val="36"/>
            </w:rPr>
            <w:tab/>
          </w:r>
          <w:r>
            <w:rPr>
              <w:sz w:val="28"/>
              <w:szCs w:val="36"/>
            </w:rPr>
            <w:fldChar w:fldCharType="begin"/>
          </w:r>
          <w:r>
            <w:rPr>
              <w:sz w:val="28"/>
              <w:szCs w:val="36"/>
            </w:rPr>
            <w:instrText xml:space="preserve"> PAGEREF _Toc6549 \h </w:instrText>
          </w:r>
          <w:r>
            <w:rPr>
              <w:sz w:val="28"/>
              <w:szCs w:val="36"/>
            </w:rPr>
            <w:fldChar w:fldCharType="separate"/>
          </w:r>
          <w:r>
            <w:rPr>
              <w:sz w:val="28"/>
              <w:szCs w:val="36"/>
            </w:rPr>
            <w:t>3</w:t>
          </w:r>
          <w:r>
            <w:rPr>
              <w:sz w:val="28"/>
              <w:szCs w:val="36"/>
            </w:rPr>
            <w:fldChar w:fldCharType="end"/>
          </w:r>
          <w:r>
            <w:rPr>
              <w:rFonts w:hint="eastAsia"/>
              <w:sz w:val="28"/>
              <w:szCs w:val="36"/>
            </w:rPr>
            <w:fldChar w:fldCharType="end"/>
          </w:r>
        </w:p>
        <w:p w14:paraId="03DFD1F5">
          <w:pPr>
            <w:pStyle w:val="11"/>
            <w:tabs>
              <w:tab w:val="right" w:leader="dot" w:pos="8306"/>
            </w:tabs>
            <w:rPr>
              <w:sz w:val="28"/>
              <w:szCs w:val="36"/>
            </w:rPr>
          </w:pPr>
          <w:r>
            <w:rPr>
              <w:rFonts w:hint="eastAsia"/>
              <w:sz w:val="28"/>
              <w:szCs w:val="36"/>
            </w:rPr>
            <w:fldChar w:fldCharType="begin"/>
          </w:r>
          <w:r>
            <w:rPr>
              <w:rFonts w:hint="eastAsia"/>
              <w:sz w:val="28"/>
              <w:szCs w:val="36"/>
            </w:rPr>
            <w:instrText xml:space="preserve"> HYPERLINK \l _Toc24905 </w:instrText>
          </w:r>
          <w:r>
            <w:rPr>
              <w:rFonts w:hint="eastAsia"/>
              <w:sz w:val="28"/>
              <w:szCs w:val="36"/>
            </w:rPr>
            <w:fldChar w:fldCharType="separate"/>
          </w:r>
          <w:r>
            <w:rPr>
              <w:rFonts w:hint="eastAsia"/>
              <w:sz w:val="28"/>
              <w:szCs w:val="28"/>
            </w:rPr>
            <w:t>第二章</w:t>
          </w:r>
          <w:r>
            <w:rPr>
              <w:rFonts w:hint="eastAsia"/>
              <w:sz w:val="28"/>
              <w:szCs w:val="28"/>
              <w:lang w:val="en-US" w:eastAsia="zh-CN"/>
            </w:rPr>
            <w:t xml:space="preserve">  </w:t>
          </w:r>
          <w:r>
            <w:rPr>
              <w:rFonts w:hint="eastAsia"/>
              <w:sz w:val="28"/>
              <w:szCs w:val="28"/>
            </w:rPr>
            <w:t>供应商须知</w:t>
          </w:r>
          <w:r>
            <w:rPr>
              <w:sz w:val="28"/>
              <w:szCs w:val="36"/>
            </w:rPr>
            <w:tab/>
          </w:r>
          <w:r>
            <w:rPr>
              <w:sz w:val="28"/>
              <w:szCs w:val="36"/>
            </w:rPr>
            <w:fldChar w:fldCharType="begin"/>
          </w:r>
          <w:r>
            <w:rPr>
              <w:sz w:val="28"/>
              <w:szCs w:val="36"/>
            </w:rPr>
            <w:instrText xml:space="preserve"> PAGEREF _Toc24905 \h </w:instrText>
          </w:r>
          <w:r>
            <w:rPr>
              <w:sz w:val="28"/>
              <w:szCs w:val="36"/>
            </w:rPr>
            <w:fldChar w:fldCharType="separate"/>
          </w:r>
          <w:r>
            <w:rPr>
              <w:sz w:val="28"/>
              <w:szCs w:val="36"/>
            </w:rPr>
            <w:t>8</w:t>
          </w:r>
          <w:r>
            <w:rPr>
              <w:sz w:val="28"/>
              <w:szCs w:val="36"/>
            </w:rPr>
            <w:fldChar w:fldCharType="end"/>
          </w:r>
          <w:r>
            <w:rPr>
              <w:rFonts w:hint="eastAsia"/>
              <w:sz w:val="28"/>
              <w:szCs w:val="36"/>
            </w:rPr>
            <w:fldChar w:fldCharType="end"/>
          </w:r>
        </w:p>
        <w:p w14:paraId="5F418301">
          <w:pPr>
            <w:pStyle w:val="11"/>
            <w:tabs>
              <w:tab w:val="right" w:leader="dot" w:pos="8306"/>
            </w:tabs>
            <w:rPr>
              <w:sz w:val="28"/>
              <w:szCs w:val="36"/>
            </w:rPr>
          </w:pPr>
          <w:r>
            <w:rPr>
              <w:rFonts w:hint="eastAsia"/>
              <w:sz w:val="28"/>
              <w:szCs w:val="36"/>
            </w:rPr>
            <w:fldChar w:fldCharType="begin"/>
          </w:r>
          <w:r>
            <w:rPr>
              <w:rFonts w:hint="eastAsia"/>
              <w:sz w:val="28"/>
              <w:szCs w:val="36"/>
            </w:rPr>
            <w:instrText xml:space="preserve"> HYPERLINK \l _Toc29014 </w:instrText>
          </w:r>
          <w:r>
            <w:rPr>
              <w:rFonts w:hint="eastAsia"/>
              <w:sz w:val="28"/>
              <w:szCs w:val="36"/>
            </w:rPr>
            <w:fldChar w:fldCharType="separate"/>
          </w:r>
          <w:r>
            <w:rPr>
              <w:rFonts w:hint="eastAsia" w:ascii="宋体" w:hAnsi="宋体"/>
              <w:sz w:val="28"/>
              <w:szCs w:val="48"/>
            </w:rPr>
            <w:t>第三章 评审办法</w:t>
          </w:r>
          <w:r>
            <w:rPr>
              <w:rFonts w:hint="eastAsia" w:ascii="宋体" w:hAnsi="宋体"/>
              <w:sz w:val="28"/>
              <w:szCs w:val="48"/>
              <w:lang w:val="zh-CN"/>
            </w:rPr>
            <w:t>（综合评分法）</w:t>
          </w:r>
          <w:r>
            <w:rPr>
              <w:sz w:val="28"/>
              <w:szCs w:val="36"/>
            </w:rPr>
            <w:tab/>
          </w:r>
          <w:r>
            <w:rPr>
              <w:sz w:val="28"/>
              <w:szCs w:val="36"/>
            </w:rPr>
            <w:fldChar w:fldCharType="begin"/>
          </w:r>
          <w:r>
            <w:rPr>
              <w:sz w:val="28"/>
              <w:szCs w:val="36"/>
            </w:rPr>
            <w:instrText xml:space="preserve"> PAGEREF _Toc29014 \h </w:instrText>
          </w:r>
          <w:r>
            <w:rPr>
              <w:sz w:val="28"/>
              <w:szCs w:val="36"/>
            </w:rPr>
            <w:fldChar w:fldCharType="separate"/>
          </w:r>
          <w:r>
            <w:rPr>
              <w:sz w:val="28"/>
              <w:szCs w:val="36"/>
            </w:rPr>
            <w:t>25</w:t>
          </w:r>
          <w:r>
            <w:rPr>
              <w:sz w:val="28"/>
              <w:szCs w:val="36"/>
            </w:rPr>
            <w:fldChar w:fldCharType="end"/>
          </w:r>
          <w:r>
            <w:rPr>
              <w:rFonts w:hint="eastAsia"/>
              <w:sz w:val="28"/>
              <w:szCs w:val="36"/>
            </w:rPr>
            <w:fldChar w:fldCharType="end"/>
          </w:r>
        </w:p>
        <w:p w14:paraId="32DAB121">
          <w:pPr>
            <w:pStyle w:val="11"/>
            <w:tabs>
              <w:tab w:val="right" w:leader="dot" w:pos="8306"/>
            </w:tabs>
            <w:rPr>
              <w:sz w:val="28"/>
              <w:szCs w:val="36"/>
            </w:rPr>
          </w:pPr>
          <w:r>
            <w:rPr>
              <w:rFonts w:hint="eastAsia"/>
              <w:sz w:val="28"/>
              <w:szCs w:val="36"/>
            </w:rPr>
            <w:fldChar w:fldCharType="begin"/>
          </w:r>
          <w:r>
            <w:rPr>
              <w:rFonts w:hint="eastAsia"/>
              <w:sz w:val="28"/>
              <w:szCs w:val="36"/>
            </w:rPr>
            <w:instrText xml:space="preserve"> HYPERLINK \l _Toc18453 </w:instrText>
          </w:r>
          <w:r>
            <w:rPr>
              <w:rFonts w:hint="eastAsia"/>
              <w:sz w:val="28"/>
              <w:szCs w:val="36"/>
            </w:rPr>
            <w:fldChar w:fldCharType="separate"/>
          </w:r>
          <w:r>
            <w:rPr>
              <w:rFonts w:hint="eastAsia"/>
              <w:sz w:val="28"/>
              <w:szCs w:val="28"/>
              <w:lang w:val="en-US" w:eastAsia="zh-CN"/>
            </w:rPr>
            <w:t>第四章 采购需求</w:t>
          </w:r>
          <w:r>
            <w:rPr>
              <w:sz w:val="28"/>
              <w:szCs w:val="36"/>
            </w:rPr>
            <w:tab/>
          </w:r>
          <w:r>
            <w:rPr>
              <w:sz w:val="28"/>
              <w:szCs w:val="36"/>
            </w:rPr>
            <w:fldChar w:fldCharType="begin"/>
          </w:r>
          <w:r>
            <w:rPr>
              <w:sz w:val="28"/>
              <w:szCs w:val="36"/>
            </w:rPr>
            <w:instrText xml:space="preserve"> PAGEREF _Toc18453 \h </w:instrText>
          </w:r>
          <w:r>
            <w:rPr>
              <w:sz w:val="28"/>
              <w:szCs w:val="36"/>
            </w:rPr>
            <w:fldChar w:fldCharType="separate"/>
          </w:r>
          <w:r>
            <w:rPr>
              <w:sz w:val="28"/>
              <w:szCs w:val="36"/>
            </w:rPr>
            <w:t>36</w:t>
          </w:r>
          <w:r>
            <w:rPr>
              <w:sz w:val="28"/>
              <w:szCs w:val="36"/>
            </w:rPr>
            <w:fldChar w:fldCharType="end"/>
          </w:r>
          <w:r>
            <w:rPr>
              <w:rFonts w:hint="eastAsia"/>
              <w:sz w:val="28"/>
              <w:szCs w:val="36"/>
            </w:rPr>
            <w:fldChar w:fldCharType="end"/>
          </w:r>
        </w:p>
        <w:p w14:paraId="16ED410B">
          <w:pPr>
            <w:pStyle w:val="11"/>
            <w:tabs>
              <w:tab w:val="right" w:leader="dot" w:pos="8306"/>
            </w:tabs>
            <w:rPr>
              <w:sz w:val="28"/>
              <w:szCs w:val="36"/>
            </w:rPr>
          </w:pPr>
          <w:r>
            <w:rPr>
              <w:rFonts w:hint="eastAsia"/>
              <w:sz w:val="28"/>
              <w:szCs w:val="36"/>
            </w:rPr>
            <w:fldChar w:fldCharType="begin"/>
          </w:r>
          <w:r>
            <w:rPr>
              <w:rFonts w:hint="eastAsia"/>
              <w:sz w:val="28"/>
              <w:szCs w:val="36"/>
            </w:rPr>
            <w:instrText xml:space="preserve"> HYPERLINK \l _Toc26964 </w:instrText>
          </w:r>
          <w:r>
            <w:rPr>
              <w:rFonts w:hint="eastAsia"/>
              <w:sz w:val="28"/>
              <w:szCs w:val="36"/>
            </w:rPr>
            <w:fldChar w:fldCharType="separate"/>
          </w:r>
          <w:r>
            <w:rPr>
              <w:rFonts w:hint="eastAsia"/>
              <w:sz w:val="28"/>
              <w:szCs w:val="32"/>
              <w:lang w:val="en-US" w:eastAsia="zh-CN"/>
            </w:rPr>
            <w:t>第五章 合同条款</w:t>
          </w:r>
          <w:r>
            <w:rPr>
              <w:sz w:val="28"/>
              <w:szCs w:val="36"/>
            </w:rPr>
            <w:tab/>
          </w:r>
          <w:r>
            <w:rPr>
              <w:sz w:val="28"/>
              <w:szCs w:val="36"/>
            </w:rPr>
            <w:fldChar w:fldCharType="begin"/>
          </w:r>
          <w:r>
            <w:rPr>
              <w:sz w:val="28"/>
              <w:szCs w:val="36"/>
            </w:rPr>
            <w:instrText xml:space="preserve"> PAGEREF _Toc26964 \h </w:instrText>
          </w:r>
          <w:r>
            <w:rPr>
              <w:sz w:val="28"/>
              <w:szCs w:val="36"/>
            </w:rPr>
            <w:fldChar w:fldCharType="separate"/>
          </w:r>
          <w:r>
            <w:rPr>
              <w:sz w:val="28"/>
              <w:szCs w:val="36"/>
            </w:rPr>
            <w:t>40</w:t>
          </w:r>
          <w:r>
            <w:rPr>
              <w:sz w:val="28"/>
              <w:szCs w:val="36"/>
            </w:rPr>
            <w:fldChar w:fldCharType="end"/>
          </w:r>
          <w:r>
            <w:rPr>
              <w:rFonts w:hint="eastAsia"/>
              <w:sz w:val="28"/>
              <w:szCs w:val="36"/>
            </w:rPr>
            <w:fldChar w:fldCharType="end"/>
          </w:r>
        </w:p>
        <w:p w14:paraId="3A373C70">
          <w:pPr>
            <w:pStyle w:val="11"/>
            <w:tabs>
              <w:tab w:val="right" w:leader="dot" w:pos="8306"/>
            </w:tabs>
          </w:pPr>
          <w:r>
            <w:rPr>
              <w:rFonts w:hint="eastAsia"/>
              <w:sz w:val="28"/>
              <w:szCs w:val="36"/>
            </w:rPr>
            <w:fldChar w:fldCharType="begin"/>
          </w:r>
          <w:r>
            <w:rPr>
              <w:rFonts w:hint="eastAsia"/>
              <w:sz w:val="28"/>
              <w:szCs w:val="36"/>
            </w:rPr>
            <w:instrText xml:space="preserve"> HYPERLINK \l _Toc20124 </w:instrText>
          </w:r>
          <w:r>
            <w:rPr>
              <w:rFonts w:hint="eastAsia"/>
              <w:sz w:val="28"/>
              <w:szCs w:val="36"/>
            </w:rPr>
            <w:fldChar w:fldCharType="separate"/>
          </w:r>
          <w:r>
            <w:rPr>
              <w:rFonts w:hint="eastAsia"/>
              <w:sz w:val="28"/>
              <w:szCs w:val="28"/>
              <w:lang w:val="en-US" w:eastAsia="zh-CN"/>
            </w:rPr>
            <w:t>第六章 响应文件格式</w:t>
          </w:r>
          <w:r>
            <w:rPr>
              <w:sz w:val="28"/>
              <w:szCs w:val="36"/>
            </w:rPr>
            <w:tab/>
          </w:r>
          <w:r>
            <w:rPr>
              <w:sz w:val="28"/>
              <w:szCs w:val="36"/>
            </w:rPr>
            <w:fldChar w:fldCharType="begin"/>
          </w:r>
          <w:r>
            <w:rPr>
              <w:sz w:val="28"/>
              <w:szCs w:val="36"/>
            </w:rPr>
            <w:instrText xml:space="preserve"> PAGEREF _Toc20124 \h </w:instrText>
          </w:r>
          <w:r>
            <w:rPr>
              <w:sz w:val="28"/>
              <w:szCs w:val="36"/>
            </w:rPr>
            <w:fldChar w:fldCharType="separate"/>
          </w:r>
          <w:r>
            <w:rPr>
              <w:sz w:val="28"/>
              <w:szCs w:val="36"/>
            </w:rPr>
            <w:t>43</w:t>
          </w:r>
          <w:r>
            <w:rPr>
              <w:sz w:val="28"/>
              <w:szCs w:val="36"/>
            </w:rPr>
            <w:fldChar w:fldCharType="end"/>
          </w:r>
          <w:r>
            <w:rPr>
              <w:rFonts w:hint="eastAsia"/>
              <w:sz w:val="28"/>
              <w:szCs w:val="36"/>
            </w:rPr>
            <w:fldChar w:fldCharType="end"/>
          </w:r>
        </w:p>
        <w:p w14:paraId="1046352B">
          <w:pPr>
            <w:rPr>
              <w:rFonts w:hint="eastAsia" w:asciiTheme="minorHAnsi" w:hAnsiTheme="minorHAnsi" w:eastAsiaTheme="minorEastAsia" w:cstheme="minorBidi"/>
              <w:kern w:val="2"/>
              <w:sz w:val="21"/>
              <w:szCs w:val="24"/>
              <w:lang w:val="en-US" w:eastAsia="zh-CN" w:bidi="ar-SA"/>
            </w:rPr>
          </w:pPr>
          <w:r>
            <w:rPr>
              <w:rFonts w:hint="eastAsia"/>
            </w:rPr>
            <w:fldChar w:fldCharType="end"/>
          </w:r>
        </w:p>
      </w:sdtContent>
    </w:sdt>
    <w:p w14:paraId="2F86AF83">
      <w:pPr>
        <w:rPr>
          <w:rFonts w:hint="eastAsia" w:asciiTheme="minorHAnsi" w:hAnsiTheme="minorHAnsi" w:eastAsiaTheme="minorEastAsia" w:cstheme="minorBidi"/>
          <w:kern w:val="2"/>
          <w:sz w:val="21"/>
          <w:szCs w:val="24"/>
          <w:lang w:val="en-US" w:eastAsia="zh-CN" w:bidi="ar-SA"/>
        </w:rPr>
      </w:pPr>
    </w:p>
    <w:p w14:paraId="28AF39C9">
      <w:pPr>
        <w:jc w:val="both"/>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 xml:space="preserve"> </w:t>
      </w:r>
      <w:bookmarkStart w:id="335" w:name="_GoBack"/>
      <w:bookmarkEnd w:id="335"/>
    </w:p>
    <w:p w14:paraId="0F7259F6">
      <w:pPr>
        <w:pStyle w:val="15"/>
        <w:rPr>
          <w:rFonts w:hint="eastAsia" w:ascii="宋体" w:hAnsi="宋体" w:eastAsia="宋体" w:cs="宋体"/>
          <w:b/>
          <w:bCs/>
          <w:sz w:val="32"/>
          <w:szCs w:val="32"/>
          <w:lang w:val="en-US" w:eastAsia="zh-CN"/>
        </w:rPr>
      </w:pPr>
    </w:p>
    <w:p w14:paraId="080244B6">
      <w:pPr>
        <w:pStyle w:val="16"/>
        <w:rPr>
          <w:rFonts w:hint="eastAsia" w:ascii="宋体" w:hAnsi="宋体" w:eastAsia="宋体" w:cs="宋体"/>
          <w:b/>
          <w:bCs/>
          <w:sz w:val="32"/>
          <w:szCs w:val="32"/>
          <w:lang w:val="en-US" w:eastAsia="zh-CN"/>
        </w:rPr>
      </w:pPr>
    </w:p>
    <w:p w14:paraId="11D281AA">
      <w:pPr>
        <w:rPr>
          <w:rFonts w:hint="eastAsia" w:ascii="宋体" w:hAnsi="宋体" w:eastAsia="宋体" w:cs="宋体"/>
          <w:b/>
          <w:bCs/>
          <w:sz w:val="32"/>
          <w:szCs w:val="32"/>
          <w:lang w:val="en-US" w:eastAsia="zh-CN"/>
        </w:rPr>
      </w:pPr>
    </w:p>
    <w:p w14:paraId="715B980E">
      <w:pPr>
        <w:pStyle w:val="15"/>
        <w:rPr>
          <w:rFonts w:hint="eastAsia" w:ascii="宋体" w:hAnsi="宋体" w:eastAsia="宋体" w:cs="宋体"/>
          <w:b/>
          <w:bCs/>
          <w:sz w:val="32"/>
          <w:szCs w:val="32"/>
          <w:lang w:val="en-US" w:eastAsia="zh-CN"/>
        </w:rPr>
      </w:pPr>
    </w:p>
    <w:p w14:paraId="24EE6E37">
      <w:pPr>
        <w:pStyle w:val="16"/>
        <w:rPr>
          <w:rFonts w:hint="eastAsia" w:ascii="宋体" w:hAnsi="宋体" w:eastAsia="宋体" w:cs="宋体"/>
          <w:b/>
          <w:bCs/>
          <w:sz w:val="32"/>
          <w:szCs w:val="32"/>
          <w:lang w:val="en-US" w:eastAsia="zh-CN"/>
        </w:rPr>
      </w:pPr>
    </w:p>
    <w:p w14:paraId="6DF2A926">
      <w:pPr>
        <w:rPr>
          <w:rFonts w:hint="eastAsia" w:ascii="宋体" w:hAnsi="宋体" w:eastAsia="宋体" w:cs="宋体"/>
          <w:b/>
          <w:bCs/>
          <w:sz w:val="32"/>
          <w:szCs w:val="32"/>
          <w:lang w:val="en-US" w:eastAsia="zh-CN"/>
        </w:rPr>
      </w:pPr>
    </w:p>
    <w:p w14:paraId="7BF407D8">
      <w:pPr>
        <w:pStyle w:val="16"/>
        <w:rPr>
          <w:rFonts w:hint="eastAsia" w:ascii="宋体" w:hAnsi="宋体" w:eastAsia="宋体" w:cs="宋体"/>
          <w:b/>
          <w:bCs/>
          <w:sz w:val="32"/>
          <w:szCs w:val="32"/>
          <w:lang w:val="en-US" w:eastAsia="zh-CN"/>
        </w:rPr>
      </w:pPr>
    </w:p>
    <w:p w14:paraId="73001172">
      <w:pPr>
        <w:rPr>
          <w:rFonts w:hint="eastAsia"/>
          <w:lang w:val="en-US" w:eastAsia="zh-CN"/>
        </w:rPr>
      </w:pPr>
    </w:p>
    <w:p w14:paraId="0CC1949E">
      <w:pPr>
        <w:rPr>
          <w:rFonts w:hint="eastAsia" w:ascii="宋体" w:hAnsi="宋体" w:eastAsia="宋体" w:cs="宋体"/>
          <w:b/>
          <w:bCs/>
          <w:sz w:val="32"/>
          <w:szCs w:val="32"/>
          <w:lang w:val="en-US" w:eastAsia="zh-CN"/>
        </w:rPr>
      </w:pPr>
    </w:p>
    <w:p w14:paraId="2C3883EC">
      <w:pPr>
        <w:pStyle w:val="15"/>
        <w:rPr>
          <w:rFonts w:hint="eastAsia" w:ascii="宋体" w:hAnsi="宋体" w:eastAsia="宋体" w:cs="宋体"/>
          <w:b/>
          <w:bCs/>
          <w:sz w:val="32"/>
          <w:szCs w:val="32"/>
          <w:lang w:val="en-US" w:eastAsia="zh-CN"/>
        </w:rPr>
      </w:pPr>
    </w:p>
    <w:p w14:paraId="1D982654">
      <w:pPr>
        <w:pStyle w:val="16"/>
        <w:rPr>
          <w:rFonts w:hint="eastAsia" w:ascii="宋体" w:hAnsi="宋体" w:eastAsia="宋体" w:cs="宋体"/>
          <w:b/>
          <w:bCs/>
          <w:sz w:val="32"/>
          <w:szCs w:val="32"/>
          <w:lang w:val="en-US" w:eastAsia="zh-CN"/>
        </w:rPr>
      </w:pPr>
    </w:p>
    <w:p w14:paraId="7EE2BB8D">
      <w:pPr>
        <w:pStyle w:val="16"/>
        <w:rPr>
          <w:rFonts w:hint="eastAsia" w:ascii="宋体" w:hAnsi="宋体" w:eastAsia="宋体" w:cs="宋体"/>
          <w:lang w:val="en-US" w:eastAsia="zh-CN"/>
        </w:rPr>
      </w:pPr>
    </w:p>
    <w:p w14:paraId="51B698CA">
      <w:pPr>
        <w:pStyle w:val="2"/>
        <w:bidi w:val="0"/>
        <w:spacing w:line="240" w:lineRule="auto"/>
        <w:jc w:val="center"/>
        <w:rPr>
          <w:rFonts w:hint="eastAsia" w:ascii="宋体" w:hAnsi="宋体" w:eastAsia="宋体" w:cs="宋体"/>
          <w:b/>
          <w:bCs/>
          <w:sz w:val="32"/>
          <w:szCs w:val="32"/>
          <w:lang w:val="en-US" w:eastAsia="zh-CN"/>
        </w:rPr>
      </w:pPr>
      <w:bookmarkStart w:id="0" w:name="_Toc109675032"/>
      <w:bookmarkStart w:id="1" w:name="_Toc145065050"/>
      <w:bookmarkStart w:id="2" w:name="_Toc30992"/>
      <w:bookmarkStart w:id="3" w:name="_Toc6549"/>
      <w:r>
        <w:rPr>
          <w:rFonts w:hint="eastAsia" w:ascii="宋体" w:hAnsi="宋体" w:eastAsia="宋体" w:cs="宋体"/>
          <w:b/>
          <w:bCs/>
          <w:color w:val="auto"/>
          <w:kern w:val="0"/>
          <w:sz w:val="32"/>
          <w:szCs w:val="32"/>
        </w:rPr>
        <w:t>第一章</w:t>
      </w:r>
      <w:r>
        <w:rPr>
          <w:rFonts w:hint="eastAsia" w:ascii="宋体" w:hAnsi="宋体" w:eastAsia="宋体" w:cs="宋体"/>
          <w:b/>
          <w:bCs/>
          <w:color w:val="auto"/>
          <w:kern w:val="0"/>
          <w:sz w:val="32"/>
          <w:szCs w:val="32"/>
          <w:lang w:val="en-US" w:eastAsia="zh-CN"/>
        </w:rPr>
        <w:t xml:space="preserve">  </w:t>
      </w:r>
      <w:r>
        <w:rPr>
          <w:rFonts w:hint="eastAsia" w:ascii="宋体" w:hAnsi="宋体" w:eastAsia="宋体" w:cs="宋体"/>
          <w:b/>
          <w:bCs/>
          <w:color w:val="auto"/>
          <w:kern w:val="0"/>
          <w:sz w:val="32"/>
          <w:szCs w:val="32"/>
        </w:rPr>
        <w:t>竞争性磋商公告</w:t>
      </w:r>
      <w:bookmarkEnd w:id="0"/>
      <w:bookmarkEnd w:id="1"/>
      <w:bookmarkEnd w:id="2"/>
      <w:bookmarkEnd w:id="3"/>
    </w:p>
    <w:p w14:paraId="32C78D30">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项目概况</w:t>
      </w:r>
    </w:p>
    <w:p w14:paraId="3D708273">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河南黄河湿地国家级自然保护区三门峡事务中心《河南黄河湿地国家级自然保护区总体规划（2026-2035年）》编制项目的潜在供应商应在三门峡市公共资源交易中心网获取磋商文件，</w:t>
      </w:r>
      <w:r>
        <w:rPr>
          <w:rFonts w:hint="eastAsia" w:ascii="宋体" w:hAnsi="宋体" w:eastAsia="宋体" w:cs="宋体"/>
          <w:sz w:val="24"/>
          <w:szCs w:val="24"/>
          <w:highlight w:val="none"/>
          <w:lang w:val="en-US" w:eastAsia="zh-CN"/>
        </w:rPr>
        <w:t>并于2025年</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24</w:t>
      </w:r>
      <w:r>
        <w:rPr>
          <w:rFonts w:hint="eastAsia" w:ascii="宋体" w:hAnsi="宋体" w:eastAsia="宋体" w:cs="宋体"/>
          <w:sz w:val="24"/>
          <w:szCs w:val="24"/>
          <w:highlight w:val="none"/>
          <w:lang w:val="en-US" w:eastAsia="zh-CN"/>
        </w:rPr>
        <w:t>日09时00分</w:t>
      </w:r>
      <w:r>
        <w:rPr>
          <w:rFonts w:hint="eastAsia" w:ascii="宋体" w:hAnsi="宋体" w:eastAsia="宋体" w:cs="宋体"/>
          <w:sz w:val="24"/>
          <w:szCs w:val="24"/>
          <w:lang w:val="en-US" w:eastAsia="zh-CN"/>
        </w:rPr>
        <w:t>（北京时间）前递交响应文件。</w:t>
      </w:r>
    </w:p>
    <w:p w14:paraId="2E3D23DD">
      <w:pPr>
        <w:pStyle w:val="16"/>
        <w:spacing w:line="360" w:lineRule="auto"/>
        <w:ind w:left="0" w:leftChars="0"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一、项目基本情况</w:t>
      </w:r>
    </w:p>
    <w:p w14:paraId="052E257C">
      <w:pPr>
        <w:pStyle w:val="16"/>
        <w:spacing w:line="360" w:lineRule="auto"/>
        <w:ind w:left="0" w:leftChars="0"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1、项目编号：</w:t>
      </w:r>
      <w:r>
        <w:rPr>
          <w:rFonts w:hint="default" w:ascii="宋体" w:hAnsi="宋体" w:eastAsia="宋体" w:cs="宋体"/>
          <w:color w:val="auto"/>
          <w:sz w:val="24"/>
          <w:szCs w:val="24"/>
          <w:highlight w:val="none"/>
          <w:lang w:val="en-US" w:eastAsia="zh-CN"/>
        </w:rPr>
        <w:t>三财竞磋采购-2025-77</w:t>
      </w:r>
      <w:r>
        <w:rPr>
          <w:rFonts w:hint="eastAsia" w:ascii="宋体" w:hAnsi="宋体" w:cs="宋体"/>
          <w:sz w:val="24"/>
          <w:szCs w:val="24"/>
          <w:highlight w:val="none"/>
          <w:lang w:val="en-US" w:eastAsia="zh-CN"/>
        </w:rPr>
        <w:t>、SGZ[2025]507-ZC332</w:t>
      </w:r>
    </w:p>
    <w:p w14:paraId="6268B607">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2、项目名称：河南黄河湿地国家级自然保护区三门峡事务中心《河南黄河湿地国家级自然保护区总体规划（2026-2035年）》编制项目</w:t>
      </w:r>
    </w:p>
    <w:p w14:paraId="72342CD6">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3、采购方式：竞争性磋商</w:t>
      </w:r>
    </w:p>
    <w:p w14:paraId="368C3AF1">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4、预算金额：</w:t>
      </w:r>
      <w:r>
        <w:rPr>
          <w:rFonts w:hint="default" w:ascii="Arial" w:hAnsi="Arial" w:eastAsia="宋体" w:cs="Arial"/>
          <w:sz w:val="24"/>
          <w:szCs w:val="24"/>
          <w:lang w:val="en-US" w:eastAsia="zh-CN"/>
        </w:rPr>
        <w:t>¥</w:t>
      </w:r>
      <w:r>
        <w:rPr>
          <w:rFonts w:hint="eastAsia" w:ascii="宋体" w:hAnsi="宋体" w:cs="宋体"/>
          <w:sz w:val="24"/>
          <w:szCs w:val="24"/>
          <w:lang w:val="en-US" w:eastAsia="zh-CN"/>
        </w:rPr>
        <w:t>95万</w:t>
      </w:r>
      <w:r>
        <w:rPr>
          <w:rFonts w:hint="eastAsia" w:ascii="宋体" w:hAnsi="宋体" w:eastAsia="宋体" w:cs="宋体"/>
          <w:sz w:val="24"/>
          <w:szCs w:val="24"/>
          <w:lang w:val="en-US" w:eastAsia="zh-CN"/>
        </w:rPr>
        <w:t>元</w:t>
      </w:r>
    </w:p>
    <w:p w14:paraId="50A843A1">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最高限价：</w:t>
      </w:r>
      <w:r>
        <w:rPr>
          <w:rFonts w:hint="default" w:ascii="Arial" w:hAnsi="Arial" w:eastAsia="宋体" w:cs="Arial"/>
          <w:sz w:val="24"/>
          <w:szCs w:val="24"/>
          <w:lang w:val="en-US" w:eastAsia="zh-CN"/>
        </w:rPr>
        <w:t>¥</w:t>
      </w:r>
      <w:r>
        <w:rPr>
          <w:rFonts w:hint="eastAsia" w:ascii="宋体" w:hAnsi="宋体" w:cs="宋体"/>
          <w:sz w:val="24"/>
          <w:szCs w:val="24"/>
          <w:lang w:val="en-US" w:eastAsia="zh-CN"/>
        </w:rPr>
        <w:t>95万</w:t>
      </w:r>
      <w:r>
        <w:rPr>
          <w:rFonts w:hint="eastAsia" w:ascii="宋体" w:hAnsi="宋体" w:eastAsia="宋体" w:cs="宋体"/>
          <w:sz w:val="24"/>
          <w:szCs w:val="24"/>
          <w:lang w:val="en-US" w:eastAsia="zh-CN"/>
        </w:rPr>
        <w:t>元</w:t>
      </w:r>
    </w:p>
    <w:tbl>
      <w:tblPr>
        <w:tblStyle w:val="17"/>
        <w:tblW w:w="10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1335"/>
        <w:gridCol w:w="3258"/>
        <w:gridCol w:w="1077"/>
        <w:gridCol w:w="1214"/>
        <w:gridCol w:w="1377"/>
        <w:gridCol w:w="1382"/>
      </w:tblGrid>
      <w:tr w14:paraId="4E5E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16" w:type="dxa"/>
            <w:vAlign w:val="center"/>
          </w:tcPr>
          <w:p w14:paraId="66697CA6">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序号</w:t>
            </w:r>
          </w:p>
        </w:tc>
        <w:tc>
          <w:tcPr>
            <w:tcW w:w="1335" w:type="dxa"/>
            <w:vAlign w:val="center"/>
          </w:tcPr>
          <w:p w14:paraId="1581A441">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包号</w:t>
            </w:r>
          </w:p>
        </w:tc>
        <w:tc>
          <w:tcPr>
            <w:tcW w:w="3258" w:type="dxa"/>
            <w:vAlign w:val="center"/>
          </w:tcPr>
          <w:p w14:paraId="1292A922">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包名称</w:t>
            </w:r>
          </w:p>
        </w:tc>
        <w:tc>
          <w:tcPr>
            <w:tcW w:w="1077" w:type="dxa"/>
            <w:vAlign w:val="center"/>
          </w:tcPr>
          <w:p w14:paraId="0DF9D548">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包预算</w:t>
            </w:r>
          </w:p>
          <w:p w14:paraId="2501218C">
            <w:pPr>
              <w:keepNext w:val="0"/>
              <w:keepLines w:val="0"/>
              <w:pageBreakBefore w:val="0"/>
              <w:widowControl/>
              <w:kinsoku/>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w:t>
            </w:r>
            <w:r>
              <w:rPr>
                <w:rFonts w:hint="eastAsia" w:ascii="宋体" w:hAnsi="宋体" w:eastAsia="宋体" w:cs="宋体"/>
                <w:color w:val="auto"/>
                <w:kern w:val="0"/>
                <w:sz w:val="22"/>
                <w:szCs w:val="22"/>
                <w:lang w:val="en-US" w:eastAsia="zh-CN"/>
              </w:rPr>
              <w:t>万</w:t>
            </w:r>
            <w:r>
              <w:rPr>
                <w:rFonts w:hint="eastAsia" w:ascii="宋体" w:hAnsi="宋体" w:eastAsia="宋体" w:cs="宋体"/>
                <w:color w:val="auto"/>
                <w:kern w:val="0"/>
                <w:sz w:val="22"/>
                <w:szCs w:val="22"/>
              </w:rPr>
              <w:t>元）</w:t>
            </w:r>
          </w:p>
        </w:tc>
        <w:tc>
          <w:tcPr>
            <w:tcW w:w="1214" w:type="dxa"/>
            <w:vAlign w:val="center"/>
          </w:tcPr>
          <w:p w14:paraId="17A90714">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包最高限价（</w:t>
            </w:r>
            <w:r>
              <w:rPr>
                <w:rFonts w:hint="eastAsia" w:ascii="宋体" w:hAnsi="宋体" w:eastAsia="宋体" w:cs="宋体"/>
                <w:color w:val="auto"/>
                <w:kern w:val="0"/>
                <w:sz w:val="22"/>
                <w:szCs w:val="22"/>
                <w:lang w:val="en-US" w:eastAsia="zh-CN"/>
              </w:rPr>
              <w:t>万</w:t>
            </w:r>
            <w:r>
              <w:rPr>
                <w:rFonts w:hint="eastAsia" w:ascii="宋体" w:hAnsi="宋体" w:eastAsia="宋体" w:cs="宋体"/>
                <w:color w:val="auto"/>
                <w:kern w:val="0"/>
                <w:sz w:val="22"/>
                <w:szCs w:val="22"/>
              </w:rPr>
              <w:t>元）</w:t>
            </w:r>
          </w:p>
        </w:tc>
        <w:tc>
          <w:tcPr>
            <w:tcW w:w="1377" w:type="dxa"/>
            <w:shd w:val="clear" w:color="auto" w:fill="auto"/>
            <w:vAlign w:val="center"/>
          </w:tcPr>
          <w:p w14:paraId="7C019C7D">
            <w:pPr>
              <w:shd w:val="clear" w:color="auto" w:fill="FFFFFF"/>
              <w:wordWrap w:val="0"/>
              <w:spacing w:line="360" w:lineRule="auto"/>
              <w:jc w:val="left"/>
              <w:rPr>
                <w:rFonts w:hint="eastAsia" w:ascii="宋体" w:hAnsi="宋体" w:cs="宋体" w:eastAsiaTheme="minorEastAsia"/>
                <w:kern w:val="2"/>
                <w:sz w:val="22"/>
                <w:szCs w:val="22"/>
                <w:lang w:val="en-US" w:eastAsia="zh-CN" w:bidi="ar-SA"/>
              </w:rPr>
            </w:pPr>
            <w:r>
              <w:rPr>
                <w:rFonts w:hint="eastAsia" w:ascii="宋体" w:hAnsi="宋体" w:cs="宋体"/>
                <w:sz w:val="22"/>
                <w:szCs w:val="22"/>
                <w:lang w:val="en-US" w:eastAsia="zh-CN"/>
              </w:rPr>
              <w:t>是否专门面向中小企业</w:t>
            </w:r>
          </w:p>
        </w:tc>
        <w:tc>
          <w:tcPr>
            <w:tcW w:w="1382" w:type="dxa"/>
            <w:vAlign w:val="center"/>
          </w:tcPr>
          <w:p w14:paraId="3B1FE972">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0"/>
                <w:sz w:val="22"/>
                <w:szCs w:val="22"/>
              </w:rPr>
            </w:pPr>
            <w:r>
              <w:rPr>
                <w:rFonts w:hint="eastAsia" w:ascii="宋体" w:hAnsi="宋体" w:cs="宋体"/>
                <w:sz w:val="22"/>
                <w:szCs w:val="22"/>
                <w:lang w:val="en-US" w:eastAsia="zh-CN"/>
              </w:rPr>
              <w:t>采购预留金额（</w:t>
            </w:r>
            <w:r>
              <w:rPr>
                <w:rFonts w:hint="eastAsia" w:ascii="宋体" w:hAnsi="宋体" w:eastAsia="宋体" w:cs="宋体"/>
                <w:color w:val="auto"/>
                <w:kern w:val="0"/>
                <w:sz w:val="22"/>
                <w:szCs w:val="22"/>
                <w:lang w:val="en-US" w:eastAsia="zh-CN"/>
              </w:rPr>
              <w:t>万</w:t>
            </w:r>
            <w:r>
              <w:rPr>
                <w:rFonts w:hint="eastAsia" w:ascii="宋体" w:hAnsi="宋体" w:cs="宋体"/>
                <w:sz w:val="22"/>
                <w:szCs w:val="22"/>
                <w:lang w:val="en-US" w:eastAsia="zh-CN"/>
              </w:rPr>
              <w:t>元）</w:t>
            </w:r>
          </w:p>
        </w:tc>
      </w:tr>
      <w:tr w14:paraId="243D2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416" w:type="dxa"/>
            <w:vAlign w:val="center"/>
          </w:tcPr>
          <w:p w14:paraId="1DCBDB05">
            <w:pPr>
              <w:keepNext w:val="0"/>
              <w:keepLines w:val="0"/>
              <w:pageBreakBefore w:val="0"/>
              <w:widowControl/>
              <w:kinsoku/>
              <w:overflowPunct/>
              <w:topLinePunct w:val="0"/>
              <w:autoSpaceDE/>
              <w:autoSpaceDN/>
              <w:bidi w:val="0"/>
              <w:adjustRightInd/>
              <w:snapToGrid/>
              <w:spacing w:line="360" w:lineRule="auto"/>
              <w:ind w:firstLine="110" w:firstLineChars="50"/>
              <w:jc w:val="center"/>
              <w:textAlignment w:val="auto"/>
              <w:outlineLvl w:val="9"/>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w:t>
            </w:r>
          </w:p>
        </w:tc>
        <w:tc>
          <w:tcPr>
            <w:tcW w:w="1335" w:type="dxa"/>
            <w:vAlign w:val="center"/>
          </w:tcPr>
          <w:p w14:paraId="62D7C5D6">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default" w:ascii="宋体" w:hAnsi="宋体" w:eastAsia="宋体" w:cs="宋体"/>
                <w:color w:val="auto"/>
                <w:sz w:val="22"/>
                <w:szCs w:val="22"/>
                <w:lang w:val="en-US" w:eastAsia="zh-CN"/>
              </w:rPr>
            </w:pPr>
            <w:r>
              <w:rPr>
                <w:rFonts w:hint="eastAsia" w:ascii="宋体" w:hAnsi="宋体" w:cs="宋体"/>
                <w:sz w:val="24"/>
                <w:szCs w:val="24"/>
                <w:highlight w:val="none"/>
                <w:lang w:val="en-US" w:eastAsia="zh-CN"/>
              </w:rPr>
              <w:t>SGZ[2025]507-ZC332-1</w:t>
            </w:r>
          </w:p>
        </w:tc>
        <w:tc>
          <w:tcPr>
            <w:tcW w:w="3258" w:type="dxa"/>
            <w:vAlign w:val="center"/>
          </w:tcPr>
          <w:p w14:paraId="15148B5E">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河南黄河湿地国家级自然保护区三门峡事务中心《河南黄河湿地国家级自然保护区总体规划（2026-2035年）》编制项目</w:t>
            </w:r>
          </w:p>
        </w:tc>
        <w:tc>
          <w:tcPr>
            <w:tcW w:w="1077" w:type="dxa"/>
            <w:vAlign w:val="center"/>
          </w:tcPr>
          <w:p w14:paraId="6F722182">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0"/>
                <w:sz w:val="22"/>
                <w:szCs w:val="22"/>
              </w:rPr>
            </w:pPr>
            <w:r>
              <w:rPr>
                <w:rFonts w:hint="default" w:ascii="Arial" w:hAnsi="Arial" w:eastAsia="宋体" w:cs="Arial"/>
                <w:sz w:val="24"/>
                <w:szCs w:val="24"/>
                <w:lang w:val="en-US" w:eastAsia="zh-CN"/>
              </w:rPr>
              <w:t>¥</w:t>
            </w:r>
            <w:r>
              <w:rPr>
                <w:rFonts w:hint="eastAsia" w:ascii="宋体" w:hAnsi="宋体" w:cs="宋体"/>
                <w:sz w:val="24"/>
                <w:szCs w:val="24"/>
                <w:lang w:val="en-US" w:eastAsia="zh-CN"/>
              </w:rPr>
              <w:t>95</w:t>
            </w:r>
          </w:p>
        </w:tc>
        <w:tc>
          <w:tcPr>
            <w:tcW w:w="1214" w:type="dxa"/>
            <w:vAlign w:val="center"/>
          </w:tcPr>
          <w:p w14:paraId="6AB804DC">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2"/>
                <w:szCs w:val="22"/>
              </w:rPr>
            </w:pPr>
            <w:r>
              <w:rPr>
                <w:rFonts w:hint="default" w:ascii="Arial" w:hAnsi="Arial" w:eastAsia="宋体" w:cs="Arial"/>
                <w:sz w:val="24"/>
                <w:szCs w:val="24"/>
                <w:lang w:val="en-US" w:eastAsia="zh-CN"/>
              </w:rPr>
              <w:t>¥</w:t>
            </w:r>
            <w:r>
              <w:rPr>
                <w:rFonts w:hint="eastAsia" w:ascii="宋体" w:hAnsi="宋体" w:cs="宋体"/>
                <w:sz w:val="24"/>
                <w:szCs w:val="24"/>
                <w:lang w:val="en-US" w:eastAsia="zh-CN"/>
              </w:rPr>
              <w:t>95</w:t>
            </w:r>
          </w:p>
        </w:tc>
        <w:tc>
          <w:tcPr>
            <w:tcW w:w="1377" w:type="dxa"/>
            <w:shd w:val="clear" w:color="auto" w:fill="auto"/>
            <w:vAlign w:val="center"/>
          </w:tcPr>
          <w:p w14:paraId="7E6D8C04">
            <w:pPr>
              <w:shd w:val="clear" w:color="auto" w:fill="FFFFFF"/>
              <w:wordWrap w:val="0"/>
              <w:spacing w:line="360" w:lineRule="auto"/>
              <w:ind w:firstLine="440" w:firstLineChars="200"/>
              <w:jc w:val="left"/>
              <w:rPr>
                <w:rFonts w:hint="eastAsia" w:ascii="宋体" w:hAnsi="宋体" w:cs="宋体" w:eastAsiaTheme="minorEastAsia"/>
                <w:kern w:val="2"/>
                <w:sz w:val="22"/>
                <w:szCs w:val="22"/>
                <w:lang w:val="en-US" w:eastAsia="zh-CN" w:bidi="ar-SA"/>
              </w:rPr>
            </w:pPr>
            <w:r>
              <w:rPr>
                <w:rFonts w:hint="eastAsia" w:ascii="宋体" w:hAnsi="宋体" w:cs="宋体"/>
                <w:sz w:val="22"/>
                <w:szCs w:val="22"/>
                <w:lang w:val="en-US" w:eastAsia="zh-CN"/>
              </w:rPr>
              <w:t>是</w:t>
            </w:r>
          </w:p>
        </w:tc>
        <w:tc>
          <w:tcPr>
            <w:tcW w:w="1382" w:type="dxa"/>
            <w:vAlign w:val="center"/>
          </w:tcPr>
          <w:p w14:paraId="2C4916B5">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2"/>
                <w:szCs w:val="22"/>
                <w:lang w:val="en-US" w:eastAsia="zh-CN"/>
              </w:rPr>
            </w:pPr>
            <w:r>
              <w:rPr>
                <w:rFonts w:hint="default" w:ascii="Arial" w:hAnsi="Arial" w:eastAsia="宋体" w:cs="Arial"/>
                <w:sz w:val="24"/>
                <w:szCs w:val="24"/>
                <w:lang w:val="en-US" w:eastAsia="zh-CN"/>
              </w:rPr>
              <w:t>¥</w:t>
            </w:r>
            <w:r>
              <w:rPr>
                <w:rFonts w:hint="eastAsia" w:ascii="宋体" w:hAnsi="宋体" w:cs="宋体"/>
                <w:sz w:val="24"/>
                <w:szCs w:val="24"/>
                <w:lang w:val="en-US" w:eastAsia="zh-CN"/>
              </w:rPr>
              <w:t>95</w:t>
            </w:r>
          </w:p>
        </w:tc>
      </w:tr>
    </w:tbl>
    <w:p w14:paraId="7998B473">
      <w:pPr>
        <w:rPr>
          <w:rFonts w:hint="eastAsia" w:ascii="宋体" w:hAnsi="宋体" w:eastAsia="宋体" w:cs="宋体"/>
          <w:lang w:val="en-US" w:eastAsia="zh-CN"/>
        </w:rPr>
      </w:pPr>
    </w:p>
    <w:p w14:paraId="616E6E99">
      <w:pPr>
        <w:pStyle w:val="16"/>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5、采购需求（包括但不限于标的名称、数量、服务要求等）</w:t>
      </w:r>
    </w:p>
    <w:p w14:paraId="22E78D13">
      <w:pPr>
        <w:pStyle w:val="16"/>
        <w:numPr>
          <w:ilvl w:val="0"/>
          <w:numId w:val="0"/>
        </w:numPr>
        <w:spacing w:line="360" w:lineRule="auto"/>
        <w:ind w:firstLine="480" w:firstLineChars="200"/>
        <w:rPr>
          <w:rFonts w:hint="eastAsia" w:ascii="宋体" w:hAnsi="宋体" w:eastAsia="宋体" w:cs="宋体"/>
          <w:lang w:val="en-US" w:eastAsia="zh-CN"/>
        </w:rPr>
      </w:pPr>
      <w:r>
        <w:rPr>
          <w:rFonts w:hint="eastAsia" w:ascii="宋体" w:hAnsi="宋体" w:eastAsia="宋体" w:cs="宋体"/>
          <w:sz w:val="24"/>
          <w:szCs w:val="24"/>
          <w:lang w:val="en-US" w:eastAsia="zh-CN"/>
        </w:rPr>
        <w:t>5.1、采购内容：根据工作需要，需编制《河南黄河湿地国家级自然保护区总体规划（2026-2035年）》，黄河湿地保护区总体规划编制包括三门峡市、洛阳市、焦作市、济源市等四个地市内容，并通过国家林业和草原局审批</w:t>
      </w:r>
      <w:r>
        <w:rPr>
          <w:rFonts w:hint="eastAsia" w:ascii="宋体" w:hAnsi="宋体" w:cs="宋体"/>
          <w:sz w:val="24"/>
          <w:szCs w:val="24"/>
          <w:lang w:val="en-US" w:eastAsia="zh-CN"/>
        </w:rPr>
        <w:t>；</w:t>
      </w:r>
    </w:p>
    <w:p w14:paraId="294F5700">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5.2、资金来源：财政资金，已落实；</w:t>
      </w:r>
    </w:p>
    <w:p w14:paraId="50ABD80A">
      <w:pPr>
        <w:pStyle w:val="16"/>
        <w:spacing w:line="360" w:lineRule="auto"/>
        <w:ind w:left="0" w:leftChars="0" w:firstLine="480" w:firstLineChars="200"/>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none"/>
          <w:lang w:val="en-US" w:eastAsia="zh-CN"/>
        </w:rPr>
        <w:t>5.3、服务期限：2026年</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月底完成</w:t>
      </w:r>
      <w:r>
        <w:rPr>
          <w:rFonts w:hint="eastAsia" w:ascii="宋体" w:hAnsi="宋体" w:cs="宋体"/>
          <w:sz w:val="24"/>
          <w:szCs w:val="24"/>
          <w:highlight w:val="none"/>
          <w:lang w:val="en-US" w:eastAsia="zh-CN"/>
        </w:rPr>
        <w:t>；</w:t>
      </w:r>
    </w:p>
    <w:p w14:paraId="1CB50454">
      <w:pPr>
        <w:pStyle w:val="16"/>
        <w:spacing w:line="360" w:lineRule="auto"/>
        <w:ind w:left="0" w:leftChars="0"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5.4、</w:t>
      </w:r>
      <w:r>
        <w:rPr>
          <w:rFonts w:hint="eastAsia" w:ascii="宋体" w:hAnsi="宋体" w:cs="宋体"/>
          <w:sz w:val="24"/>
          <w:szCs w:val="24"/>
          <w:lang w:val="en-US" w:eastAsia="zh-CN"/>
        </w:rPr>
        <w:t>服务地点：采购人指定地点；</w:t>
      </w:r>
    </w:p>
    <w:p w14:paraId="55409761">
      <w:pPr>
        <w:pStyle w:val="16"/>
        <w:spacing w:line="360" w:lineRule="auto"/>
        <w:ind w:left="0" w:leftChars="0"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5.5、</w:t>
      </w:r>
      <w:r>
        <w:rPr>
          <w:rFonts w:hint="eastAsia" w:ascii="宋体" w:hAnsi="宋体" w:eastAsia="宋体" w:cs="宋体"/>
          <w:sz w:val="24"/>
          <w:szCs w:val="24"/>
          <w:lang w:val="en-US" w:eastAsia="zh-CN"/>
        </w:rPr>
        <w:t>质量要求：符合国家、行业及地方现行相关法律法规、规范及技术标准，满足采购人要求</w:t>
      </w:r>
      <w:r>
        <w:rPr>
          <w:rFonts w:hint="eastAsia" w:ascii="宋体" w:hAnsi="宋体" w:cs="宋体"/>
          <w:sz w:val="24"/>
          <w:szCs w:val="24"/>
          <w:lang w:val="en-US" w:eastAsia="zh-CN"/>
        </w:rPr>
        <w:t>；</w:t>
      </w:r>
    </w:p>
    <w:p w14:paraId="0EB2C5C5">
      <w:pPr>
        <w:pStyle w:val="16"/>
        <w:spacing w:line="360" w:lineRule="auto"/>
        <w:ind w:left="0" w:leftChars="0"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6、磋商范围：竞争性磋商文件的所有内容</w:t>
      </w:r>
      <w:r>
        <w:rPr>
          <w:rFonts w:hint="eastAsia" w:ascii="宋体" w:hAnsi="宋体" w:cs="宋体"/>
          <w:sz w:val="24"/>
          <w:szCs w:val="24"/>
          <w:lang w:val="en-US" w:eastAsia="zh-CN"/>
        </w:rPr>
        <w:t>；</w:t>
      </w:r>
    </w:p>
    <w:p w14:paraId="4674C99F">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、本项目是否接受联合体磋商</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否</w:t>
      </w:r>
      <w:r>
        <w:rPr>
          <w:rFonts w:hint="eastAsia" w:ascii="宋体" w:hAnsi="宋体" w:cs="宋体"/>
          <w:sz w:val="24"/>
          <w:szCs w:val="24"/>
          <w:lang w:val="en-US" w:eastAsia="zh-CN"/>
        </w:rPr>
        <w:t>；</w:t>
      </w:r>
    </w:p>
    <w:p w14:paraId="131A7699">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、是否接受进口产品</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否</w:t>
      </w:r>
      <w:r>
        <w:rPr>
          <w:rFonts w:hint="eastAsia" w:ascii="宋体" w:hAnsi="宋体" w:cs="宋体"/>
          <w:sz w:val="24"/>
          <w:szCs w:val="24"/>
          <w:lang w:val="en-US" w:eastAsia="zh-CN"/>
        </w:rPr>
        <w:t>；</w:t>
      </w:r>
    </w:p>
    <w:p w14:paraId="4CA89700">
      <w:pPr>
        <w:pStyle w:val="16"/>
        <w:spacing w:line="360" w:lineRule="auto"/>
        <w:ind w:left="0" w:leftChars="0"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、是否为只面向中小企业采购</w:t>
      </w:r>
      <w:r>
        <w:rPr>
          <w:rFonts w:hint="eastAsia" w:ascii="宋体" w:hAnsi="宋体" w:cs="宋体"/>
          <w:sz w:val="24"/>
          <w:szCs w:val="24"/>
          <w:highlight w:val="none"/>
          <w:lang w:val="en-US" w:eastAsia="zh-CN"/>
        </w:rPr>
        <w:t>：是。</w:t>
      </w:r>
    </w:p>
    <w:p w14:paraId="0B99D506">
      <w:pPr>
        <w:pStyle w:val="16"/>
        <w:spacing w:line="360" w:lineRule="auto"/>
        <w:ind w:left="0" w:leftChars="0"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二、申请人资格要求</w:t>
      </w:r>
    </w:p>
    <w:p w14:paraId="2A2B7D17">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1.满足《中华人民共和国政府采购法》第二十二条规定；</w:t>
      </w:r>
    </w:p>
    <w:p w14:paraId="396ABE73">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2.落实政府采购政策满足的资格要求：本项目专门面向中小企业采购,同时供应商须提供《中小企业声明函》；   </w:t>
      </w:r>
    </w:p>
    <w:p w14:paraId="37EAC4C7">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3.本项目的特定资格要求</w:t>
      </w:r>
    </w:p>
    <w:p w14:paraId="68E5AC76">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3.1、供应商具有独立承担民事责任的能力（具有有效的营业执照或事业单位法人证书）；</w:t>
      </w:r>
    </w:p>
    <w:p w14:paraId="6AE78794">
      <w:pPr>
        <w:pStyle w:val="16"/>
        <w:spacing w:line="360" w:lineRule="auto"/>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供应商须具有相关主管部门核发的林业调查规划设计</w:t>
      </w:r>
      <w:r>
        <w:rPr>
          <w:rFonts w:hint="eastAsia" w:ascii="宋体" w:hAnsi="宋体" w:cs="宋体"/>
          <w:sz w:val="24"/>
          <w:szCs w:val="24"/>
          <w:highlight w:val="none"/>
          <w:lang w:val="en-US" w:eastAsia="zh-CN"/>
        </w:rPr>
        <w:t>丙</w:t>
      </w:r>
      <w:r>
        <w:rPr>
          <w:rFonts w:hint="eastAsia" w:ascii="宋体" w:hAnsi="宋体" w:eastAsia="宋体" w:cs="宋体"/>
          <w:sz w:val="24"/>
          <w:szCs w:val="24"/>
          <w:highlight w:val="none"/>
          <w:lang w:val="en-US" w:eastAsia="zh-CN"/>
        </w:rPr>
        <w:t>级及以上资质；</w:t>
      </w:r>
    </w:p>
    <w:p w14:paraId="493798EF">
      <w:pPr>
        <w:pStyle w:val="16"/>
        <w:spacing w:line="360" w:lineRule="auto"/>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拟派项目负责人须具有相关</w:t>
      </w:r>
      <w:r>
        <w:rPr>
          <w:rFonts w:hint="eastAsia" w:ascii="宋体" w:hAnsi="宋体" w:cs="宋体"/>
          <w:sz w:val="24"/>
          <w:szCs w:val="24"/>
          <w:highlight w:val="none"/>
          <w:lang w:val="en-US" w:eastAsia="zh-CN"/>
        </w:rPr>
        <w:t>（林业）</w:t>
      </w:r>
      <w:r>
        <w:rPr>
          <w:rFonts w:hint="eastAsia" w:ascii="宋体" w:hAnsi="宋体" w:eastAsia="宋体" w:cs="宋体"/>
          <w:sz w:val="24"/>
          <w:szCs w:val="24"/>
          <w:highlight w:val="none"/>
          <w:lang w:val="en-US" w:eastAsia="zh-CN"/>
        </w:rPr>
        <w:t>专业</w:t>
      </w:r>
      <w:r>
        <w:rPr>
          <w:rFonts w:hint="eastAsia" w:ascii="宋体" w:hAnsi="宋体" w:cs="宋体"/>
          <w:sz w:val="24"/>
          <w:szCs w:val="24"/>
          <w:highlight w:val="none"/>
          <w:lang w:val="en-US" w:eastAsia="zh-CN"/>
        </w:rPr>
        <w:t>高</w:t>
      </w:r>
      <w:r>
        <w:rPr>
          <w:rFonts w:hint="eastAsia" w:ascii="宋体" w:hAnsi="宋体" w:eastAsia="宋体" w:cs="宋体"/>
          <w:sz w:val="24"/>
          <w:szCs w:val="24"/>
          <w:highlight w:val="none"/>
          <w:lang w:val="en-US" w:eastAsia="zh-CN"/>
        </w:rPr>
        <w:t>级</w:t>
      </w:r>
      <w:r>
        <w:rPr>
          <w:rFonts w:hint="eastAsia" w:ascii="宋体" w:hAnsi="宋体" w:cs="宋体"/>
          <w:sz w:val="24"/>
          <w:szCs w:val="24"/>
          <w:highlight w:val="none"/>
          <w:lang w:val="en-US" w:eastAsia="zh-CN"/>
        </w:rPr>
        <w:t>及以上</w:t>
      </w:r>
      <w:r>
        <w:rPr>
          <w:rFonts w:hint="eastAsia" w:ascii="宋体" w:hAnsi="宋体" w:eastAsia="宋体" w:cs="宋体"/>
          <w:sz w:val="24"/>
          <w:szCs w:val="24"/>
          <w:highlight w:val="none"/>
          <w:lang w:val="en-US" w:eastAsia="zh-CN"/>
        </w:rPr>
        <w:t>职称且为本单位正式员工，需提供</w:t>
      </w:r>
      <w:r>
        <w:rPr>
          <w:rFonts w:hint="eastAsia" w:ascii="宋体" w:hAnsi="宋体" w:cs="宋体"/>
          <w:sz w:val="24"/>
          <w:szCs w:val="24"/>
          <w:highlight w:val="none"/>
          <w:lang w:val="en-US" w:eastAsia="zh-CN"/>
        </w:rPr>
        <w:t>近半年任意</w:t>
      </w:r>
      <w:r>
        <w:rPr>
          <w:rFonts w:hint="eastAsia" w:ascii="宋体" w:hAnsi="宋体" w:eastAsia="宋体" w:cs="宋体"/>
          <w:sz w:val="24"/>
          <w:szCs w:val="24"/>
          <w:highlight w:val="none"/>
          <w:lang w:val="en-US" w:eastAsia="zh-CN"/>
        </w:rPr>
        <w:t>连续</w:t>
      </w:r>
      <w:r>
        <w:rPr>
          <w:rFonts w:hint="eastAsia" w:ascii="宋体" w:hAnsi="宋体" w:cs="宋体"/>
          <w:sz w:val="24"/>
          <w:szCs w:val="24"/>
          <w:highlight w:val="none"/>
          <w:lang w:val="en-US" w:eastAsia="zh-CN"/>
        </w:rPr>
        <w:t>两个月</w:t>
      </w:r>
      <w:r>
        <w:rPr>
          <w:rFonts w:hint="eastAsia" w:ascii="宋体" w:hAnsi="宋体" w:eastAsia="宋体" w:cs="宋体"/>
          <w:sz w:val="24"/>
          <w:szCs w:val="24"/>
          <w:highlight w:val="none"/>
          <w:lang w:val="en-US" w:eastAsia="zh-CN"/>
        </w:rPr>
        <w:t>社保缴纳证明（新成立的企业从成立之日起计算）；</w:t>
      </w:r>
    </w:p>
    <w:p w14:paraId="3D60BED4">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3.4、单位负责人为同一人或者存在控股、管理关系的不同</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，不得同时参加本项目政府采购活动（磋商文件内附“国家企业信用信息”中公示的公司信息、股东或投资人信息截图，查询时间自公告发布之日起）；</w:t>
      </w:r>
    </w:p>
    <w:p w14:paraId="5440B5E7">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3.5、具有履行本项目服务内容所必须的设备和专业技术服务能力（提供证明材料或承诺书</w:t>
      </w:r>
      <w:r>
        <w:rPr>
          <w:rFonts w:hint="eastAsia" w:ascii="宋体" w:hAnsi="宋体" w:cs="宋体"/>
          <w:sz w:val="24"/>
          <w:szCs w:val="24"/>
          <w:lang w:val="en-US" w:eastAsia="zh-CN"/>
        </w:rPr>
        <w:t>，承诺书格式自拟</w:t>
      </w:r>
      <w:r>
        <w:rPr>
          <w:rFonts w:hint="eastAsia" w:ascii="宋体" w:hAnsi="宋体" w:eastAsia="宋体" w:cs="宋体"/>
          <w:sz w:val="24"/>
          <w:szCs w:val="24"/>
          <w:lang w:val="en-US" w:eastAsia="zh-CN"/>
        </w:rPr>
        <w:t>）；</w:t>
      </w:r>
    </w:p>
    <w:p w14:paraId="0960986D">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3.6、具有良好的商业信誉和健全的财务会计制度，提供承诺书（格式自拟）；</w:t>
      </w:r>
    </w:p>
    <w:p w14:paraId="598E5C3C">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依法缴纳税收和社会保障资金，提供承诺书（格式自拟）；</w:t>
      </w:r>
    </w:p>
    <w:p w14:paraId="02D9A113">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3.8、本企业无商业贿赂及无不正当竞争行为，提供承诺书（格式自拟）；</w:t>
      </w:r>
    </w:p>
    <w:p w14:paraId="55B982D0">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3.9、须提供本企业无行贿犯罪记录在中国裁判文书网自行查询结果或自行承诺（查询对象：企业、法定代表人）；</w:t>
      </w:r>
    </w:p>
    <w:p w14:paraId="778EF8B7">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3.10、</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未列入“中国执行信息公开网”的“失信被执行人”，“信用中国”www.creditchina.gov.cn网站的 “重大税收违法失信主体”和“中国政府采购网”www.ccgp.gov.cn网站的“政府采购严重违法失信行为记录名单”；（采购人、代理机构在开标后对所有</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信用记录进行查询，并将查询结果网页打印存档，</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不良信用记录以代理机构开标后查询结果为准。）；</w:t>
      </w:r>
    </w:p>
    <w:p w14:paraId="53A51123">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4、本项目不接受联合体磋商，提供承诺书（格式自拟）；</w:t>
      </w:r>
    </w:p>
    <w:p w14:paraId="1DE96A20">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5、本次磋商实行资格后审，资格审查的具体要求见磋商文件</w:t>
      </w:r>
      <w:r>
        <w:rPr>
          <w:rFonts w:hint="eastAsia" w:ascii="宋体" w:hAnsi="宋体" w:cs="宋体"/>
          <w:sz w:val="24"/>
          <w:szCs w:val="24"/>
          <w:lang w:val="en-US" w:eastAsia="zh-CN"/>
        </w:rPr>
        <w:t>（提供资格后审承诺书，格式自拟）。</w:t>
      </w:r>
    </w:p>
    <w:p w14:paraId="56A70C1C">
      <w:pPr>
        <w:pStyle w:val="16"/>
        <w:spacing w:line="360" w:lineRule="auto"/>
        <w:ind w:left="0" w:leftChars="0"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三、获取采购文件</w:t>
      </w:r>
    </w:p>
    <w:p w14:paraId="00FED10D">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采购文件下载</w:t>
      </w:r>
      <w:r>
        <w:rPr>
          <w:rFonts w:hint="eastAsia" w:ascii="宋体" w:hAnsi="宋体" w:eastAsia="宋体" w:cs="宋体"/>
          <w:sz w:val="24"/>
          <w:szCs w:val="24"/>
          <w:lang w:val="en-US" w:eastAsia="zh-CN"/>
        </w:rPr>
        <w:t>时间：</w:t>
      </w:r>
      <w:r>
        <w:rPr>
          <w:rFonts w:hint="eastAsia" w:ascii="宋体" w:hAnsi="宋体" w:eastAsia="宋体" w:cs="宋体"/>
          <w:sz w:val="24"/>
          <w:szCs w:val="24"/>
          <w:highlight w:val="none"/>
          <w:lang w:val="en-US" w:eastAsia="zh-CN"/>
        </w:rPr>
        <w:t>2025年</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08</w:t>
      </w:r>
      <w:r>
        <w:rPr>
          <w:rFonts w:hint="eastAsia" w:ascii="宋体" w:hAnsi="宋体" w:eastAsia="宋体" w:cs="宋体"/>
          <w:sz w:val="24"/>
          <w:szCs w:val="24"/>
          <w:highlight w:val="none"/>
          <w:lang w:val="en-US" w:eastAsia="zh-CN"/>
        </w:rPr>
        <w:t>日至2025年1</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24</w:t>
      </w:r>
      <w:r>
        <w:rPr>
          <w:rFonts w:hint="eastAsia" w:ascii="宋体" w:hAnsi="宋体" w:eastAsia="宋体" w:cs="宋体"/>
          <w:sz w:val="24"/>
          <w:szCs w:val="24"/>
          <w:highlight w:val="none"/>
          <w:lang w:val="en-US" w:eastAsia="zh-CN"/>
        </w:rPr>
        <w:t>日09时00分</w:t>
      </w:r>
      <w:r>
        <w:rPr>
          <w:rFonts w:hint="eastAsia" w:ascii="宋体" w:hAnsi="宋体" w:eastAsia="宋体" w:cs="宋体"/>
          <w:sz w:val="24"/>
          <w:szCs w:val="24"/>
          <w:lang w:val="en-US" w:eastAsia="zh-CN"/>
        </w:rPr>
        <w:t>（北京时间，法定节假日除外。）</w:t>
      </w:r>
    </w:p>
    <w:p w14:paraId="0F1912FF">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2.地点：三门峡市公共资源交易中心网</w:t>
      </w:r>
    </w:p>
    <w:p w14:paraId="2298B425">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方式：供应商凭CA数字证书通过三门峡市公共资源交易中心网（网址：http://gzjy.smx.gov.cn/），点击交易平台选择“市场主体登录”，登陆系统后，点击采购业务-业务管理-竞争性磋商文件领取菜单-点击领取按钮-领取.smxzf格式的电子竞争性磋商文件。</w:t>
      </w:r>
    </w:p>
    <w:p w14:paraId="0E935BB5">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办理CA证书链接：http://gzjy.smx.gov.cn/fwzn/004003/20201019/a8fae6a0-baed-499b-bb50-8ecc8828a2ca.html</w:t>
      </w:r>
    </w:p>
    <w:p w14:paraId="3A2472F1">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4.售价：0元</w:t>
      </w:r>
    </w:p>
    <w:p w14:paraId="3962C555">
      <w:pPr>
        <w:pStyle w:val="16"/>
        <w:spacing w:line="360" w:lineRule="auto"/>
        <w:ind w:left="0" w:leftChars="0"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四、响应文件提交</w:t>
      </w:r>
    </w:p>
    <w:p w14:paraId="0B5462FE">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1.截止时间：</w:t>
      </w:r>
      <w:r>
        <w:rPr>
          <w:rFonts w:hint="eastAsia" w:ascii="宋体" w:hAnsi="宋体" w:eastAsia="宋体" w:cs="宋体"/>
          <w:sz w:val="24"/>
          <w:szCs w:val="24"/>
          <w:highlight w:val="none"/>
          <w:lang w:val="en-US" w:eastAsia="zh-CN"/>
        </w:rPr>
        <w:t>2025年1</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24</w:t>
      </w:r>
      <w:r>
        <w:rPr>
          <w:rFonts w:hint="eastAsia" w:ascii="宋体" w:hAnsi="宋体" w:eastAsia="宋体" w:cs="宋体"/>
          <w:sz w:val="24"/>
          <w:szCs w:val="24"/>
          <w:highlight w:val="none"/>
          <w:lang w:val="en-US" w:eastAsia="zh-CN"/>
        </w:rPr>
        <w:t>日09时00分（</w:t>
      </w:r>
      <w:r>
        <w:rPr>
          <w:rFonts w:hint="eastAsia" w:ascii="宋体" w:hAnsi="宋体" w:eastAsia="宋体" w:cs="宋体"/>
          <w:sz w:val="24"/>
          <w:szCs w:val="24"/>
          <w:lang w:val="en-US" w:eastAsia="zh-CN"/>
        </w:rPr>
        <w:t>北京时间）</w:t>
      </w:r>
    </w:p>
    <w:p w14:paraId="3B675135">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sz w:val="24"/>
          <w:szCs w:val="24"/>
          <w:lang w:val="en-US" w:eastAsia="zh-CN"/>
        </w:rPr>
        <w:t>2.地点：</w:t>
      </w:r>
      <w:r>
        <w:rPr>
          <w:rFonts w:hint="eastAsia" w:ascii="宋体" w:hAnsi="宋体" w:eastAsia="宋体" w:cs="宋体"/>
          <w:color w:val="000000" w:themeColor="text1"/>
          <w:sz w:val="24"/>
          <w:szCs w:val="24"/>
          <w14:textFill>
            <w14:solidFill>
              <w14:schemeClr w14:val="tx1"/>
            </w14:solidFill>
          </w14:textFill>
        </w:rPr>
        <w:t>加密电子竞争性磋商响应文件须在磋商截止时间前通过三门峡市公共资源交易中心电子交易平台加密上传。</w:t>
      </w:r>
      <w:r>
        <w:rPr>
          <w:rFonts w:hint="eastAsia" w:ascii="宋体" w:hAnsi="宋体" w:eastAsia="宋体" w:cs="宋体"/>
          <w:color w:val="000000" w:themeColor="text1"/>
          <w:sz w:val="24"/>
          <w:szCs w:val="24"/>
          <w:highlight w:val="none"/>
          <w:lang w:val="en-US" w:eastAsia="zh-CN"/>
          <w14:textFill>
            <w14:solidFill>
              <w14:schemeClr w14:val="tx1"/>
            </w14:solidFill>
          </w14:textFill>
        </w:rPr>
        <w:t>逾期上传的或者未上传指定地点的投 标文件，采购人不予受理。</w:t>
      </w:r>
    </w:p>
    <w:p w14:paraId="673B397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注：本项目为不见面开标项目，开标当日，</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无需到开标现场参加开标会议，</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应当在</w:t>
      </w:r>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截止时间前，登陆不见面开标大厅（http://122.112.246.33/BidOpening/bidopeninghallaction/hall/login）选择登陆三门峡市公共资源电子招投标系统进行登陆,在线准时参加开标活动并进行投标（响应）文件解密等。每位</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的解密时间为开标时间起 30 分钟内完成。</w:t>
      </w:r>
    </w:p>
    <w:p w14:paraId="7F2DEF05">
      <w:pPr>
        <w:pStyle w:val="16"/>
        <w:spacing w:line="360" w:lineRule="auto"/>
        <w:ind w:left="0" w:leftChars="0"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五、磋商时间及地点</w:t>
      </w:r>
    </w:p>
    <w:p w14:paraId="2D66C060">
      <w:pPr>
        <w:pStyle w:val="16"/>
        <w:spacing w:line="360" w:lineRule="auto"/>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1.时间：2025年11月24日09时00分（北京时间）</w:t>
      </w:r>
    </w:p>
    <w:p w14:paraId="29EA695D">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2.地点：三门峡市公共资源交易中心五楼开标</w:t>
      </w:r>
      <w:r>
        <w:rPr>
          <w:rFonts w:hint="eastAsia" w:ascii="宋体" w:hAnsi="宋体" w:cs="宋体"/>
          <w:sz w:val="24"/>
          <w:szCs w:val="24"/>
          <w:highlight w:val="none"/>
          <w:lang w:val="en-US" w:eastAsia="zh-CN"/>
        </w:rPr>
        <w:t>四</w:t>
      </w:r>
      <w:r>
        <w:rPr>
          <w:rFonts w:hint="eastAsia" w:ascii="宋体" w:hAnsi="宋体" w:eastAsia="宋体" w:cs="宋体"/>
          <w:sz w:val="24"/>
          <w:szCs w:val="24"/>
          <w:lang w:val="en-US" w:eastAsia="zh-CN"/>
        </w:rPr>
        <w:t>室</w:t>
      </w:r>
    </w:p>
    <w:p w14:paraId="6231EE52">
      <w:pPr>
        <w:pStyle w:val="16"/>
        <w:spacing w:line="360" w:lineRule="auto"/>
        <w:ind w:left="0" w:leftChars="0"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六、磋商保证金</w:t>
      </w:r>
    </w:p>
    <w:p w14:paraId="08722E0E">
      <w:pPr>
        <w:spacing w:line="360" w:lineRule="auto"/>
        <w:ind w:firstLine="480" w:firstLineChars="200"/>
        <w:rPr>
          <w:rFonts w:hint="eastAsia" w:ascii="宋体" w:hAnsi="宋体" w:eastAsia="宋体" w:cs="宋体"/>
          <w:kern w:val="0"/>
          <w:sz w:val="24"/>
          <w:szCs w:val="24"/>
          <w:lang w:val="en-US" w:eastAsia="zh-CN" w:bidi="en-US"/>
        </w:rPr>
      </w:pPr>
      <w:r>
        <w:rPr>
          <w:rFonts w:hint="eastAsia" w:ascii="宋体" w:hAnsi="宋体" w:eastAsia="宋体" w:cs="宋体"/>
          <w:kern w:val="0"/>
          <w:sz w:val="24"/>
          <w:szCs w:val="24"/>
          <w:lang w:val="en-US" w:eastAsia="zh-CN" w:bidi="en-US"/>
        </w:rPr>
        <w:t>按《河南省财政厅关于优化政府采购营商环境有关问题的通知》（豫财购[2019]4号文）的要求本项目不再收取磋商保证金。</w:t>
      </w:r>
    </w:p>
    <w:p w14:paraId="5550CF7A">
      <w:pPr>
        <w:pStyle w:val="16"/>
        <w:spacing w:line="360" w:lineRule="auto"/>
        <w:ind w:left="0" w:leftChars="0"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七、发布公告的媒介</w:t>
      </w:r>
    </w:p>
    <w:p w14:paraId="1FCE69B8">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本次公告在《河南省政府采购网》、《中国</w:t>
      </w:r>
      <w:r>
        <w:rPr>
          <w:rFonts w:hint="eastAsia" w:ascii="宋体" w:hAnsi="宋体" w:cs="宋体"/>
          <w:sz w:val="24"/>
          <w:szCs w:val="24"/>
          <w:lang w:val="en-US" w:eastAsia="zh-CN"/>
        </w:rPr>
        <w:t>招标投标公共服务平台</w:t>
      </w:r>
      <w:r>
        <w:rPr>
          <w:rFonts w:hint="eastAsia" w:ascii="宋体" w:hAnsi="宋体" w:eastAsia="宋体" w:cs="宋体"/>
          <w:sz w:val="24"/>
          <w:szCs w:val="24"/>
          <w:lang w:val="en-US" w:eastAsia="zh-CN"/>
        </w:rPr>
        <w:t>》、《三门峡市公共资源交易中心网》上发布。</w:t>
      </w:r>
    </w:p>
    <w:p w14:paraId="4EFCB478">
      <w:pPr>
        <w:pStyle w:val="16"/>
        <w:spacing w:line="360" w:lineRule="auto"/>
        <w:ind w:left="0" w:leftChars="0" w:firstLine="482" w:firstLineChars="200"/>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八、其他补充事宜</w:t>
      </w:r>
    </w:p>
    <w:p w14:paraId="4C915F16">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1、资格评（预）审部分：资格评（预）以响应文件为准，其上传资料真实性由供应商自行承担；</w:t>
      </w:r>
    </w:p>
    <w:p w14:paraId="38BDB9C5">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2、评标打分部分：评标打分部分仍按照100分制原则进行，涉及到资格审查、企业荣誉、人员业绩、企业业绩等计分部分时，以供应商自行上传到响应文件中的相应内容为准；</w:t>
      </w:r>
    </w:p>
    <w:p w14:paraId="3C01AEFD">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响应文件编制部分：在磋商文件中要求供应商按照响应文件格式进行响应文件编制，在响应文件编制时，应明确将供应商企业基本情况、资质情况、人员情况、财务情况、业绩情况编入响应文件，便于进行资格审查及评标打分以响应文件业绩信息为准，可使用电子营业执照； </w:t>
      </w:r>
    </w:p>
    <w:p w14:paraId="4C3BC161">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4、我单位（采购人）严格按三财购【2021】9号文要求的时限发布中标结果公告，发出中标通知书，签订采购合同，上传采购合同；</w:t>
      </w:r>
    </w:p>
    <w:p w14:paraId="335F70F1">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5、供应商应仔细阅读操作手册，在本公告中要求的截止时间前完成磋商文件下载等工作。因供应商操作不当等问题造成的无法下载磋商文件、无法磋商等一切后果，由供应商自行承担；</w:t>
      </w:r>
    </w:p>
    <w:p w14:paraId="67293777">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6、供应商递交的响应文件不论中标与否均不予退还；</w:t>
      </w:r>
    </w:p>
    <w:p w14:paraId="797754BE">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7、采购人不组织供应商踏勘现场。</w:t>
      </w:r>
    </w:p>
    <w:p w14:paraId="251A3364">
      <w:pPr>
        <w:pStyle w:val="16"/>
        <w:spacing w:line="360" w:lineRule="auto"/>
        <w:ind w:left="0" w:leftChars="0"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九、凡对本次磋商提出询问，请按照以下方式联系</w:t>
      </w:r>
    </w:p>
    <w:p w14:paraId="49545D74">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1.监督单位：三门峡市财政局政府采购监督管理科</w:t>
      </w:r>
    </w:p>
    <w:p w14:paraId="2DEE4742">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联系电话：0398-2608915</w:t>
      </w:r>
    </w:p>
    <w:p w14:paraId="21FBCA4B">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监督单位：三门峡市林业局</w:t>
      </w:r>
    </w:p>
    <w:p w14:paraId="00A065E9">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联系电话：0398-2826262</w:t>
      </w:r>
    </w:p>
    <w:p w14:paraId="331C9A4F">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2.采购人：河南黄河湿地国家级自然保护区三门峡事务中心</w:t>
      </w:r>
    </w:p>
    <w:p w14:paraId="673CB8B2">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地址：三门峡六峰南路548号</w:t>
      </w:r>
    </w:p>
    <w:p w14:paraId="155AD3DB">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w:t>
      </w:r>
      <w:r>
        <w:rPr>
          <w:rFonts w:hint="eastAsia" w:ascii="宋体" w:hAnsi="宋体" w:cs="宋体"/>
          <w:sz w:val="24"/>
          <w:szCs w:val="24"/>
          <w:lang w:val="en-US" w:eastAsia="zh-CN"/>
        </w:rPr>
        <w:t>董先生</w:t>
      </w:r>
    </w:p>
    <w:p w14:paraId="1FE9DEA7">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联系方式：0398-2826585</w:t>
      </w:r>
    </w:p>
    <w:p w14:paraId="1C341575">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3.代理机构：河南鸿儒工程管理有限公司</w:t>
      </w:r>
    </w:p>
    <w:p w14:paraId="21FE0137">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地址：河南省郑州市中原区桐柏路街道望湖花园14号楼904</w:t>
      </w:r>
    </w:p>
    <w:p w14:paraId="3A97CD15">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w:t>
      </w:r>
      <w:r>
        <w:rPr>
          <w:rFonts w:hint="eastAsia" w:ascii="宋体" w:hAnsi="宋体" w:cs="宋体"/>
          <w:sz w:val="24"/>
          <w:szCs w:val="24"/>
          <w:lang w:val="en-US" w:eastAsia="zh-CN"/>
        </w:rPr>
        <w:t>张女士</w:t>
      </w:r>
    </w:p>
    <w:p w14:paraId="13E7409C">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联系方式：18530360709</w:t>
      </w:r>
    </w:p>
    <w:p w14:paraId="69584FEF">
      <w:pPr>
        <w:pStyle w:val="16"/>
        <w:spacing w:line="360" w:lineRule="auto"/>
        <w:ind w:left="0" w:leftChars="0"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4.项目联系人</w:t>
      </w:r>
    </w:p>
    <w:p w14:paraId="172A7D10">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w:t>
      </w:r>
      <w:r>
        <w:rPr>
          <w:rFonts w:hint="eastAsia" w:ascii="宋体" w:hAnsi="宋体" w:cs="宋体"/>
          <w:sz w:val="24"/>
          <w:szCs w:val="24"/>
          <w:lang w:val="en-US" w:eastAsia="zh-CN"/>
        </w:rPr>
        <w:t>张女士</w:t>
      </w:r>
    </w:p>
    <w:p w14:paraId="40011626">
      <w:pPr>
        <w:pStyle w:val="16"/>
        <w:ind w:left="0" w:leftChars="0" w:firstLine="480" w:firstLineChars="200"/>
        <w:rPr>
          <w:rFonts w:hint="eastAsia" w:ascii="宋体" w:hAnsi="宋体" w:eastAsia="宋体" w:cs="宋体"/>
          <w:sz w:val="28"/>
          <w:szCs w:val="28"/>
          <w:lang w:val="en-US" w:eastAsia="zh-CN"/>
        </w:rPr>
      </w:pPr>
      <w:r>
        <w:rPr>
          <w:rFonts w:hint="eastAsia" w:ascii="宋体" w:hAnsi="宋体" w:eastAsia="宋体" w:cs="宋体"/>
          <w:sz w:val="24"/>
          <w:szCs w:val="24"/>
          <w:lang w:val="en-US" w:eastAsia="zh-CN"/>
        </w:rPr>
        <w:t>联系方式：18530360709</w:t>
      </w:r>
    </w:p>
    <w:p w14:paraId="009AE433">
      <w:pPr>
        <w:rPr>
          <w:rFonts w:hint="eastAsia" w:ascii="宋体" w:hAnsi="宋体" w:eastAsia="宋体" w:cs="宋体"/>
          <w:sz w:val="28"/>
          <w:szCs w:val="28"/>
          <w:lang w:val="en-US" w:eastAsia="zh-CN"/>
        </w:rPr>
      </w:pPr>
    </w:p>
    <w:p w14:paraId="7DEE7FFC">
      <w:pPr>
        <w:pStyle w:val="2"/>
        <w:bidi w:val="0"/>
        <w:spacing w:line="240" w:lineRule="auto"/>
        <w:jc w:val="center"/>
        <w:rPr>
          <w:rFonts w:hint="eastAsia"/>
          <w:sz w:val="36"/>
          <w:szCs w:val="21"/>
        </w:rPr>
      </w:pPr>
      <w:bookmarkStart w:id="4" w:name="_Toc24905"/>
      <w:bookmarkStart w:id="5" w:name="_Toc23158"/>
      <w:r>
        <w:rPr>
          <w:rFonts w:hint="eastAsia"/>
          <w:sz w:val="36"/>
          <w:szCs w:val="21"/>
        </w:rPr>
        <w:t>第二章</w:t>
      </w:r>
      <w:r>
        <w:rPr>
          <w:rFonts w:hint="eastAsia"/>
          <w:sz w:val="36"/>
          <w:szCs w:val="21"/>
          <w:lang w:val="en-US" w:eastAsia="zh-CN"/>
        </w:rPr>
        <w:t xml:space="preserve">  </w:t>
      </w:r>
      <w:r>
        <w:rPr>
          <w:rFonts w:hint="eastAsia"/>
          <w:sz w:val="36"/>
          <w:szCs w:val="21"/>
        </w:rPr>
        <w:t>供应商须知</w:t>
      </w:r>
      <w:bookmarkEnd w:id="4"/>
      <w:bookmarkEnd w:id="5"/>
    </w:p>
    <w:p w14:paraId="65E1105C">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b/>
          <w:bCs w:val="0"/>
          <w:color w:val="auto"/>
          <w:sz w:val="24"/>
          <w:szCs w:val="24"/>
        </w:rPr>
      </w:pPr>
      <w:bookmarkStart w:id="6" w:name="_Toc145065218"/>
      <w:bookmarkStart w:id="7" w:name="_Toc518571702"/>
      <w:bookmarkStart w:id="8" w:name="_Toc109675033"/>
      <w:bookmarkStart w:id="9" w:name="_Toc145065051"/>
      <w:r>
        <w:rPr>
          <w:rFonts w:hint="eastAsia" w:ascii="宋体" w:hAnsi="宋体" w:eastAsia="宋体" w:cs="宋体"/>
          <w:b/>
          <w:bCs w:val="0"/>
          <w:color w:val="auto"/>
          <w:sz w:val="24"/>
          <w:szCs w:val="24"/>
        </w:rPr>
        <w:t>须知前附表</w:t>
      </w:r>
      <w:bookmarkEnd w:id="6"/>
      <w:bookmarkEnd w:id="7"/>
      <w:bookmarkEnd w:id="8"/>
      <w:bookmarkEnd w:id="9"/>
    </w:p>
    <w:tbl>
      <w:tblPr>
        <w:tblStyle w:val="17"/>
        <w:tblW w:w="96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3"/>
        <w:gridCol w:w="1701"/>
        <w:gridCol w:w="6973"/>
      </w:tblGrid>
      <w:tr w14:paraId="70DAB2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993" w:type="dxa"/>
            <w:tcBorders>
              <w:top w:val="single" w:color="auto" w:sz="12" w:space="0"/>
            </w:tcBorders>
            <w:vAlign w:val="center"/>
          </w:tcPr>
          <w:p w14:paraId="13B9D89A">
            <w:pPr>
              <w:keepNext w:val="0"/>
              <w:keepLines w:val="0"/>
              <w:pageBreakBefore w:val="0"/>
              <w:widowControl/>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val="en-US" w:eastAsia="zh-CN"/>
              </w:rPr>
              <w:t>条款</w:t>
            </w:r>
          </w:p>
        </w:tc>
        <w:tc>
          <w:tcPr>
            <w:tcW w:w="1701" w:type="dxa"/>
            <w:tcBorders>
              <w:top w:val="single" w:color="auto" w:sz="12" w:space="0"/>
            </w:tcBorders>
            <w:vAlign w:val="center"/>
          </w:tcPr>
          <w:p w14:paraId="6AD28ACB">
            <w:pPr>
              <w:keepNext w:val="0"/>
              <w:keepLines w:val="0"/>
              <w:pageBreakBefore w:val="0"/>
              <w:widowControl/>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val="en-US" w:eastAsia="zh-CN"/>
              </w:rPr>
              <w:t>条款号</w:t>
            </w:r>
          </w:p>
        </w:tc>
        <w:tc>
          <w:tcPr>
            <w:tcW w:w="6973" w:type="dxa"/>
            <w:tcBorders>
              <w:top w:val="single" w:color="auto" w:sz="12" w:space="0"/>
            </w:tcBorders>
            <w:vAlign w:val="center"/>
          </w:tcPr>
          <w:p w14:paraId="23D8802E">
            <w:pPr>
              <w:keepNext w:val="0"/>
              <w:keepLines w:val="0"/>
              <w:pageBreakBefore w:val="0"/>
              <w:widowControl/>
              <w:kinsoku/>
              <w:wordWrap/>
              <w:overflowPunct/>
              <w:topLinePunct w:val="0"/>
              <w:bidi w:val="0"/>
              <w:adjustRightInd w:val="0"/>
              <w:snapToGrid/>
              <w:spacing w:line="360" w:lineRule="auto"/>
              <w:ind w:firstLine="584"/>
              <w:jc w:val="center"/>
              <w:textAlignment w:val="auto"/>
              <w:outlineLvl w:val="9"/>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val="en-US" w:eastAsia="zh-CN"/>
              </w:rPr>
              <w:t>编列内容</w:t>
            </w:r>
          </w:p>
        </w:tc>
      </w:tr>
      <w:tr w14:paraId="71D29E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93" w:type="dxa"/>
            <w:vAlign w:val="center"/>
          </w:tcPr>
          <w:p w14:paraId="5BE40F82">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w:t>
            </w:r>
          </w:p>
        </w:tc>
        <w:tc>
          <w:tcPr>
            <w:tcW w:w="1701" w:type="dxa"/>
            <w:vAlign w:val="center"/>
          </w:tcPr>
          <w:p w14:paraId="29EFC521">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项目名称</w:t>
            </w:r>
          </w:p>
        </w:tc>
        <w:tc>
          <w:tcPr>
            <w:tcW w:w="6973" w:type="dxa"/>
            <w:vAlign w:val="center"/>
          </w:tcPr>
          <w:p w14:paraId="20DA02EB">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河南黄河湿地国家级自然保护区三门峡事务中心《河南黄河湿地国家级自然保护区总体规划（2026-2035年）》编制项目</w:t>
            </w:r>
          </w:p>
        </w:tc>
      </w:tr>
      <w:tr w14:paraId="1BD67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jc w:val="center"/>
        </w:trPr>
        <w:tc>
          <w:tcPr>
            <w:tcW w:w="993" w:type="dxa"/>
            <w:vAlign w:val="center"/>
          </w:tcPr>
          <w:p w14:paraId="24442255">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w:t>
            </w:r>
          </w:p>
        </w:tc>
        <w:tc>
          <w:tcPr>
            <w:tcW w:w="1701" w:type="dxa"/>
            <w:vAlign w:val="center"/>
          </w:tcPr>
          <w:p w14:paraId="5E4218B7">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tc>
        <w:tc>
          <w:tcPr>
            <w:tcW w:w="6973" w:type="dxa"/>
            <w:vAlign w:val="center"/>
          </w:tcPr>
          <w:p w14:paraId="7D11C42C">
            <w:pPr>
              <w:keepNext w:val="0"/>
              <w:keepLines w:val="0"/>
              <w:pageBreakBefore w:val="0"/>
              <w:kinsoku/>
              <w:wordWrap/>
              <w:overflowPunct/>
              <w:topLinePunct w:val="0"/>
              <w:bidi w:val="0"/>
              <w:snapToGrid/>
              <w:spacing w:line="360" w:lineRule="auto"/>
              <w:textAlignment w:val="auto"/>
              <w:outlineLvl w:val="9"/>
              <w:rPr>
                <w:rFonts w:hint="default" w:ascii="宋体" w:hAnsi="宋体" w:eastAsia="宋体" w:cs="宋体"/>
                <w:color w:val="auto"/>
                <w:sz w:val="24"/>
                <w:szCs w:val="24"/>
                <w:highlight w:val="yellow"/>
                <w:lang w:val="en-US" w:eastAsia="zh-CN"/>
              </w:rPr>
            </w:pPr>
            <w:r>
              <w:rPr>
                <w:rFonts w:hint="default" w:ascii="宋体" w:hAnsi="宋体" w:eastAsia="宋体" w:cs="宋体"/>
                <w:color w:val="auto"/>
                <w:sz w:val="24"/>
                <w:szCs w:val="24"/>
                <w:highlight w:val="none"/>
                <w:lang w:val="en-US" w:eastAsia="zh-CN"/>
              </w:rPr>
              <w:t>三财竞磋采购-2025-77</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SGZ[2025]507-ZC332</w:t>
            </w:r>
          </w:p>
        </w:tc>
      </w:tr>
      <w:tr w14:paraId="4A09A7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93" w:type="dxa"/>
            <w:vMerge w:val="restart"/>
            <w:vAlign w:val="center"/>
          </w:tcPr>
          <w:p w14:paraId="788740A7">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3</w:t>
            </w:r>
          </w:p>
        </w:tc>
        <w:tc>
          <w:tcPr>
            <w:tcW w:w="1701" w:type="dxa"/>
            <w:vMerge w:val="restart"/>
            <w:vAlign w:val="center"/>
          </w:tcPr>
          <w:p w14:paraId="23C42C13">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监督单位及采购人</w:t>
            </w:r>
          </w:p>
        </w:tc>
        <w:tc>
          <w:tcPr>
            <w:tcW w:w="6973" w:type="dxa"/>
            <w:tcBorders>
              <w:bottom w:val="single" w:color="auto" w:sz="4" w:space="0"/>
            </w:tcBorders>
            <w:vAlign w:val="center"/>
          </w:tcPr>
          <w:p w14:paraId="30D7117D">
            <w:pPr>
              <w:pStyle w:val="16"/>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监督单位：三门峡市财政局政府采购监督管理科</w:t>
            </w:r>
          </w:p>
          <w:p w14:paraId="0B5015FB">
            <w:pPr>
              <w:pStyle w:val="16"/>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联系电话：0398-2608915</w:t>
            </w:r>
          </w:p>
          <w:p w14:paraId="4B7BD1CC">
            <w:pPr>
              <w:pStyle w:val="16"/>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监督单位：三门峡市林业局</w:t>
            </w:r>
          </w:p>
          <w:p w14:paraId="2492611A">
            <w:pPr>
              <w:pStyle w:val="16"/>
              <w:spacing w:line="360" w:lineRule="auto"/>
              <w:ind w:left="0" w:leftChars="0" w:firstLine="0" w:firstLineChars="0"/>
              <w:rPr>
                <w:rFonts w:hint="eastAsia"/>
              </w:rPr>
            </w:pPr>
            <w:r>
              <w:rPr>
                <w:rFonts w:hint="eastAsia" w:ascii="宋体" w:hAnsi="宋体" w:eastAsia="宋体" w:cs="宋体"/>
                <w:sz w:val="24"/>
                <w:szCs w:val="24"/>
                <w:lang w:val="en-US" w:eastAsia="zh-CN"/>
              </w:rPr>
              <w:t>联系电话：0398-2826262</w:t>
            </w:r>
          </w:p>
        </w:tc>
      </w:tr>
      <w:tr w14:paraId="4D4336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71" w:hRule="atLeast"/>
          <w:jc w:val="center"/>
        </w:trPr>
        <w:tc>
          <w:tcPr>
            <w:tcW w:w="993" w:type="dxa"/>
            <w:vMerge w:val="continue"/>
            <w:vAlign w:val="center"/>
          </w:tcPr>
          <w:p w14:paraId="608748A6">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p>
        </w:tc>
        <w:tc>
          <w:tcPr>
            <w:tcW w:w="1701" w:type="dxa"/>
            <w:vMerge w:val="continue"/>
            <w:vAlign w:val="center"/>
          </w:tcPr>
          <w:p w14:paraId="0BB6A561">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z w:val="24"/>
                <w:szCs w:val="24"/>
              </w:rPr>
            </w:pPr>
          </w:p>
        </w:tc>
        <w:tc>
          <w:tcPr>
            <w:tcW w:w="6973" w:type="dxa"/>
            <w:tcBorders>
              <w:top w:val="single" w:color="auto" w:sz="4" w:space="0"/>
            </w:tcBorders>
            <w:vAlign w:val="center"/>
          </w:tcPr>
          <w:p w14:paraId="0DED882A">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采购人：河南黄河湿地国家级自然保护区三门峡事务中心</w:t>
            </w:r>
          </w:p>
          <w:p w14:paraId="316BA00C">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地址：三门峡六峰南路548号</w:t>
            </w:r>
          </w:p>
          <w:p w14:paraId="30409783">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r>
              <w:rPr>
                <w:rFonts w:hint="eastAsia" w:ascii="宋体" w:hAnsi="宋体" w:cs="宋体"/>
                <w:sz w:val="24"/>
                <w:szCs w:val="24"/>
                <w:lang w:val="en-US" w:eastAsia="zh-CN"/>
              </w:rPr>
              <w:t>董先生</w:t>
            </w:r>
          </w:p>
          <w:p w14:paraId="618AA2F4">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联系方式：0398-2826585</w:t>
            </w:r>
          </w:p>
        </w:tc>
      </w:tr>
      <w:tr w14:paraId="3179B1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71" w:hRule="atLeast"/>
          <w:jc w:val="center"/>
        </w:trPr>
        <w:tc>
          <w:tcPr>
            <w:tcW w:w="993" w:type="dxa"/>
            <w:vAlign w:val="center"/>
          </w:tcPr>
          <w:p w14:paraId="72D7076C">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4</w:t>
            </w:r>
          </w:p>
        </w:tc>
        <w:tc>
          <w:tcPr>
            <w:tcW w:w="1701" w:type="dxa"/>
            <w:vAlign w:val="center"/>
          </w:tcPr>
          <w:p w14:paraId="0F2C2478">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代理机构</w:t>
            </w:r>
          </w:p>
        </w:tc>
        <w:tc>
          <w:tcPr>
            <w:tcW w:w="6973" w:type="dxa"/>
            <w:tcBorders>
              <w:top w:val="single" w:color="auto" w:sz="4" w:space="0"/>
            </w:tcBorders>
            <w:vAlign w:val="center"/>
          </w:tcPr>
          <w:p w14:paraId="1FAEA4E0">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代理机构：河南鸿儒工程管理有限公司</w:t>
            </w:r>
          </w:p>
          <w:p w14:paraId="7F4FEC38">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地址：河南省郑州市中原区桐柏路街道望湖花园14号楼904</w:t>
            </w:r>
          </w:p>
          <w:p w14:paraId="5BCA63A0">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联系人：张女士</w:t>
            </w:r>
          </w:p>
          <w:p w14:paraId="34DA64CE">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联系方式：18530360709</w:t>
            </w:r>
          </w:p>
        </w:tc>
      </w:tr>
      <w:tr w14:paraId="7AB84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atLeast"/>
          <w:jc w:val="center"/>
        </w:trPr>
        <w:tc>
          <w:tcPr>
            <w:tcW w:w="993" w:type="dxa"/>
            <w:vAlign w:val="center"/>
          </w:tcPr>
          <w:p w14:paraId="4976E972">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val="en-US" w:eastAsia="zh-CN"/>
              </w:rPr>
              <w:t>5</w:t>
            </w:r>
          </w:p>
        </w:tc>
        <w:tc>
          <w:tcPr>
            <w:tcW w:w="1701" w:type="dxa"/>
            <w:vAlign w:val="center"/>
          </w:tcPr>
          <w:p w14:paraId="5AAB1023">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内容</w:t>
            </w:r>
          </w:p>
        </w:tc>
        <w:tc>
          <w:tcPr>
            <w:tcW w:w="6973" w:type="dxa"/>
            <w:vAlign w:val="center"/>
          </w:tcPr>
          <w:p w14:paraId="3629A6A0">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根据工作需要，需编制《河南黄河湿地国家级自然保护区总体规划（2026-2035年）》，黄河湿地保护区总体规划编制包括三门峡市、洛阳市、焦作市、济源市等四个地市内容，并通过国家林业和草原局审批</w:t>
            </w:r>
          </w:p>
        </w:tc>
      </w:tr>
      <w:tr w14:paraId="6BF78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993" w:type="dxa"/>
            <w:vAlign w:val="center"/>
          </w:tcPr>
          <w:p w14:paraId="186B4B41">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val="en-US" w:eastAsia="zh-CN"/>
              </w:rPr>
              <w:t>6</w:t>
            </w:r>
          </w:p>
        </w:tc>
        <w:tc>
          <w:tcPr>
            <w:tcW w:w="1701" w:type="dxa"/>
            <w:vAlign w:val="center"/>
          </w:tcPr>
          <w:p w14:paraId="7610195C">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rPr>
              <w:t>服务期</w:t>
            </w:r>
            <w:r>
              <w:rPr>
                <w:rFonts w:hint="eastAsia" w:ascii="宋体" w:hAnsi="宋体" w:eastAsia="宋体" w:cs="宋体"/>
                <w:color w:val="auto"/>
                <w:sz w:val="24"/>
                <w:szCs w:val="24"/>
                <w:highlight w:val="none"/>
                <w:lang w:val="en-US" w:eastAsia="zh-CN"/>
              </w:rPr>
              <w:t>限</w:t>
            </w:r>
          </w:p>
        </w:tc>
        <w:tc>
          <w:tcPr>
            <w:tcW w:w="6973" w:type="dxa"/>
            <w:vAlign w:val="center"/>
          </w:tcPr>
          <w:p w14:paraId="1973A0FC">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lang w:val="en-US" w:eastAsia="zh-CN"/>
              </w:rPr>
              <w:t>2026年6月底完成</w:t>
            </w:r>
          </w:p>
        </w:tc>
      </w:tr>
      <w:tr w14:paraId="25F138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993" w:type="dxa"/>
            <w:vAlign w:val="center"/>
          </w:tcPr>
          <w:p w14:paraId="3DA1FFF9">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7</w:t>
            </w:r>
          </w:p>
        </w:tc>
        <w:tc>
          <w:tcPr>
            <w:tcW w:w="1701" w:type="dxa"/>
            <w:vAlign w:val="center"/>
          </w:tcPr>
          <w:p w14:paraId="428C4945">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服务地点</w:t>
            </w:r>
          </w:p>
        </w:tc>
        <w:tc>
          <w:tcPr>
            <w:tcW w:w="6973" w:type="dxa"/>
            <w:vAlign w:val="center"/>
          </w:tcPr>
          <w:p w14:paraId="413C344E">
            <w:pPr>
              <w:keepNext w:val="0"/>
              <w:keepLines w:val="0"/>
              <w:pageBreakBefore w:val="0"/>
              <w:kinsoku/>
              <w:wordWrap/>
              <w:overflowPunct/>
              <w:topLinePunct w:val="0"/>
              <w:bidi w:val="0"/>
              <w:snapToGrid/>
              <w:spacing w:line="360" w:lineRule="auto"/>
              <w:textAlignment w:val="auto"/>
              <w:outlineLvl w:val="9"/>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采购人指定地点</w:t>
            </w:r>
          </w:p>
        </w:tc>
      </w:tr>
      <w:tr w14:paraId="4A288D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93" w:type="dxa"/>
            <w:vAlign w:val="center"/>
          </w:tcPr>
          <w:p w14:paraId="552E07FC">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val="en-US" w:eastAsia="zh-CN"/>
              </w:rPr>
              <w:t>8</w:t>
            </w:r>
          </w:p>
        </w:tc>
        <w:tc>
          <w:tcPr>
            <w:tcW w:w="1701" w:type="dxa"/>
            <w:vAlign w:val="center"/>
          </w:tcPr>
          <w:p w14:paraId="36B31B74">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质量要求</w:t>
            </w:r>
          </w:p>
        </w:tc>
        <w:tc>
          <w:tcPr>
            <w:tcW w:w="6973" w:type="dxa"/>
            <w:vAlign w:val="center"/>
          </w:tcPr>
          <w:p w14:paraId="0505A276">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符合国家、行业及地方现行相关法律法规、规范及技术标准，满足采购人要求</w:t>
            </w:r>
          </w:p>
        </w:tc>
      </w:tr>
      <w:tr w14:paraId="66DD6C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993" w:type="dxa"/>
            <w:vAlign w:val="center"/>
          </w:tcPr>
          <w:p w14:paraId="6E875F18">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val="en-US" w:eastAsia="zh-CN"/>
              </w:rPr>
              <w:t>9</w:t>
            </w:r>
          </w:p>
        </w:tc>
        <w:tc>
          <w:tcPr>
            <w:tcW w:w="1701" w:type="dxa"/>
            <w:vAlign w:val="center"/>
          </w:tcPr>
          <w:p w14:paraId="66285DAC">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资金来源</w:t>
            </w:r>
          </w:p>
        </w:tc>
        <w:tc>
          <w:tcPr>
            <w:tcW w:w="6973" w:type="dxa"/>
            <w:vAlign w:val="center"/>
          </w:tcPr>
          <w:p w14:paraId="020C00AA">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财政资金，已落实</w:t>
            </w:r>
          </w:p>
        </w:tc>
      </w:tr>
      <w:tr w14:paraId="45FF26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993" w:type="dxa"/>
            <w:vAlign w:val="center"/>
          </w:tcPr>
          <w:p w14:paraId="660CAC4A">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10</w:t>
            </w:r>
          </w:p>
        </w:tc>
        <w:tc>
          <w:tcPr>
            <w:tcW w:w="1701" w:type="dxa"/>
            <w:vAlign w:val="center"/>
          </w:tcPr>
          <w:p w14:paraId="539BC466">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40"/>
                <w:sz w:val="24"/>
                <w:szCs w:val="24"/>
                <w:highlight w:val="yellow"/>
              </w:rPr>
            </w:pPr>
            <w:r>
              <w:rPr>
                <w:rFonts w:hint="eastAsia" w:ascii="宋体" w:hAnsi="宋体" w:eastAsia="宋体" w:cs="宋体"/>
                <w:color w:val="auto"/>
                <w:spacing w:val="6"/>
                <w:sz w:val="24"/>
                <w:szCs w:val="24"/>
              </w:rPr>
              <w:t>磋商供应商资格要求</w:t>
            </w:r>
          </w:p>
        </w:tc>
        <w:tc>
          <w:tcPr>
            <w:tcW w:w="6973" w:type="dxa"/>
            <w:vAlign w:val="center"/>
          </w:tcPr>
          <w:p w14:paraId="695EF2C3">
            <w:pPr>
              <w:keepNext w:val="0"/>
              <w:keepLines w:val="0"/>
              <w:pageBreakBefore w:val="0"/>
              <w:kinsoku/>
              <w:wordWrap/>
              <w:overflowPunct/>
              <w:topLinePunct w:val="0"/>
              <w:bidi w:val="0"/>
              <w:snapToGrid/>
              <w:spacing w:line="360" w:lineRule="auto"/>
              <w:textAlignment w:val="auto"/>
              <w:outlineLvl w:val="9"/>
              <w:rPr>
                <w:rFonts w:hint="default" w:ascii="宋体" w:hAnsi="宋体" w:eastAsia="宋体" w:cs="宋体"/>
                <w:b/>
                <w:color w:val="auto"/>
                <w:sz w:val="24"/>
                <w:szCs w:val="24"/>
                <w:lang w:val="en-US" w:eastAsia="zh-CN"/>
              </w:rPr>
            </w:pPr>
            <w:r>
              <w:rPr>
                <w:rFonts w:hint="eastAsia" w:ascii="宋体" w:hAnsi="宋体" w:eastAsia="宋体" w:cs="宋体"/>
                <w:color w:val="auto"/>
                <w:sz w:val="24"/>
                <w:szCs w:val="24"/>
                <w:lang w:val="en-US" w:eastAsia="zh-CN"/>
              </w:rPr>
              <w:t>详见第一章竞争性磋商公告部分</w:t>
            </w:r>
          </w:p>
        </w:tc>
      </w:tr>
      <w:tr w14:paraId="672E0D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5C43312E">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11</w:t>
            </w:r>
          </w:p>
        </w:tc>
        <w:tc>
          <w:tcPr>
            <w:tcW w:w="1701" w:type="dxa"/>
            <w:vAlign w:val="center"/>
          </w:tcPr>
          <w:p w14:paraId="235B6A7E">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6"/>
                <w:sz w:val="24"/>
                <w:szCs w:val="24"/>
              </w:rPr>
              <w:t>竞争性磋商有效</w:t>
            </w:r>
            <w:r>
              <w:rPr>
                <w:rFonts w:hint="eastAsia" w:ascii="宋体" w:hAnsi="宋体" w:eastAsia="宋体" w:cs="宋体"/>
                <w:color w:val="auto"/>
                <w:sz w:val="24"/>
                <w:szCs w:val="24"/>
              </w:rPr>
              <w:t>期</w:t>
            </w:r>
          </w:p>
        </w:tc>
        <w:tc>
          <w:tcPr>
            <w:tcW w:w="6973" w:type="dxa"/>
            <w:vAlign w:val="center"/>
          </w:tcPr>
          <w:p w14:paraId="365CBF90">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lang w:val="en-US" w:eastAsia="zh-CN"/>
              </w:rPr>
              <w:t>磋商</w:t>
            </w:r>
            <w:r>
              <w:rPr>
                <w:rFonts w:hint="eastAsia" w:ascii="宋体" w:hAnsi="宋体" w:eastAsia="宋体" w:cs="宋体"/>
                <w:color w:val="auto"/>
                <w:spacing w:val="6"/>
                <w:sz w:val="24"/>
                <w:szCs w:val="24"/>
              </w:rPr>
              <w:t>截止之日起60日历天</w:t>
            </w:r>
          </w:p>
        </w:tc>
      </w:tr>
      <w:tr w14:paraId="7D153E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672EB23F">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12</w:t>
            </w:r>
          </w:p>
        </w:tc>
        <w:tc>
          <w:tcPr>
            <w:tcW w:w="1701" w:type="dxa"/>
            <w:vAlign w:val="center"/>
          </w:tcPr>
          <w:p w14:paraId="7FDD5C02">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磋商保证金</w:t>
            </w:r>
          </w:p>
        </w:tc>
        <w:tc>
          <w:tcPr>
            <w:tcW w:w="6973" w:type="dxa"/>
            <w:vAlign w:val="center"/>
          </w:tcPr>
          <w:p w14:paraId="41052165">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按《河南省财政厅关于优化政府采购营商环境有关问题的通知》（豫财购[2019]4号文）的要求本项目不再收取磋商保证金</w:t>
            </w:r>
          </w:p>
        </w:tc>
      </w:tr>
      <w:tr w14:paraId="19814D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19EE9F0E">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13</w:t>
            </w:r>
          </w:p>
        </w:tc>
        <w:tc>
          <w:tcPr>
            <w:tcW w:w="1701" w:type="dxa"/>
            <w:shd w:val="clear" w:color="auto" w:fill="auto"/>
            <w:vAlign w:val="center"/>
          </w:tcPr>
          <w:p w14:paraId="5BBF3785">
            <w:pPr>
              <w:widowControl w:val="0"/>
              <w:adjustRightInd w:val="0"/>
              <w:spacing w:line="360" w:lineRule="auto"/>
              <w:jc w:val="center"/>
              <w:rPr>
                <w:rFonts w:hint="default" w:ascii="宋体" w:hAnsi="宋体" w:cs="宋体" w:eastAsiaTheme="minorEastAsia"/>
                <w:kern w:val="2"/>
                <w:sz w:val="24"/>
                <w:szCs w:val="24"/>
                <w:lang w:val="en-US" w:eastAsia="zh-CN" w:bidi="ar-SA"/>
              </w:rPr>
            </w:pPr>
            <w:r>
              <w:rPr>
                <w:rFonts w:hint="eastAsia" w:ascii="宋体" w:hAnsi="宋体" w:cs="宋体"/>
                <w:kern w:val="2"/>
                <w:sz w:val="24"/>
                <w:szCs w:val="24"/>
                <w:lang w:val="en-US" w:eastAsia="zh-CN"/>
              </w:rPr>
              <w:t>磋商预备会</w:t>
            </w:r>
          </w:p>
        </w:tc>
        <w:tc>
          <w:tcPr>
            <w:tcW w:w="6973" w:type="dxa"/>
            <w:shd w:val="clear" w:color="auto" w:fill="auto"/>
            <w:vAlign w:val="center"/>
          </w:tcPr>
          <w:p w14:paraId="08A0B5A0">
            <w:pPr>
              <w:widowControl w:val="0"/>
              <w:adjustRightInd w:val="0"/>
              <w:spacing w:line="360" w:lineRule="auto"/>
              <w:rPr>
                <w:rFonts w:hint="default" w:ascii="宋体" w:hAnsi="宋体" w:cs="宋体" w:eastAsiaTheme="minorEastAsia"/>
                <w:kern w:val="2"/>
                <w:sz w:val="24"/>
                <w:szCs w:val="24"/>
                <w:lang w:val="en-US" w:eastAsia="zh-CN" w:bidi="ar-SA"/>
              </w:rPr>
            </w:pPr>
            <w:r>
              <w:rPr>
                <w:rFonts w:hint="eastAsia" w:ascii="宋体" w:hAnsi="宋体" w:cs="宋体"/>
                <w:kern w:val="2"/>
                <w:sz w:val="24"/>
                <w:szCs w:val="24"/>
                <w:lang w:val="en-US" w:eastAsia="zh-CN"/>
              </w:rPr>
              <w:t>不召开</w:t>
            </w:r>
          </w:p>
        </w:tc>
      </w:tr>
      <w:tr w14:paraId="33DB3C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67FCBDF1">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14</w:t>
            </w:r>
          </w:p>
        </w:tc>
        <w:tc>
          <w:tcPr>
            <w:tcW w:w="1701" w:type="dxa"/>
            <w:vAlign w:val="center"/>
          </w:tcPr>
          <w:p w14:paraId="37E5B5F4">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供应商提出问题的截止时间</w:t>
            </w:r>
          </w:p>
        </w:tc>
        <w:tc>
          <w:tcPr>
            <w:tcW w:w="6973" w:type="dxa"/>
            <w:vAlign w:val="center"/>
          </w:tcPr>
          <w:p w14:paraId="25C97B45">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响应性文件递交截止时间5天前</w:t>
            </w:r>
          </w:p>
        </w:tc>
      </w:tr>
      <w:tr w14:paraId="49560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5DD7BEC4">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15</w:t>
            </w:r>
          </w:p>
        </w:tc>
        <w:tc>
          <w:tcPr>
            <w:tcW w:w="1701" w:type="dxa"/>
            <w:vAlign w:val="center"/>
          </w:tcPr>
          <w:p w14:paraId="7DDCA559">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采购人书面澄清的时间</w:t>
            </w:r>
          </w:p>
        </w:tc>
        <w:tc>
          <w:tcPr>
            <w:tcW w:w="6973" w:type="dxa"/>
            <w:vAlign w:val="center"/>
          </w:tcPr>
          <w:p w14:paraId="50CFD88B">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响应性文件递交截止时间5天前</w:t>
            </w:r>
          </w:p>
        </w:tc>
      </w:tr>
      <w:tr w14:paraId="5BFC0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11B18271">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16</w:t>
            </w:r>
          </w:p>
        </w:tc>
        <w:tc>
          <w:tcPr>
            <w:tcW w:w="1701" w:type="dxa"/>
            <w:vAlign w:val="center"/>
          </w:tcPr>
          <w:p w14:paraId="436355FF">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供应商确认收到磋商文件的澄清时间</w:t>
            </w:r>
          </w:p>
        </w:tc>
        <w:tc>
          <w:tcPr>
            <w:tcW w:w="6973" w:type="dxa"/>
            <w:vAlign w:val="center"/>
          </w:tcPr>
          <w:p w14:paraId="5C30B7A3">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收到澄清后24小时内（以发出时间为准）</w:t>
            </w:r>
          </w:p>
        </w:tc>
      </w:tr>
      <w:tr w14:paraId="27AAC6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38612D23">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17</w:t>
            </w:r>
          </w:p>
        </w:tc>
        <w:tc>
          <w:tcPr>
            <w:tcW w:w="1701" w:type="dxa"/>
            <w:vAlign w:val="center"/>
          </w:tcPr>
          <w:p w14:paraId="14673A6A">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供应商确认收到磋商文件的修改时间</w:t>
            </w:r>
          </w:p>
        </w:tc>
        <w:tc>
          <w:tcPr>
            <w:tcW w:w="6973" w:type="dxa"/>
            <w:vAlign w:val="center"/>
          </w:tcPr>
          <w:p w14:paraId="73542695">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收到澄清后24小时内（以发出时间为准）</w:t>
            </w:r>
          </w:p>
        </w:tc>
      </w:tr>
      <w:tr w14:paraId="1085DF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8" w:hRule="atLeast"/>
          <w:jc w:val="center"/>
        </w:trPr>
        <w:tc>
          <w:tcPr>
            <w:tcW w:w="993" w:type="dxa"/>
            <w:vAlign w:val="center"/>
          </w:tcPr>
          <w:p w14:paraId="4C9632C3">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18</w:t>
            </w:r>
          </w:p>
        </w:tc>
        <w:tc>
          <w:tcPr>
            <w:tcW w:w="1701" w:type="dxa"/>
            <w:shd w:val="clear" w:color="auto" w:fill="auto"/>
            <w:vAlign w:val="center"/>
          </w:tcPr>
          <w:p w14:paraId="1463EC0D">
            <w:pPr>
              <w:widowControl w:val="0"/>
              <w:adjustRightInd w:val="0"/>
              <w:spacing w:line="360" w:lineRule="auto"/>
              <w:jc w:val="center"/>
              <w:rPr>
                <w:rFonts w:hint="eastAsia" w:ascii="宋体" w:hAnsi="宋体" w:cs="宋体" w:eastAsiaTheme="minorEastAsia"/>
                <w:spacing w:val="6"/>
                <w:kern w:val="2"/>
                <w:sz w:val="24"/>
                <w:szCs w:val="24"/>
                <w:lang w:val="en-US" w:eastAsia="zh-CN" w:bidi="ar-SA"/>
              </w:rPr>
            </w:pPr>
            <w:r>
              <w:rPr>
                <w:rFonts w:hint="eastAsia" w:ascii="宋体" w:hAnsi="宋体" w:cs="宋体"/>
                <w:spacing w:val="6"/>
                <w:kern w:val="2"/>
                <w:sz w:val="24"/>
                <w:szCs w:val="24"/>
              </w:rPr>
              <w:t>分包</w:t>
            </w:r>
          </w:p>
        </w:tc>
        <w:tc>
          <w:tcPr>
            <w:tcW w:w="6973" w:type="dxa"/>
            <w:shd w:val="clear" w:color="auto" w:fill="auto"/>
            <w:vAlign w:val="center"/>
          </w:tcPr>
          <w:p w14:paraId="45A7902D">
            <w:pPr>
              <w:widowControl w:val="0"/>
              <w:adjustRightInd w:val="0"/>
              <w:spacing w:line="360" w:lineRule="auto"/>
              <w:jc w:val="left"/>
              <w:rPr>
                <w:rFonts w:hint="eastAsia" w:ascii="宋体" w:hAnsi="宋体" w:cs="宋体" w:eastAsiaTheme="minorEastAsia"/>
                <w:spacing w:val="6"/>
                <w:kern w:val="2"/>
                <w:sz w:val="24"/>
                <w:szCs w:val="24"/>
                <w:lang w:val="en-US" w:eastAsia="zh-CN" w:bidi="ar-SA"/>
              </w:rPr>
            </w:pPr>
            <w:r>
              <w:rPr>
                <w:rFonts w:hint="eastAsia" w:ascii="宋体" w:hAnsi="宋体" w:cs="宋体"/>
                <w:spacing w:val="6"/>
                <w:kern w:val="2"/>
                <w:sz w:val="24"/>
                <w:szCs w:val="24"/>
              </w:rPr>
              <w:t>不允许（转包、分包均不允许）</w:t>
            </w:r>
          </w:p>
        </w:tc>
      </w:tr>
      <w:tr w14:paraId="5A2EB2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3" w:hRule="atLeast"/>
          <w:jc w:val="center"/>
        </w:trPr>
        <w:tc>
          <w:tcPr>
            <w:tcW w:w="993" w:type="dxa"/>
            <w:vAlign w:val="center"/>
          </w:tcPr>
          <w:p w14:paraId="414AAAB5">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pacing w:val="6"/>
                <w:sz w:val="24"/>
                <w:szCs w:val="24"/>
                <w:lang w:val="en-US" w:eastAsia="zh-CN"/>
              </w:rPr>
              <w:t>19</w:t>
            </w:r>
          </w:p>
        </w:tc>
        <w:tc>
          <w:tcPr>
            <w:tcW w:w="1701" w:type="dxa"/>
            <w:vAlign w:val="center"/>
          </w:tcPr>
          <w:p w14:paraId="38D31E88">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付款方式</w:t>
            </w:r>
          </w:p>
        </w:tc>
        <w:tc>
          <w:tcPr>
            <w:tcW w:w="6973" w:type="dxa"/>
            <w:vAlign w:val="center"/>
          </w:tcPr>
          <w:p w14:paraId="59196408">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成交后</w:t>
            </w:r>
            <w:r>
              <w:rPr>
                <w:rFonts w:hint="eastAsia" w:ascii="宋体" w:hAnsi="宋体" w:eastAsia="宋体" w:cs="宋体"/>
                <w:color w:val="auto"/>
                <w:sz w:val="24"/>
                <w:szCs w:val="24"/>
                <w:lang w:val="en-US" w:eastAsia="zh-CN"/>
              </w:rPr>
              <w:t>双方</w:t>
            </w:r>
            <w:r>
              <w:rPr>
                <w:rFonts w:hint="eastAsia" w:ascii="宋体" w:hAnsi="宋体" w:eastAsia="宋体" w:cs="宋体"/>
                <w:color w:val="auto"/>
                <w:sz w:val="24"/>
                <w:szCs w:val="24"/>
              </w:rPr>
              <w:t>协商确定，但须符合国家、省、市相关规定</w:t>
            </w:r>
          </w:p>
        </w:tc>
      </w:tr>
      <w:tr w14:paraId="1A9A8A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74725E63">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20</w:t>
            </w:r>
          </w:p>
        </w:tc>
        <w:tc>
          <w:tcPr>
            <w:tcW w:w="1701" w:type="dxa"/>
            <w:vAlign w:val="center"/>
          </w:tcPr>
          <w:p w14:paraId="116B467A">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竞争性磋商响应文件份数</w:t>
            </w:r>
          </w:p>
        </w:tc>
        <w:tc>
          <w:tcPr>
            <w:tcW w:w="6973" w:type="dxa"/>
            <w:vAlign w:val="center"/>
          </w:tcPr>
          <w:p w14:paraId="25B478CB">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1、本项目采用全过程电子化磋商，供应商需用 CA 在电子平台上传电子响应文件；</w:t>
            </w:r>
          </w:p>
          <w:p w14:paraId="51A970B3">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2、开标时不再递交纸质响应文件，成交单位领取成交通知书时提交叁份纸质响应文件（一正二副），响应文件应按以下要求装订：胶装（不得采用活页装订），应有目录，并逐页标注连续页码，需加盖公章</w:t>
            </w:r>
          </w:p>
        </w:tc>
      </w:tr>
      <w:tr w14:paraId="4BA9A5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8" w:hRule="atLeast"/>
          <w:jc w:val="center"/>
        </w:trPr>
        <w:tc>
          <w:tcPr>
            <w:tcW w:w="993" w:type="dxa"/>
            <w:vAlign w:val="center"/>
          </w:tcPr>
          <w:p w14:paraId="6656AF9D">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21</w:t>
            </w:r>
          </w:p>
        </w:tc>
        <w:tc>
          <w:tcPr>
            <w:tcW w:w="1701" w:type="dxa"/>
            <w:vAlign w:val="center"/>
          </w:tcPr>
          <w:p w14:paraId="4C101E54">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磋商响应文件递交截止时间</w:t>
            </w:r>
          </w:p>
        </w:tc>
        <w:tc>
          <w:tcPr>
            <w:tcW w:w="6973" w:type="dxa"/>
            <w:vAlign w:val="center"/>
          </w:tcPr>
          <w:p w14:paraId="005F812E">
            <w:pPr>
              <w:keepNext w:val="0"/>
              <w:keepLines w:val="0"/>
              <w:pageBreakBefore w:val="0"/>
              <w:kinsoku/>
              <w:wordWrap/>
              <w:overflowPunct/>
              <w:topLinePunct w:val="0"/>
              <w:bidi w:val="0"/>
              <w:adjustRightInd w:val="0"/>
              <w:snapToGrid/>
              <w:spacing w:line="360" w:lineRule="auto"/>
              <w:textAlignment w:val="auto"/>
              <w:outlineLvl w:val="9"/>
              <w:rPr>
                <w:rFonts w:hint="default"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详见竞争性磋商公告部分</w:t>
            </w:r>
          </w:p>
        </w:tc>
      </w:tr>
      <w:tr w14:paraId="37C20F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993" w:type="dxa"/>
            <w:vAlign w:val="center"/>
          </w:tcPr>
          <w:p w14:paraId="20B3B998">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22</w:t>
            </w:r>
          </w:p>
        </w:tc>
        <w:tc>
          <w:tcPr>
            <w:tcW w:w="1701" w:type="dxa"/>
            <w:vAlign w:val="center"/>
          </w:tcPr>
          <w:p w14:paraId="5E923E7A">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磋商响应文件递交</w:t>
            </w:r>
          </w:p>
        </w:tc>
        <w:tc>
          <w:tcPr>
            <w:tcW w:w="6973" w:type="dxa"/>
            <w:vAlign w:val="center"/>
          </w:tcPr>
          <w:p w14:paraId="78BB13A5">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电子竞争性响应文件的电子版用企业和法人CA数字证书在磋商截止时间前上传至“三门峡市公共资源交易中心网站”</w:t>
            </w:r>
          </w:p>
        </w:tc>
      </w:tr>
      <w:tr w14:paraId="4E35B9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993" w:type="dxa"/>
            <w:vAlign w:val="center"/>
          </w:tcPr>
          <w:p w14:paraId="2F8ECAC3">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23</w:t>
            </w:r>
          </w:p>
        </w:tc>
        <w:tc>
          <w:tcPr>
            <w:tcW w:w="1701" w:type="dxa"/>
            <w:vAlign w:val="center"/>
          </w:tcPr>
          <w:p w14:paraId="747D2AA4">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磋商时间及地点</w:t>
            </w:r>
          </w:p>
        </w:tc>
        <w:tc>
          <w:tcPr>
            <w:tcW w:w="6973" w:type="dxa"/>
            <w:vAlign w:val="center"/>
          </w:tcPr>
          <w:p w14:paraId="67EB899D">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详见竞争性磋商公告部分</w:t>
            </w:r>
          </w:p>
        </w:tc>
      </w:tr>
      <w:tr w14:paraId="232082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993" w:type="dxa"/>
            <w:vAlign w:val="center"/>
          </w:tcPr>
          <w:p w14:paraId="5638FC5F">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24</w:t>
            </w:r>
          </w:p>
        </w:tc>
        <w:tc>
          <w:tcPr>
            <w:tcW w:w="1701" w:type="dxa"/>
            <w:vAlign w:val="center"/>
          </w:tcPr>
          <w:p w14:paraId="4D043678">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磋商小组的组建</w:t>
            </w:r>
          </w:p>
        </w:tc>
        <w:tc>
          <w:tcPr>
            <w:tcW w:w="6973" w:type="dxa"/>
            <w:vAlign w:val="center"/>
          </w:tcPr>
          <w:p w14:paraId="672B6CCA">
            <w:pPr>
              <w:keepNext w:val="0"/>
              <w:keepLines w:val="0"/>
              <w:pageBreakBefore w:val="0"/>
              <w:widowControl/>
              <w:kinsoku/>
              <w:wordWrap/>
              <w:overflowPunct/>
              <w:topLinePunct w:val="0"/>
              <w:bidi w:val="0"/>
              <w:snapToGrid/>
              <w:spacing w:line="360" w:lineRule="auto"/>
              <w:textAlignment w:val="auto"/>
              <w:outlineLvl w:val="9"/>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rPr>
              <w:t>磋商小组构成：由采购人代表及相关专业</w:t>
            </w:r>
            <w:r>
              <w:rPr>
                <w:rFonts w:hint="eastAsia" w:ascii="宋体" w:hAnsi="宋体" w:eastAsia="宋体" w:cs="宋体"/>
                <w:color w:val="auto"/>
                <w:spacing w:val="6"/>
                <w:sz w:val="24"/>
                <w:szCs w:val="24"/>
                <w:lang w:val="en-US" w:eastAsia="zh-CN"/>
              </w:rPr>
              <w:t>经济、技术</w:t>
            </w:r>
            <w:r>
              <w:rPr>
                <w:rFonts w:hint="eastAsia" w:ascii="宋体" w:hAnsi="宋体" w:eastAsia="宋体" w:cs="宋体"/>
                <w:color w:val="auto"/>
                <w:spacing w:val="6"/>
                <w:sz w:val="24"/>
                <w:szCs w:val="24"/>
              </w:rPr>
              <w:t>专家共 3 人组成，其中采购人代表 1 人，相关专业</w:t>
            </w:r>
            <w:r>
              <w:rPr>
                <w:rFonts w:hint="eastAsia" w:ascii="宋体" w:hAnsi="宋体" w:eastAsia="宋体" w:cs="宋体"/>
                <w:color w:val="auto"/>
                <w:spacing w:val="6"/>
                <w:sz w:val="24"/>
                <w:szCs w:val="24"/>
                <w:lang w:val="en-US" w:eastAsia="zh-CN"/>
              </w:rPr>
              <w:t>经济、技术</w:t>
            </w:r>
            <w:r>
              <w:rPr>
                <w:rFonts w:hint="eastAsia" w:ascii="宋体" w:hAnsi="宋体" w:eastAsia="宋体" w:cs="宋体"/>
                <w:color w:val="auto"/>
                <w:spacing w:val="6"/>
                <w:sz w:val="24"/>
                <w:szCs w:val="24"/>
              </w:rPr>
              <w:t>专家 2 人</w:t>
            </w:r>
            <w:r>
              <w:rPr>
                <w:rFonts w:hint="eastAsia" w:ascii="宋体" w:hAnsi="宋体" w:eastAsia="宋体" w:cs="宋体"/>
                <w:color w:val="auto"/>
                <w:spacing w:val="6"/>
                <w:sz w:val="24"/>
                <w:szCs w:val="24"/>
                <w:lang w:eastAsia="zh-CN"/>
              </w:rPr>
              <w:t>，</w:t>
            </w:r>
            <w:r>
              <w:rPr>
                <w:rFonts w:hint="eastAsia" w:ascii="宋体" w:hAnsi="宋体" w:eastAsia="宋体" w:cs="宋体"/>
                <w:color w:val="auto"/>
                <w:spacing w:val="6"/>
                <w:sz w:val="24"/>
                <w:szCs w:val="24"/>
              </w:rPr>
              <w:t>开标后从河南省</w:t>
            </w:r>
            <w:r>
              <w:rPr>
                <w:rFonts w:hint="eastAsia" w:ascii="宋体" w:hAnsi="宋体" w:eastAsia="宋体" w:cs="宋体"/>
                <w:color w:val="auto"/>
                <w:spacing w:val="6"/>
                <w:sz w:val="24"/>
                <w:szCs w:val="24"/>
                <w:lang w:val="en-US" w:eastAsia="zh-CN"/>
              </w:rPr>
              <w:t>政府采购</w:t>
            </w:r>
            <w:r>
              <w:rPr>
                <w:rFonts w:hint="eastAsia" w:ascii="宋体" w:hAnsi="宋体" w:eastAsia="宋体" w:cs="宋体"/>
                <w:color w:val="auto"/>
                <w:spacing w:val="6"/>
                <w:sz w:val="24"/>
                <w:szCs w:val="24"/>
              </w:rPr>
              <w:t>评标专家库中随机抽取</w:t>
            </w:r>
            <w:r>
              <w:rPr>
                <w:rFonts w:hint="eastAsia" w:ascii="宋体" w:hAnsi="宋体" w:eastAsia="宋体" w:cs="宋体"/>
                <w:color w:val="auto"/>
                <w:spacing w:val="6"/>
                <w:sz w:val="24"/>
                <w:szCs w:val="24"/>
                <w:lang w:eastAsia="zh-CN"/>
              </w:rPr>
              <w:t>。（采购人代表无评标</w:t>
            </w:r>
            <w:r>
              <w:rPr>
                <w:rFonts w:hint="eastAsia" w:ascii="宋体" w:hAnsi="宋体" w:eastAsia="宋体" w:cs="宋体"/>
                <w:color w:val="auto"/>
                <w:spacing w:val="6"/>
                <w:sz w:val="24"/>
                <w:szCs w:val="24"/>
                <w:lang w:val="en-US" w:eastAsia="zh-CN"/>
              </w:rPr>
              <w:t>劳务</w:t>
            </w:r>
            <w:r>
              <w:rPr>
                <w:rFonts w:hint="eastAsia" w:ascii="宋体" w:hAnsi="宋体" w:eastAsia="宋体" w:cs="宋体"/>
                <w:color w:val="auto"/>
                <w:spacing w:val="6"/>
                <w:sz w:val="24"/>
                <w:szCs w:val="24"/>
                <w:lang w:eastAsia="zh-CN"/>
              </w:rPr>
              <w:t>费）</w:t>
            </w:r>
          </w:p>
        </w:tc>
      </w:tr>
      <w:tr w14:paraId="6E55E4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993" w:type="dxa"/>
            <w:vAlign w:val="center"/>
          </w:tcPr>
          <w:p w14:paraId="759F7A65">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25</w:t>
            </w:r>
          </w:p>
        </w:tc>
        <w:tc>
          <w:tcPr>
            <w:tcW w:w="1701" w:type="dxa"/>
            <w:vAlign w:val="center"/>
          </w:tcPr>
          <w:p w14:paraId="4239503D">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授权评委小组推荐成交候选人</w:t>
            </w:r>
          </w:p>
        </w:tc>
        <w:tc>
          <w:tcPr>
            <w:tcW w:w="6973" w:type="dxa"/>
            <w:vAlign w:val="center"/>
          </w:tcPr>
          <w:p w14:paraId="483AFD5B">
            <w:pPr>
              <w:keepNext w:val="0"/>
              <w:keepLines w:val="0"/>
              <w:pageBreakBefore w:val="0"/>
              <w:widowControl/>
              <w:kinsoku/>
              <w:wordWrap/>
              <w:overflowPunct/>
              <w:topLinePunct w:val="0"/>
              <w:bidi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是，推荐的成交候选人数：3个</w:t>
            </w:r>
          </w:p>
          <w:p w14:paraId="4DD831EE">
            <w:pPr>
              <w:keepNext w:val="0"/>
              <w:keepLines w:val="0"/>
              <w:pageBreakBefore w:val="0"/>
              <w:widowControl/>
              <w:kinsoku/>
              <w:wordWrap/>
              <w:overflowPunct/>
              <w:topLinePunct w:val="0"/>
              <w:bidi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排名第一的成交候选人若放弃中标、因不可抗力提出不能履行合同，采购人可以确定排名第二的成交候选人为中标人。排名第二的成交候选人因前款原因不能签订合同的，采购人可以确定排名第三的成交候选人为中标人。</w:t>
            </w:r>
          </w:p>
        </w:tc>
      </w:tr>
      <w:tr w14:paraId="3DC509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93" w:type="dxa"/>
            <w:vAlign w:val="center"/>
          </w:tcPr>
          <w:p w14:paraId="00E162C0">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26</w:t>
            </w:r>
          </w:p>
        </w:tc>
        <w:tc>
          <w:tcPr>
            <w:tcW w:w="1701" w:type="dxa"/>
            <w:vAlign w:val="center"/>
          </w:tcPr>
          <w:p w14:paraId="144090D8">
            <w:pPr>
              <w:keepNext w:val="0"/>
              <w:keepLines w:val="0"/>
              <w:pageBreakBefore w:val="0"/>
              <w:widowControl/>
              <w:kinsoku/>
              <w:wordWrap/>
              <w:overflowPunct/>
              <w:topLinePunct w:val="0"/>
              <w:bidi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磋商标准及方法</w:t>
            </w:r>
          </w:p>
        </w:tc>
        <w:tc>
          <w:tcPr>
            <w:tcW w:w="6973" w:type="dxa"/>
            <w:vAlign w:val="center"/>
          </w:tcPr>
          <w:p w14:paraId="09EC096E">
            <w:pPr>
              <w:keepNext w:val="0"/>
              <w:keepLines w:val="0"/>
              <w:pageBreakBefore w:val="0"/>
              <w:widowControl/>
              <w:kinsoku/>
              <w:wordWrap/>
              <w:overflowPunct/>
              <w:topLinePunct w:val="0"/>
              <w:bidi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由磋商小组采用综合评分法对提交最后报价的磋商供应商的磋商响应文件和最后报价进行综合评分。综合评分法，是指磋商响应文件满足竞争性磋商文件全部实质性要求且按评审因素的量化指标评审得分最高的供应商为成交候选供应商的磋商方法。</w:t>
            </w:r>
          </w:p>
        </w:tc>
      </w:tr>
      <w:tr w14:paraId="242E06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993" w:type="dxa"/>
            <w:vAlign w:val="center"/>
          </w:tcPr>
          <w:p w14:paraId="5AE499ED">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27</w:t>
            </w:r>
          </w:p>
        </w:tc>
        <w:tc>
          <w:tcPr>
            <w:tcW w:w="1701" w:type="dxa"/>
            <w:vAlign w:val="center"/>
          </w:tcPr>
          <w:p w14:paraId="4B600895">
            <w:pPr>
              <w:keepNext w:val="0"/>
              <w:keepLines w:val="0"/>
              <w:pageBreakBefore w:val="0"/>
              <w:widowControl/>
              <w:kinsoku/>
              <w:wordWrap/>
              <w:overflowPunct/>
              <w:topLinePunct w:val="0"/>
              <w:bidi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履约保证金</w:t>
            </w:r>
          </w:p>
        </w:tc>
        <w:tc>
          <w:tcPr>
            <w:tcW w:w="6973" w:type="dxa"/>
            <w:vAlign w:val="center"/>
          </w:tcPr>
          <w:p w14:paraId="2F3AAF54">
            <w:pPr>
              <w:keepNext w:val="0"/>
              <w:keepLines w:val="0"/>
              <w:pageBreakBefore w:val="0"/>
              <w:widowControl/>
              <w:kinsoku/>
              <w:wordWrap/>
              <w:overflowPunct/>
              <w:topLinePunct w:val="0"/>
              <w:bidi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无</w:t>
            </w:r>
          </w:p>
        </w:tc>
      </w:tr>
      <w:tr w14:paraId="244101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993" w:type="dxa"/>
            <w:vAlign w:val="center"/>
          </w:tcPr>
          <w:p w14:paraId="013EA0FB">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28</w:t>
            </w:r>
          </w:p>
        </w:tc>
        <w:tc>
          <w:tcPr>
            <w:tcW w:w="1701" w:type="dxa"/>
            <w:vAlign w:val="center"/>
          </w:tcPr>
          <w:p w14:paraId="0589280E">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预算价</w:t>
            </w:r>
          </w:p>
        </w:tc>
        <w:tc>
          <w:tcPr>
            <w:tcW w:w="6973" w:type="dxa"/>
            <w:vAlign w:val="center"/>
          </w:tcPr>
          <w:p w14:paraId="08494A00">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本项目预算价：</w:t>
            </w:r>
            <w:r>
              <w:rPr>
                <w:rFonts w:hint="default" w:ascii="Arial" w:hAnsi="Arial" w:eastAsia="宋体" w:cs="Arial"/>
                <w:color w:val="auto"/>
                <w:sz w:val="24"/>
                <w:szCs w:val="24"/>
              </w:rPr>
              <w:t>¥</w:t>
            </w:r>
            <w:r>
              <w:rPr>
                <w:rFonts w:hint="eastAsia" w:ascii="宋体" w:hAnsi="宋体" w:eastAsia="宋体" w:cs="宋体"/>
                <w:color w:val="auto"/>
                <w:sz w:val="24"/>
                <w:szCs w:val="24"/>
                <w:lang w:val="en-US" w:eastAsia="zh-CN"/>
              </w:rPr>
              <w:t>95万</w:t>
            </w:r>
            <w:r>
              <w:rPr>
                <w:rFonts w:hint="eastAsia" w:ascii="宋体" w:hAnsi="宋体" w:eastAsia="宋体" w:cs="宋体"/>
                <w:color w:val="auto"/>
                <w:sz w:val="24"/>
                <w:szCs w:val="24"/>
              </w:rPr>
              <w:t>元</w:t>
            </w:r>
          </w:p>
          <w:p w14:paraId="5135141B">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磋商供应商磋商报价超出“预算价”的，该磋商供应商按无效处理。</w:t>
            </w:r>
          </w:p>
          <w:p w14:paraId="32352555">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注：磋商小组认为</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的报价明显低于其他通过审查</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的磋商报价，有可能影响质量或不能诚信履约的，应当要求其在磋商现场规定的合理时间内提供书面说明，或必要的材料；不能证明其报价合理性的，磋商小组将其视为无效</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处理。</w:t>
            </w:r>
          </w:p>
        </w:tc>
      </w:tr>
      <w:tr w14:paraId="49DCED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8" w:hRule="atLeast"/>
          <w:jc w:val="center"/>
        </w:trPr>
        <w:tc>
          <w:tcPr>
            <w:tcW w:w="993" w:type="dxa"/>
            <w:vAlign w:val="center"/>
          </w:tcPr>
          <w:p w14:paraId="0D187439">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29</w:t>
            </w:r>
          </w:p>
        </w:tc>
        <w:tc>
          <w:tcPr>
            <w:tcW w:w="1701" w:type="dxa"/>
            <w:vAlign w:val="center"/>
          </w:tcPr>
          <w:p w14:paraId="25069ED3">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报价</w:t>
            </w:r>
          </w:p>
        </w:tc>
        <w:tc>
          <w:tcPr>
            <w:tcW w:w="6973" w:type="dxa"/>
            <w:vAlign w:val="center"/>
          </w:tcPr>
          <w:p w14:paraId="6AA0A90A">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本次磋商应以人民币报价，分两次进行报价。</w:t>
            </w:r>
            <w:r>
              <w:rPr>
                <w:rFonts w:hint="eastAsia" w:ascii="宋体" w:hAnsi="宋体" w:eastAsia="宋体" w:cs="宋体"/>
                <w:color w:val="auto"/>
                <w:spacing w:val="6"/>
                <w:sz w:val="24"/>
                <w:szCs w:val="24"/>
                <w:lang w:eastAsia="zh-CN"/>
              </w:rPr>
              <w:t>供应商</w:t>
            </w:r>
            <w:r>
              <w:rPr>
                <w:rFonts w:hint="eastAsia" w:ascii="宋体" w:hAnsi="宋体" w:eastAsia="宋体" w:cs="宋体"/>
                <w:color w:val="auto"/>
                <w:spacing w:val="6"/>
                <w:sz w:val="24"/>
                <w:szCs w:val="24"/>
              </w:rPr>
              <w:t>磋商报价不得高于采购人公布的预算价（最高限价），否则其磋商将被否决</w:t>
            </w:r>
          </w:p>
        </w:tc>
      </w:tr>
      <w:tr w14:paraId="25749F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2" w:hRule="atLeast"/>
          <w:jc w:val="center"/>
        </w:trPr>
        <w:tc>
          <w:tcPr>
            <w:tcW w:w="993" w:type="dxa"/>
            <w:vAlign w:val="center"/>
          </w:tcPr>
          <w:p w14:paraId="4445BB3F">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30</w:t>
            </w:r>
          </w:p>
        </w:tc>
        <w:tc>
          <w:tcPr>
            <w:tcW w:w="1701" w:type="dxa"/>
            <w:vAlign w:val="center"/>
          </w:tcPr>
          <w:p w14:paraId="6CE543B7">
            <w:pPr>
              <w:keepNext w:val="0"/>
              <w:keepLines w:val="0"/>
              <w:pageBreakBefore w:val="0"/>
              <w:kinsoku/>
              <w:wordWrap/>
              <w:overflowPunct/>
              <w:topLinePunct w:val="0"/>
              <w:autoSpaceDE w:val="0"/>
              <w:autoSpaceDN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采购标的所属行业</w:t>
            </w:r>
          </w:p>
        </w:tc>
        <w:tc>
          <w:tcPr>
            <w:tcW w:w="6973" w:type="dxa"/>
            <w:vAlign w:val="center"/>
          </w:tcPr>
          <w:p w14:paraId="1A55850A">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highlight w:val="none"/>
              </w:rPr>
              <w:t>其他未列明行业</w:t>
            </w:r>
          </w:p>
        </w:tc>
      </w:tr>
      <w:tr w14:paraId="659572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993" w:type="dxa"/>
            <w:vAlign w:val="center"/>
          </w:tcPr>
          <w:p w14:paraId="16509463">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31</w:t>
            </w:r>
          </w:p>
        </w:tc>
        <w:tc>
          <w:tcPr>
            <w:tcW w:w="1701" w:type="dxa"/>
            <w:shd w:val="clear" w:color="auto" w:fill="auto"/>
            <w:vAlign w:val="center"/>
          </w:tcPr>
          <w:p w14:paraId="2870DC5B">
            <w:pPr>
              <w:widowControl w:val="0"/>
              <w:adjustRightInd w:val="0"/>
              <w:spacing w:line="360" w:lineRule="auto"/>
              <w:jc w:val="center"/>
              <w:rPr>
                <w:rFonts w:hint="eastAsia" w:ascii="宋体" w:hAnsi="宋体" w:cs="宋体" w:eastAsiaTheme="minorEastAsia"/>
                <w:kern w:val="2"/>
                <w:sz w:val="24"/>
                <w:szCs w:val="24"/>
                <w:lang w:val="en-US" w:eastAsia="zh-CN" w:bidi="ar-SA"/>
              </w:rPr>
            </w:pPr>
            <w:r>
              <w:rPr>
                <w:rFonts w:hint="eastAsia" w:ascii="宋体" w:hAnsi="宋体" w:cs="宋体"/>
                <w:kern w:val="2"/>
                <w:sz w:val="24"/>
                <w:szCs w:val="24"/>
                <w:lang w:val="en-US" w:eastAsia="zh-CN"/>
              </w:rPr>
              <w:t>磋商预备会</w:t>
            </w:r>
          </w:p>
        </w:tc>
        <w:tc>
          <w:tcPr>
            <w:tcW w:w="6973" w:type="dxa"/>
            <w:shd w:val="clear" w:color="auto" w:fill="auto"/>
            <w:vAlign w:val="center"/>
          </w:tcPr>
          <w:p w14:paraId="3776E843">
            <w:pPr>
              <w:widowControl w:val="0"/>
              <w:adjustRightInd w:val="0"/>
              <w:spacing w:line="360" w:lineRule="auto"/>
              <w:rPr>
                <w:rFonts w:hint="eastAsia" w:ascii="宋体" w:hAnsi="宋体" w:cs="宋体" w:eastAsiaTheme="minorEastAsia"/>
                <w:kern w:val="2"/>
                <w:sz w:val="24"/>
                <w:szCs w:val="24"/>
                <w:lang w:val="en-US" w:eastAsia="zh-CN" w:bidi="ar-SA"/>
              </w:rPr>
            </w:pPr>
            <w:r>
              <w:rPr>
                <w:rFonts w:hint="eastAsia" w:ascii="宋体" w:hAnsi="宋体" w:cs="宋体"/>
                <w:kern w:val="2"/>
                <w:sz w:val="24"/>
                <w:szCs w:val="24"/>
                <w:lang w:val="en-US" w:eastAsia="zh-CN"/>
              </w:rPr>
              <w:t>不召开</w:t>
            </w:r>
          </w:p>
        </w:tc>
      </w:tr>
      <w:tr w14:paraId="7CBC1C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93" w:type="dxa"/>
            <w:vAlign w:val="center"/>
          </w:tcPr>
          <w:p w14:paraId="0A369560">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32</w:t>
            </w:r>
          </w:p>
        </w:tc>
        <w:tc>
          <w:tcPr>
            <w:tcW w:w="1701" w:type="dxa"/>
            <w:vAlign w:val="center"/>
          </w:tcPr>
          <w:p w14:paraId="053238E0">
            <w:pPr>
              <w:keepNext w:val="0"/>
              <w:keepLines w:val="0"/>
              <w:pageBreakBefore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政府采购代理服务费</w:t>
            </w:r>
          </w:p>
        </w:tc>
        <w:tc>
          <w:tcPr>
            <w:tcW w:w="6973" w:type="dxa"/>
            <w:vAlign w:val="center"/>
          </w:tcPr>
          <w:p w14:paraId="0C807116">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1、采购代理服务费按照河南省招标投标协会关于印发《河南省招标代理服务收费指导意见》的通知【豫招协（2023）002号】文件中招标代理服务收费标准计取</w:t>
            </w:r>
            <w:r>
              <w:rPr>
                <w:rFonts w:hint="eastAsia" w:ascii="宋体" w:hAnsi="宋体" w:cs="宋体"/>
                <w:kern w:val="2"/>
                <w:sz w:val="24"/>
                <w:szCs w:val="24"/>
                <w:lang w:val="en-US" w:eastAsia="zh-CN"/>
              </w:rPr>
              <w:t>(按照100万元以下1.7%)</w:t>
            </w:r>
            <w:r>
              <w:rPr>
                <w:rFonts w:hint="eastAsia" w:ascii="宋体" w:hAnsi="宋体" w:eastAsia="宋体" w:cs="宋体"/>
                <w:color w:val="auto"/>
                <w:spacing w:val="6"/>
                <w:sz w:val="24"/>
                <w:szCs w:val="24"/>
                <w:lang w:val="en-US" w:eastAsia="zh-CN"/>
              </w:rPr>
              <w:t>。</w:t>
            </w:r>
          </w:p>
          <w:p w14:paraId="3133C233">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2、采购代理服务费收费方式：成交人在领取成交通知书时，以现金或转账的方式一次性向代理机构缴纳采购代理服务费。</w:t>
            </w:r>
          </w:p>
        </w:tc>
      </w:tr>
      <w:tr w14:paraId="4F9CC6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1" w:hRule="atLeast"/>
          <w:jc w:val="center"/>
        </w:trPr>
        <w:tc>
          <w:tcPr>
            <w:tcW w:w="993" w:type="dxa"/>
            <w:vAlign w:val="center"/>
          </w:tcPr>
          <w:p w14:paraId="5C4388F1">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33</w:t>
            </w:r>
          </w:p>
        </w:tc>
        <w:tc>
          <w:tcPr>
            <w:tcW w:w="1701" w:type="dxa"/>
            <w:vAlign w:val="center"/>
          </w:tcPr>
          <w:p w14:paraId="6CCAD415">
            <w:pPr>
              <w:keepNext w:val="0"/>
              <w:keepLines w:val="0"/>
              <w:pageBreakBefore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需要补充的其他内容</w:t>
            </w:r>
          </w:p>
        </w:tc>
        <w:tc>
          <w:tcPr>
            <w:tcW w:w="6973" w:type="dxa"/>
            <w:vAlign w:val="center"/>
          </w:tcPr>
          <w:p w14:paraId="7F931DD6">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1.成交人与采购人签订合同后，将合同副本原件一份报采购代理机构备案。</w:t>
            </w:r>
          </w:p>
          <w:p w14:paraId="5DED9557">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2.我单位（采购人）严格按三财购【2021】9号文要求的时限发布中标结果公告，发出中标通知书，签订采购合同，上传采购合同。</w:t>
            </w:r>
          </w:p>
        </w:tc>
      </w:tr>
      <w:tr w14:paraId="49CC3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1" w:hRule="atLeast"/>
          <w:jc w:val="center"/>
        </w:trPr>
        <w:tc>
          <w:tcPr>
            <w:tcW w:w="993" w:type="dxa"/>
            <w:vAlign w:val="center"/>
          </w:tcPr>
          <w:p w14:paraId="0407D584">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34</w:t>
            </w:r>
          </w:p>
        </w:tc>
        <w:tc>
          <w:tcPr>
            <w:tcW w:w="1701" w:type="dxa"/>
            <w:vAlign w:val="center"/>
          </w:tcPr>
          <w:p w14:paraId="7B4B5870">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电子化注意事项</w:t>
            </w:r>
          </w:p>
        </w:tc>
        <w:tc>
          <w:tcPr>
            <w:tcW w:w="6973" w:type="dxa"/>
            <w:vAlign w:val="center"/>
          </w:tcPr>
          <w:p w14:paraId="45AE6392">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具体要求：本项目为电子化、无纸化交易项目，响应文件是供应商通过中心响应文件制作系统制作，并经过签章和加密后生成的电子版响应文件。</w:t>
            </w:r>
          </w:p>
          <w:p w14:paraId="18E68ED6">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电子化响应文件具体制作文件请点击</w:t>
            </w:r>
            <w:r>
              <w:rPr>
                <w:rFonts w:hint="eastAsia" w:ascii="宋体" w:hAnsi="宋体" w:eastAsia="宋体" w:cs="宋体"/>
                <w:color w:val="auto"/>
                <w:spacing w:val="6"/>
                <w:sz w:val="24"/>
                <w:szCs w:val="24"/>
              </w:rPr>
              <w:fldChar w:fldCharType="begin"/>
            </w:r>
            <w:r>
              <w:rPr>
                <w:rFonts w:hint="eastAsia" w:ascii="宋体" w:hAnsi="宋体" w:eastAsia="宋体" w:cs="宋体"/>
                <w:color w:val="auto"/>
                <w:spacing w:val="6"/>
                <w:sz w:val="24"/>
                <w:szCs w:val="24"/>
              </w:rPr>
              <w:instrText xml:space="preserve"> HYPERLINK "http://t.cn/A6ZvtVob" </w:instrText>
            </w:r>
            <w:r>
              <w:rPr>
                <w:rFonts w:hint="eastAsia" w:ascii="宋体" w:hAnsi="宋体" w:eastAsia="宋体" w:cs="宋体"/>
                <w:color w:val="auto"/>
                <w:spacing w:val="6"/>
                <w:sz w:val="24"/>
                <w:szCs w:val="24"/>
              </w:rPr>
              <w:fldChar w:fldCharType="separate"/>
            </w:r>
            <w:r>
              <w:rPr>
                <w:rFonts w:hint="eastAsia" w:ascii="宋体" w:hAnsi="宋体" w:eastAsia="宋体" w:cs="宋体"/>
                <w:color w:val="auto"/>
                <w:spacing w:val="6"/>
                <w:sz w:val="24"/>
                <w:szCs w:val="24"/>
              </w:rPr>
              <w:t>https://download.bqpoint.com/download/downloaddetail.html?SourceFrom=Ztb&amp;ZtbSoftXiaQuCode=1506&amp;ZtbSoftType=tballinclusive</w:t>
            </w:r>
            <w:r>
              <w:rPr>
                <w:rFonts w:hint="eastAsia" w:ascii="宋体" w:hAnsi="宋体" w:eastAsia="宋体" w:cs="宋体"/>
                <w:color w:val="auto"/>
                <w:spacing w:val="6"/>
                <w:sz w:val="24"/>
                <w:szCs w:val="24"/>
              </w:rPr>
              <w:fldChar w:fldCharType="end"/>
            </w:r>
            <w:r>
              <w:rPr>
                <w:rFonts w:hint="eastAsia" w:ascii="宋体" w:hAnsi="宋体" w:eastAsia="宋体" w:cs="宋体"/>
                <w:color w:val="auto"/>
                <w:spacing w:val="6"/>
                <w:sz w:val="24"/>
                <w:szCs w:val="24"/>
              </w:rPr>
              <w:t>进行下载。</w:t>
            </w:r>
          </w:p>
          <w:p w14:paraId="3FE46BF3">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温馨提示：本项目为电子化、无纸化交易项目，为保证您能</w:t>
            </w:r>
            <w:r>
              <w:rPr>
                <w:rFonts w:hint="eastAsia" w:ascii="宋体" w:hAnsi="宋体" w:eastAsia="宋体" w:cs="宋体"/>
                <w:color w:val="auto"/>
                <w:spacing w:val="6"/>
                <w:sz w:val="24"/>
                <w:szCs w:val="24"/>
                <w:lang w:eastAsia="zh-CN"/>
              </w:rPr>
              <w:t>磋商</w:t>
            </w:r>
            <w:r>
              <w:rPr>
                <w:rFonts w:hint="eastAsia" w:ascii="宋体" w:hAnsi="宋体" w:eastAsia="宋体" w:cs="宋体"/>
                <w:color w:val="auto"/>
                <w:spacing w:val="6"/>
                <w:sz w:val="24"/>
                <w:szCs w:val="24"/>
              </w:rPr>
              <w:t>成功，请需仔细阅读以下条款。</w:t>
            </w:r>
          </w:p>
          <w:p w14:paraId="1DF73A72">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rPr>
              <w:t>一、电子化</w:t>
            </w:r>
            <w:r>
              <w:rPr>
                <w:rFonts w:hint="eastAsia" w:ascii="宋体" w:hAnsi="宋体" w:eastAsia="宋体" w:cs="宋体"/>
                <w:color w:val="auto"/>
                <w:spacing w:val="6"/>
                <w:sz w:val="24"/>
                <w:szCs w:val="24"/>
                <w:lang w:eastAsia="zh-CN"/>
              </w:rPr>
              <w:t>磋商</w:t>
            </w:r>
          </w:p>
          <w:p w14:paraId="292B43DE">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（一）网上磋商保证金的缴纳</w:t>
            </w:r>
          </w:p>
          <w:p w14:paraId="70348269">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按照《河南省财政厅关于优化政府采购营商环境有关问题的通知》（豫财购[2019]4号文）的要求本项目不再收取磋商保证金。</w:t>
            </w:r>
          </w:p>
          <w:p w14:paraId="5B3FE34B">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（二）电子化响应文件的签章</w:t>
            </w:r>
          </w:p>
          <w:p w14:paraId="1ACB3260">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1、供应商在生成电子化响应文件后，应对电子化响应文件进行签章，未进行签章的视为无效</w:t>
            </w:r>
            <w:r>
              <w:rPr>
                <w:rFonts w:hint="eastAsia" w:ascii="宋体" w:hAnsi="宋体" w:eastAsia="宋体" w:cs="宋体"/>
                <w:color w:val="auto"/>
                <w:spacing w:val="6"/>
                <w:sz w:val="24"/>
                <w:szCs w:val="24"/>
                <w:lang w:eastAsia="zh-CN"/>
              </w:rPr>
              <w:t>磋商</w:t>
            </w:r>
            <w:r>
              <w:rPr>
                <w:rFonts w:hint="eastAsia" w:ascii="宋体" w:hAnsi="宋体" w:eastAsia="宋体" w:cs="宋体"/>
                <w:color w:val="auto"/>
                <w:spacing w:val="6"/>
                <w:sz w:val="24"/>
                <w:szCs w:val="24"/>
              </w:rPr>
              <w:t>。</w:t>
            </w:r>
          </w:p>
          <w:p w14:paraId="388A3912">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2、供应商在进行电子化响应文件签章时，竞争性磋商文件中要求供应商盖章的，以签盖单位章为准；要求法定代表人或委托代理人签章的，以签盖法定代表人签章为准。</w:t>
            </w:r>
          </w:p>
          <w:p w14:paraId="55E43CBD">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rPr>
              <w:t>（三）电子化响应文件的格式及上传</w:t>
            </w:r>
            <w:r>
              <w:rPr>
                <w:rFonts w:hint="eastAsia" w:ascii="宋体" w:hAnsi="宋体" w:eastAsia="宋体" w:cs="宋体"/>
                <w:color w:val="auto"/>
                <w:spacing w:val="6"/>
                <w:sz w:val="24"/>
                <w:szCs w:val="24"/>
                <w:lang w:eastAsia="zh-CN"/>
              </w:rPr>
              <w:t>磋商</w:t>
            </w:r>
          </w:p>
          <w:p w14:paraId="42FBE5EC">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供应商所上传的电子化响应文件，应是通过中心响应文件制作系统制作的（响应文件制作工具下载地址：https://download.bqpoint.com/download/downloaddetail.html?SourceFrom=Ztb&amp;ZtbSoftXiaQuCode=1506&amp;ZtbSoftType=tballinclusive），经过签章和加密后生成的电子版响应文件。其中包含用于响应文件上传的主文件（后缀为.smxtf）和用于应急补救的响应文件备份文件（后缀为.nsmxtf）。</w:t>
            </w:r>
          </w:p>
          <w:p w14:paraId="5D848178">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2、电子化响应文件应在</w:t>
            </w:r>
            <w:r>
              <w:rPr>
                <w:rFonts w:hint="eastAsia" w:ascii="宋体" w:hAnsi="宋体" w:eastAsia="宋体" w:cs="宋体"/>
                <w:color w:val="auto"/>
                <w:spacing w:val="6"/>
                <w:sz w:val="24"/>
                <w:szCs w:val="24"/>
                <w:lang w:eastAsia="zh-CN"/>
              </w:rPr>
              <w:t>磋商</w:t>
            </w:r>
            <w:r>
              <w:rPr>
                <w:rFonts w:hint="eastAsia" w:ascii="宋体" w:hAnsi="宋体" w:eastAsia="宋体" w:cs="宋体"/>
                <w:color w:val="auto"/>
                <w:spacing w:val="6"/>
                <w:sz w:val="24"/>
                <w:szCs w:val="24"/>
              </w:rPr>
              <w:t>截止时间前成功上传至三门峡市公共资源电子化交易系统。至</w:t>
            </w:r>
            <w:r>
              <w:rPr>
                <w:rFonts w:hint="eastAsia" w:ascii="宋体" w:hAnsi="宋体" w:eastAsia="宋体" w:cs="宋体"/>
                <w:color w:val="auto"/>
                <w:spacing w:val="6"/>
                <w:sz w:val="24"/>
                <w:szCs w:val="24"/>
                <w:lang w:eastAsia="zh-CN"/>
              </w:rPr>
              <w:t>磋商</w:t>
            </w:r>
            <w:r>
              <w:rPr>
                <w:rFonts w:hint="eastAsia" w:ascii="宋体" w:hAnsi="宋体" w:eastAsia="宋体" w:cs="宋体"/>
                <w:color w:val="auto"/>
                <w:spacing w:val="6"/>
                <w:sz w:val="24"/>
                <w:szCs w:val="24"/>
              </w:rPr>
              <w:t>截止时间止，仍未上传成功的电子化响应文件将不予接收。</w:t>
            </w:r>
          </w:p>
          <w:p w14:paraId="39F6D799">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注：如按照电子化投标操作教材制作完成的电子化响应文件无法上传的，供应商应在</w:t>
            </w:r>
            <w:r>
              <w:rPr>
                <w:rFonts w:hint="eastAsia" w:ascii="宋体" w:hAnsi="宋体" w:eastAsia="宋体" w:cs="宋体"/>
                <w:color w:val="auto"/>
                <w:spacing w:val="6"/>
                <w:sz w:val="24"/>
                <w:szCs w:val="24"/>
                <w:lang w:eastAsia="zh-CN"/>
              </w:rPr>
              <w:t>磋商</w:t>
            </w:r>
            <w:r>
              <w:rPr>
                <w:rFonts w:hint="eastAsia" w:ascii="宋体" w:hAnsi="宋体" w:eastAsia="宋体" w:cs="宋体"/>
                <w:color w:val="auto"/>
                <w:spacing w:val="6"/>
                <w:sz w:val="24"/>
                <w:szCs w:val="24"/>
              </w:rPr>
              <w:t>截止时间前尽早的联系中心技术人员，以便有充分的时间进行处理。供应商应充分考虑到处理技术问题和上传数据等工作所需的时间问题，响应文件未在</w:t>
            </w:r>
            <w:r>
              <w:rPr>
                <w:rFonts w:hint="eastAsia" w:ascii="宋体" w:hAnsi="宋体" w:eastAsia="宋体" w:cs="宋体"/>
                <w:color w:val="auto"/>
                <w:spacing w:val="6"/>
                <w:sz w:val="24"/>
                <w:szCs w:val="24"/>
                <w:lang w:eastAsia="zh-CN"/>
              </w:rPr>
              <w:t>磋商</w:t>
            </w:r>
            <w:r>
              <w:rPr>
                <w:rFonts w:hint="eastAsia" w:ascii="宋体" w:hAnsi="宋体" w:eastAsia="宋体" w:cs="宋体"/>
                <w:color w:val="auto"/>
                <w:spacing w:val="6"/>
                <w:sz w:val="24"/>
                <w:szCs w:val="24"/>
              </w:rPr>
              <w:t>截止时间前成功上传的，其响应文件不予接收。</w:t>
            </w:r>
          </w:p>
          <w:p w14:paraId="73B799B9">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技术联系电话：0398-3117871</w:t>
            </w:r>
          </w:p>
          <w:p w14:paraId="244F47EF">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新点客服电话：4009980000</w:t>
            </w:r>
          </w:p>
          <w:p w14:paraId="198240F0">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（四）电子化项目开标、解密、唱标、评标</w:t>
            </w:r>
          </w:p>
          <w:p w14:paraId="372A89BB">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1、本项目采用电子化、无纸化进行</w:t>
            </w:r>
            <w:r>
              <w:rPr>
                <w:rFonts w:hint="eastAsia" w:ascii="宋体" w:hAnsi="宋体" w:eastAsia="宋体" w:cs="宋体"/>
                <w:color w:val="auto"/>
                <w:spacing w:val="6"/>
                <w:sz w:val="24"/>
                <w:szCs w:val="24"/>
                <w:lang w:eastAsia="zh-CN"/>
              </w:rPr>
              <w:t>磋商</w:t>
            </w:r>
            <w:r>
              <w:rPr>
                <w:rFonts w:hint="eastAsia" w:ascii="宋体" w:hAnsi="宋体" w:eastAsia="宋体" w:cs="宋体"/>
                <w:color w:val="auto"/>
                <w:spacing w:val="6"/>
                <w:sz w:val="24"/>
                <w:szCs w:val="24"/>
              </w:rPr>
              <w:t>，开标当日，供应商无需到开标现场参加开标会议，供应商应当在</w:t>
            </w:r>
            <w:r>
              <w:rPr>
                <w:rFonts w:hint="eastAsia" w:ascii="宋体" w:hAnsi="宋体" w:eastAsia="宋体" w:cs="宋体"/>
                <w:color w:val="auto"/>
                <w:spacing w:val="6"/>
                <w:sz w:val="24"/>
                <w:szCs w:val="24"/>
                <w:lang w:eastAsia="zh-CN"/>
              </w:rPr>
              <w:t>磋商</w:t>
            </w:r>
            <w:r>
              <w:rPr>
                <w:rFonts w:hint="eastAsia" w:ascii="宋体" w:hAnsi="宋体" w:eastAsia="宋体" w:cs="宋体"/>
                <w:color w:val="auto"/>
                <w:spacing w:val="6"/>
                <w:sz w:val="24"/>
                <w:szCs w:val="24"/>
              </w:rPr>
              <w:t>截止时间前，登陆不见面开标大厅选择登陆三门峡市公共资源电子招投标系统进行登陆（网址为http://120.194.249.36:10094/BidOpening/bidopeninghallaction/hall/login）,在线准时参加开标活动并进行响应文件解密等</w:t>
            </w:r>
          </w:p>
          <w:p w14:paraId="21C8EA3D">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2、电子化响应文件采用一次加密方式。开标时，由供应商使用CA 证书，在规定时间内对其电子化响应文件进行解密。每位供应商的解密时间为开标时间起30 分钟内，如在规定时间内未完成解密的，其响应文件不予开标、唱标。</w:t>
            </w:r>
          </w:p>
          <w:p w14:paraId="59C18EDA">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3、电子化响应文件解密异常的处理</w:t>
            </w:r>
          </w:p>
          <w:p w14:paraId="45819CD2">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如出现供应商的电子响应文件无法解密等异常情况，供应商应及时致电中介服务机构说明。响应文件异常，按以下步骤进行处理：</w:t>
            </w:r>
          </w:p>
          <w:p w14:paraId="2E49B864">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（1）首先由技术人员进行问题排查。</w:t>
            </w:r>
          </w:p>
          <w:p w14:paraId="721D342A">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（2）经技术人员排查后，是供应商文件自身问题导致响应文件无法解密的，该响应文件将不予接收、解密和唱标。开标会议继续进行。</w:t>
            </w:r>
          </w:p>
          <w:p w14:paraId="133B8690">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601E7278">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4、待所有供应商响应文件解密完成后，由中介服务机构操作，对所有已解密响应文件进行唱标。</w:t>
            </w:r>
          </w:p>
          <w:p w14:paraId="2788C40C">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供应商应保证在开标期间电话、电脑、网络能够正常工作，供应商因停电、电脑病毒、网络堵塞等原因，未在规定的解密时间内对响应文件进行解密的，其响应文件不予接收、唱标。</w:t>
            </w:r>
          </w:p>
          <w:p w14:paraId="0A53A7EB">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rPr>
              <w:t>5、开标时</w:t>
            </w:r>
            <w:r>
              <w:rPr>
                <w:rFonts w:hint="eastAsia" w:ascii="宋体" w:hAnsi="宋体" w:eastAsia="宋体" w:cs="宋体"/>
                <w:color w:val="auto"/>
                <w:spacing w:val="6"/>
                <w:sz w:val="24"/>
                <w:szCs w:val="24"/>
                <w:lang w:eastAsia="zh-CN"/>
              </w:rPr>
              <w:t>供应商</w:t>
            </w:r>
            <w:r>
              <w:rPr>
                <w:rFonts w:hint="eastAsia" w:ascii="宋体" w:hAnsi="宋体" w:eastAsia="宋体" w:cs="宋体"/>
                <w:color w:val="auto"/>
                <w:spacing w:val="6"/>
                <w:sz w:val="24"/>
                <w:szCs w:val="24"/>
              </w:rPr>
              <w:t>可登录到交易系统中在开标大厅中点击开标一览表查看自己的报价。如对自己的唱标内容有异议的，应在唱标内容显示后10分钟内向中服务机构通过开标大厅对话框提出质疑。中介服务机构做好书面记录。</w:t>
            </w:r>
            <w:r>
              <w:rPr>
                <w:rFonts w:hint="eastAsia" w:ascii="宋体" w:hAnsi="宋体" w:eastAsia="宋体" w:cs="宋体"/>
                <w:color w:val="auto"/>
                <w:spacing w:val="6"/>
                <w:sz w:val="24"/>
                <w:szCs w:val="24"/>
                <w:lang w:eastAsia="zh-CN"/>
              </w:rPr>
              <w:t>供应商</w:t>
            </w:r>
            <w:r>
              <w:rPr>
                <w:rFonts w:hint="eastAsia" w:ascii="宋体" w:hAnsi="宋体" w:eastAsia="宋体" w:cs="宋体"/>
                <w:color w:val="auto"/>
                <w:spacing w:val="6"/>
                <w:sz w:val="24"/>
                <w:szCs w:val="24"/>
              </w:rPr>
              <w:t>未在规定时间内提出质疑的，视为认可</w:t>
            </w:r>
            <w:r>
              <w:rPr>
                <w:rFonts w:hint="eastAsia" w:ascii="宋体" w:hAnsi="宋体" w:eastAsia="宋体" w:cs="宋体"/>
                <w:color w:val="auto"/>
                <w:spacing w:val="6"/>
                <w:sz w:val="24"/>
                <w:szCs w:val="24"/>
                <w:lang w:eastAsia="zh-CN"/>
              </w:rPr>
              <w:t>唱标内容。</w:t>
            </w:r>
          </w:p>
          <w:p w14:paraId="07BA12C4">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6、评标时，磋商小组对电子化响应文件有质疑的，将通过电子化交易系统对供应商发起质疑，供应商的回复文件必须以经过供应商和其法定代表人签章的PDF 格式文件为准，并通过电子化交易系统提交至磋商小组。</w:t>
            </w:r>
          </w:p>
          <w:p w14:paraId="16DF9052">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lang w:eastAsia="zh-CN"/>
              </w:rPr>
              <w:t>7、如评标委员会对需要回</w:t>
            </w:r>
            <w:r>
              <w:rPr>
                <w:rFonts w:hint="eastAsia" w:ascii="宋体" w:hAnsi="宋体" w:eastAsia="宋体" w:cs="宋体"/>
                <w:color w:val="auto"/>
                <w:spacing w:val="6"/>
                <w:sz w:val="24"/>
                <w:szCs w:val="24"/>
              </w:rPr>
              <w:t>复的</w:t>
            </w:r>
            <w:r>
              <w:rPr>
                <w:rFonts w:hint="eastAsia" w:ascii="宋体" w:hAnsi="宋体" w:eastAsia="宋体" w:cs="宋体"/>
                <w:color w:val="auto"/>
                <w:spacing w:val="6"/>
                <w:sz w:val="24"/>
                <w:szCs w:val="24"/>
                <w:lang w:eastAsia="zh-CN"/>
              </w:rPr>
              <w:t>供应商</w:t>
            </w:r>
            <w:r>
              <w:rPr>
                <w:rFonts w:hint="eastAsia" w:ascii="宋体" w:hAnsi="宋体" w:eastAsia="宋体" w:cs="宋体"/>
                <w:color w:val="auto"/>
                <w:spacing w:val="6"/>
                <w:sz w:val="24"/>
                <w:szCs w:val="24"/>
              </w:rPr>
              <w:t>在规定时间内通过电子化交易系统未收到回复的，视为</w:t>
            </w:r>
            <w:r>
              <w:rPr>
                <w:rFonts w:hint="eastAsia" w:ascii="宋体" w:hAnsi="宋体" w:eastAsia="宋体" w:cs="宋体"/>
                <w:color w:val="auto"/>
                <w:spacing w:val="6"/>
                <w:sz w:val="24"/>
                <w:szCs w:val="24"/>
                <w:lang w:eastAsia="zh-CN"/>
              </w:rPr>
              <w:t>供应商</w:t>
            </w:r>
            <w:r>
              <w:rPr>
                <w:rFonts w:hint="eastAsia" w:ascii="宋体" w:hAnsi="宋体" w:eastAsia="宋体" w:cs="宋体"/>
                <w:color w:val="auto"/>
                <w:spacing w:val="6"/>
                <w:sz w:val="24"/>
                <w:szCs w:val="24"/>
              </w:rPr>
              <w:t>放弃回复，评标委员会将自行对需要回复的内容进行认定。</w:t>
            </w:r>
          </w:p>
          <w:p w14:paraId="3444B532">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二、相关证书原件的提交</w:t>
            </w:r>
          </w:p>
          <w:p w14:paraId="52B533F5">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本项目实行资格后审，磋商文件中要求供应商提交资质、业绩、荣誉及单位人员等相关资料原件的，供应商需将原件扫描件制作到电子响应文件中，其上传资料真实性由供应商自行承担，同时，供应商要完善主体库。磋商小组对原件的核验工作按以下条款进行：</w:t>
            </w:r>
          </w:p>
          <w:p w14:paraId="0DBF0B15">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一）评标时，评委先查阅响应文件中是否具有该资料的原件扫描件，其上传资料真实性由供应商自行承担，同时，供应商需要完善主体库信息。本项目需要提交的原件扫描件以响应截止时间前在以供应商自行上传到响应文件中的相应内容为准。规定时间外上传或更改的信息不作为评标依据。评标时不接受供应商所提交的任何原件。</w:t>
            </w:r>
          </w:p>
          <w:p w14:paraId="3D1A35CB">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(二）供应商需应仔细阅读操作手册，保证上传内容齐全，真实有效，原件扫描件清晰可辨。因供应商上传原因导致应得分项而未得分或资格审查不合格等情况的，由供应商自行承担责任。</w:t>
            </w:r>
          </w:p>
          <w:p w14:paraId="234CA30B">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lang w:val="en-US" w:eastAsia="zh-CN"/>
              </w:rPr>
              <w:t>提示：本项目为电子化、无纸化交易项目，开标时不再接受任何纸质资料，为保证您能开标成功，请需仔细阅读以上条款。</w:t>
            </w:r>
          </w:p>
        </w:tc>
      </w:tr>
      <w:tr w14:paraId="0E61C9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10" w:hRule="atLeast"/>
          <w:jc w:val="center"/>
        </w:trPr>
        <w:tc>
          <w:tcPr>
            <w:tcW w:w="993" w:type="dxa"/>
            <w:vAlign w:val="center"/>
          </w:tcPr>
          <w:p w14:paraId="4005CE53">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35</w:t>
            </w:r>
          </w:p>
        </w:tc>
        <w:tc>
          <w:tcPr>
            <w:tcW w:w="1701" w:type="dxa"/>
            <w:shd w:val="clear" w:color="auto" w:fill="auto"/>
            <w:vAlign w:val="center"/>
          </w:tcPr>
          <w:p w14:paraId="22B4D95E">
            <w:pPr>
              <w:adjustRightInd w:val="0"/>
              <w:snapToGrid w:val="0"/>
              <w:spacing w:line="360" w:lineRule="auto"/>
              <w:jc w:val="center"/>
              <w:rPr>
                <w:rFonts w:hint="eastAsia" w:ascii="宋体" w:hAnsi="宋体" w:cs="宋体" w:eastAsiaTheme="minorEastAsia"/>
                <w:b/>
                <w:bCs/>
                <w:spacing w:val="11"/>
                <w:kern w:val="2"/>
                <w:sz w:val="24"/>
                <w:szCs w:val="24"/>
                <w:lang w:val="en-US" w:eastAsia="zh-CN" w:bidi="ar-SA"/>
              </w:rPr>
            </w:pPr>
            <w:r>
              <w:rPr>
                <w:rFonts w:hint="eastAsia" w:ascii="宋体" w:hAnsi="宋体"/>
                <w:sz w:val="24"/>
                <w:szCs w:val="24"/>
              </w:rPr>
              <w:t>其他</w:t>
            </w:r>
          </w:p>
        </w:tc>
        <w:tc>
          <w:tcPr>
            <w:tcW w:w="6973" w:type="dxa"/>
            <w:shd w:val="clear" w:color="auto" w:fill="auto"/>
            <w:vAlign w:val="top"/>
          </w:tcPr>
          <w:p w14:paraId="175215C1">
            <w:pPr>
              <w:widowControl/>
              <w:spacing w:line="440" w:lineRule="exact"/>
              <w:jc w:val="left"/>
              <w:rPr>
                <w:rFonts w:ascii="宋体" w:hAnsi="宋体" w:cs="宋体"/>
                <w:kern w:val="0"/>
                <w:sz w:val="24"/>
                <w:szCs w:val="22"/>
              </w:rPr>
            </w:pPr>
            <w:r>
              <w:rPr>
                <w:rFonts w:hint="eastAsia" w:ascii="宋体" w:hAnsi="宋体" w:cs="宋体"/>
                <w:kern w:val="0"/>
                <w:sz w:val="24"/>
                <w:szCs w:val="22"/>
              </w:rPr>
              <w:t>1、电子化响应文件应在</w:t>
            </w:r>
            <w:r>
              <w:rPr>
                <w:rFonts w:hint="eastAsia" w:ascii="宋体" w:hAnsi="宋体" w:cs="宋体"/>
                <w:kern w:val="0"/>
                <w:sz w:val="24"/>
                <w:szCs w:val="22"/>
                <w:lang w:eastAsia="zh-CN"/>
              </w:rPr>
              <w:t>磋商</w:t>
            </w:r>
            <w:r>
              <w:rPr>
                <w:rFonts w:hint="eastAsia" w:ascii="宋体" w:hAnsi="宋体" w:cs="宋体"/>
                <w:kern w:val="0"/>
                <w:sz w:val="24"/>
                <w:szCs w:val="22"/>
              </w:rPr>
              <w:t>截止时间前成功上传至三门峡市公共资源电子化交易系统。至</w:t>
            </w:r>
            <w:r>
              <w:rPr>
                <w:rFonts w:hint="eastAsia" w:ascii="宋体" w:hAnsi="宋体" w:cs="宋体"/>
                <w:kern w:val="0"/>
                <w:sz w:val="24"/>
                <w:szCs w:val="22"/>
                <w:lang w:eastAsia="zh-CN"/>
              </w:rPr>
              <w:t>磋商</w:t>
            </w:r>
            <w:r>
              <w:rPr>
                <w:rFonts w:hint="eastAsia" w:ascii="宋体" w:hAnsi="宋体" w:cs="宋体"/>
                <w:kern w:val="0"/>
                <w:sz w:val="24"/>
                <w:szCs w:val="22"/>
              </w:rPr>
              <w:t>截止时间止，仍未上传成功的电子化响应文件，将不予接受 。</w:t>
            </w:r>
          </w:p>
          <w:p w14:paraId="47511F60">
            <w:pPr>
              <w:widowControl/>
              <w:spacing w:line="440" w:lineRule="exact"/>
              <w:jc w:val="left"/>
              <w:rPr>
                <w:rFonts w:ascii="宋体" w:hAnsi="宋体" w:cs="宋体"/>
                <w:kern w:val="0"/>
                <w:sz w:val="24"/>
                <w:szCs w:val="22"/>
              </w:rPr>
            </w:pPr>
            <w:r>
              <w:rPr>
                <w:rFonts w:hint="eastAsia" w:ascii="宋体" w:hAnsi="宋体" w:cs="宋体"/>
                <w:kern w:val="0"/>
                <w:sz w:val="24"/>
                <w:szCs w:val="22"/>
                <w:lang w:val="en-US" w:eastAsia="zh-CN"/>
              </w:rPr>
              <w:t>2</w:t>
            </w:r>
            <w:r>
              <w:rPr>
                <w:rFonts w:hint="eastAsia" w:ascii="宋体" w:hAnsi="宋体" w:cs="宋体"/>
                <w:kern w:val="0"/>
                <w:sz w:val="24"/>
                <w:szCs w:val="22"/>
              </w:rPr>
              <w:t xml:space="preserve">、供应商成交后必须向采购人提供与所投相同的同质量、品质的服务。供应商必须在规定时间内对采购人进行服务，不得拖延。 </w:t>
            </w:r>
          </w:p>
          <w:p w14:paraId="12F5B496">
            <w:pPr>
              <w:widowControl/>
              <w:spacing w:line="440" w:lineRule="exact"/>
              <w:jc w:val="left"/>
              <w:rPr>
                <w:rFonts w:hint="eastAsia" w:ascii="宋体" w:hAnsi="宋体" w:cs="宋体" w:eastAsiaTheme="minorEastAsia"/>
                <w:kern w:val="0"/>
                <w:sz w:val="24"/>
                <w:szCs w:val="22"/>
                <w:lang w:val="en-US" w:eastAsia="zh-CN" w:bidi="ar-SA"/>
              </w:rPr>
            </w:pPr>
            <w:r>
              <w:rPr>
                <w:rFonts w:hint="eastAsia" w:ascii="宋体" w:hAnsi="宋体" w:cs="宋体"/>
                <w:kern w:val="0"/>
                <w:sz w:val="24"/>
                <w:szCs w:val="22"/>
                <w:lang w:val="en-US" w:eastAsia="zh-CN"/>
              </w:rPr>
              <w:t>3</w:t>
            </w:r>
            <w:r>
              <w:rPr>
                <w:rFonts w:hint="eastAsia" w:ascii="宋体" w:hAnsi="宋体" w:cs="宋体"/>
                <w:kern w:val="0"/>
                <w:sz w:val="24"/>
                <w:szCs w:val="22"/>
              </w:rPr>
              <w:t>、在符合相关法律法规的前题下，竞争性磋商文件的解释权归</w:t>
            </w:r>
            <w:r>
              <w:rPr>
                <w:rFonts w:hint="eastAsia" w:ascii="宋体" w:hAnsi="宋体" w:cs="宋体"/>
                <w:kern w:val="0"/>
                <w:sz w:val="24"/>
                <w:szCs w:val="22"/>
                <w:lang w:val="en-US" w:eastAsia="zh-CN"/>
              </w:rPr>
              <w:t>采购</w:t>
            </w:r>
            <w:r>
              <w:rPr>
                <w:rFonts w:hint="eastAsia" w:ascii="宋体" w:hAnsi="宋体" w:cs="宋体"/>
                <w:kern w:val="0"/>
                <w:sz w:val="24"/>
                <w:szCs w:val="22"/>
              </w:rPr>
              <w:t>人所有。本竞争性磋商文件中其他部分内容与</w:t>
            </w:r>
            <w:r>
              <w:rPr>
                <w:rFonts w:hint="eastAsia" w:ascii="宋体" w:hAnsi="宋体" w:cs="宋体"/>
                <w:kern w:val="0"/>
                <w:sz w:val="24"/>
                <w:szCs w:val="22"/>
                <w:lang w:val="en-US" w:eastAsia="zh-CN"/>
              </w:rPr>
              <w:t>供应商</w:t>
            </w:r>
            <w:r>
              <w:rPr>
                <w:rFonts w:hint="eastAsia" w:ascii="宋体" w:hAnsi="宋体" w:cs="宋体"/>
                <w:kern w:val="0"/>
                <w:sz w:val="24"/>
                <w:szCs w:val="22"/>
              </w:rPr>
              <w:t>须知前附表不一致的，以</w:t>
            </w:r>
            <w:r>
              <w:rPr>
                <w:rFonts w:hint="eastAsia" w:ascii="宋体" w:hAnsi="宋体" w:cs="宋体"/>
                <w:kern w:val="0"/>
                <w:sz w:val="24"/>
                <w:szCs w:val="22"/>
                <w:lang w:val="en-US" w:eastAsia="zh-CN"/>
              </w:rPr>
              <w:t>供应商</w:t>
            </w:r>
            <w:r>
              <w:rPr>
                <w:rFonts w:hint="eastAsia" w:ascii="宋体" w:hAnsi="宋体" w:cs="宋体"/>
                <w:kern w:val="0"/>
                <w:sz w:val="24"/>
                <w:szCs w:val="22"/>
              </w:rPr>
              <w:t>须知前附表为准。</w:t>
            </w:r>
          </w:p>
        </w:tc>
      </w:tr>
    </w:tbl>
    <w:p w14:paraId="3036EC77">
      <w:pPr>
        <w:rPr>
          <w:rFonts w:hint="eastAsia" w:ascii="宋体" w:hAnsi="宋体" w:eastAsia="宋体" w:cs="宋体"/>
          <w:sz w:val="28"/>
          <w:szCs w:val="28"/>
          <w:lang w:val="en-US" w:eastAsia="zh-CN"/>
        </w:rPr>
      </w:pPr>
    </w:p>
    <w:p w14:paraId="5B5EA284">
      <w:pPr>
        <w:rPr>
          <w:rFonts w:hint="eastAsia" w:ascii="宋体" w:hAnsi="宋体" w:eastAsia="宋体" w:cs="宋体"/>
          <w:sz w:val="28"/>
          <w:szCs w:val="28"/>
          <w:lang w:val="en-US" w:eastAsia="zh-CN"/>
        </w:rPr>
      </w:pPr>
    </w:p>
    <w:p w14:paraId="09C59324">
      <w:pPr>
        <w:rPr>
          <w:rFonts w:hint="eastAsia" w:ascii="宋体" w:hAnsi="宋体" w:eastAsia="宋体" w:cs="宋体"/>
          <w:sz w:val="28"/>
          <w:szCs w:val="28"/>
          <w:lang w:val="en-US" w:eastAsia="zh-CN"/>
        </w:rPr>
      </w:pPr>
    </w:p>
    <w:p w14:paraId="492780F2">
      <w:pPr>
        <w:rPr>
          <w:rFonts w:hint="eastAsia" w:ascii="宋体" w:hAnsi="宋体" w:eastAsia="宋体" w:cs="宋体"/>
          <w:sz w:val="28"/>
          <w:szCs w:val="28"/>
          <w:lang w:val="en-US" w:eastAsia="zh-CN"/>
        </w:rPr>
      </w:pPr>
    </w:p>
    <w:p w14:paraId="524DD5D1">
      <w:pPr>
        <w:rPr>
          <w:rFonts w:hint="eastAsia" w:ascii="宋体" w:hAnsi="宋体" w:eastAsia="宋体" w:cs="宋体"/>
          <w:sz w:val="28"/>
          <w:szCs w:val="28"/>
          <w:lang w:val="en-US" w:eastAsia="zh-CN"/>
        </w:rPr>
      </w:pPr>
    </w:p>
    <w:p w14:paraId="1746A775">
      <w:pPr>
        <w:rPr>
          <w:rFonts w:hint="eastAsia" w:ascii="宋体" w:hAnsi="宋体" w:eastAsia="宋体" w:cs="宋体"/>
          <w:sz w:val="28"/>
          <w:szCs w:val="28"/>
          <w:lang w:val="en-US" w:eastAsia="zh-CN"/>
        </w:rPr>
      </w:pPr>
    </w:p>
    <w:p w14:paraId="04F48E1A">
      <w:pPr>
        <w:rPr>
          <w:rFonts w:hint="eastAsia" w:ascii="宋体" w:hAnsi="宋体" w:eastAsia="宋体" w:cs="宋体"/>
          <w:sz w:val="28"/>
          <w:szCs w:val="28"/>
          <w:lang w:val="en-US" w:eastAsia="zh-CN"/>
        </w:rPr>
      </w:pPr>
    </w:p>
    <w:p w14:paraId="73F0DE31">
      <w:pPr>
        <w:rPr>
          <w:rFonts w:hint="eastAsia" w:ascii="宋体" w:hAnsi="宋体" w:eastAsia="宋体" w:cs="宋体"/>
          <w:sz w:val="28"/>
          <w:szCs w:val="28"/>
          <w:lang w:val="en-US" w:eastAsia="zh-CN"/>
        </w:rPr>
      </w:pPr>
    </w:p>
    <w:p w14:paraId="4B898503">
      <w:pPr>
        <w:rPr>
          <w:rFonts w:hint="eastAsia" w:ascii="宋体" w:hAnsi="宋体" w:eastAsia="宋体" w:cs="宋体"/>
          <w:sz w:val="28"/>
          <w:szCs w:val="28"/>
          <w:lang w:val="en-US" w:eastAsia="zh-CN"/>
        </w:rPr>
      </w:pPr>
    </w:p>
    <w:p w14:paraId="1145072A">
      <w:pPr>
        <w:rPr>
          <w:rFonts w:hint="eastAsia" w:ascii="宋体" w:hAnsi="宋体" w:eastAsia="宋体" w:cs="宋体"/>
          <w:sz w:val="28"/>
          <w:szCs w:val="28"/>
          <w:lang w:val="en-US" w:eastAsia="zh-CN"/>
        </w:rPr>
      </w:pPr>
    </w:p>
    <w:p w14:paraId="0EFAA43E">
      <w:pPr>
        <w:rPr>
          <w:rFonts w:hint="eastAsia" w:ascii="宋体" w:hAnsi="宋体" w:eastAsia="宋体" w:cs="宋体"/>
          <w:sz w:val="28"/>
          <w:szCs w:val="28"/>
          <w:lang w:val="en-US" w:eastAsia="zh-CN"/>
        </w:rPr>
      </w:pPr>
    </w:p>
    <w:p w14:paraId="3C7F8167">
      <w:pPr>
        <w:rPr>
          <w:rFonts w:hint="eastAsia" w:ascii="宋体" w:hAnsi="宋体" w:eastAsia="宋体" w:cs="宋体"/>
          <w:sz w:val="28"/>
          <w:szCs w:val="28"/>
          <w:lang w:val="en-US" w:eastAsia="zh-CN"/>
        </w:rPr>
      </w:pPr>
    </w:p>
    <w:p w14:paraId="14BFBE24">
      <w:pPr>
        <w:rPr>
          <w:rFonts w:hint="eastAsia" w:ascii="宋体" w:hAnsi="宋体" w:eastAsia="宋体" w:cs="宋体"/>
          <w:sz w:val="28"/>
          <w:szCs w:val="28"/>
          <w:lang w:val="en-US" w:eastAsia="zh-CN"/>
        </w:rPr>
      </w:pPr>
    </w:p>
    <w:p w14:paraId="2BC93E12">
      <w:pPr>
        <w:rPr>
          <w:rFonts w:hint="eastAsia" w:ascii="宋体" w:hAnsi="宋体" w:eastAsia="宋体" w:cs="宋体"/>
          <w:sz w:val="28"/>
          <w:szCs w:val="28"/>
          <w:lang w:val="en-US" w:eastAsia="zh-CN"/>
        </w:rPr>
      </w:pPr>
    </w:p>
    <w:p w14:paraId="74DB7A88">
      <w:pPr>
        <w:rPr>
          <w:rFonts w:hint="eastAsia" w:ascii="宋体" w:hAnsi="宋体" w:eastAsia="宋体" w:cs="宋体"/>
          <w:sz w:val="28"/>
          <w:szCs w:val="28"/>
          <w:lang w:val="en-US" w:eastAsia="zh-CN"/>
        </w:rPr>
      </w:pPr>
    </w:p>
    <w:p w14:paraId="64CF1EED">
      <w:pPr>
        <w:spacing w:line="360" w:lineRule="auto"/>
        <w:jc w:val="center"/>
        <w:rPr>
          <w:rFonts w:ascii="宋体" w:hAnsi="宋体"/>
          <w:b/>
          <w:bCs/>
          <w:sz w:val="24"/>
          <w:szCs w:val="24"/>
        </w:rPr>
      </w:pPr>
      <w:r>
        <w:rPr>
          <w:rFonts w:hint="eastAsia" w:ascii="宋体" w:hAnsi="宋体"/>
          <w:b/>
          <w:bCs/>
          <w:sz w:val="24"/>
          <w:szCs w:val="24"/>
        </w:rPr>
        <w:t>总则</w:t>
      </w:r>
    </w:p>
    <w:p w14:paraId="01585FA2">
      <w:pPr>
        <w:spacing w:line="360" w:lineRule="auto"/>
        <w:ind w:firstLine="436" w:firstLineChars="181"/>
        <w:rPr>
          <w:rFonts w:ascii="宋体" w:hAnsi="宋体"/>
          <w:b/>
          <w:bCs/>
          <w:sz w:val="24"/>
          <w:szCs w:val="24"/>
        </w:rPr>
      </w:pPr>
      <w:r>
        <w:rPr>
          <w:rFonts w:ascii="宋体" w:hAnsi="宋体"/>
          <w:b/>
          <w:bCs/>
          <w:sz w:val="24"/>
          <w:szCs w:val="24"/>
        </w:rPr>
        <w:t>1</w:t>
      </w:r>
      <w:r>
        <w:rPr>
          <w:rFonts w:hint="eastAsia" w:ascii="宋体" w:hAnsi="宋体"/>
          <w:b/>
          <w:bCs/>
          <w:sz w:val="24"/>
          <w:szCs w:val="24"/>
        </w:rPr>
        <w:t>、项目概况</w:t>
      </w:r>
    </w:p>
    <w:p w14:paraId="55A7B6A0">
      <w:pPr>
        <w:autoSpaceDE w:val="0"/>
        <w:autoSpaceDN w:val="0"/>
        <w:adjustRightIn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1.1</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服务内容：详见供应商须知前附表。</w:t>
      </w:r>
    </w:p>
    <w:p w14:paraId="4DB295D7">
      <w:pPr>
        <w:autoSpaceDE w:val="0"/>
        <w:autoSpaceDN w:val="0"/>
        <w:adjustRightIn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1.2</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资金来源：详见供应商须知前附表。</w:t>
      </w:r>
    </w:p>
    <w:p w14:paraId="6AD6E1EA">
      <w:pPr>
        <w:autoSpaceDE w:val="0"/>
        <w:autoSpaceDN w:val="0"/>
        <w:adjustRightIn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1.3</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质量要求：详见供应商须知前附表。</w:t>
      </w:r>
    </w:p>
    <w:p w14:paraId="3108D931">
      <w:pPr>
        <w:autoSpaceDE w:val="0"/>
        <w:autoSpaceDN w:val="0"/>
        <w:adjustRightIn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1.4</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服务</w:t>
      </w:r>
      <w:r>
        <w:rPr>
          <w:rFonts w:hint="eastAsia" w:ascii="宋体" w:hAnsi="宋体" w:eastAsia="宋体" w:cs="Times New Roman"/>
          <w:sz w:val="24"/>
          <w:szCs w:val="24"/>
          <w:lang w:val="en-US" w:eastAsia="zh-CN"/>
        </w:rPr>
        <w:t>周</w:t>
      </w:r>
      <w:r>
        <w:rPr>
          <w:rFonts w:hint="eastAsia" w:ascii="宋体" w:hAnsi="宋体" w:eastAsia="宋体" w:cs="Times New Roman"/>
          <w:sz w:val="24"/>
          <w:szCs w:val="24"/>
        </w:rPr>
        <w:t>期：详见供应商须知前附表。</w:t>
      </w:r>
    </w:p>
    <w:p w14:paraId="0CFCB935">
      <w:pPr>
        <w:autoSpaceDE w:val="0"/>
        <w:autoSpaceDN w:val="0"/>
        <w:adjustRightIn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1.5</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服务地点：详见供应商须知前附表。</w:t>
      </w:r>
    </w:p>
    <w:p w14:paraId="7B7A49B9">
      <w:pPr>
        <w:spacing w:line="360" w:lineRule="auto"/>
        <w:ind w:firstLine="424" w:firstLineChars="176"/>
        <w:rPr>
          <w:rFonts w:ascii="宋体" w:hAnsi="宋体"/>
          <w:b/>
          <w:bCs/>
          <w:sz w:val="24"/>
          <w:szCs w:val="24"/>
        </w:rPr>
      </w:pPr>
      <w:r>
        <w:rPr>
          <w:rFonts w:ascii="宋体" w:hAnsi="宋体"/>
          <w:b/>
          <w:bCs/>
          <w:sz w:val="24"/>
          <w:szCs w:val="24"/>
        </w:rPr>
        <w:t>2</w:t>
      </w:r>
      <w:r>
        <w:rPr>
          <w:rFonts w:hint="eastAsia" w:ascii="宋体" w:hAnsi="宋体"/>
          <w:b/>
          <w:bCs/>
          <w:sz w:val="24"/>
          <w:szCs w:val="24"/>
        </w:rPr>
        <w:t>、合格的供应商</w:t>
      </w:r>
    </w:p>
    <w:p w14:paraId="68E3D2B1">
      <w:pPr>
        <w:spacing w:line="360" w:lineRule="auto"/>
        <w:ind w:firstLine="422" w:firstLineChars="176"/>
        <w:rPr>
          <w:rFonts w:ascii="宋体" w:hAnsi="宋体"/>
          <w:kern w:val="0"/>
          <w:sz w:val="24"/>
          <w:szCs w:val="24"/>
        </w:rPr>
      </w:pPr>
      <w:r>
        <w:rPr>
          <w:rFonts w:hint="eastAsia" w:ascii="宋体" w:hAnsi="宋体"/>
          <w:sz w:val="24"/>
          <w:szCs w:val="24"/>
        </w:rPr>
        <w:t>详见</w:t>
      </w:r>
      <w:r>
        <w:rPr>
          <w:rFonts w:hint="eastAsia" w:ascii="宋体" w:hAnsi="宋体"/>
          <w:kern w:val="0"/>
          <w:sz w:val="24"/>
          <w:szCs w:val="24"/>
        </w:rPr>
        <w:t>供应商须知前附表。</w:t>
      </w:r>
    </w:p>
    <w:p w14:paraId="3CBD56C0">
      <w:pPr>
        <w:spacing w:line="360" w:lineRule="auto"/>
        <w:ind w:firstLine="424" w:firstLineChars="176"/>
        <w:rPr>
          <w:rFonts w:ascii="宋体" w:hAnsi="宋体"/>
          <w:b/>
          <w:bCs/>
          <w:sz w:val="24"/>
          <w:szCs w:val="24"/>
        </w:rPr>
      </w:pPr>
      <w:r>
        <w:rPr>
          <w:rFonts w:ascii="宋体" w:hAnsi="宋体"/>
          <w:b/>
          <w:bCs/>
          <w:sz w:val="24"/>
          <w:szCs w:val="24"/>
        </w:rPr>
        <w:t>3</w:t>
      </w:r>
      <w:r>
        <w:rPr>
          <w:rFonts w:hint="eastAsia" w:ascii="宋体" w:hAnsi="宋体"/>
          <w:b/>
          <w:bCs/>
          <w:sz w:val="24"/>
          <w:szCs w:val="24"/>
        </w:rPr>
        <w:t>、费用</w:t>
      </w:r>
    </w:p>
    <w:p w14:paraId="6CE59D73">
      <w:pPr>
        <w:spacing w:line="360" w:lineRule="auto"/>
        <w:ind w:firstLine="480" w:firstLineChars="200"/>
        <w:rPr>
          <w:rFonts w:hint="eastAsia" w:asciiTheme="minorEastAsia" w:hAnsiTheme="minorEastAsia" w:eastAsiaTheme="minorEastAsia" w:cstheme="minorEastAsia"/>
          <w:sz w:val="24"/>
          <w:szCs w:val="24"/>
          <w:lang w:bidi="ar-SA"/>
        </w:rPr>
      </w:pPr>
      <w:r>
        <w:rPr>
          <w:rFonts w:hint="eastAsia" w:asciiTheme="minorEastAsia" w:hAnsiTheme="minorEastAsia" w:eastAsiaTheme="minorEastAsia" w:cstheme="minorEastAsia"/>
          <w:sz w:val="24"/>
          <w:szCs w:val="24"/>
          <w:lang w:bidi="ar-SA"/>
        </w:rPr>
        <w:t>3.1 供应商应自行承担参加磋商活动有关的全部费用，采购人在任何情况下均无义务和责任承担上述费用。</w:t>
      </w:r>
    </w:p>
    <w:p w14:paraId="7A81725A">
      <w:pPr>
        <w:keepNext/>
        <w:keepLines/>
        <w:pageBreakBefore w:val="0"/>
        <w:widowControl w:val="0"/>
        <w:kinsoku/>
        <w:wordWrap/>
        <w:overflowPunct/>
        <w:topLinePunct w:val="0"/>
        <w:bidi w:val="0"/>
        <w:snapToGrid/>
        <w:spacing w:before="0" w:beforeLines="0" w:beforeAutospacing="0" w:after="0" w:afterLines="0" w:afterAutospacing="0" w:line="360" w:lineRule="auto"/>
        <w:ind w:left="0" w:leftChars="0" w:right="0" w:firstLine="480" w:firstLineChars="200"/>
        <w:jc w:val="left"/>
        <w:textAlignment w:val="auto"/>
        <w:outlineLvl w:val="1"/>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sz w:val="24"/>
          <w:szCs w:val="24"/>
          <w:lang w:val="en-US" w:eastAsia="zh-CN" w:bidi="ar-SA"/>
        </w:rPr>
        <w:t xml:space="preserve">3.2 </w:t>
      </w:r>
      <w:r>
        <w:rPr>
          <w:rFonts w:hint="eastAsia" w:asciiTheme="minorEastAsia" w:hAnsiTheme="minorEastAsia" w:eastAsiaTheme="minorEastAsia" w:cstheme="minorEastAsia"/>
          <w:b w:val="0"/>
          <w:bCs/>
          <w:sz w:val="24"/>
          <w:szCs w:val="24"/>
          <w:lang w:val="en-US" w:eastAsia="zh-CN"/>
        </w:rPr>
        <w:t>招标代理服务收费参照豫招协[2023]002号河南省招标投标协会关于印发《河南省招标代理服务收费指导意见》规定的收费标准收取中标服务费。</w:t>
      </w:r>
    </w:p>
    <w:p w14:paraId="7BC757FC">
      <w:pPr>
        <w:keepNext/>
        <w:keepLines/>
        <w:pageBreakBefore w:val="0"/>
        <w:widowControl w:val="0"/>
        <w:kinsoku/>
        <w:wordWrap/>
        <w:overflowPunct/>
        <w:topLinePunct w:val="0"/>
        <w:bidi w:val="0"/>
        <w:snapToGrid/>
        <w:spacing w:before="0" w:beforeLines="0" w:beforeAutospacing="0" w:after="0" w:afterLines="0" w:afterAutospacing="0" w:line="360" w:lineRule="auto"/>
        <w:ind w:left="0" w:leftChars="0" w:right="0" w:firstLine="480" w:firstLineChars="200"/>
        <w:jc w:val="center"/>
        <w:textAlignment w:val="auto"/>
        <w:outlineLvl w:val="1"/>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河南省招标代理服务费计算标准</w:t>
      </w:r>
    </w:p>
    <w:tbl>
      <w:tblPr>
        <w:tblStyle w:val="17"/>
        <w:tblpPr w:leftFromText="180" w:rightFromText="180" w:vertAnchor="text" w:horzAnchor="page" w:tblpX="1421" w:tblpY="4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49029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7D0E6B9">
            <w:pPr>
              <w:kinsoku/>
              <w:autoSpaceDE/>
              <w:autoSpaceDN w:val="0"/>
              <w:jc w:val="center"/>
              <w:textAlignment w:val="center"/>
              <w:rPr>
                <w:rFonts w:hint="default" w:ascii="宋体" w:hAnsi="宋体" w:eastAsia="宋体"/>
                <w:b w:val="0"/>
                <w:i w:val="0"/>
                <w:snapToGrid/>
                <w:color w:val="auto"/>
                <w:sz w:val="22"/>
                <w:szCs w:val="16"/>
                <w:u w:val="none"/>
                <w:lang w:eastAsia="zh-CN"/>
              </w:rPr>
            </w:pPr>
            <w:r>
              <w:rPr>
                <w:rFonts w:hint="default" w:ascii="宋体" w:hAnsi="宋体" w:eastAsia="宋体"/>
                <w:b w:val="0"/>
                <w:i w:val="0"/>
                <w:snapToGrid/>
                <w:color w:val="auto"/>
                <w:sz w:val="22"/>
                <w:szCs w:val="16"/>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C3B7388">
            <w:pPr>
              <w:kinsoku/>
              <w:autoSpaceDE/>
              <w:autoSpaceDN w:val="0"/>
              <w:jc w:val="center"/>
              <w:textAlignment w:val="center"/>
              <w:rPr>
                <w:rFonts w:hint="default" w:ascii="宋体" w:hAnsi="宋体" w:eastAsia="宋体"/>
                <w:b w:val="0"/>
                <w:i w:val="0"/>
                <w:snapToGrid/>
                <w:color w:val="auto"/>
                <w:sz w:val="22"/>
                <w:szCs w:val="16"/>
                <w:u w:val="none"/>
                <w:lang w:eastAsia="zh-CN"/>
              </w:rPr>
            </w:pPr>
            <w:r>
              <w:rPr>
                <w:rFonts w:hint="default" w:ascii="宋体" w:hAnsi="宋体" w:eastAsia="宋体"/>
                <w:b w:val="0"/>
                <w:i w:val="0"/>
                <w:snapToGrid/>
                <w:color w:val="auto"/>
                <w:sz w:val="22"/>
                <w:szCs w:val="16"/>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215030F">
            <w:pPr>
              <w:kinsoku/>
              <w:autoSpaceDE/>
              <w:autoSpaceDN w:val="0"/>
              <w:jc w:val="center"/>
              <w:textAlignment w:val="center"/>
              <w:rPr>
                <w:rFonts w:hint="default" w:ascii="宋体" w:hAnsi="宋体" w:eastAsia="宋体"/>
                <w:b w:val="0"/>
                <w:i w:val="0"/>
                <w:snapToGrid/>
                <w:color w:val="auto"/>
                <w:sz w:val="22"/>
                <w:szCs w:val="16"/>
                <w:u w:val="none"/>
                <w:lang w:eastAsia="zh-CN"/>
              </w:rPr>
            </w:pPr>
            <w:r>
              <w:rPr>
                <w:rFonts w:hint="default" w:ascii="宋体" w:hAnsi="宋体" w:eastAsia="宋体"/>
                <w:b w:val="0"/>
                <w:i w:val="0"/>
                <w:snapToGrid/>
                <w:color w:val="auto"/>
                <w:sz w:val="22"/>
                <w:szCs w:val="16"/>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8A75ABF">
            <w:pPr>
              <w:kinsoku/>
              <w:autoSpaceDE/>
              <w:autoSpaceDN w:val="0"/>
              <w:jc w:val="center"/>
              <w:textAlignment w:val="center"/>
              <w:rPr>
                <w:rFonts w:hint="default" w:ascii="宋体" w:hAnsi="宋体" w:eastAsia="宋体"/>
                <w:b w:val="0"/>
                <w:i w:val="0"/>
                <w:snapToGrid/>
                <w:color w:val="auto"/>
                <w:sz w:val="22"/>
                <w:szCs w:val="16"/>
                <w:u w:val="none"/>
                <w:lang w:eastAsia="zh-CN"/>
              </w:rPr>
            </w:pPr>
            <w:r>
              <w:rPr>
                <w:rFonts w:hint="default" w:ascii="宋体" w:hAnsi="宋体" w:eastAsia="宋体"/>
                <w:b w:val="0"/>
                <w:i w:val="0"/>
                <w:snapToGrid/>
                <w:color w:val="auto"/>
                <w:sz w:val="22"/>
                <w:szCs w:val="16"/>
                <w:u w:val="none"/>
                <w:lang w:eastAsia="zh-CN"/>
              </w:rPr>
              <w:t>服务</w:t>
            </w:r>
          </w:p>
        </w:tc>
      </w:tr>
      <w:tr w14:paraId="62716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61AC349">
            <w:pPr>
              <w:kinsoku/>
              <w:autoSpaceDE/>
              <w:autoSpaceDN w:val="0"/>
              <w:jc w:val="left"/>
              <w:textAlignment w:val="center"/>
              <w:rPr>
                <w:rFonts w:hint="default" w:ascii="宋体" w:hAnsi="宋体" w:eastAsia="宋体"/>
                <w:b w:val="0"/>
                <w:i w:val="0"/>
                <w:snapToGrid/>
                <w:color w:val="auto"/>
                <w:sz w:val="22"/>
                <w:szCs w:val="16"/>
                <w:u w:val="none"/>
                <w:lang w:eastAsia="zh-CN"/>
              </w:rPr>
            </w:pPr>
            <w:r>
              <w:rPr>
                <w:rFonts w:hint="default" w:ascii="宋体" w:hAnsi="宋体" w:eastAsia="宋体"/>
                <w:b w:val="0"/>
                <w:i w:val="0"/>
                <w:snapToGrid/>
                <w:color w:val="auto"/>
                <w:sz w:val="22"/>
                <w:szCs w:val="16"/>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54A2CA8">
            <w:pPr>
              <w:kinsoku/>
              <w:autoSpaceDE/>
              <w:autoSpaceDN w:val="0"/>
              <w:jc w:val="center"/>
              <w:textAlignment w:val="center"/>
              <w:rPr>
                <w:rFonts w:hint="default" w:ascii="宋体" w:hAnsi="宋体" w:eastAsia="宋体"/>
                <w:b w:val="0"/>
                <w:i w:val="0"/>
                <w:snapToGrid/>
                <w:color w:val="auto"/>
                <w:sz w:val="22"/>
                <w:szCs w:val="16"/>
                <w:u w:val="none"/>
                <w:lang w:eastAsia="zh-CN"/>
              </w:rPr>
            </w:pPr>
            <w:r>
              <w:rPr>
                <w:rFonts w:hint="default" w:ascii="宋体" w:hAnsi="宋体" w:eastAsia="宋体"/>
                <w:b w:val="0"/>
                <w:i w:val="0"/>
                <w:snapToGrid/>
                <w:color w:val="auto"/>
                <w:sz w:val="22"/>
                <w:szCs w:val="16"/>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9F80F18">
            <w:pPr>
              <w:kinsoku/>
              <w:autoSpaceDE/>
              <w:autoSpaceDN w:val="0"/>
              <w:jc w:val="center"/>
              <w:textAlignment w:val="center"/>
              <w:rPr>
                <w:rFonts w:hint="default" w:ascii="宋体" w:hAnsi="宋体" w:eastAsia="宋体"/>
                <w:b w:val="0"/>
                <w:i w:val="0"/>
                <w:snapToGrid/>
                <w:color w:val="auto"/>
                <w:sz w:val="22"/>
                <w:szCs w:val="16"/>
                <w:u w:val="none"/>
                <w:lang w:eastAsia="zh-CN"/>
              </w:rPr>
            </w:pPr>
            <w:r>
              <w:rPr>
                <w:rFonts w:hint="default" w:ascii="宋体" w:hAnsi="宋体" w:eastAsia="宋体"/>
                <w:b w:val="0"/>
                <w:i w:val="0"/>
                <w:snapToGrid/>
                <w:color w:val="auto"/>
                <w:sz w:val="22"/>
                <w:szCs w:val="16"/>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99BBBF0">
            <w:pPr>
              <w:kinsoku/>
              <w:autoSpaceDE/>
              <w:autoSpaceDN w:val="0"/>
              <w:jc w:val="center"/>
              <w:textAlignment w:val="center"/>
              <w:rPr>
                <w:rFonts w:hint="default" w:ascii="宋体" w:hAnsi="宋体" w:eastAsia="宋体"/>
                <w:b w:val="0"/>
                <w:i w:val="0"/>
                <w:snapToGrid/>
                <w:color w:val="auto"/>
                <w:sz w:val="22"/>
                <w:szCs w:val="16"/>
                <w:u w:val="none"/>
                <w:lang w:eastAsia="zh-CN"/>
              </w:rPr>
            </w:pPr>
            <w:r>
              <w:rPr>
                <w:rFonts w:hint="default" w:ascii="宋体" w:hAnsi="宋体" w:eastAsia="宋体"/>
                <w:b w:val="0"/>
                <w:i w:val="0"/>
                <w:snapToGrid/>
                <w:color w:val="auto"/>
                <w:sz w:val="22"/>
                <w:szCs w:val="16"/>
                <w:u w:val="none"/>
                <w:lang w:eastAsia="zh-CN"/>
              </w:rPr>
              <w:t>1.70%</w:t>
            </w:r>
          </w:p>
        </w:tc>
      </w:tr>
      <w:tr w14:paraId="06D1B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E3CE77A">
            <w:pPr>
              <w:kinsoku/>
              <w:autoSpaceDE/>
              <w:autoSpaceDN w:val="0"/>
              <w:jc w:val="left"/>
              <w:textAlignment w:val="center"/>
              <w:rPr>
                <w:rFonts w:hint="default" w:ascii="宋体" w:hAnsi="宋体" w:eastAsia="宋体"/>
                <w:b w:val="0"/>
                <w:i w:val="0"/>
                <w:snapToGrid/>
                <w:color w:val="auto"/>
                <w:sz w:val="22"/>
                <w:szCs w:val="16"/>
                <w:u w:val="none"/>
                <w:lang w:eastAsia="zh-CN"/>
              </w:rPr>
            </w:pPr>
            <w:r>
              <w:rPr>
                <w:rFonts w:hint="default" w:ascii="宋体" w:hAnsi="宋体" w:eastAsia="宋体"/>
                <w:b w:val="0"/>
                <w:i w:val="0"/>
                <w:snapToGrid/>
                <w:color w:val="auto"/>
                <w:sz w:val="22"/>
                <w:szCs w:val="16"/>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8534F96">
            <w:pPr>
              <w:kinsoku/>
              <w:autoSpaceDE/>
              <w:autoSpaceDN w:val="0"/>
              <w:jc w:val="center"/>
              <w:textAlignment w:val="center"/>
              <w:rPr>
                <w:rFonts w:hint="default" w:ascii="宋体" w:hAnsi="宋体" w:eastAsia="宋体"/>
                <w:b w:val="0"/>
                <w:i w:val="0"/>
                <w:snapToGrid/>
                <w:color w:val="auto"/>
                <w:sz w:val="22"/>
                <w:szCs w:val="16"/>
                <w:u w:val="none"/>
                <w:lang w:eastAsia="zh-CN"/>
              </w:rPr>
            </w:pPr>
            <w:r>
              <w:rPr>
                <w:rFonts w:hint="default" w:ascii="宋体" w:hAnsi="宋体" w:eastAsia="宋体"/>
                <w:b w:val="0"/>
                <w:i w:val="0"/>
                <w:snapToGrid/>
                <w:color w:val="auto"/>
                <w:sz w:val="22"/>
                <w:szCs w:val="16"/>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417B184">
            <w:pPr>
              <w:kinsoku/>
              <w:autoSpaceDE/>
              <w:autoSpaceDN w:val="0"/>
              <w:jc w:val="center"/>
              <w:textAlignment w:val="center"/>
              <w:rPr>
                <w:rFonts w:hint="default" w:ascii="宋体" w:hAnsi="宋体" w:eastAsia="宋体"/>
                <w:b w:val="0"/>
                <w:i w:val="0"/>
                <w:snapToGrid/>
                <w:color w:val="auto"/>
                <w:sz w:val="22"/>
                <w:szCs w:val="16"/>
                <w:u w:val="none"/>
                <w:lang w:eastAsia="zh-CN"/>
              </w:rPr>
            </w:pPr>
            <w:r>
              <w:rPr>
                <w:rFonts w:hint="default" w:ascii="宋体" w:hAnsi="宋体" w:eastAsia="宋体"/>
                <w:b w:val="0"/>
                <w:i w:val="0"/>
                <w:snapToGrid/>
                <w:color w:val="auto"/>
                <w:sz w:val="22"/>
                <w:szCs w:val="16"/>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D6A2341">
            <w:pPr>
              <w:kinsoku/>
              <w:autoSpaceDE/>
              <w:autoSpaceDN w:val="0"/>
              <w:jc w:val="center"/>
              <w:textAlignment w:val="center"/>
              <w:rPr>
                <w:rFonts w:hint="default" w:ascii="宋体" w:hAnsi="宋体" w:eastAsia="宋体"/>
                <w:b w:val="0"/>
                <w:i w:val="0"/>
                <w:snapToGrid/>
                <w:color w:val="auto"/>
                <w:sz w:val="22"/>
                <w:szCs w:val="16"/>
                <w:u w:val="none"/>
                <w:lang w:eastAsia="zh-CN"/>
              </w:rPr>
            </w:pPr>
            <w:r>
              <w:rPr>
                <w:rFonts w:hint="default" w:ascii="宋体" w:hAnsi="宋体" w:eastAsia="宋体"/>
                <w:b w:val="0"/>
                <w:i w:val="0"/>
                <w:snapToGrid/>
                <w:color w:val="auto"/>
                <w:sz w:val="22"/>
                <w:szCs w:val="16"/>
                <w:u w:val="none"/>
                <w:lang w:eastAsia="zh-CN"/>
              </w:rPr>
              <w:t>1.20%</w:t>
            </w:r>
          </w:p>
        </w:tc>
      </w:tr>
      <w:tr w14:paraId="1E504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502A085">
            <w:pPr>
              <w:kinsoku/>
              <w:autoSpaceDE/>
              <w:autoSpaceDN w:val="0"/>
              <w:jc w:val="left"/>
              <w:textAlignment w:val="center"/>
              <w:rPr>
                <w:rFonts w:hint="default" w:ascii="宋体" w:hAnsi="宋体" w:eastAsia="宋体"/>
                <w:b w:val="0"/>
                <w:i w:val="0"/>
                <w:snapToGrid/>
                <w:color w:val="auto"/>
                <w:sz w:val="22"/>
                <w:szCs w:val="16"/>
                <w:u w:val="none"/>
                <w:lang w:eastAsia="zh-CN"/>
              </w:rPr>
            </w:pPr>
            <w:r>
              <w:rPr>
                <w:rFonts w:hint="default" w:ascii="宋体" w:hAnsi="宋体" w:eastAsia="宋体"/>
                <w:b w:val="0"/>
                <w:i w:val="0"/>
                <w:snapToGrid/>
                <w:color w:val="auto"/>
                <w:sz w:val="22"/>
                <w:szCs w:val="16"/>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0F62F4F">
            <w:pPr>
              <w:kinsoku/>
              <w:autoSpaceDE/>
              <w:autoSpaceDN w:val="0"/>
              <w:jc w:val="center"/>
              <w:textAlignment w:val="center"/>
              <w:rPr>
                <w:rFonts w:hint="default" w:ascii="宋体" w:hAnsi="宋体" w:eastAsia="宋体"/>
                <w:b w:val="0"/>
                <w:i w:val="0"/>
                <w:snapToGrid/>
                <w:color w:val="auto"/>
                <w:sz w:val="22"/>
                <w:szCs w:val="16"/>
                <w:u w:val="none"/>
                <w:lang w:eastAsia="zh-CN"/>
              </w:rPr>
            </w:pPr>
            <w:r>
              <w:rPr>
                <w:rFonts w:hint="default" w:ascii="宋体" w:hAnsi="宋体" w:eastAsia="宋体"/>
                <w:b w:val="0"/>
                <w:i w:val="0"/>
                <w:snapToGrid/>
                <w:color w:val="auto"/>
                <w:sz w:val="22"/>
                <w:szCs w:val="16"/>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16480BF">
            <w:pPr>
              <w:kinsoku/>
              <w:autoSpaceDE/>
              <w:autoSpaceDN w:val="0"/>
              <w:jc w:val="center"/>
              <w:textAlignment w:val="center"/>
              <w:rPr>
                <w:rFonts w:hint="default" w:ascii="宋体" w:hAnsi="宋体" w:eastAsia="宋体"/>
                <w:b w:val="0"/>
                <w:i w:val="0"/>
                <w:snapToGrid/>
                <w:color w:val="auto"/>
                <w:sz w:val="22"/>
                <w:szCs w:val="16"/>
                <w:u w:val="none"/>
                <w:lang w:eastAsia="zh-CN"/>
              </w:rPr>
            </w:pPr>
            <w:r>
              <w:rPr>
                <w:rFonts w:hint="default" w:ascii="宋体" w:hAnsi="宋体" w:eastAsia="宋体"/>
                <w:b w:val="0"/>
                <w:i w:val="0"/>
                <w:snapToGrid/>
                <w:color w:val="auto"/>
                <w:sz w:val="22"/>
                <w:szCs w:val="16"/>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0CB4246">
            <w:pPr>
              <w:kinsoku/>
              <w:autoSpaceDE/>
              <w:autoSpaceDN w:val="0"/>
              <w:jc w:val="center"/>
              <w:textAlignment w:val="center"/>
              <w:rPr>
                <w:rFonts w:hint="default" w:ascii="宋体" w:hAnsi="宋体" w:eastAsia="宋体"/>
                <w:b w:val="0"/>
                <w:i w:val="0"/>
                <w:snapToGrid/>
                <w:color w:val="auto"/>
                <w:sz w:val="22"/>
                <w:szCs w:val="16"/>
                <w:u w:val="none"/>
                <w:lang w:eastAsia="zh-CN"/>
              </w:rPr>
            </w:pPr>
            <w:r>
              <w:rPr>
                <w:rFonts w:hint="default" w:ascii="宋体" w:hAnsi="宋体" w:eastAsia="宋体"/>
                <w:b w:val="0"/>
                <w:i w:val="0"/>
                <w:snapToGrid/>
                <w:color w:val="auto"/>
                <w:sz w:val="22"/>
                <w:szCs w:val="16"/>
                <w:u w:val="none"/>
                <w:lang w:eastAsia="zh-CN"/>
              </w:rPr>
              <w:t>0.70%</w:t>
            </w:r>
          </w:p>
        </w:tc>
      </w:tr>
      <w:tr w14:paraId="216B7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FF109F3">
            <w:pPr>
              <w:kinsoku/>
              <w:autoSpaceDE/>
              <w:autoSpaceDN w:val="0"/>
              <w:jc w:val="left"/>
              <w:textAlignment w:val="center"/>
              <w:rPr>
                <w:rFonts w:hint="default" w:ascii="宋体" w:hAnsi="宋体" w:eastAsia="宋体"/>
                <w:b w:val="0"/>
                <w:i w:val="0"/>
                <w:snapToGrid/>
                <w:color w:val="auto"/>
                <w:sz w:val="22"/>
                <w:szCs w:val="16"/>
                <w:u w:val="none"/>
                <w:lang w:eastAsia="zh-CN"/>
              </w:rPr>
            </w:pPr>
            <w:r>
              <w:rPr>
                <w:rFonts w:hint="default" w:ascii="宋体" w:hAnsi="宋体" w:eastAsia="宋体"/>
                <w:b w:val="0"/>
                <w:i w:val="0"/>
                <w:snapToGrid/>
                <w:color w:val="auto"/>
                <w:sz w:val="22"/>
                <w:szCs w:val="16"/>
                <w:u w:val="none"/>
                <w:lang w:eastAsia="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2A3A907C">
            <w:pPr>
              <w:kinsoku/>
              <w:autoSpaceDE/>
              <w:autoSpaceDN w:val="0"/>
              <w:jc w:val="center"/>
              <w:textAlignment w:val="center"/>
              <w:rPr>
                <w:rFonts w:hint="default" w:ascii="宋体" w:hAnsi="宋体" w:eastAsia="宋体"/>
                <w:b w:val="0"/>
                <w:i w:val="0"/>
                <w:snapToGrid/>
                <w:color w:val="auto"/>
                <w:sz w:val="22"/>
                <w:szCs w:val="16"/>
                <w:u w:val="none"/>
                <w:lang w:eastAsia="zh-CN"/>
              </w:rPr>
            </w:pPr>
            <w:r>
              <w:rPr>
                <w:rFonts w:hint="default" w:ascii="宋体" w:hAnsi="宋体" w:eastAsia="宋体"/>
                <w:b w:val="0"/>
                <w:i w:val="0"/>
                <w:snapToGrid/>
                <w:color w:val="auto"/>
                <w:sz w:val="22"/>
                <w:szCs w:val="16"/>
                <w:u w:val="none"/>
                <w:lang w:eastAsia="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F0E231D">
            <w:pPr>
              <w:kinsoku/>
              <w:autoSpaceDE/>
              <w:autoSpaceDN w:val="0"/>
              <w:jc w:val="center"/>
              <w:textAlignment w:val="center"/>
              <w:rPr>
                <w:rFonts w:hint="default" w:ascii="宋体" w:hAnsi="宋体" w:eastAsia="宋体"/>
                <w:b w:val="0"/>
                <w:i w:val="0"/>
                <w:snapToGrid/>
                <w:color w:val="auto"/>
                <w:sz w:val="22"/>
                <w:szCs w:val="16"/>
                <w:u w:val="none"/>
                <w:lang w:eastAsia="zh-CN"/>
              </w:rPr>
            </w:pPr>
            <w:r>
              <w:rPr>
                <w:rFonts w:hint="default" w:ascii="宋体" w:hAnsi="宋体" w:eastAsia="宋体"/>
                <w:b w:val="0"/>
                <w:i w:val="0"/>
                <w:snapToGrid/>
                <w:color w:val="auto"/>
                <w:sz w:val="22"/>
                <w:szCs w:val="16"/>
                <w:u w:val="none"/>
                <w:lang w:eastAsia="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82E6F57">
            <w:pPr>
              <w:kinsoku/>
              <w:autoSpaceDE/>
              <w:autoSpaceDN w:val="0"/>
              <w:jc w:val="center"/>
              <w:textAlignment w:val="center"/>
              <w:rPr>
                <w:rFonts w:hint="default" w:ascii="宋体" w:hAnsi="宋体" w:eastAsia="宋体"/>
                <w:b w:val="0"/>
                <w:i w:val="0"/>
                <w:snapToGrid/>
                <w:color w:val="auto"/>
                <w:sz w:val="22"/>
                <w:szCs w:val="16"/>
                <w:u w:val="none"/>
                <w:lang w:eastAsia="zh-CN"/>
              </w:rPr>
            </w:pPr>
            <w:r>
              <w:rPr>
                <w:rFonts w:hint="default" w:ascii="宋体" w:hAnsi="宋体" w:eastAsia="宋体"/>
                <w:b w:val="0"/>
                <w:i w:val="0"/>
                <w:snapToGrid/>
                <w:color w:val="auto"/>
                <w:sz w:val="22"/>
                <w:szCs w:val="16"/>
                <w:u w:val="none"/>
                <w:lang w:eastAsia="zh-CN"/>
              </w:rPr>
              <w:t>0.40%</w:t>
            </w:r>
          </w:p>
        </w:tc>
      </w:tr>
      <w:tr w14:paraId="37A55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8728B8D">
            <w:pPr>
              <w:kinsoku/>
              <w:autoSpaceDE/>
              <w:autoSpaceDN w:val="0"/>
              <w:jc w:val="left"/>
              <w:textAlignment w:val="center"/>
              <w:rPr>
                <w:rFonts w:hint="default" w:ascii="宋体" w:hAnsi="宋体" w:eastAsia="宋体"/>
                <w:b w:val="0"/>
                <w:i w:val="0"/>
                <w:snapToGrid/>
                <w:color w:val="auto"/>
                <w:sz w:val="22"/>
                <w:szCs w:val="16"/>
                <w:u w:val="none"/>
                <w:lang w:eastAsia="zh-CN"/>
              </w:rPr>
            </w:pPr>
            <w:r>
              <w:rPr>
                <w:rFonts w:hint="default" w:ascii="宋体" w:hAnsi="宋体" w:eastAsia="宋体"/>
                <w:b w:val="0"/>
                <w:i w:val="0"/>
                <w:snapToGrid/>
                <w:color w:val="auto"/>
                <w:sz w:val="22"/>
                <w:szCs w:val="16"/>
                <w:u w:val="none"/>
                <w:lang w:eastAsia="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3F387DD">
            <w:pPr>
              <w:kinsoku/>
              <w:autoSpaceDE/>
              <w:autoSpaceDN w:val="0"/>
              <w:jc w:val="center"/>
              <w:textAlignment w:val="center"/>
              <w:rPr>
                <w:rFonts w:hint="default" w:ascii="宋体" w:hAnsi="宋体" w:eastAsia="宋体"/>
                <w:b w:val="0"/>
                <w:i w:val="0"/>
                <w:snapToGrid/>
                <w:color w:val="auto"/>
                <w:sz w:val="22"/>
                <w:szCs w:val="16"/>
                <w:u w:val="none"/>
                <w:lang w:eastAsia="zh-CN"/>
              </w:rPr>
            </w:pPr>
            <w:r>
              <w:rPr>
                <w:rFonts w:hint="default" w:ascii="宋体" w:hAnsi="宋体" w:eastAsia="宋体"/>
                <w:b w:val="0"/>
                <w:i w:val="0"/>
                <w:snapToGrid/>
                <w:color w:val="auto"/>
                <w:sz w:val="22"/>
                <w:szCs w:val="16"/>
                <w:u w:val="none"/>
                <w:lang w:eastAsia="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EB7147F">
            <w:pPr>
              <w:kinsoku/>
              <w:autoSpaceDE/>
              <w:autoSpaceDN w:val="0"/>
              <w:jc w:val="center"/>
              <w:textAlignment w:val="center"/>
              <w:rPr>
                <w:rFonts w:hint="default" w:ascii="宋体" w:hAnsi="宋体" w:eastAsia="宋体"/>
                <w:b w:val="0"/>
                <w:i w:val="0"/>
                <w:snapToGrid/>
                <w:color w:val="auto"/>
                <w:sz w:val="22"/>
                <w:szCs w:val="16"/>
                <w:u w:val="none"/>
                <w:lang w:eastAsia="zh-CN"/>
              </w:rPr>
            </w:pPr>
            <w:r>
              <w:rPr>
                <w:rFonts w:hint="default" w:ascii="宋体" w:hAnsi="宋体" w:eastAsia="宋体"/>
                <w:b w:val="0"/>
                <w:i w:val="0"/>
                <w:snapToGrid/>
                <w:color w:val="auto"/>
                <w:sz w:val="22"/>
                <w:szCs w:val="16"/>
                <w:u w:val="none"/>
                <w:lang w:eastAsia="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F7BB6B4">
            <w:pPr>
              <w:kinsoku/>
              <w:autoSpaceDE/>
              <w:autoSpaceDN w:val="0"/>
              <w:jc w:val="center"/>
              <w:textAlignment w:val="center"/>
              <w:rPr>
                <w:rFonts w:hint="default" w:ascii="宋体" w:hAnsi="宋体" w:eastAsia="宋体"/>
                <w:b w:val="0"/>
                <w:i w:val="0"/>
                <w:snapToGrid/>
                <w:color w:val="auto"/>
                <w:sz w:val="22"/>
                <w:szCs w:val="16"/>
                <w:u w:val="none"/>
                <w:lang w:eastAsia="zh-CN"/>
              </w:rPr>
            </w:pPr>
            <w:r>
              <w:rPr>
                <w:rFonts w:hint="default" w:ascii="宋体" w:hAnsi="宋体" w:eastAsia="宋体"/>
                <w:b w:val="0"/>
                <w:i w:val="0"/>
                <w:snapToGrid/>
                <w:color w:val="auto"/>
                <w:sz w:val="22"/>
                <w:szCs w:val="16"/>
                <w:u w:val="none"/>
                <w:lang w:eastAsia="zh-CN"/>
              </w:rPr>
              <w:t>0.25%</w:t>
            </w:r>
          </w:p>
        </w:tc>
      </w:tr>
      <w:tr w14:paraId="68EA7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007046B">
            <w:pPr>
              <w:kinsoku/>
              <w:autoSpaceDE/>
              <w:autoSpaceDN w:val="0"/>
              <w:jc w:val="left"/>
              <w:textAlignment w:val="center"/>
              <w:rPr>
                <w:rFonts w:hint="default" w:ascii="宋体" w:hAnsi="宋体" w:eastAsia="宋体"/>
                <w:b w:val="0"/>
                <w:i w:val="0"/>
                <w:snapToGrid/>
                <w:color w:val="auto"/>
                <w:sz w:val="22"/>
                <w:szCs w:val="16"/>
                <w:u w:val="none"/>
                <w:lang w:eastAsia="zh-CN"/>
              </w:rPr>
            </w:pPr>
            <w:r>
              <w:rPr>
                <w:rFonts w:hint="default" w:ascii="宋体" w:hAnsi="宋体" w:eastAsia="宋体"/>
                <w:b w:val="0"/>
                <w:i w:val="0"/>
                <w:snapToGrid/>
                <w:color w:val="auto"/>
                <w:sz w:val="22"/>
                <w:szCs w:val="16"/>
                <w:u w:val="none"/>
                <w:lang w:eastAsia="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7B9D166">
            <w:pPr>
              <w:kinsoku/>
              <w:autoSpaceDE/>
              <w:autoSpaceDN w:val="0"/>
              <w:jc w:val="center"/>
              <w:textAlignment w:val="center"/>
              <w:rPr>
                <w:rFonts w:hint="default" w:ascii="宋体" w:hAnsi="宋体" w:eastAsia="宋体"/>
                <w:b w:val="0"/>
                <w:i w:val="0"/>
                <w:snapToGrid/>
                <w:color w:val="auto"/>
                <w:sz w:val="22"/>
                <w:szCs w:val="16"/>
                <w:u w:val="none"/>
                <w:lang w:eastAsia="zh-CN"/>
              </w:rPr>
            </w:pPr>
            <w:r>
              <w:rPr>
                <w:rFonts w:hint="default" w:ascii="宋体" w:hAnsi="宋体" w:eastAsia="宋体"/>
                <w:b w:val="0"/>
                <w:i w:val="0"/>
                <w:snapToGrid/>
                <w:color w:val="auto"/>
                <w:sz w:val="22"/>
                <w:szCs w:val="16"/>
                <w:u w:val="none"/>
                <w:lang w:eastAsia="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7D0E216">
            <w:pPr>
              <w:kinsoku/>
              <w:autoSpaceDE/>
              <w:autoSpaceDN w:val="0"/>
              <w:jc w:val="center"/>
              <w:textAlignment w:val="center"/>
              <w:rPr>
                <w:rFonts w:hint="default" w:ascii="宋体" w:hAnsi="宋体" w:eastAsia="宋体"/>
                <w:b w:val="0"/>
                <w:i w:val="0"/>
                <w:snapToGrid/>
                <w:color w:val="auto"/>
                <w:sz w:val="22"/>
                <w:szCs w:val="16"/>
                <w:u w:val="none"/>
                <w:lang w:eastAsia="zh-CN"/>
              </w:rPr>
            </w:pPr>
            <w:r>
              <w:rPr>
                <w:rFonts w:hint="default" w:ascii="宋体" w:hAnsi="宋体" w:eastAsia="宋体"/>
                <w:b w:val="0"/>
                <w:i w:val="0"/>
                <w:snapToGrid/>
                <w:color w:val="auto"/>
                <w:sz w:val="22"/>
                <w:szCs w:val="16"/>
                <w:u w:val="none"/>
                <w:lang w:eastAsia="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478F634">
            <w:pPr>
              <w:kinsoku/>
              <w:autoSpaceDE/>
              <w:autoSpaceDN w:val="0"/>
              <w:jc w:val="center"/>
              <w:textAlignment w:val="center"/>
              <w:rPr>
                <w:rFonts w:hint="default" w:ascii="宋体" w:hAnsi="宋体" w:eastAsia="宋体"/>
                <w:b w:val="0"/>
                <w:i w:val="0"/>
                <w:snapToGrid/>
                <w:color w:val="auto"/>
                <w:sz w:val="22"/>
                <w:szCs w:val="16"/>
                <w:u w:val="none"/>
                <w:lang w:eastAsia="zh-CN"/>
              </w:rPr>
            </w:pPr>
            <w:r>
              <w:rPr>
                <w:rFonts w:hint="default" w:ascii="宋体" w:hAnsi="宋体" w:eastAsia="宋体"/>
                <w:b w:val="0"/>
                <w:i w:val="0"/>
                <w:snapToGrid/>
                <w:color w:val="auto"/>
                <w:sz w:val="22"/>
                <w:szCs w:val="16"/>
                <w:u w:val="none"/>
                <w:lang w:eastAsia="zh-CN"/>
              </w:rPr>
              <w:t>0.10%</w:t>
            </w:r>
          </w:p>
        </w:tc>
      </w:tr>
      <w:tr w14:paraId="41B71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14:paraId="6790DAC4">
            <w:pPr>
              <w:kinsoku/>
              <w:autoSpaceDE/>
              <w:autoSpaceDN w:val="0"/>
              <w:jc w:val="left"/>
              <w:textAlignment w:val="center"/>
              <w:rPr>
                <w:rFonts w:hint="default" w:ascii="宋体" w:hAnsi="宋体" w:eastAsia="宋体"/>
                <w:b w:val="0"/>
                <w:i w:val="0"/>
                <w:snapToGrid/>
                <w:color w:val="auto"/>
                <w:sz w:val="22"/>
                <w:szCs w:val="16"/>
                <w:u w:val="none"/>
                <w:lang w:eastAsia="zh-CN"/>
              </w:rPr>
            </w:pPr>
            <w:r>
              <w:rPr>
                <w:rFonts w:hint="default" w:ascii="宋体" w:hAnsi="宋体" w:eastAsia="宋体"/>
                <w:b w:val="0"/>
                <w:i w:val="0"/>
                <w:snapToGrid/>
                <w:color w:val="auto"/>
                <w:sz w:val="22"/>
                <w:szCs w:val="16"/>
                <w:u w:val="none"/>
                <w:lang w:eastAsia="zh-CN"/>
              </w:rPr>
              <w:t>5亿--10亿元（含10亿元）</w:t>
            </w:r>
          </w:p>
        </w:tc>
        <w:tc>
          <w:tcPr>
            <w:tcW w:w="1642" w:type="dxa"/>
            <w:tcBorders>
              <w:top w:val="single" w:color="000000" w:sz="4" w:space="0"/>
              <w:left w:val="single" w:color="000000" w:sz="4" w:space="0"/>
              <w:right w:val="single" w:color="000000" w:sz="4" w:space="0"/>
            </w:tcBorders>
            <w:noWrap w:val="0"/>
            <w:vAlign w:val="center"/>
          </w:tcPr>
          <w:p w14:paraId="13173382">
            <w:pPr>
              <w:kinsoku/>
              <w:autoSpaceDE/>
              <w:autoSpaceDN w:val="0"/>
              <w:jc w:val="center"/>
              <w:textAlignment w:val="center"/>
              <w:rPr>
                <w:rFonts w:hint="default" w:ascii="宋体" w:hAnsi="宋体" w:eastAsia="宋体"/>
                <w:b w:val="0"/>
                <w:i w:val="0"/>
                <w:snapToGrid/>
                <w:color w:val="auto"/>
                <w:sz w:val="22"/>
                <w:szCs w:val="16"/>
                <w:u w:val="none"/>
                <w:lang w:eastAsia="zh-CN"/>
              </w:rPr>
            </w:pPr>
            <w:r>
              <w:rPr>
                <w:rFonts w:hint="default" w:ascii="宋体" w:hAnsi="宋体" w:eastAsia="宋体"/>
                <w:b w:val="0"/>
                <w:i w:val="0"/>
                <w:snapToGrid/>
                <w:color w:val="auto"/>
                <w:sz w:val="22"/>
                <w:szCs w:val="16"/>
                <w:u w:val="none"/>
                <w:lang w:eastAsia="zh-CN"/>
              </w:rPr>
              <w:t>0.045%</w:t>
            </w:r>
          </w:p>
        </w:tc>
        <w:tc>
          <w:tcPr>
            <w:tcW w:w="1433" w:type="dxa"/>
            <w:tcBorders>
              <w:top w:val="single" w:color="000000" w:sz="4" w:space="0"/>
              <w:left w:val="single" w:color="000000" w:sz="4" w:space="0"/>
              <w:right w:val="single" w:color="000000" w:sz="4" w:space="0"/>
            </w:tcBorders>
            <w:noWrap w:val="0"/>
            <w:vAlign w:val="center"/>
          </w:tcPr>
          <w:p w14:paraId="5963FD7F">
            <w:pPr>
              <w:kinsoku/>
              <w:autoSpaceDE/>
              <w:autoSpaceDN w:val="0"/>
              <w:jc w:val="center"/>
              <w:textAlignment w:val="center"/>
              <w:rPr>
                <w:rFonts w:hint="default" w:ascii="宋体" w:hAnsi="宋体" w:eastAsia="宋体"/>
                <w:b w:val="0"/>
                <w:i w:val="0"/>
                <w:snapToGrid/>
                <w:color w:val="auto"/>
                <w:sz w:val="22"/>
                <w:szCs w:val="16"/>
                <w:u w:val="none"/>
                <w:lang w:eastAsia="zh-CN"/>
              </w:rPr>
            </w:pPr>
            <w:r>
              <w:rPr>
                <w:rFonts w:hint="default" w:ascii="宋体" w:hAnsi="宋体" w:eastAsia="宋体"/>
                <w:b w:val="0"/>
                <w:i w:val="0"/>
                <w:snapToGrid/>
                <w:color w:val="auto"/>
                <w:sz w:val="22"/>
                <w:szCs w:val="16"/>
                <w:u w:val="none"/>
                <w:lang w:eastAsia="zh-CN"/>
              </w:rPr>
              <w:t>0.045%</w:t>
            </w:r>
          </w:p>
        </w:tc>
        <w:tc>
          <w:tcPr>
            <w:tcW w:w="1711" w:type="dxa"/>
            <w:tcBorders>
              <w:top w:val="single" w:color="000000" w:sz="4" w:space="0"/>
              <w:left w:val="single" w:color="000000" w:sz="4" w:space="0"/>
              <w:right w:val="single" w:color="000000" w:sz="4" w:space="0"/>
            </w:tcBorders>
            <w:noWrap w:val="0"/>
            <w:vAlign w:val="center"/>
          </w:tcPr>
          <w:p w14:paraId="55D262AC">
            <w:pPr>
              <w:kinsoku/>
              <w:autoSpaceDE/>
              <w:autoSpaceDN w:val="0"/>
              <w:jc w:val="center"/>
              <w:textAlignment w:val="center"/>
              <w:rPr>
                <w:rFonts w:hint="default" w:ascii="宋体" w:hAnsi="宋体" w:eastAsia="宋体"/>
                <w:b w:val="0"/>
                <w:i w:val="0"/>
                <w:snapToGrid/>
                <w:color w:val="auto"/>
                <w:sz w:val="22"/>
                <w:szCs w:val="16"/>
                <w:u w:val="none"/>
                <w:lang w:eastAsia="zh-CN"/>
              </w:rPr>
            </w:pPr>
            <w:r>
              <w:rPr>
                <w:rFonts w:hint="default" w:ascii="宋体" w:hAnsi="宋体" w:eastAsia="宋体"/>
                <w:b w:val="0"/>
                <w:i w:val="0"/>
                <w:snapToGrid/>
                <w:color w:val="auto"/>
                <w:sz w:val="22"/>
                <w:szCs w:val="16"/>
                <w:u w:val="none"/>
                <w:lang w:eastAsia="zh-CN"/>
              </w:rPr>
              <w:t>0.045%</w:t>
            </w:r>
          </w:p>
        </w:tc>
      </w:tr>
      <w:tr w14:paraId="437A5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A199F00">
            <w:pPr>
              <w:kinsoku/>
              <w:autoSpaceDE/>
              <w:autoSpaceDN w:val="0"/>
              <w:jc w:val="left"/>
              <w:textAlignment w:val="center"/>
              <w:rPr>
                <w:rFonts w:hint="default" w:ascii="宋体" w:hAnsi="宋体" w:eastAsia="宋体"/>
                <w:b w:val="0"/>
                <w:i w:val="0"/>
                <w:snapToGrid/>
                <w:color w:val="auto"/>
                <w:sz w:val="22"/>
                <w:szCs w:val="16"/>
                <w:u w:val="none"/>
                <w:lang w:eastAsia="zh-CN"/>
              </w:rPr>
            </w:pPr>
            <w:r>
              <w:rPr>
                <w:rFonts w:hint="default" w:ascii="宋体" w:hAnsi="宋体" w:eastAsia="宋体"/>
                <w:b w:val="0"/>
                <w:i w:val="0"/>
                <w:snapToGrid/>
                <w:color w:val="auto"/>
                <w:sz w:val="22"/>
                <w:szCs w:val="16"/>
                <w:u w:val="none"/>
                <w:lang w:eastAsia="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A78C0AF">
            <w:pPr>
              <w:kinsoku/>
              <w:autoSpaceDE/>
              <w:autoSpaceDN w:val="0"/>
              <w:jc w:val="center"/>
              <w:textAlignment w:val="center"/>
              <w:rPr>
                <w:rFonts w:hint="default" w:ascii="宋体" w:hAnsi="宋体" w:eastAsia="宋体"/>
                <w:b w:val="0"/>
                <w:i w:val="0"/>
                <w:snapToGrid/>
                <w:color w:val="auto"/>
                <w:sz w:val="22"/>
                <w:szCs w:val="16"/>
                <w:u w:val="none"/>
                <w:lang w:eastAsia="zh-CN"/>
              </w:rPr>
            </w:pPr>
            <w:r>
              <w:rPr>
                <w:rFonts w:hint="default" w:ascii="宋体" w:hAnsi="宋体" w:eastAsia="宋体"/>
                <w:b w:val="0"/>
                <w:i w:val="0"/>
                <w:snapToGrid/>
                <w:color w:val="auto"/>
                <w:sz w:val="22"/>
                <w:szCs w:val="16"/>
                <w:u w:val="none"/>
                <w:lang w:eastAsia="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75BEEC3">
            <w:pPr>
              <w:kinsoku/>
              <w:autoSpaceDE/>
              <w:autoSpaceDN w:val="0"/>
              <w:jc w:val="center"/>
              <w:textAlignment w:val="center"/>
              <w:rPr>
                <w:rFonts w:hint="default" w:ascii="宋体" w:hAnsi="宋体" w:eastAsia="宋体"/>
                <w:b w:val="0"/>
                <w:i w:val="0"/>
                <w:snapToGrid/>
                <w:color w:val="auto"/>
                <w:sz w:val="22"/>
                <w:szCs w:val="16"/>
                <w:u w:val="none"/>
                <w:lang w:eastAsia="zh-CN"/>
              </w:rPr>
            </w:pPr>
            <w:r>
              <w:rPr>
                <w:rFonts w:hint="default" w:ascii="宋体" w:hAnsi="宋体" w:eastAsia="宋体"/>
                <w:b w:val="0"/>
                <w:i w:val="0"/>
                <w:snapToGrid/>
                <w:color w:val="auto"/>
                <w:sz w:val="22"/>
                <w:szCs w:val="16"/>
                <w:u w:val="none"/>
                <w:lang w:eastAsia="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81EF4D0">
            <w:pPr>
              <w:kinsoku/>
              <w:autoSpaceDE/>
              <w:autoSpaceDN w:val="0"/>
              <w:jc w:val="center"/>
              <w:textAlignment w:val="center"/>
              <w:rPr>
                <w:rFonts w:hint="default" w:ascii="宋体" w:hAnsi="宋体" w:eastAsia="宋体"/>
                <w:b w:val="0"/>
                <w:i w:val="0"/>
                <w:snapToGrid/>
                <w:color w:val="auto"/>
                <w:sz w:val="22"/>
                <w:szCs w:val="16"/>
                <w:u w:val="none"/>
                <w:lang w:eastAsia="zh-CN"/>
              </w:rPr>
            </w:pPr>
            <w:r>
              <w:rPr>
                <w:rFonts w:hint="default" w:ascii="宋体" w:hAnsi="宋体" w:eastAsia="宋体"/>
                <w:b w:val="0"/>
                <w:i w:val="0"/>
                <w:snapToGrid/>
                <w:color w:val="auto"/>
                <w:sz w:val="22"/>
                <w:szCs w:val="16"/>
                <w:u w:val="none"/>
                <w:lang w:eastAsia="zh-CN"/>
              </w:rPr>
              <w:t>0.010%</w:t>
            </w:r>
          </w:p>
        </w:tc>
      </w:tr>
      <w:tr w14:paraId="450AC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979937F">
            <w:pPr>
              <w:kinsoku/>
              <w:autoSpaceDE/>
              <w:autoSpaceDN w:val="0"/>
              <w:jc w:val="left"/>
              <w:textAlignment w:val="center"/>
              <w:rPr>
                <w:rFonts w:hint="default" w:ascii="宋体" w:hAnsi="宋体" w:eastAsia="宋体"/>
                <w:b w:val="0"/>
                <w:i w:val="0"/>
                <w:snapToGrid/>
                <w:color w:val="auto"/>
                <w:sz w:val="22"/>
                <w:szCs w:val="16"/>
                <w:u w:val="none"/>
                <w:lang w:eastAsia="zh-CN"/>
              </w:rPr>
            </w:pPr>
            <w:r>
              <w:rPr>
                <w:rFonts w:hint="default" w:ascii="宋体" w:hAnsi="宋体" w:eastAsia="宋体"/>
                <w:b w:val="0"/>
                <w:i w:val="0"/>
                <w:snapToGrid/>
                <w:color w:val="auto"/>
                <w:sz w:val="22"/>
                <w:szCs w:val="16"/>
                <w:u w:val="none"/>
                <w:lang w:eastAsia="zh-CN"/>
              </w:rPr>
              <w:t>50亿--100亿元（含</w:t>
            </w:r>
            <w:r>
              <w:rPr>
                <w:rFonts w:hint="eastAsia" w:ascii="宋体" w:hAnsi="宋体"/>
                <w:b w:val="0"/>
                <w:i w:val="0"/>
                <w:snapToGrid/>
                <w:color w:val="auto"/>
                <w:sz w:val="22"/>
                <w:szCs w:val="16"/>
                <w:u w:val="none"/>
                <w:lang w:val="en-US" w:eastAsia="zh-CN"/>
              </w:rPr>
              <w:t>100</w:t>
            </w:r>
            <w:r>
              <w:rPr>
                <w:rFonts w:hint="default" w:ascii="宋体" w:hAnsi="宋体" w:eastAsia="宋体"/>
                <w:b w:val="0"/>
                <w:i w:val="0"/>
                <w:snapToGrid/>
                <w:color w:val="auto"/>
                <w:sz w:val="22"/>
                <w:szCs w:val="16"/>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57D3704">
            <w:pPr>
              <w:kinsoku/>
              <w:autoSpaceDE/>
              <w:autoSpaceDN w:val="0"/>
              <w:jc w:val="center"/>
              <w:textAlignment w:val="center"/>
              <w:rPr>
                <w:rFonts w:hint="default" w:ascii="宋体" w:hAnsi="宋体" w:eastAsia="宋体"/>
                <w:b w:val="0"/>
                <w:i w:val="0"/>
                <w:snapToGrid/>
                <w:color w:val="auto"/>
                <w:sz w:val="22"/>
                <w:szCs w:val="16"/>
                <w:u w:val="none"/>
                <w:lang w:eastAsia="zh-CN"/>
              </w:rPr>
            </w:pPr>
            <w:r>
              <w:rPr>
                <w:rFonts w:hint="default" w:ascii="宋体" w:hAnsi="宋体" w:eastAsia="宋体"/>
                <w:b w:val="0"/>
                <w:i w:val="0"/>
                <w:snapToGrid/>
                <w:color w:val="auto"/>
                <w:sz w:val="22"/>
                <w:szCs w:val="16"/>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0CA1375">
            <w:pPr>
              <w:kinsoku/>
              <w:autoSpaceDE/>
              <w:autoSpaceDN w:val="0"/>
              <w:jc w:val="center"/>
              <w:textAlignment w:val="center"/>
              <w:rPr>
                <w:rFonts w:hint="default" w:ascii="宋体" w:hAnsi="宋体" w:eastAsia="宋体"/>
                <w:b w:val="0"/>
                <w:i w:val="0"/>
                <w:snapToGrid/>
                <w:color w:val="auto"/>
                <w:sz w:val="22"/>
                <w:szCs w:val="16"/>
                <w:u w:val="none"/>
                <w:lang w:eastAsia="zh-CN"/>
              </w:rPr>
            </w:pPr>
            <w:r>
              <w:rPr>
                <w:rFonts w:hint="default" w:ascii="宋体" w:hAnsi="宋体" w:eastAsia="宋体"/>
                <w:b w:val="0"/>
                <w:i w:val="0"/>
                <w:snapToGrid/>
                <w:color w:val="auto"/>
                <w:sz w:val="22"/>
                <w:szCs w:val="16"/>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7F72335">
            <w:pPr>
              <w:kinsoku/>
              <w:autoSpaceDE/>
              <w:autoSpaceDN w:val="0"/>
              <w:jc w:val="center"/>
              <w:textAlignment w:val="center"/>
              <w:rPr>
                <w:rFonts w:hint="default" w:ascii="宋体" w:hAnsi="宋体" w:eastAsia="宋体"/>
                <w:b w:val="0"/>
                <w:i w:val="0"/>
                <w:snapToGrid/>
                <w:color w:val="auto"/>
                <w:sz w:val="22"/>
                <w:szCs w:val="16"/>
                <w:u w:val="none"/>
                <w:lang w:eastAsia="zh-CN"/>
              </w:rPr>
            </w:pPr>
            <w:r>
              <w:rPr>
                <w:rFonts w:hint="default" w:ascii="宋体" w:hAnsi="宋体" w:eastAsia="宋体"/>
                <w:b w:val="0"/>
                <w:i w:val="0"/>
                <w:snapToGrid/>
                <w:color w:val="auto"/>
                <w:sz w:val="22"/>
                <w:szCs w:val="16"/>
                <w:u w:val="none"/>
                <w:lang w:eastAsia="zh-CN"/>
              </w:rPr>
              <w:t>0.008%</w:t>
            </w:r>
          </w:p>
        </w:tc>
      </w:tr>
      <w:tr w14:paraId="690A8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0945477">
            <w:pPr>
              <w:kinsoku/>
              <w:autoSpaceDE/>
              <w:autoSpaceDN w:val="0"/>
              <w:jc w:val="left"/>
              <w:textAlignment w:val="center"/>
              <w:rPr>
                <w:rFonts w:hint="default" w:ascii="宋体" w:hAnsi="宋体" w:eastAsia="宋体"/>
                <w:b w:val="0"/>
                <w:i w:val="0"/>
                <w:snapToGrid/>
                <w:color w:val="auto"/>
                <w:sz w:val="22"/>
                <w:szCs w:val="16"/>
                <w:u w:val="none"/>
                <w:lang w:eastAsia="zh-CN"/>
              </w:rPr>
            </w:pPr>
            <w:r>
              <w:rPr>
                <w:rFonts w:hint="default" w:ascii="宋体" w:hAnsi="宋体" w:eastAsia="宋体"/>
                <w:b w:val="0"/>
                <w:i w:val="0"/>
                <w:snapToGrid/>
                <w:color w:val="auto"/>
                <w:sz w:val="22"/>
                <w:szCs w:val="16"/>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C8CE4FB">
            <w:pPr>
              <w:kinsoku/>
              <w:autoSpaceDE/>
              <w:autoSpaceDN w:val="0"/>
              <w:jc w:val="center"/>
              <w:textAlignment w:val="center"/>
              <w:rPr>
                <w:rFonts w:hint="default" w:ascii="宋体" w:hAnsi="宋体" w:eastAsia="宋体"/>
                <w:b w:val="0"/>
                <w:i w:val="0"/>
                <w:snapToGrid/>
                <w:color w:val="auto"/>
                <w:sz w:val="22"/>
                <w:szCs w:val="16"/>
                <w:u w:val="none"/>
                <w:lang w:eastAsia="zh-CN"/>
              </w:rPr>
            </w:pPr>
            <w:r>
              <w:rPr>
                <w:rFonts w:hint="default" w:ascii="宋体" w:hAnsi="宋体" w:eastAsia="宋体"/>
                <w:b w:val="0"/>
                <w:i w:val="0"/>
                <w:snapToGrid/>
                <w:color w:val="auto"/>
                <w:sz w:val="22"/>
                <w:szCs w:val="16"/>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4832B0F">
            <w:pPr>
              <w:kinsoku/>
              <w:autoSpaceDE/>
              <w:autoSpaceDN w:val="0"/>
              <w:jc w:val="center"/>
              <w:textAlignment w:val="center"/>
              <w:rPr>
                <w:rFonts w:hint="default" w:ascii="宋体" w:hAnsi="宋体" w:eastAsia="宋体"/>
                <w:b w:val="0"/>
                <w:i w:val="0"/>
                <w:snapToGrid/>
                <w:color w:val="auto"/>
                <w:sz w:val="22"/>
                <w:szCs w:val="16"/>
                <w:u w:val="none"/>
                <w:lang w:eastAsia="zh-CN"/>
              </w:rPr>
            </w:pPr>
            <w:r>
              <w:rPr>
                <w:rFonts w:hint="default" w:ascii="宋体" w:hAnsi="宋体" w:eastAsia="宋体"/>
                <w:b w:val="0"/>
                <w:i w:val="0"/>
                <w:snapToGrid/>
                <w:color w:val="auto"/>
                <w:sz w:val="22"/>
                <w:szCs w:val="16"/>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5D0C65D">
            <w:pPr>
              <w:kinsoku/>
              <w:autoSpaceDE/>
              <w:autoSpaceDN w:val="0"/>
              <w:jc w:val="center"/>
              <w:textAlignment w:val="center"/>
              <w:rPr>
                <w:rFonts w:hint="default" w:ascii="宋体" w:hAnsi="宋体" w:eastAsia="宋体"/>
                <w:b w:val="0"/>
                <w:i w:val="0"/>
                <w:snapToGrid/>
                <w:color w:val="auto"/>
                <w:sz w:val="22"/>
                <w:szCs w:val="16"/>
                <w:u w:val="none"/>
                <w:lang w:eastAsia="zh-CN"/>
              </w:rPr>
            </w:pPr>
            <w:r>
              <w:rPr>
                <w:rFonts w:hint="default" w:ascii="宋体" w:hAnsi="宋体" w:eastAsia="宋体"/>
                <w:b w:val="0"/>
                <w:i w:val="0"/>
                <w:snapToGrid/>
                <w:color w:val="auto"/>
                <w:sz w:val="22"/>
                <w:szCs w:val="16"/>
                <w:u w:val="none"/>
                <w:lang w:eastAsia="zh-CN"/>
              </w:rPr>
              <w:t>0.004%</w:t>
            </w:r>
          </w:p>
        </w:tc>
      </w:tr>
      <w:tr w14:paraId="6E59E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noWrap w:val="0"/>
            <w:vAlign w:val="center"/>
          </w:tcPr>
          <w:p w14:paraId="59F864AB">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2"/>
                <w:szCs w:val="22"/>
                <w:u w:val="none"/>
                <w:lang w:eastAsia="zh-CN"/>
              </w:rPr>
            </w:pPr>
            <w:r>
              <w:rPr>
                <w:rFonts w:hint="default" w:ascii="宋体" w:hAnsi="宋体" w:eastAsia="宋体"/>
                <w:b w:val="0"/>
                <w:i w:val="0"/>
                <w:snapToGrid/>
                <w:color w:val="auto"/>
                <w:sz w:val="22"/>
                <w:szCs w:val="22"/>
                <w:u w:val="none"/>
                <w:lang w:eastAsia="zh-CN"/>
              </w:rPr>
              <w:t>注：1.按本表费率计算的收费金额为招标代理服务费的基准价格，不含工程量清单、最高投标限价（招标控制价）或标底的编制费用。</w:t>
            </w:r>
          </w:p>
          <w:p w14:paraId="3C258D92">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2"/>
                <w:szCs w:val="22"/>
                <w:u w:val="none"/>
                <w:lang w:val="en-US" w:eastAsia="zh-CN"/>
              </w:rPr>
            </w:pPr>
            <w:r>
              <w:rPr>
                <w:rFonts w:hint="eastAsia" w:ascii="宋体" w:hAnsi="宋体" w:eastAsia="宋体"/>
                <w:b w:val="0"/>
                <w:i w:val="0"/>
                <w:snapToGrid/>
                <w:color w:val="auto"/>
                <w:sz w:val="22"/>
                <w:szCs w:val="22"/>
                <w:u w:val="none"/>
                <w:lang w:val="en-US" w:eastAsia="zh-CN"/>
              </w:rPr>
              <w:t>2.招标代理服务收费按差额定率累进法计算。</w:t>
            </w:r>
          </w:p>
          <w:p w14:paraId="486BE3B5">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2"/>
                <w:szCs w:val="22"/>
                <w:u w:val="none"/>
                <w:lang w:eastAsia="zh-CN"/>
              </w:rPr>
            </w:pPr>
            <w:r>
              <w:rPr>
                <w:rFonts w:hint="default" w:ascii="宋体" w:hAnsi="宋体" w:eastAsia="宋体"/>
                <w:b w:val="0"/>
                <w:i w:val="0"/>
                <w:snapToGrid/>
                <w:color w:val="auto"/>
                <w:sz w:val="22"/>
                <w:szCs w:val="22"/>
                <w:u w:val="none"/>
                <w:lang w:eastAsia="zh-CN"/>
              </w:rPr>
              <w:t>例如: 某工程招标代理业务，项目预算金额（招标控制价）为10000万元，招标代理服务收费计算如下:</w:t>
            </w:r>
          </w:p>
          <w:p w14:paraId="1AC8F97A">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2"/>
                <w:szCs w:val="22"/>
                <w:u w:val="none"/>
                <w:lang w:eastAsia="zh-CN"/>
              </w:rPr>
            </w:pPr>
            <w:r>
              <w:rPr>
                <w:rFonts w:hint="eastAsia" w:ascii="宋体" w:hAnsi="宋体"/>
                <w:b w:val="0"/>
                <w:i w:val="0"/>
                <w:snapToGrid/>
                <w:color w:val="auto"/>
                <w:sz w:val="22"/>
                <w:szCs w:val="22"/>
                <w:u w:val="none"/>
                <w:lang w:val="en-US" w:eastAsia="zh-CN"/>
              </w:rPr>
              <w:t xml:space="preserve"> </w:t>
            </w:r>
            <w:r>
              <w:rPr>
                <w:rFonts w:hint="default" w:ascii="宋体" w:hAnsi="宋体" w:eastAsia="宋体"/>
                <w:b w:val="0"/>
                <w:i w:val="0"/>
                <w:snapToGrid/>
                <w:color w:val="auto"/>
                <w:sz w:val="22"/>
                <w:szCs w:val="22"/>
                <w:u w:val="none"/>
                <w:lang w:eastAsia="zh-CN"/>
              </w:rPr>
              <w:t>100万元×1.2%=1.2万元</w:t>
            </w:r>
          </w:p>
          <w:p w14:paraId="40E32534">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2"/>
                <w:szCs w:val="22"/>
                <w:u w:val="none"/>
                <w:lang w:eastAsia="zh-CN"/>
              </w:rPr>
            </w:pPr>
            <w:r>
              <w:rPr>
                <w:rFonts w:hint="default" w:ascii="宋体" w:hAnsi="宋体" w:eastAsia="宋体"/>
                <w:b w:val="0"/>
                <w:i w:val="0"/>
                <w:snapToGrid/>
                <w:color w:val="auto"/>
                <w:sz w:val="22"/>
                <w:szCs w:val="22"/>
                <w:u w:val="none"/>
                <w:lang w:eastAsia="zh-CN"/>
              </w:rPr>
              <w:t>（500-100）万元×1.0%=4万元</w:t>
            </w:r>
          </w:p>
          <w:p w14:paraId="7D35269A">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2"/>
                <w:szCs w:val="22"/>
                <w:u w:val="none"/>
                <w:lang w:eastAsia="zh-CN"/>
              </w:rPr>
            </w:pPr>
            <w:r>
              <w:rPr>
                <w:rFonts w:hint="default" w:ascii="宋体" w:hAnsi="宋体" w:eastAsia="宋体"/>
                <w:b w:val="0"/>
                <w:i w:val="0"/>
                <w:snapToGrid/>
                <w:color w:val="auto"/>
                <w:sz w:val="22"/>
                <w:szCs w:val="22"/>
                <w:u w:val="none"/>
                <w:lang w:eastAsia="zh-CN"/>
              </w:rPr>
              <w:t>（1000-500）×0.7%=3.5万元</w:t>
            </w:r>
          </w:p>
          <w:p w14:paraId="7C3B9C45">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2"/>
                <w:szCs w:val="22"/>
                <w:u w:val="none"/>
                <w:lang w:eastAsia="zh-CN"/>
              </w:rPr>
            </w:pPr>
            <w:r>
              <w:rPr>
                <w:rFonts w:hint="default" w:ascii="宋体" w:hAnsi="宋体" w:eastAsia="宋体"/>
                <w:b w:val="0"/>
                <w:i w:val="0"/>
                <w:snapToGrid/>
                <w:color w:val="auto"/>
                <w:sz w:val="22"/>
                <w:szCs w:val="22"/>
                <w:u w:val="none"/>
                <w:lang w:eastAsia="zh-CN"/>
              </w:rPr>
              <w:t>（5000-1000）×0.4%=16万元</w:t>
            </w:r>
          </w:p>
          <w:p w14:paraId="478653AF">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0"/>
                <w:szCs w:val="16"/>
                <w:u w:val="none"/>
                <w:lang w:eastAsia="zh-CN"/>
              </w:rPr>
            </w:pPr>
            <w:r>
              <w:rPr>
                <w:rFonts w:hint="default" w:ascii="宋体" w:hAnsi="宋体" w:eastAsia="宋体"/>
                <w:b w:val="0"/>
                <w:i w:val="0"/>
                <w:snapToGrid/>
                <w:color w:val="auto"/>
                <w:sz w:val="22"/>
                <w:szCs w:val="22"/>
                <w:u w:val="none"/>
                <w:lang w:eastAsia="zh-CN"/>
              </w:rPr>
              <w:t>（10000-5000）×0.25%=12.5万元合计收费=1.2+4+3.5+16+12.5=37.2万元</w:t>
            </w:r>
          </w:p>
        </w:tc>
      </w:tr>
    </w:tbl>
    <w:p w14:paraId="2280D2DE">
      <w:pPr>
        <w:widowControl/>
        <w:spacing w:line="480" w:lineRule="exact"/>
        <w:ind w:firstLine="480" w:firstLineChars="200"/>
        <w:rPr>
          <w:rFonts w:ascii="宋体" w:hAnsi="宋体"/>
          <w:kern w:val="0"/>
          <w:sz w:val="24"/>
          <w:szCs w:val="24"/>
        </w:rPr>
      </w:pPr>
    </w:p>
    <w:p w14:paraId="38D88EA2">
      <w:pPr>
        <w:spacing w:line="360" w:lineRule="auto"/>
        <w:ind w:firstLine="424" w:firstLineChars="176"/>
        <w:rPr>
          <w:rFonts w:ascii="宋体" w:hAnsi="宋体"/>
          <w:b/>
          <w:bCs/>
          <w:sz w:val="24"/>
          <w:szCs w:val="24"/>
        </w:rPr>
      </w:pPr>
      <w:r>
        <w:rPr>
          <w:rFonts w:ascii="宋体" w:hAnsi="宋体"/>
          <w:b/>
          <w:bCs/>
          <w:sz w:val="24"/>
          <w:szCs w:val="24"/>
        </w:rPr>
        <w:t>4</w:t>
      </w:r>
      <w:r>
        <w:rPr>
          <w:rFonts w:hint="eastAsia" w:ascii="宋体" w:hAnsi="宋体"/>
          <w:b/>
          <w:bCs/>
          <w:sz w:val="24"/>
          <w:szCs w:val="24"/>
        </w:rPr>
        <w:t>、竞争性磋商文件的构成</w:t>
      </w:r>
    </w:p>
    <w:p w14:paraId="5731902A">
      <w:pPr>
        <w:spacing w:line="360" w:lineRule="auto"/>
        <w:ind w:firstLine="422" w:firstLineChars="176"/>
        <w:rPr>
          <w:rFonts w:ascii="宋体" w:hAnsi="宋体"/>
          <w:sz w:val="24"/>
          <w:szCs w:val="24"/>
        </w:rPr>
      </w:pPr>
      <w:r>
        <w:rPr>
          <w:rFonts w:hint="eastAsia" w:ascii="宋体" w:hAnsi="宋体"/>
          <w:sz w:val="24"/>
          <w:szCs w:val="24"/>
        </w:rPr>
        <w:t>第一章 竞争性磋商公告</w:t>
      </w:r>
    </w:p>
    <w:p w14:paraId="40BBE59D">
      <w:pPr>
        <w:spacing w:line="360" w:lineRule="auto"/>
        <w:ind w:firstLine="422" w:firstLineChars="176"/>
        <w:rPr>
          <w:rFonts w:ascii="宋体" w:hAnsi="宋体"/>
          <w:sz w:val="24"/>
          <w:szCs w:val="24"/>
        </w:rPr>
      </w:pPr>
      <w:r>
        <w:rPr>
          <w:rFonts w:hint="eastAsia" w:ascii="宋体" w:hAnsi="宋体"/>
          <w:sz w:val="24"/>
          <w:szCs w:val="24"/>
        </w:rPr>
        <w:t>第二章 供应商须知</w:t>
      </w:r>
    </w:p>
    <w:p w14:paraId="332F70DB">
      <w:pPr>
        <w:spacing w:line="360" w:lineRule="auto"/>
        <w:ind w:firstLine="422" w:firstLineChars="176"/>
        <w:rPr>
          <w:rFonts w:ascii="宋体" w:hAnsi="宋体"/>
          <w:sz w:val="24"/>
          <w:szCs w:val="24"/>
        </w:rPr>
      </w:pPr>
      <w:r>
        <w:rPr>
          <w:rFonts w:hint="eastAsia" w:ascii="宋体" w:hAnsi="宋体"/>
          <w:sz w:val="24"/>
          <w:szCs w:val="24"/>
        </w:rPr>
        <w:t>第三章 评审办法</w:t>
      </w:r>
    </w:p>
    <w:p w14:paraId="62041FA6">
      <w:pPr>
        <w:spacing w:line="360" w:lineRule="auto"/>
        <w:ind w:firstLine="422" w:firstLineChars="176"/>
        <w:rPr>
          <w:rFonts w:hint="eastAsia" w:ascii="宋体" w:hAnsi="宋体" w:eastAsiaTheme="minorEastAsia"/>
          <w:sz w:val="24"/>
          <w:szCs w:val="24"/>
          <w:lang w:eastAsia="zh-CN"/>
        </w:rPr>
      </w:pPr>
      <w:r>
        <w:rPr>
          <w:rFonts w:hint="eastAsia" w:ascii="宋体" w:hAnsi="宋体"/>
          <w:sz w:val="24"/>
          <w:szCs w:val="24"/>
        </w:rPr>
        <w:t xml:space="preserve">第四章 </w:t>
      </w:r>
      <w:r>
        <w:rPr>
          <w:rFonts w:hint="eastAsia" w:ascii="宋体" w:hAnsi="宋体" w:cs="宋体"/>
          <w:bCs/>
          <w:sz w:val="24"/>
          <w:lang w:val="en-US" w:eastAsia="zh-CN"/>
        </w:rPr>
        <w:t>采购需求</w:t>
      </w:r>
    </w:p>
    <w:p w14:paraId="5A67F6CF">
      <w:pPr>
        <w:spacing w:line="360" w:lineRule="auto"/>
        <w:ind w:firstLine="422" w:firstLineChars="176"/>
        <w:rPr>
          <w:rFonts w:ascii="宋体" w:hAnsi="宋体"/>
          <w:sz w:val="24"/>
          <w:szCs w:val="24"/>
        </w:rPr>
      </w:pPr>
      <w:r>
        <w:rPr>
          <w:rFonts w:hint="eastAsia" w:ascii="宋体" w:hAnsi="宋体"/>
          <w:sz w:val="24"/>
          <w:szCs w:val="24"/>
        </w:rPr>
        <w:t>第五章 合同条款</w:t>
      </w:r>
    </w:p>
    <w:p w14:paraId="1507D428">
      <w:pPr>
        <w:spacing w:line="360" w:lineRule="auto"/>
        <w:ind w:firstLine="422" w:firstLineChars="176"/>
        <w:rPr>
          <w:rFonts w:ascii="宋体" w:hAnsi="宋体"/>
          <w:sz w:val="24"/>
          <w:szCs w:val="24"/>
        </w:rPr>
      </w:pPr>
      <w:r>
        <w:rPr>
          <w:rFonts w:hint="eastAsia" w:ascii="宋体" w:hAnsi="宋体"/>
          <w:sz w:val="24"/>
          <w:szCs w:val="24"/>
        </w:rPr>
        <w:t>第六章 响应文件格式</w:t>
      </w:r>
    </w:p>
    <w:p w14:paraId="751900FF">
      <w:pPr>
        <w:spacing w:line="360" w:lineRule="auto"/>
        <w:ind w:firstLine="424" w:firstLineChars="176"/>
        <w:rPr>
          <w:rFonts w:ascii="宋体" w:hAnsi="宋体"/>
          <w:b/>
          <w:bCs/>
          <w:sz w:val="24"/>
          <w:szCs w:val="24"/>
        </w:rPr>
      </w:pPr>
      <w:r>
        <w:rPr>
          <w:rFonts w:ascii="宋体" w:hAnsi="宋体"/>
          <w:b/>
          <w:bCs/>
          <w:sz w:val="24"/>
          <w:szCs w:val="24"/>
        </w:rPr>
        <w:t>5</w:t>
      </w:r>
      <w:r>
        <w:rPr>
          <w:rFonts w:hint="eastAsia" w:ascii="宋体" w:hAnsi="宋体"/>
          <w:b/>
          <w:bCs/>
          <w:sz w:val="24"/>
          <w:szCs w:val="24"/>
        </w:rPr>
        <w:t>、竞争性磋商文件的澄清</w:t>
      </w:r>
    </w:p>
    <w:p w14:paraId="7B10A831">
      <w:pPr>
        <w:spacing w:line="360" w:lineRule="auto"/>
        <w:ind w:firstLine="422" w:firstLineChars="176"/>
        <w:rPr>
          <w:rFonts w:ascii="宋体" w:hAnsi="宋体"/>
          <w:kern w:val="0"/>
          <w:sz w:val="24"/>
        </w:rPr>
      </w:pPr>
      <w:r>
        <w:rPr>
          <w:rFonts w:ascii="宋体" w:hAnsi="宋体"/>
          <w:sz w:val="24"/>
          <w:szCs w:val="24"/>
        </w:rPr>
        <w:t>5.1</w:t>
      </w:r>
      <w:r>
        <w:rPr>
          <w:rFonts w:hint="eastAsia" w:ascii="宋体" w:hAnsi="宋体"/>
          <w:kern w:val="0"/>
          <w:sz w:val="24"/>
        </w:rPr>
        <w:t>供应商应仔细阅读和检查竞争性磋商文件的全部内容。如发现缺页或附件不全，应及时向采购人提出，以便补齐。如有疑问，应在磋商截止日期5日前在三门峡市公共资源交易系统中提出咨询并打电话至采购代理机构，要求采购人对竞争性磋商文件予以澄清。</w:t>
      </w:r>
    </w:p>
    <w:p w14:paraId="77030EFF">
      <w:pPr>
        <w:widowControl/>
        <w:spacing w:line="480" w:lineRule="exact"/>
        <w:ind w:firstLine="480" w:firstLineChars="200"/>
        <w:rPr>
          <w:rFonts w:ascii="宋体" w:hAnsi="宋体"/>
          <w:kern w:val="0"/>
          <w:sz w:val="24"/>
          <w:szCs w:val="24"/>
        </w:rPr>
      </w:pPr>
      <w:r>
        <w:rPr>
          <w:rFonts w:hint="eastAsia" w:ascii="宋体" w:hAnsi="宋体"/>
          <w:kern w:val="0"/>
          <w:sz w:val="24"/>
          <w:szCs w:val="24"/>
        </w:rPr>
        <w:t>5.2竞争性磋商文件的澄清以澄清回复的方式在三门峡市公共资源交易系统中回复所有报名完成的供应商或发布澄清公告，但不指明澄清问题的来源。澄清磋商文件实质性内容且影响响应文件编制的，应当顺延提交首次响应文件截止时间。</w:t>
      </w:r>
    </w:p>
    <w:p w14:paraId="1BB2EF3D">
      <w:pPr>
        <w:widowControl/>
        <w:spacing w:line="480" w:lineRule="exact"/>
        <w:ind w:firstLine="480" w:firstLineChars="200"/>
        <w:rPr>
          <w:rFonts w:ascii="宋体" w:hAnsi="宋体"/>
          <w:kern w:val="0"/>
          <w:sz w:val="24"/>
          <w:szCs w:val="24"/>
        </w:rPr>
      </w:pPr>
      <w:r>
        <w:rPr>
          <w:rFonts w:hint="eastAsia" w:ascii="宋体" w:hAnsi="宋体"/>
          <w:kern w:val="0"/>
          <w:sz w:val="24"/>
          <w:szCs w:val="24"/>
        </w:rPr>
        <w:t>5.3提交首次响应文件截止之日前，采购人、代理公司可以对已发出的竞争性磋商文件进行必要的澄清或者修改，澄清或者修改的内容作为竞争性磋商文件的组成部分。澄清或者修改的内容可能影响响应文件编制的，采购人、代理公司将在提交首次响应文件截止时间至少5日前，在相关网上发布变更公告形式通知所有获取竞争性磋商文件的供应商。不足5日的，应当顺延提交首次响应文件截止时间。</w:t>
      </w:r>
    </w:p>
    <w:p w14:paraId="5A5BBF37">
      <w:pPr>
        <w:widowControl/>
        <w:spacing w:line="480" w:lineRule="exact"/>
        <w:ind w:firstLine="480" w:firstLineChars="200"/>
        <w:rPr>
          <w:rFonts w:hint="eastAsia" w:ascii="宋体" w:hAnsi="宋体"/>
          <w:kern w:val="0"/>
          <w:sz w:val="24"/>
          <w:szCs w:val="24"/>
        </w:rPr>
      </w:pPr>
      <w:r>
        <w:rPr>
          <w:rFonts w:hint="eastAsia" w:ascii="宋体" w:hAnsi="宋体"/>
          <w:kern w:val="0"/>
          <w:sz w:val="24"/>
          <w:szCs w:val="24"/>
        </w:rPr>
        <w:t>5.4供应商应自行查看澄清或变更信息。</w:t>
      </w:r>
    </w:p>
    <w:p w14:paraId="75C4EE6B">
      <w:pPr>
        <w:widowControl/>
        <w:spacing w:line="480" w:lineRule="exact"/>
        <w:ind w:firstLine="482" w:firstLineChars="200"/>
        <w:rPr>
          <w:rFonts w:hint="eastAsia" w:ascii="宋体" w:hAnsi="宋体"/>
          <w:b/>
          <w:bCs/>
          <w:kern w:val="0"/>
          <w:sz w:val="24"/>
          <w:szCs w:val="24"/>
        </w:rPr>
      </w:pPr>
      <w:r>
        <w:rPr>
          <w:rFonts w:hint="eastAsia" w:ascii="宋体" w:hAnsi="宋体"/>
          <w:b/>
          <w:bCs/>
          <w:kern w:val="0"/>
          <w:sz w:val="24"/>
          <w:szCs w:val="24"/>
        </w:rPr>
        <w:t>6、竞争性磋商文件的修改</w:t>
      </w:r>
    </w:p>
    <w:p w14:paraId="4B1D0EE4">
      <w:pPr>
        <w:widowControl/>
        <w:spacing w:line="480" w:lineRule="exact"/>
        <w:ind w:firstLine="480" w:firstLineChars="200"/>
        <w:rPr>
          <w:rFonts w:hint="eastAsia" w:ascii="宋体" w:hAnsi="宋体"/>
          <w:kern w:val="0"/>
          <w:sz w:val="24"/>
          <w:szCs w:val="24"/>
        </w:rPr>
      </w:pPr>
      <w:r>
        <w:rPr>
          <w:rFonts w:hint="eastAsia" w:ascii="宋体" w:hAnsi="宋体"/>
          <w:kern w:val="0"/>
          <w:sz w:val="24"/>
          <w:szCs w:val="24"/>
        </w:rPr>
        <w:t>6.1竞争性磋商文件的修改书将构成响应文件的一部分，对所有供应商均有约束力。</w:t>
      </w:r>
    </w:p>
    <w:p w14:paraId="457DC88D">
      <w:pPr>
        <w:widowControl/>
        <w:spacing w:line="480" w:lineRule="exact"/>
        <w:ind w:firstLine="482" w:firstLineChars="200"/>
        <w:rPr>
          <w:rFonts w:hint="eastAsia" w:ascii="宋体" w:hAnsi="宋体"/>
          <w:b/>
          <w:bCs/>
          <w:kern w:val="0"/>
          <w:sz w:val="24"/>
          <w:szCs w:val="24"/>
        </w:rPr>
      </w:pPr>
      <w:r>
        <w:rPr>
          <w:rFonts w:hint="eastAsia" w:ascii="宋体" w:hAnsi="宋体"/>
          <w:b/>
          <w:bCs/>
          <w:kern w:val="0"/>
          <w:sz w:val="24"/>
          <w:szCs w:val="24"/>
        </w:rPr>
        <w:t>7、要求</w:t>
      </w:r>
    </w:p>
    <w:p w14:paraId="2DAB6C80">
      <w:pPr>
        <w:widowControl/>
        <w:spacing w:line="480" w:lineRule="exact"/>
        <w:ind w:firstLine="480" w:firstLineChars="200"/>
        <w:rPr>
          <w:rFonts w:hint="eastAsia" w:ascii="宋体" w:hAnsi="宋体"/>
          <w:kern w:val="0"/>
          <w:sz w:val="24"/>
          <w:szCs w:val="24"/>
        </w:rPr>
      </w:pPr>
      <w:r>
        <w:rPr>
          <w:rFonts w:hint="eastAsia" w:ascii="宋体" w:hAnsi="宋体"/>
          <w:kern w:val="0"/>
          <w:sz w:val="24"/>
          <w:szCs w:val="24"/>
        </w:rPr>
        <w:t>7.1供应商应仔细阅读竞争性磋商文件的所有内容，按竞争性磋商文件的要求提供响应文件，并保证所提供资料的真实性，以使其响应文件对竞争性磋商文件作出实质性响应，否则，其响应文件不予接受。</w:t>
      </w:r>
    </w:p>
    <w:p w14:paraId="5A0C110D">
      <w:pPr>
        <w:spacing w:line="360" w:lineRule="auto"/>
        <w:ind w:firstLine="424" w:firstLineChars="176"/>
        <w:rPr>
          <w:rFonts w:ascii="宋体" w:hAnsi="宋体"/>
          <w:b/>
          <w:bCs/>
          <w:sz w:val="24"/>
          <w:szCs w:val="24"/>
        </w:rPr>
      </w:pPr>
      <w:r>
        <w:rPr>
          <w:rFonts w:hint="eastAsia" w:ascii="宋体" w:hAnsi="宋体"/>
          <w:b/>
          <w:bCs/>
          <w:sz w:val="24"/>
          <w:szCs w:val="24"/>
        </w:rPr>
        <w:t>8、电子化响应文件的组成</w:t>
      </w:r>
    </w:p>
    <w:p w14:paraId="3096016D">
      <w:pPr>
        <w:adjustRightInd w:val="0"/>
        <w:snapToGri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en-US"/>
        </w:rPr>
        <w:t>磋商函</w:t>
      </w:r>
      <w:r>
        <w:rPr>
          <w:rFonts w:hint="eastAsia" w:ascii="宋体" w:hAnsi="宋体" w:cs="宋体"/>
          <w:color w:val="000000"/>
          <w:sz w:val="24"/>
          <w:szCs w:val="24"/>
          <w:highlight w:val="none"/>
          <w:lang w:val="en-US" w:eastAsia="zh-CN"/>
        </w:rPr>
        <w:t>及磋商报价一览表</w:t>
      </w:r>
    </w:p>
    <w:p w14:paraId="1E87C698">
      <w:pPr>
        <w:adjustRightInd w:val="0"/>
        <w:snapToGri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（2) 法定代表人身份证明书</w:t>
      </w:r>
    </w:p>
    <w:p w14:paraId="1255EDD3">
      <w:pPr>
        <w:adjustRightInd w:val="0"/>
        <w:snapToGri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（3）法定代表人授权委托书</w:t>
      </w:r>
    </w:p>
    <w:p w14:paraId="63F8870E">
      <w:pPr>
        <w:adjustRightInd w:val="0"/>
        <w:snapToGrid w:val="0"/>
        <w:spacing w:line="360" w:lineRule="auto"/>
        <w:ind w:firstLine="525" w:firstLineChars="250"/>
        <w:jc w:val="left"/>
        <w:rPr>
          <w:rFonts w:ascii="宋体" w:hAnsi="宋体" w:cs="宋体"/>
          <w:color w:val="000000"/>
          <w:sz w:val="24"/>
          <w:szCs w:val="24"/>
          <w:highlight w:val="none"/>
        </w:rPr>
      </w:pPr>
      <w:r>
        <w:rPr>
          <w:highlight w:val="none"/>
        </w:rPr>
        <w:fldChar w:fldCharType="begin"/>
      </w:r>
      <w:r>
        <w:rPr>
          <w:highlight w:val="none"/>
        </w:rPr>
        <w:instrText xml:space="preserve"> HYPERLINK \l "_Toc77596816" </w:instrText>
      </w:r>
      <w:r>
        <w:rPr>
          <w:highlight w:val="none"/>
        </w:rPr>
        <w:fldChar w:fldCharType="separate"/>
      </w:r>
      <w:r>
        <w:rPr>
          <w:rFonts w:hint="eastAsia" w:ascii="宋体" w:hAnsi="宋体" w:cs="宋体"/>
          <w:color w:val="000000"/>
          <w:sz w:val="24"/>
          <w:szCs w:val="24"/>
          <w:highlight w:val="none"/>
        </w:rPr>
        <w:t>（4）</w:t>
      </w:r>
      <w:r>
        <w:rPr>
          <w:rFonts w:hint="eastAsia" w:ascii="宋体" w:hAnsi="宋体" w:cs="宋体"/>
          <w:color w:val="000000"/>
          <w:sz w:val="24"/>
          <w:szCs w:val="24"/>
          <w:highlight w:val="none"/>
          <w:lang w:val="en-US" w:eastAsia="zh-CN"/>
        </w:rPr>
        <w:t>供应商资格审查</w:t>
      </w:r>
      <w:r>
        <w:rPr>
          <w:rFonts w:hint="eastAsia" w:ascii="宋体" w:hAnsi="宋体" w:cs="宋体"/>
          <w:color w:val="000000"/>
          <w:sz w:val="24"/>
          <w:szCs w:val="24"/>
          <w:highlight w:val="none"/>
        </w:rPr>
        <w:t>资料</w:t>
      </w:r>
      <w:r>
        <w:rPr>
          <w:rFonts w:hint="eastAsia" w:ascii="宋体" w:hAnsi="宋体" w:cs="宋体"/>
          <w:color w:val="000000"/>
          <w:sz w:val="24"/>
          <w:szCs w:val="24"/>
          <w:highlight w:val="none"/>
        </w:rPr>
        <w:fldChar w:fldCharType="end"/>
      </w:r>
    </w:p>
    <w:p w14:paraId="1480C85E">
      <w:pPr>
        <w:adjustRightInd w:val="0"/>
        <w:snapToGrid w:val="0"/>
        <w:spacing w:line="360" w:lineRule="auto"/>
        <w:ind w:firstLine="480" w:firstLineChars="200"/>
        <w:jc w:val="left"/>
        <w:rPr>
          <w:rFonts w:hint="eastAsia" w:ascii="宋体" w:hAnsi="宋体" w:cs="宋体" w:eastAsiaTheme="minorEastAsia"/>
          <w:color w:val="000000"/>
          <w:sz w:val="24"/>
          <w:szCs w:val="24"/>
          <w:highlight w:val="none"/>
          <w:lang w:eastAsia="zh-CN"/>
        </w:rPr>
      </w:pPr>
      <w:r>
        <w:rPr>
          <w:rFonts w:hint="eastAsia" w:ascii="宋体" w:hAnsi="宋体" w:cs="宋体"/>
          <w:color w:val="000000"/>
          <w:sz w:val="24"/>
          <w:szCs w:val="24"/>
          <w:highlight w:val="none"/>
        </w:rPr>
        <w:t>（5）技术</w:t>
      </w:r>
      <w:r>
        <w:rPr>
          <w:rFonts w:hint="eastAsia" w:ascii="宋体" w:hAnsi="宋体" w:cs="宋体"/>
          <w:color w:val="000000"/>
          <w:sz w:val="24"/>
          <w:szCs w:val="24"/>
          <w:highlight w:val="none"/>
          <w:lang w:val="en-US" w:eastAsia="zh-CN"/>
        </w:rPr>
        <w:t>部分</w:t>
      </w:r>
    </w:p>
    <w:p w14:paraId="42FD3443">
      <w:pPr>
        <w:numPr>
          <w:ilvl w:val="0"/>
          <w:numId w:val="1"/>
        </w:numPr>
        <w:adjustRightInd w:val="0"/>
        <w:snapToGri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项目管理机构</w:t>
      </w:r>
    </w:p>
    <w:p w14:paraId="0946474F">
      <w:pPr>
        <w:numPr>
          <w:ilvl w:val="0"/>
          <w:numId w:val="1"/>
        </w:numPr>
        <w:adjustRightInd w:val="0"/>
        <w:snapToGri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供应商承担过的类似业绩</w:t>
      </w:r>
    </w:p>
    <w:p w14:paraId="2FCA0C79">
      <w:pPr>
        <w:numPr>
          <w:ilvl w:val="0"/>
          <w:numId w:val="1"/>
        </w:numPr>
        <w:adjustRightInd w:val="0"/>
        <w:snapToGri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供应商认为需要提供的其他材料</w:t>
      </w:r>
    </w:p>
    <w:p w14:paraId="1A5ED8EE">
      <w:pPr>
        <w:adjustRightInd w:val="0"/>
        <w:snapToGrid w:val="0"/>
        <w:spacing w:line="360" w:lineRule="auto"/>
        <w:ind w:firstLine="480" w:firstLineChars="200"/>
        <w:jc w:val="left"/>
        <w:rPr>
          <w:rFonts w:hint="eastAsia" w:ascii="宋体" w:hAnsi="宋体" w:cs="宋体" w:eastAsiaTheme="minorEastAsia"/>
          <w:color w:val="000000"/>
          <w:sz w:val="24"/>
          <w:szCs w:val="24"/>
          <w:highlight w:val="none"/>
          <w:lang w:val="en-US" w:eastAsia="zh-CN"/>
        </w:rPr>
      </w:pPr>
      <w:r>
        <w:rPr>
          <w:rFonts w:hint="eastAsia"/>
          <w:sz w:val="24"/>
          <w:szCs w:val="32"/>
          <w:highlight w:val="none"/>
          <w:lang w:eastAsia="zh-CN"/>
        </w:rPr>
        <w:t>（</w:t>
      </w:r>
      <w:r>
        <w:rPr>
          <w:rFonts w:hint="eastAsia"/>
          <w:sz w:val="24"/>
          <w:szCs w:val="32"/>
          <w:highlight w:val="none"/>
          <w:lang w:val="en-US" w:eastAsia="zh-CN"/>
        </w:rPr>
        <w:t>11</w:t>
      </w:r>
      <w:r>
        <w:rPr>
          <w:rFonts w:hint="eastAsia"/>
          <w:sz w:val="24"/>
          <w:szCs w:val="32"/>
          <w:highlight w:val="none"/>
          <w:lang w:eastAsia="zh-CN"/>
        </w:rPr>
        <w:t>）</w:t>
      </w:r>
      <w:r>
        <w:rPr>
          <w:rFonts w:hint="eastAsia" w:ascii="宋体" w:hAnsi="宋体" w:cs="宋体"/>
          <w:color w:val="000000"/>
          <w:sz w:val="24"/>
          <w:szCs w:val="24"/>
          <w:highlight w:val="none"/>
          <w:lang w:val="en-US" w:eastAsia="zh-CN"/>
        </w:rPr>
        <w:t>附件</w:t>
      </w:r>
    </w:p>
    <w:p w14:paraId="433DE67A">
      <w:pPr>
        <w:spacing w:line="360" w:lineRule="auto"/>
        <w:ind w:firstLine="424" w:firstLineChars="176"/>
        <w:rPr>
          <w:rFonts w:ascii="宋体" w:hAnsi="宋体"/>
          <w:b/>
          <w:bCs/>
          <w:sz w:val="24"/>
          <w:szCs w:val="24"/>
        </w:rPr>
      </w:pPr>
      <w:r>
        <w:rPr>
          <w:rFonts w:hint="eastAsia" w:ascii="宋体" w:hAnsi="宋体"/>
          <w:b/>
          <w:bCs/>
          <w:sz w:val="24"/>
          <w:szCs w:val="24"/>
          <w:lang w:val="en-US" w:eastAsia="zh-CN"/>
        </w:rPr>
        <w:t>9</w:t>
      </w:r>
      <w:r>
        <w:rPr>
          <w:rFonts w:hint="eastAsia" w:ascii="宋体" w:hAnsi="宋体"/>
          <w:b/>
          <w:bCs/>
          <w:sz w:val="24"/>
          <w:szCs w:val="24"/>
        </w:rPr>
        <w:t>、电子化响应文件的格式</w:t>
      </w:r>
    </w:p>
    <w:p w14:paraId="3C0AE512">
      <w:pPr>
        <w:spacing w:line="360" w:lineRule="auto"/>
        <w:ind w:firstLine="422" w:firstLineChars="176"/>
        <w:rPr>
          <w:rFonts w:ascii="宋体" w:hAnsi="宋体"/>
          <w:sz w:val="24"/>
          <w:szCs w:val="24"/>
        </w:rPr>
      </w:pPr>
      <w:r>
        <w:rPr>
          <w:rFonts w:hint="eastAsia" w:ascii="宋体" w:hAnsi="宋体"/>
          <w:sz w:val="24"/>
          <w:szCs w:val="24"/>
          <w:lang w:val="en-US" w:eastAsia="zh-CN"/>
        </w:rPr>
        <w:t>9</w:t>
      </w:r>
      <w:r>
        <w:rPr>
          <w:rFonts w:ascii="宋体" w:hAnsi="宋体"/>
          <w:sz w:val="24"/>
          <w:szCs w:val="24"/>
        </w:rPr>
        <w:t>.1</w:t>
      </w:r>
      <w:r>
        <w:rPr>
          <w:rFonts w:hint="eastAsia" w:ascii="宋体" w:hAnsi="宋体"/>
          <w:sz w:val="24"/>
          <w:szCs w:val="24"/>
        </w:rPr>
        <w:t>供应商所上传的电子化响应文件，应是通过中心响应文件制作系统制作的，经过签章和加密后生成的电子版响应文件。其中包含用于响应文件上传的主文件（后缀为.smxtf）和用于应急补救的响应文件备份文件（后缀为.nsmxtf）。</w:t>
      </w:r>
    </w:p>
    <w:p w14:paraId="5F9568C2">
      <w:pPr>
        <w:spacing w:line="360" w:lineRule="auto"/>
        <w:ind w:firstLine="482" w:firstLineChars="200"/>
        <w:rPr>
          <w:rFonts w:ascii="宋体" w:hAnsi="宋体"/>
          <w:sz w:val="24"/>
          <w:szCs w:val="24"/>
        </w:rPr>
      </w:pPr>
      <w:r>
        <w:rPr>
          <w:rFonts w:ascii="宋体" w:hAnsi="宋体"/>
          <w:b/>
          <w:bCs/>
          <w:sz w:val="24"/>
          <w:szCs w:val="24"/>
        </w:rPr>
        <w:t>1</w:t>
      </w:r>
      <w:r>
        <w:rPr>
          <w:rFonts w:hint="eastAsia" w:ascii="宋体" w:hAnsi="宋体"/>
          <w:b/>
          <w:bCs/>
          <w:sz w:val="24"/>
          <w:szCs w:val="24"/>
          <w:lang w:val="en-US" w:eastAsia="zh-CN"/>
        </w:rPr>
        <w:t>0</w:t>
      </w:r>
      <w:r>
        <w:rPr>
          <w:rFonts w:hint="eastAsia" w:ascii="宋体" w:hAnsi="宋体"/>
          <w:b/>
          <w:bCs/>
          <w:sz w:val="24"/>
          <w:szCs w:val="24"/>
        </w:rPr>
        <w:t>、电子化响应文件的签署</w:t>
      </w:r>
    </w:p>
    <w:p w14:paraId="3752820C">
      <w:pPr>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lang w:val="en-US" w:eastAsia="zh-CN"/>
        </w:rPr>
        <w:t>0</w:t>
      </w:r>
      <w:r>
        <w:rPr>
          <w:rFonts w:ascii="宋体" w:hAnsi="宋体"/>
          <w:sz w:val="24"/>
          <w:szCs w:val="24"/>
        </w:rPr>
        <w:t>.1</w:t>
      </w:r>
      <w:r>
        <w:rPr>
          <w:rFonts w:hint="eastAsia" w:ascii="宋体" w:hAnsi="宋体"/>
          <w:sz w:val="24"/>
          <w:szCs w:val="24"/>
        </w:rPr>
        <w:t>供应商在进行电子化响应文件签章时，竞争性磋商文件中要求供应商盖章的，以签盖单位章为准；要求法定代表人或委托代理人签章的，以签盖法定代表人签章为准。</w:t>
      </w:r>
    </w:p>
    <w:p w14:paraId="3DF951D9">
      <w:pPr>
        <w:spacing w:line="360" w:lineRule="auto"/>
        <w:ind w:firstLine="482" w:firstLineChars="200"/>
        <w:rPr>
          <w:rFonts w:ascii="宋体" w:hAnsi="宋体"/>
          <w:b/>
          <w:bCs/>
          <w:sz w:val="24"/>
          <w:szCs w:val="24"/>
        </w:rPr>
      </w:pPr>
      <w:r>
        <w:rPr>
          <w:rFonts w:ascii="宋体" w:hAnsi="宋体"/>
          <w:b/>
          <w:bCs/>
          <w:sz w:val="24"/>
          <w:szCs w:val="24"/>
        </w:rPr>
        <w:t>1</w:t>
      </w:r>
      <w:r>
        <w:rPr>
          <w:rFonts w:hint="eastAsia" w:ascii="宋体" w:hAnsi="宋体"/>
          <w:b/>
          <w:bCs/>
          <w:sz w:val="24"/>
          <w:szCs w:val="24"/>
          <w:lang w:val="en-US" w:eastAsia="zh-CN"/>
        </w:rPr>
        <w:t>1</w:t>
      </w:r>
      <w:r>
        <w:rPr>
          <w:rFonts w:hint="eastAsia" w:ascii="宋体" w:hAnsi="宋体"/>
          <w:b/>
          <w:bCs/>
          <w:sz w:val="24"/>
          <w:szCs w:val="24"/>
        </w:rPr>
        <w:t>、电子化响应文件的上传</w:t>
      </w:r>
    </w:p>
    <w:p w14:paraId="151A3285">
      <w:pPr>
        <w:spacing w:line="360" w:lineRule="auto"/>
        <w:ind w:firstLine="480" w:firstLineChars="200"/>
        <w:jc w:val="left"/>
        <w:rPr>
          <w:rFonts w:ascii="宋体" w:hAnsi="宋体"/>
          <w:kern w:val="0"/>
          <w:sz w:val="24"/>
          <w:szCs w:val="24"/>
        </w:rPr>
      </w:pPr>
      <w:r>
        <w:rPr>
          <w:rFonts w:ascii="宋体" w:hAnsi="宋体"/>
          <w:sz w:val="24"/>
          <w:szCs w:val="24"/>
        </w:rPr>
        <w:t>1</w:t>
      </w:r>
      <w:r>
        <w:rPr>
          <w:rFonts w:hint="eastAsia" w:ascii="宋体" w:hAnsi="宋体"/>
          <w:sz w:val="24"/>
          <w:szCs w:val="24"/>
          <w:lang w:val="en-US" w:eastAsia="zh-CN"/>
        </w:rPr>
        <w:t>1</w:t>
      </w:r>
      <w:r>
        <w:rPr>
          <w:rFonts w:ascii="宋体" w:hAnsi="宋体"/>
          <w:sz w:val="24"/>
          <w:szCs w:val="24"/>
        </w:rPr>
        <w:t>.1</w:t>
      </w:r>
      <w:r>
        <w:rPr>
          <w:rFonts w:hint="eastAsia" w:ascii="宋体" w:hAnsi="宋体"/>
          <w:kern w:val="0"/>
          <w:sz w:val="24"/>
          <w:szCs w:val="24"/>
        </w:rPr>
        <w:t>电子化响应文件应在</w:t>
      </w:r>
      <w:r>
        <w:rPr>
          <w:rFonts w:hint="eastAsia" w:ascii="宋体" w:hAnsi="宋体"/>
          <w:kern w:val="0"/>
          <w:sz w:val="24"/>
          <w:szCs w:val="24"/>
          <w:lang w:eastAsia="zh-CN"/>
        </w:rPr>
        <w:t>磋商</w:t>
      </w:r>
      <w:r>
        <w:rPr>
          <w:rFonts w:hint="eastAsia" w:ascii="宋体" w:hAnsi="宋体"/>
          <w:kern w:val="0"/>
          <w:sz w:val="24"/>
          <w:szCs w:val="24"/>
        </w:rPr>
        <w:t>截止时间前成功上传至三门峡市公共资源电子化交易系统。至</w:t>
      </w:r>
      <w:r>
        <w:rPr>
          <w:rFonts w:hint="eastAsia" w:ascii="宋体" w:hAnsi="宋体"/>
          <w:kern w:val="0"/>
          <w:sz w:val="24"/>
          <w:szCs w:val="24"/>
          <w:lang w:eastAsia="zh-CN"/>
        </w:rPr>
        <w:t>磋商</w:t>
      </w:r>
      <w:r>
        <w:rPr>
          <w:rFonts w:hint="eastAsia" w:ascii="宋体" w:hAnsi="宋体"/>
          <w:kern w:val="0"/>
          <w:sz w:val="24"/>
          <w:szCs w:val="24"/>
        </w:rPr>
        <w:t>截止时间止，仍未上传成功的电子化响应文件将不予接收。</w:t>
      </w:r>
    </w:p>
    <w:p w14:paraId="3A825D42">
      <w:pPr>
        <w:spacing w:line="360" w:lineRule="auto"/>
        <w:ind w:firstLine="422" w:firstLineChars="176"/>
        <w:jc w:val="left"/>
        <w:rPr>
          <w:rFonts w:ascii="宋体" w:hAnsi="宋体"/>
          <w:kern w:val="0"/>
          <w:sz w:val="24"/>
          <w:szCs w:val="24"/>
        </w:rPr>
      </w:pPr>
      <w:r>
        <w:rPr>
          <w:rFonts w:hint="eastAsia" w:ascii="宋体" w:hAnsi="宋体"/>
          <w:kern w:val="0"/>
          <w:sz w:val="24"/>
          <w:szCs w:val="24"/>
        </w:rPr>
        <w:t>注：如按照电子化</w:t>
      </w:r>
      <w:r>
        <w:rPr>
          <w:rFonts w:hint="eastAsia" w:ascii="宋体" w:hAnsi="宋体"/>
          <w:kern w:val="0"/>
          <w:sz w:val="24"/>
          <w:szCs w:val="24"/>
          <w:lang w:eastAsia="zh-CN"/>
        </w:rPr>
        <w:t>磋商</w:t>
      </w:r>
      <w:r>
        <w:rPr>
          <w:rFonts w:hint="eastAsia" w:ascii="宋体" w:hAnsi="宋体"/>
          <w:kern w:val="0"/>
          <w:sz w:val="24"/>
          <w:szCs w:val="24"/>
        </w:rPr>
        <w:t>操作教材制作完成的电子化响应文件无法上传的，供应商应在</w:t>
      </w:r>
      <w:r>
        <w:rPr>
          <w:rFonts w:hint="eastAsia" w:ascii="宋体" w:hAnsi="宋体"/>
          <w:kern w:val="0"/>
          <w:sz w:val="24"/>
          <w:szCs w:val="24"/>
          <w:lang w:eastAsia="zh-CN"/>
        </w:rPr>
        <w:t>磋商</w:t>
      </w:r>
      <w:r>
        <w:rPr>
          <w:rFonts w:hint="eastAsia" w:ascii="宋体" w:hAnsi="宋体"/>
          <w:kern w:val="0"/>
          <w:sz w:val="24"/>
          <w:szCs w:val="24"/>
        </w:rPr>
        <w:t>截止时间前尽早的联系中心技术人员，以便有充分的时间进行处理。供应商应充分考虑到处理技术问题和上传数据等工作所需的时间问题，响应文件未在</w:t>
      </w:r>
      <w:r>
        <w:rPr>
          <w:rFonts w:hint="eastAsia" w:ascii="宋体" w:hAnsi="宋体"/>
          <w:kern w:val="0"/>
          <w:sz w:val="24"/>
          <w:szCs w:val="24"/>
          <w:lang w:eastAsia="zh-CN"/>
        </w:rPr>
        <w:t>磋商</w:t>
      </w:r>
      <w:r>
        <w:rPr>
          <w:rFonts w:hint="eastAsia" w:ascii="宋体" w:hAnsi="宋体"/>
          <w:kern w:val="0"/>
          <w:sz w:val="24"/>
          <w:szCs w:val="24"/>
        </w:rPr>
        <w:t>截止时间前成功上传的，其响应文件不予接收。</w:t>
      </w:r>
    </w:p>
    <w:p w14:paraId="2239DF57">
      <w:pPr>
        <w:spacing w:line="360" w:lineRule="auto"/>
        <w:ind w:firstLine="482" w:firstLineChars="200"/>
        <w:rPr>
          <w:rFonts w:ascii="宋体" w:hAnsi="宋体"/>
          <w:b/>
          <w:bCs/>
          <w:sz w:val="24"/>
          <w:szCs w:val="24"/>
        </w:rPr>
      </w:pPr>
      <w:r>
        <w:rPr>
          <w:rFonts w:ascii="宋体" w:hAnsi="宋体"/>
          <w:b/>
          <w:bCs/>
          <w:sz w:val="24"/>
          <w:szCs w:val="24"/>
        </w:rPr>
        <w:t>1</w:t>
      </w:r>
      <w:r>
        <w:rPr>
          <w:rFonts w:hint="eastAsia" w:ascii="宋体" w:hAnsi="宋体"/>
          <w:b/>
          <w:bCs/>
          <w:sz w:val="24"/>
          <w:szCs w:val="24"/>
          <w:lang w:val="en-US" w:eastAsia="zh-CN"/>
        </w:rPr>
        <w:t>2</w:t>
      </w:r>
      <w:r>
        <w:rPr>
          <w:rFonts w:hint="eastAsia" w:ascii="宋体" w:hAnsi="宋体"/>
          <w:b/>
          <w:bCs/>
          <w:sz w:val="24"/>
          <w:szCs w:val="24"/>
        </w:rPr>
        <w:t>、磋商截止时间</w:t>
      </w:r>
    </w:p>
    <w:p w14:paraId="16E58425">
      <w:pPr>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lang w:val="en-US" w:eastAsia="zh-CN"/>
        </w:rPr>
        <w:t>2</w:t>
      </w:r>
      <w:r>
        <w:rPr>
          <w:rFonts w:ascii="宋体" w:hAnsi="宋体"/>
          <w:sz w:val="24"/>
          <w:szCs w:val="24"/>
        </w:rPr>
        <w:t>.1</w:t>
      </w:r>
      <w:r>
        <w:rPr>
          <w:rFonts w:hint="eastAsia" w:ascii="宋体" w:hAnsi="宋体"/>
          <w:sz w:val="24"/>
          <w:szCs w:val="24"/>
        </w:rPr>
        <w:t>电子化响应文件的截止时间见本须知前附表规定。</w:t>
      </w:r>
    </w:p>
    <w:p w14:paraId="60C4C7A9">
      <w:pPr>
        <w:spacing w:line="360" w:lineRule="auto"/>
        <w:ind w:firstLine="482" w:firstLineChars="200"/>
        <w:rPr>
          <w:rFonts w:ascii="宋体" w:hAnsi="宋体"/>
          <w:sz w:val="24"/>
          <w:szCs w:val="24"/>
        </w:rPr>
      </w:pPr>
      <w:r>
        <w:rPr>
          <w:rFonts w:ascii="宋体" w:hAnsi="宋体"/>
          <w:b/>
          <w:bCs/>
          <w:sz w:val="24"/>
          <w:szCs w:val="24"/>
        </w:rPr>
        <w:t>1</w:t>
      </w:r>
      <w:r>
        <w:rPr>
          <w:rFonts w:hint="eastAsia" w:ascii="宋体" w:hAnsi="宋体"/>
          <w:b/>
          <w:bCs/>
          <w:sz w:val="24"/>
          <w:szCs w:val="24"/>
          <w:lang w:val="en-US" w:eastAsia="zh-CN"/>
        </w:rPr>
        <w:t>3</w:t>
      </w:r>
      <w:r>
        <w:rPr>
          <w:rFonts w:hint="eastAsia" w:ascii="宋体" w:hAnsi="宋体"/>
          <w:b/>
          <w:bCs/>
          <w:sz w:val="24"/>
          <w:szCs w:val="24"/>
        </w:rPr>
        <w:t>、电子化响应文件的补充、修改与撤回</w:t>
      </w:r>
    </w:p>
    <w:p w14:paraId="5383F923">
      <w:pPr>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lang w:val="en-US" w:eastAsia="zh-CN"/>
        </w:rPr>
        <w:t>3</w:t>
      </w:r>
      <w:r>
        <w:rPr>
          <w:rFonts w:ascii="宋体" w:hAnsi="宋体"/>
          <w:sz w:val="24"/>
          <w:szCs w:val="24"/>
        </w:rPr>
        <w:t>.1</w:t>
      </w:r>
      <w:r>
        <w:rPr>
          <w:rFonts w:hint="eastAsia" w:ascii="宋体" w:hAnsi="宋体"/>
          <w:sz w:val="24"/>
          <w:szCs w:val="24"/>
        </w:rPr>
        <w:t>在磋商截止时间之后，供应商不得补充、修改电子化响应文件。</w:t>
      </w:r>
    </w:p>
    <w:p w14:paraId="76D01042">
      <w:pPr>
        <w:spacing w:line="360" w:lineRule="auto"/>
        <w:ind w:firstLine="482" w:firstLineChars="200"/>
        <w:rPr>
          <w:rFonts w:ascii="宋体" w:hAnsi="宋体"/>
          <w:szCs w:val="21"/>
          <w:highlight w:val="none"/>
        </w:rPr>
      </w:pPr>
      <w:r>
        <w:rPr>
          <w:rFonts w:hint="eastAsia" w:ascii="宋体" w:hAnsi="宋体"/>
          <w:b/>
          <w:bCs/>
          <w:sz w:val="24"/>
          <w:szCs w:val="24"/>
          <w:highlight w:val="none"/>
        </w:rPr>
        <w:t>1</w:t>
      </w:r>
      <w:r>
        <w:rPr>
          <w:rFonts w:hint="eastAsia" w:ascii="宋体" w:hAnsi="宋体"/>
          <w:b/>
          <w:bCs/>
          <w:sz w:val="24"/>
          <w:szCs w:val="24"/>
          <w:highlight w:val="none"/>
          <w:lang w:val="en-US" w:eastAsia="zh-CN"/>
        </w:rPr>
        <w:t>4</w:t>
      </w:r>
      <w:r>
        <w:rPr>
          <w:rFonts w:hint="eastAsia" w:ascii="宋体" w:hAnsi="宋体"/>
          <w:b/>
          <w:bCs/>
          <w:sz w:val="24"/>
          <w:szCs w:val="24"/>
          <w:highlight w:val="none"/>
        </w:rPr>
        <w:t>、磋商报价</w:t>
      </w:r>
      <w:r>
        <w:rPr>
          <w:highlight w:val="none"/>
        </w:rPr>
        <w:tab/>
      </w:r>
    </w:p>
    <w:p w14:paraId="5FB7A899">
      <w:pPr>
        <w:spacing w:line="360" w:lineRule="auto"/>
        <w:ind w:firstLine="480" w:firstLineChars="200"/>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lang w:val="en-US" w:eastAsia="zh-CN"/>
        </w:rPr>
        <w:t>4</w:t>
      </w:r>
      <w:r>
        <w:rPr>
          <w:rFonts w:ascii="宋体" w:hAnsi="宋体"/>
          <w:sz w:val="24"/>
          <w:szCs w:val="24"/>
          <w:highlight w:val="none"/>
        </w:rPr>
        <w:t>.1</w:t>
      </w:r>
      <w:r>
        <w:rPr>
          <w:rFonts w:hint="eastAsia" w:ascii="宋体" w:hAnsi="宋体"/>
          <w:sz w:val="24"/>
          <w:szCs w:val="24"/>
          <w:highlight w:val="none"/>
        </w:rPr>
        <w:t>本次磋商的报价以</w:t>
      </w:r>
      <w:r>
        <w:rPr>
          <w:rFonts w:hint="eastAsia" w:ascii="宋体" w:hAnsi="宋体"/>
          <w:sz w:val="24"/>
          <w:szCs w:val="24"/>
          <w:highlight w:val="none"/>
          <w:lang w:val="en-US" w:eastAsia="zh-CN"/>
        </w:rPr>
        <w:t>折扣率进行</w:t>
      </w:r>
      <w:r>
        <w:rPr>
          <w:rFonts w:hint="eastAsia" w:ascii="宋体" w:hAnsi="宋体"/>
          <w:sz w:val="24"/>
          <w:szCs w:val="24"/>
          <w:highlight w:val="none"/>
        </w:rPr>
        <w:t>报价。</w:t>
      </w:r>
    </w:p>
    <w:p w14:paraId="357F549A">
      <w:pPr>
        <w:wordWrap w:val="0"/>
        <w:spacing w:line="360" w:lineRule="auto"/>
        <w:ind w:firstLine="480" w:firstLineChars="200"/>
        <w:rPr>
          <w:sz w:val="24"/>
        </w:rPr>
      </w:pPr>
      <w:r>
        <w:rPr>
          <w:rFonts w:ascii="宋体" w:hAnsi="宋体"/>
          <w:sz w:val="24"/>
          <w:szCs w:val="24"/>
        </w:rPr>
        <w:t>1</w:t>
      </w:r>
      <w:r>
        <w:rPr>
          <w:rFonts w:hint="eastAsia" w:ascii="宋体" w:hAnsi="宋体"/>
          <w:sz w:val="24"/>
          <w:szCs w:val="24"/>
          <w:lang w:val="en-US" w:eastAsia="zh-CN"/>
        </w:rPr>
        <w:t>4</w:t>
      </w:r>
      <w:r>
        <w:rPr>
          <w:rFonts w:ascii="宋体" w:hAnsi="宋体"/>
          <w:sz w:val="24"/>
          <w:szCs w:val="24"/>
        </w:rPr>
        <w:t>.2</w:t>
      </w:r>
      <w:r>
        <w:rPr>
          <w:rFonts w:hint="eastAsia"/>
          <w:sz w:val="24"/>
        </w:rPr>
        <w:t>供应商根据市场行情自主报价。</w:t>
      </w:r>
      <w:r>
        <w:rPr>
          <w:rFonts w:hint="eastAsia" w:ascii="宋体" w:hAnsi="宋体"/>
          <w:sz w:val="24"/>
          <w:szCs w:val="24"/>
        </w:rPr>
        <w:t>供应商的</w:t>
      </w:r>
      <w:r>
        <w:rPr>
          <w:rFonts w:hint="eastAsia" w:ascii="宋体" w:hAnsi="宋体"/>
          <w:sz w:val="24"/>
          <w:szCs w:val="24"/>
          <w:lang w:eastAsia="zh-CN"/>
        </w:rPr>
        <w:t>磋商</w:t>
      </w:r>
      <w:r>
        <w:rPr>
          <w:rFonts w:hint="eastAsia" w:ascii="宋体" w:hAnsi="宋体"/>
          <w:sz w:val="24"/>
          <w:szCs w:val="24"/>
        </w:rPr>
        <w:t>报价包括完成该项目的成本、利润、税金、风险等所有伴随的其他费用。</w:t>
      </w:r>
      <w:r>
        <w:rPr>
          <w:rFonts w:hint="eastAsia"/>
          <w:sz w:val="24"/>
        </w:rPr>
        <w:t>采购人不另外支付其他任何费用。</w:t>
      </w:r>
    </w:p>
    <w:p w14:paraId="165E4E20">
      <w:pPr>
        <w:spacing w:line="360" w:lineRule="auto"/>
        <w:ind w:firstLine="480" w:firstLineChars="200"/>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lang w:val="en-US" w:eastAsia="zh-CN"/>
        </w:rPr>
        <w:t>4</w:t>
      </w:r>
      <w:r>
        <w:rPr>
          <w:rFonts w:ascii="宋体" w:hAnsi="宋体"/>
          <w:sz w:val="24"/>
          <w:szCs w:val="24"/>
          <w:highlight w:val="none"/>
        </w:rPr>
        <w:t>.3</w:t>
      </w:r>
      <w:r>
        <w:rPr>
          <w:rFonts w:hint="eastAsia" w:ascii="宋体" w:hAnsi="宋体"/>
          <w:sz w:val="24"/>
          <w:szCs w:val="24"/>
          <w:highlight w:val="none"/>
        </w:rPr>
        <w:t>供应商应充分考虑市场风险和国家政策性风险系数，根据企业具体情况在合理的范围内自主报价，但不得低于企业实际成本。</w:t>
      </w:r>
    </w:p>
    <w:p w14:paraId="552ED742">
      <w:pPr>
        <w:spacing w:line="360" w:lineRule="auto"/>
        <w:ind w:firstLine="480" w:firstLineChars="200"/>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lang w:val="en-US" w:eastAsia="zh-CN"/>
        </w:rPr>
        <w:t>4</w:t>
      </w:r>
      <w:r>
        <w:rPr>
          <w:rFonts w:ascii="宋体" w:hAnsi="宋体"/>
          <w:sz w:val="24"/>
          <w:szCs w:val="24"/>
          <w:highlight w:val="none"/>
        </w:rPr>
        <w:t>.4</w:t>
      </w:r>
      <w:r>
        <w:rPr>
          <w:rFonts w:hint="eastAsia" w:ascii="宋体" w:hAnsi="宋体"/>
          <w:sz w:val="24"/>
          <w:szCs w:val="24"/>
          <w:highlight w:val="none"/>
        </w:rPr>
        <w:t>供应商只能提出一个报价，采购人不接受任何有选择的报价，最后报价不得超过项目磋商控制价。</w:t>
      </w:r>
    </w:p>
    <w:p w14:paraId="56FDBCA6">
      <w:pPr>
        <w:spacing w:line="360" w:lineRule="auto"/>
        <w:ind w:firstLine="422" w:firstLineChars="176"/>
        <w:rPr>
          <w:rFonts w:ascii="宋体" w:hAnsi="宋体"/>
          <w:sz w:val="24"/>
          <w:szCs w:val="24"/>
        </w:rPr>
      </w:pPr>
      <w:r>
        <w:rPr>
          <w:rFonts w:ascii="宋体" w:hAnsi="宋体"/>
          <w:sz w:val="24"/>
          <w:szCs w:val="24"/>
        </w:rPr>
        <w:t>1</w:t>
      </w:r>
      <w:r>
        <w:rPr>
          <w:rFonts w:hint="eastAsia" w:ascii="宋体" w:hAnsi="宋体"/>
          <w:sz w:val="24"/>
          <w:szCs w:val="24"/>
          <w:lang w:val="en-US" w:eastAsia="zh-CN"/>
        </w:rPr>
        <w:t>4</w:t>
      </w:r>
      <w:r>
        <w:rPr>
          <w:rFonts w:ascii="宋体" w:hAnsi="宋体"/>
          <w:sz w:val="24"/>
          <w:szCs w:val="24"/>
        </w:rPr>
        <w:t>.5</w:t>
      </w:r>
      <w:r>
        <w:rPr>
          <w:rFonts w:hint="eastAsia" w:ascii="宋体" w:hAnsi="宋体"/>
          <w:sz w:val="24"/>
          <w:szCs w:val="24"/>
        </w:rPr>
        <w:t>供应商的报价明显低于其他报价，使得其报价可能低于其个别成本的，有可能影响服务质量和不能诚信履约的，应当要求该供应商作出书面说明并提供相关证明材料。供应商不能合理说明或者不能提供相关证明材料的，由磋商小组认定该报价人以低于成本报价，其报价应作无效报价处理。</w:t>
      </w:r>
    </w:p>
    <w:p w14:paraId="25B51BA7">
      <w:pPr>
        <w:spacing w:line="360" w:lineRule="auto"/>
        <w:ind w:firstLine="422" w:firstLineChars="176"/>
        <w:rPr>
          <w:rFonts w:ascii="宋体" w:hAnsi="宋体"/>
          <w:sz w:val="24"/>
          <w:szCs w:val="24"/>
        </w:rPr>
      </w:pPr>
      <w:r>
        <w:rPr>
          <w:rFonts w:ascii="宋体" w:hAnsi="宋体"/>
          <w:sz w:val="24"/>
          <w:szCs w:val="24"/>
        </w:rPr>
        <w:t>1</w:t>
      </w:r>
      <w:r>
        <w:rPr>
          <w:rFonts w:hint="eastAsia" w:ascii="宋体" w:hAnsi="宋体"/>
          <w:sz w:val="24"/>
          <w:szCs w:val="24"/>
          <w:lang w:val="en-US" w:eastAsia="zh-CN"/>
        </w:rPr>
        <w:t>4</w:t>
      </w:r>
      <w:r>
        <w:rPr>
          <w:rFonts w:ascii="宋体" w:hAnsi="宋体"/>
          <w:sz w:val="24"/>
          <w:szCs w:val="24"/>
        </w:rPr>
        <w:t>.6</w:t>
      </w:r>
      <w:r>
        <w:rPr>
          <w:rFonts w:hint="eastAsia" w:ascii="宋体" w:hAnsi="宋体"/>
          <w:sz w:val="24"/>
          <w:szCs w:val="24"/>
        </w:rPr>
        <w:t>本次采购为竞争性磋商采购，允许二次报价。</w:t>
      </w:r>
    </w:p>
    <w:p w14:paraId="398CD7F6">
      <w:pPr>
        <w:spacing w:line="360" w:lineRule="auto"/>
        <w:ind w:firstLine="424" w:firstLineChars="176"/>
        <w:rPr>
          <w:rFonts w:ascii="宋体" w:hAnsi="宋体"/>
          <w:b/>
          <w:bCs/>
          <w:sz w:val="24"/>
          <w:szCs w:val="24"/>
        </w:rPr>
      </w:pPr>
      <w:r>
        <w:rPr>
          <w:rFonts w:ascii="宋体" w:hAnsi="宋体"/>
          <w:b/>
          <w:bCs/>
          <w:sz w:val="24"/>
          <w:szCs w:val="24"/>
        </w:rPr>
        <w:t>1</w:t>
      </w:r>
      <w:r>
        <w:rPr>
          <w:rFonts w:hint="eastAsia" w:ascii="宋体" w:hAnsi="宋体"/>
          <w:b/>
          <w:bCs/>
          <w:sz w:val="24"/>
          <w:szCs w:val="24"/>
          <w:lang w:val="en-US" w:eastAsia="zh-CN"/>
        </w:rPr>
        <w:t>5</w:t>
      </w:r>
      <w:r>
        <w:rPr>
          <w:rFonts w:hint="eastAsia" w:ascii="宋体" w:hAnsi="宋体"/>
          <w:b/>
          <w:bCs/>
          <w:sz w:val="24"/>
          <w:szCs w:val="24"/>
        </w:rPr>
        <w:t>、供应商资格的证明文件</w:t>
      </w:r>
      <w:r>
        <w:tab/>
      </w:r>
    </w:p>
    <w:p w14:paraId="4D36A817">
      <w:pPr>
        <w:spacing w:line="360" w:lineRule="auto"/>
        <w:ind w:firstLine="422" w:firstLineChars="176"/>
        <w:rPr>
          <w:rFonts w:ascii="宋体" w:hAnsi="宋体"/>
          <w:sz w:val="24"/>
          <w:szCs w:val="24"/>
        </w:rPr>
      </w:pPr>
      <w:r>
        <w:rPr>
          <w:rFonts w:ascii="宋体" w:hAnsi="宋体"/>
          <w:sz w:val="24"/>
          <w:szCs w:val="24"/>
        </w:rPr>
        <w:t>1</w:t>
      </w:r>
      <w:r>
        <w:rPr>
          <w:rFonts w:hint="eastAsia" w:ascii="宋体" w:hAnsi="宋体"/>
          <w:sz w:val="24"/>
          <w:szCs w:val="24"/>
          <w:lang w:val="en-US" w:eastAsia="zh-CN"/>
        </w:rPr>
        <w:t>5</w:t>
      </w:r>
      <w:r>
        <w:rPr>
          <w:rFonts w:ascii="宋体" w:hAnsi="宋体"/>
          <w:sz w:val="24"/>
          <w:szCs w:val="24"/>
        </w:rPr>
        <w:t>.1</w:t>
      </w:r>
      <w:r>
        <w:rPr>
          <w:rFonts w:hint="eastAsia" w:ascii="宋体" w:hAnsi="宋体"/>
          <w:sz w:val="24"/>
          <w:szCs w:val="24"/>
        </w:rPr>
        <w:t>证明供应商是有资格参加</w:t>
      </w:r>
      <w:r>
        <w:rPr>
          <w:rFonts w:hint="eastAsia" w:ascii="宋体" w:hAnsi="宋体"/>
          <w:kern w:val="0"/>
          <w:sz w:val="24"/>
          <w:szCs w:val="24"/>
        </w:rPr>
        <w:t>磋商</w:t>
      </w:r>
      <w:r>
        <w:rPr>
          <w:rFonts w:hint="eastAsia" w:ascii="宋体" w:hAnsi="宋体"/>
          <w:sz w:val="24"/>
          <w:szCs w:val="24"/>
        </w:rPr>
        <w:t>的。</w:t>
      </w:r>
    </w:p>
    <w:p w14:paraId="25552779">
      <w:pPr>
        <w:spacing w:line="360" w:lineRule="auto"/>
        <w:ind w:firstLine="422" w:firstLineChars="176"/>
        <w:rPr>
          <w:rFonts w:ascii="宋体" w:hAnsi="宋体"/>
          <w:sz w:val="24"/>
          <w:szCs w:val="24"/>
        </w:rPr>
      </w:pPr>
      <w:r>
        <w:rPr>
          <w:rFonts w:ascii="宋体" w:hAnsi="宋体"/>
          <w:sz w:val="24"/>
          <w:szCs w:val="24"/>
        </w:rPr>
        <w:t>1</w:t>
      </w:r>
      <w:r>
        <w:rPr>
          <w:rFonts w:hint="eastAsia" w:ascii="宋体" w:hAnsi="宋体"/>
          <w:sz w:val="24"/>
          <w:szCs w:val="24"/>
          <w:lang w:val="en-US" w:eastAsia="zh-CN"/>
        </w:rPr>
        <w:t>5</w:t>
      </w:r>
      <w:r>
        <w:rPr>
          <w:rFonts w:ascii="宋体" w:hAnsi="宋体"/>
          <w:sz w:val="24"/>
          <w:szCs w:val="24"/>
        </w:rPr>
        <w:t>.2</w:t>
      </w:r>
      <w:r>
        <w:rPr>
          <w:rFonts w:hint="eastAsia" w:ascii="宋体" w:hAnsi="宋体"/>
          <w:sz w:val="24"/>
          <w:szCs w:val="24"/>
        </w:rPr>
        <w:t>证明供应商有能力履行竞争性磋商文件中合同条款和技术要求规定的由供应商提供的服务等义务。</w:t>
      </w:r>
    </w:p>
    <w:p w14:paraId="06C2C25F">
      <w:pPr>
        <w:spacing w:line="360" w:lineRule="auto"/>
        <w:ind w:firstLine="424" w:firstLineChars="176"/>
        <w:rPr>
          <w:rFonts w:ascii="宋体" w:hAnsi="宋体"/>
          <w:b/>
          <w:bCs/>
          <w:sz w:val="24"/>
          <w:szCs w:val="24"/>
        </w:rPr>
      </w:pPr>
      <w:r>
        <w:rPr>
          <w:rFonts w:hint="eastAsia" w:ascii="宋体" w:hAnsi="宋体"/>
          <w:b/>
          <w:bCs/>
          <w:sz w:val="24"/>
          <w:szCs w:val="24"/>
        </w:rPr>
        <w:t>1</w:t>
      </w:r>
      <w:r>
        <w:rPr>
          <w:rFonts w:hint="eastAsia" w:ascii="宋体" w:hAnsi="宋体"/>
          <w:b/>
          <w:bCs/>
          <w:sz w:val="24"/>
          <w:szCs w:val="24"/>
          <w:lang w:val="en-US" w:eastAsia="zh-CN"/>
        </w:rPr>
        <w:t>6</w:t>
      </w:r>
      <w:r>
        <w:rPr>
          <w:rFonts w:hint="eastAsia" w:ascii="宋体" w:hAnsi="宋体"/>
          <w:b/>
          <w:bCs/>
          <w:sz w:val="24"/>
          <w:szCs w:val="24"/>
        </w:rPr>
        <w:t>、响应文件有效期</w:t>
      </w:r>
    </w:p>
    <w:p w14:paraId="52CB80AB">
      <w:pPr>
        <w:spacing w:line="360" w:lineRule="auto"/>
        <w:ind w:firstLine="422" w:firstLineChars="176"/>
        <w:rPr>
          <w:rFonts w:ascii="宋体" w:hAnsi="宋体"/>
          <w:sz w:val="24"/>
          <w:szCs w:val="24"/>
        </w:rPr>
      </w:pPr>
      <w:r>
        <w:rPr>
          <w:rFonts w:ascii="宋体" w:hAnsi="宋体"/>
          <w:sz w:val="24"/>
          <w:szCs w:val="24"/>
        </w:rPr>
        <w:t>1</w:t>
      </w:r>
      <w:r>
        <w:rPr>
          <w:rFonts w:hint="eastAsia" w:ascii="宋体" w:hAnsi="宋体"/>
          <w:sz w:val="24"/>
          <w:szCs w:val="24"/>
          <w:lang w:val="en-US" w:eastAsia="zh-CN"/>
        </w:rPr>
        <w:t>6</w:t>
      </w:r>
      <w:r>
        <w:rPr>
          <w:rFonts w:ascii="宋体" w:hAnsi="宋体"/>
          <w:sz w:val="24"/>
          <w:szCs w:val="24"/>
        </w:rPr>
        <w:t>.1</w:t>
      </w:r>
      <w:r>
        <w:rPr>
          <w:rFonts w:hint="eastAsia" w:ascii="宋体" w:hAnsi="宋体"/>
          <w:sz w:val="24"/>
          <w:szCs w:val="24"/>
        </w:rPr>
        <w:t>磋商有效期为</w:t>
      </w:r>
      <w:r>
        <w:rPr>
          <w:rFonts w:ascii="宋体" w:hAnsi="宋体"/>
          <w:sz w:val="24"/>
          <w:szCs w:val="24"/>
        </w:rPr>
        <w:t>60</w:t>
      </w:r>
      <w:r>
        <w:rPr>
          <w:rFonts w:hint="eastAsia" w:ascii="宋体" w:hAnsi="宋体"/>
          <w:sz w:val="24"/>
          <w:szCs w:val="24"/>
        </w:rPr>
        <w:t>日历天(从磋商截止之日算起)，有效期短于此规定的响应文件将被视为无效文件。</w:t>
      </w:r>
    </w:p>
    <w:p w14:paraId="2CE41FD0">
      <w:pPr>
        <w:spacing w:line="360" w:lineRule="auto"/>
        <w:ind w:firstLine="422" w:firstLineChars="176"/>
        <w:rPr>
          <w:rFonts w:ascii="宋体" w:hAnsi="宋体"/>
          <w:sz w:val="24"/>
          <w:szCs w:val="24"/>
        </w:rPr>
      </w:pPr>
      <w:r>
        <w:rPr>
          <w:rFonts w:ascii="宋体" w:hAnsi="宋体"/>
          <w:sz w:val="24"/>
          <w:szCs w:val="24"/>
        </w:rPr>
        <w:t>1</w:t>
      </w:r>
      <w:r>
        <w:rPr>
          <w:rFonts w:hint="eastAsia" w:ascii="宋体" w:hAnsi="宋体"/>
          <w:sz w:val="24"/>
          <w:szCs w:val="24"/>
          <w:lang w:val="en-US" w:eastAsia="zh-CN"/>
        </w:rPr>
        <w:t>6</w:t>
      </w:r>
      <w:r>
        <w:rPr>
          <w:rFonts w:ascii="宋体" w:hAnsi="宋体"/>
          <w:sz w:val="24"/>
          <w:szCs w:val="24"/>
        </w:rPr>
        <w:t>.2</w:t>
      </w:r>
      <w:r>
        <w:rPr>
          <w:rFonts w:hint="eastAsia" w:ascii="宋体" w:hAnsi="宋体"/>
          <w:sz w:val="24"/>
          <w:szCs w:val="24"/>
        </w:rPr>
        <w:t>特殊情况下，采购人可于响应文件有效期满之前要求供应商同意延长有效期，要求与答复均为书面形式。供应商可以拒绝上述要求，对于同意该要求的供应商，不允许其修改响应文件。</w:t>
      </w:r>
    </w:p>
    <w:p w14:paraId="3CADF1D9">
      <w:pPr>
        <w:spacing w:line="360" w:lineRule="auto"/>
        <w:ind w:firstLine="424" w:firstLineChars="176"/>
        <w:rPr>
          <w:rFonts w:ascii="宋体" w:hAnsi="宋体"/>
          <w:b/>
          <w:bCs/>
          <w:sz w:val="24"/>
          <w:szCs w:val="24"/>
        </w:rPr>
      </w:pPr>
      <w:r>
        <w:rPr>
          <w:rFonts w:ascii="宋体" w:hAnsi="宋体"/>
          <w:b/>
          <w:bCs/>
          <w:sz w:val="24"/>
          <w:szCs w:val="24"/>
        </w:rPr>
        <w:t>1</w:t>
      </w:r>
      <w:r>
        <w:rPr>
          <w:rFonts w:hint="eastAsia" w:ascii="宋体" w:hAnsi="宋体"/>
          <w:b/>
          <w:bCs/>
          <w:sz w:val="24"/>
          <w:szCs w:val="24"/>
          <w:lang w:val="en-US" w:eastAsia="zh-CN"/>
        </w:rPr>
        <w:t>7</w:t>
      </w:r>
      <w:r>
        <w:rPr>
          <w:rFonts w:hint="eastAsia" w:ascii="宋体" w:hAnsi="宋体"/>
          <w:b/>
          <w:bCs/>
          <w:sz w:val="24"/>
          <w:szCs w:val="24"/>
        </w:rPr>
        <w:t>、磋商</w:t>
      </w:r>
    </w:p>
    <w:p w14:paraId="7755D893">
      <w:pPr>
        <w:spacing w:line="360" w:lineRule="auto"/>
        <w:ind w:firstLine="422" w:firstLineChars="176"/>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7</w:t>
      </w:r>
      <w:r>
        <w:rPr>
          <w:rFonts w:hint="eastAsia" w:ascii="宋体" w:hAnsi="宋体"/>
          <w:sz w:val="24"/>
          <w:szCs w:val="24"/>
        </w:rPr>
        <w:t>.1 本项目采用电子化、无纸化进行</w:t>
      </w:r>
      <w:r>
        <w:rPr>
          <w:rFonts w:hint="eastAsia" w:ascii="宋体" w:hAnsi="宋体"/>
          <w:sz w:val="24"/>
          <w:szCs w:val="24"/>
          <w:lang w:eastAsia="zh-CN"/>
        </w:rPr>
        <w:t>磋商</w:t>
      </w:r>
      <w:r>
        <w:rPr>
          <w:rFonts w:hint="eastAsia" w:ascii="宋体" w:hAnsi="宋体"/>
          <w:sz w:val="24"/>
          <w:szCs w:val="24"/>
        </w:rPr>
        <w:t>，开标当日，供应商无需到开标现场参加开标会议，供应商应当在</w:t>
      </w:r>
      <w:r>
        <w:rPr>
          <w:rFonts w:hint="eastAsia" w:ascii="宋体" w:hAnsi="宋体"/>
          <w:sz w:val="24"/>
          <w:szCs w:val="24"/>
          <w:lang w:eastAsia="zh-CN"/>
        </w:rPr>
        <w:t>磋商</w:t>
      </w:r>
      <w:r>
        <w:rPr>
          <w:rFonts w:hint="eastAsia" w:ascii="宋体" w:hAnsi="宋体"/>
          <w:sz w:val="24"/>
          <w:szCs w:val="24"/>
        </w:rPr>
        <w:t>截止时间前，登陆不见面开标大厅选择登陆三门峡市公共资源电子招投标系统进行登陆,在线准时参加开标活动并进行响应文件解密等。</w:t>
      </w:r>
    </w:p>
    <w:p w14:paraId="73594AE5">
      <w:pPr>
        <w:spacing w:line="360" w:lineRule="auto"/>
        <w:ind w:firstLine="422" w:firstLineChars="176"/>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7</w:t>
      </w:r>
      <w:r>
        <w:rPr>
          <w:rFonts w:hint="eastAsia" w:ascii="宋体" w:hAnsi="宋体"/>
          <w:sz w:val="24"/>
          <w:szCs w:val="24"/>
        </w:rPr>
        <w:t>.2 电子化响应文件采用一次加密方式。开标时，由供应商使用CA 证书，在规定时间内对其电子化响应文件进行解密。每位供应商的解密时间为开标时间起30分钟内，如在规定时间内未完成解密的，其响应文件不予开标、唱标。每位供应商的解密时间为开标时间起30分钟内完成。</w:t>
      </w:r>
    </w:p>
    <w:p w14:paraId="05A4A839">
      <w:pPr>
        <w:spacing w:line="360" w:lineRule="auto"/>
        <w:ind w:firstLine="422" w:firstLineChars="176"/>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7</w:t>
      </w:r>
      <w:r>
        <w:rPr>
          <w:rFonts w:hint="eastAsia" w:ascii="宋体" w:hAnsi="宋体"/>
          <w:sz w:val="24"/>
          <w:szCs w:val="24"/>
        </w:rPr>
        <w:t>.3 电子化响应文件解密异常的处理</w:t>
      </w:r>
    </w:p>
    <w:p w14:paraId="766CF2DF">
      <w:pPr>
        <w:spacing w:line="360" w:lineRule="auto"/>
        <w:ind w:firstLine="422" w:firstLineChars="176"/>
        <w:rPr>
          <w:rFonts w:ascii="宋体" w:hAnsi="宋体"/>
          <w:sz w:val="24"/>
          <w:szCs w:val="24"/>
        </w:rPr>
      </w:pPr>
      <w:r>
        <w:rPr>
          <w:rFonts w:hint="eastAsia" w:ascii="宋体" w:hAnsi="宋体"/>
          <w:sz w:val="24"/>
          <w:szCs w:val="24"/>
        </w:rPr>
        <w:t>如出现供应商的电子化响应文件无法解密等异常情况，供应商应及时致电中介服务机构说明。响应文件异常，按以下步骤进行处理：</w:t>
      </w:r>
    </w:p>
    <w:p w14:paraId="3035C51E">
      <w:pPr>
        <w:spacing w:line="360" w:lineRule="auto"/>
        <w:ind w:firstLine="422" w:firstLineChars="176"/>
        <w:rPr>
          <w:rFonts w:ascii="宋体" w:hAnsi="宋体"/>
          <w:sz w:val="24"/>
          <w:szCs w:val="24"/>
        </w:rPr>
      </w:pPr>
      <w:r>
        <w:rPr>
          <w:rFonts w:hint="eastAsia" w:ascii="宋体" w:hAnsi="宋体"/>
          <w:sz w:val="24"/>
          <w:szCs w:val="24"/>
        </w:rPr>
        <w:t>（1）首先由技术人员进行问题排查。</w:t>
      </w:r>
    </w:p>
    <w:p w14:paraId="367AE110">
      <w:pPr>
        <w:spacing w:line="360" w:lineRule="auto"/>
        <w:ind w:firstLine="422" w:firstLineChars="176"/>
        <w:rPr>
          <w:rFonts w:ascii="宋体" w:hAnsi="宋体"/>
          <w:sz w:val="24"/>
          <w:szCs w:val="24"/>
        </w:rPr>
      </w:pPr>
      <w:r>
        <w:rPr>
          <w:rFonts w:hint="eastAsia" w:ascii="宋体" w:hAnsi="宋体"/>
          <w:sz w:val="24"/>
          <w:szCs w:val="24"/>
        </w:rPr>
        <w:t>（2）经技术人员排查后，是供应商文件自身问题导致响应文件无法解密的，该响应文件将不予接收、解密和唱标。开标会议继续进行。</w:t>
      </w:r>
    </w:p>
    <w:p w14:paraId="0BC15622">
      <w:pPr>
        <w:spacing w:line="360" w:lineRule="auto"/>
        <w:ind w:firstLine="422" w:firstLineChars="176"/>
        <w:rPr>
          <w:rFonts w:ascii="宋体" w:hAnsi="宋体"/>
          <w:sz w:val="24"/>
          <w:szCs w:val="24"/>
        </w:rPr>
      </w:pPr>
      <w:r>
        <w:rPr>
          <w:rFonts w:hint="eastAsia" w:ascii="宋体" w:hAnsi="宋体"/>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0D7538DB">
      <w:pPr>
        <w:spacing w:line="360" w:lineRule="auto"/>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7</w:t>
      </w:r>
      <w:r>
        <w:rPr>
          <w:rFonts w:hint="eastAsia" w:ascii="宋体" w:hAnsi="宋体"/>
          <w:sz w:val="24"/>
          <w:szCs w:val="24"/>
        </w:rPr>
        <w:t>.4 供应商应保证在开标期间电话、电脑、网络能够正常工作，供应商因停电、电脑病毒、网络堵塞等原因，未在规定的解密时间内对响应文件进行解密的，其响应文件不予接收。</w:t>
      </w:r>
    </w:p>
    <w:p w14:paraId="711FAAE8">
      <w:pPr>
        <w:spacing w:line="360" w:lineRule="auto"/>
        <w:ind w:firstLine="424" w:firstLineChars="176"/>
        <w:rPr>
          <w:rFonts w:ascii="宋体" w:hAnsi="宋体"/>
          <w:b/>
          <w:bCs/>
          <w:sz w:val="24"/>
          <w:szCs w:val="24"/>
        </w:rPr>
      </w:pPr>
      <w:r>
        <w:rPr>
          <w:rFonts w:hint="eastAsia" w:ascii="宋体" w:hAnsi="宋体"/>
          <w:b/>
          <w:bCs/>
          <w:sz w:val="24"/>
          <w:szCs w:val="24"/>
          <w:lang w:val="en-US" w:eastAsia="zh-CN"/>
        </w:rPr>
        <w:t>18</w:t>
      </w:r>
      <w:r>
        <w:rPr>
          <w:rFonts w:hint="eastAsia" w:ascii="宋体" w:hAnsi="宋体"/>
          <w:b/>
          <w:bCs/>
          <w:sz w:val="24"/>
          <w:szCs w:val="24"/>
        </w:rPr>
        <w:t>、磋商小组</w:t>
      </w:r>
    </w:p>
    <w:p w14:paraId="6E8EFE50">
      <w:pPr>
        <w:spacing w:line="360" w:lineRule="auto"/>
        <w:ind w:firstLine="422" w:firstLineChars="176"/>
        <w:rPr>
          <w:rFonts w:hint="eastAsia" w:ascii="宋体" w:hAnsi="宋体" w:eastAsiaTheme="minorEastAsia"/>
          <w:sz w:val="24"/>
          <w:szCs w:val="24"/>
          <w:lang w:eastAsia="zh-CN"/>
        </w:rPr>
      </w:pPr>
      <w:r>
        <w:rPr>
          <w:rFonts w:hint="eastAsia" w:ascii="宋体" w:hAnsi="宋体"/>
          <w:sz w:val="24"/>
          <w:szCs w:val="24"/>
          <w:lang w:val="en-US" w:eastAsia="zh-CN"/>
        </w:rPr>
        <w:t>18</w:t>
      </w:r>
      <w:r>
        <w:rPr>
          <w:rFonts w:ascii="宋体" w:hAnsi="宋体"/>
          <w:sz w:val="24"/>
          <w:szCs w:val="24"/>
        </w:rPr>
        <w:t>.1</w:t>
      </w:r>
      <w:r>
        <w:rPr>
          <w:rFonts w:hint="eastAsia" w:ascii="宋体" w:hAnsi="宋体"/>
          <w:sz w:val="24"/>
          <w:szCs w:val="24"/>
        </w:rPr>
        <w:t>磋商小组构成：由采购人代表及相关专业</w:t>
      </w:r>
      <w:r>
        <w:rPr>
          <w:rFonts w:hint="eastAsia" w:ascii="宋体" w:hAnsi="宋体"/>
          <w:sz w:val="24"/>
          <w:szCs w:val="24"/>
          <w:lang w:val="en-US" w:eastAsia="zh-CN"/>
        </w:rPr>
        <w:t>经济、技术</w:t>
      </w:r>
      <w:r>
        <w:rPr>
          <w:rFonts w:hint="eastAsia" w:ascii="宋体" w:hAnsi="宋体"/>
          <w:sz w:val="24"/>
          <w:szCs w:val="24"/>
        </w:rPr>
        <w:t>专家共 3 人组成，其中采购人代表 1 人，相关专业</w:t>
      </w:r>
      <w:r>
        <w:rPr>
          <w:rFonts w:hint="eastAsia" w:ascii="宋体" w:hAnsi="宋体"/>
          <w:sz w:val="24"/>
          <w:szCs w:val="24"/>
          <w:lang w:val="en-US" w:eastAsia="zh-CN"/>
        </w:rPr>
        <w:t>经济、技术</w:t>
      </w:r>
      <w:r>
        <w:rPr>
          <w:rFonts w:hint="eastAsia" w:ascii="宋体" w:hAnsi="宋体"/>
          <w:sz w:val="24"/>
          <w:szCs w:val="24"/>
        </w:rPr>
        <w:t>专家 2 人</w:t>
      </w:r>
      <w:r>
        <w:rPr>
          <w:rFonts w:hint="eastAsia" w:ascii="宋体" w:hAnsi="宋体"/>
          <w:sz w:val="24"/>
          <w:szCs w:val="24"/>
          <w:lang w:eastAsia="zh-CN"/>
        </w:rPr>
        <w:t>，</w:t>
      </w:r>
      <w:r>
        <w:rPr>
          <w:rFonts w:hint="eastAsia" w:ascii="宋体" w:hAnsi="宋体"/>
          <w:sz w:val="24"/>
          <w:szCs w:val="24"/>
        </w:rPr>
        <w:t>开标后从河南省</w:t>
      </w:r>
      <w:r>
        <w:rPr>
          <w:rFonts w:hint="eastAsia" w:ascii="宋体" w:hAnsi="宋体"/>
          <w:sz w:val="24"/>
          <w:szCs w:val="24"/>
          <w:lang w:val="en-US" w:eastAsia="zh-CN"/>
        </w:rPr>
        <w:t>政府采购</w:t>
      </w:r>
      <w:r>
        <w:rPr>
          <w:rFonts w:hint="eastAsia" w:ascii="宋体" w:hAnsi="宋体"/>
          <w:sz w:val="24"/>
          <w:szCs w:val="24"/>
        </w:rPr>
        <w:t>评标专家库中随机抽取</w:t>
      </w:r>
      <w:r>
        <w:rPr>
          <w:rFonts w:hint="eastAsia" w:ascii="宋体" w:hAnsi="宋体"/>
          <w:sz w:val="24"/>
          <w:szCs w:val="24"/>
          <w:lang w:eastAsia="zh-CN"/>
        </w:rPr>
        <w:t>。</w:t>
      </w:r>
    </w:p>
    <w:p w14:paraId="4D1626AD">
      <w:pPr>
        <w:spacing w:line="360" w:lineRule="auto"/>
        <w:ind w:firstLine="422" w:firstLineChars="176"/>
        <w:rPr>
          <w:rFonts w:ascii="宋体" w:hAnsi="宋体"/>
          <w:sz w:val="24"/>
          <w:szCs w:val="24"/>
        </w:rPr>
      </w:pPr>
      <w:r>
        <w:rPr>
          <w:rFonts w:hint="eastAsia" w:ascii="宋体" w:hAnsi="宋体"/>
          <w:sz w:val="24"/>
          <w:szCs w:val="24"/>
          <w:lang w:val="en-US" w:eastAsia="zh-CN"/>
        </w:rPr>
        <w:t>18</w:t>
      </w:r>
      <w:r>
        <w:rPr>
          <w:rFonts w:ascii="宋体" w:hAnsi="宋体"/>
          <w:sz w:val="24"/>
          <w:szCs w:val="24"/>
        </w:rPr>
        <w:t>.2</w:t>
      </w:r>
      <w:r>
        <w:rPr>
          <w:rFonts w:hint="eastAsia" w:ascii="宋体" w:hAnsi="宋体"/>
          <w:sz w:val="24"/>
          <w:szCs w:val="24"/>
        </w:rPr>
        <w:t>磋商小组对所有供应商的响应文件进行评审，按评审后得分由高到低顺序排列，递交给采购人。</w:t>
      </w:r>
    </w:p>
    <w:p w14:paraId="6C1D0526">
      <w:pPr>
        <w:spacing w:line="360" w:lineRule="auto"/>
        <w:ind w:firstLine="422" w:firstLineChars="176"/>
        <w:rPr>
          <w:rFonts w:ascii="宋体" w:hAnsi="宋体"/>
          <w:sz w:val="24"/>
          <w:szCs w:val="24"/>
        </w:rPr>
      </w:pPr>
      <w:r>
        <w:rPr>
          <w:rFonts w:hint="eastAsia" w:ascii="宋体" w:hAnsi="宋体"/>
          <w:sz w:val="24"/>
          <w:szCs w:val="24"/>
          <w:lang w:val="en-US" w:eastAsia="zh-CN"/>
        </w:rPr>
        <w:t>18</w:t>
      </w:r>
      <w:r>
        <w:rPr>
          <w:rFonts w:ascii="宋体" w:hAnsi="宋体"/>
          <w:sz w:val="24"/>
          <w:szCs w:val="24"/>
        </w:rPr>
        <w:t>.3</w:t>
      </w:r>
      <w:r>
        <w:rPr>
          <w:rFonts w:hint="eastAsia" w:ascii="宋体" w:hAnsi="宋体"/>
          <w:sz w:val="24"/>
          <w:szCs w:val="24"/>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2E4D3158">
      <w:pPr>
        <w:spacing w:line="360" w:lineRule="auto"/>
        <w:ind w:firstLine="422" w:firstLineChars="176"/>
        <w:rPr>
          <w:rFonts w:ascii="宋体" w:hAnsi="宋体"/>
          <w:sz w:val="24"/>
          <w:szCs w:val="24"/>
        </w:rPr>
      </w:pPr>
      <w:r>
        <w:rPr>
          <w:rFonts w:hint="eastAsia" w:ascii="宋体" w:hAnsi="宋体"/>
          <w:sz w:val="24"/>
          <w:szCs w:val="24"/>
          <w:lang w:val="en-US" w:eastAsia="zh-CN"/>
        </w:rPr>
        <w:t>18</w:t>
      </w:r>
      <w:r>
        <w:rPr>
          <w:rFonts w:ascii="宋体" w:hAnsi="宋体"/>
          <w:sz w:val="24"/>
          <w:szCs w:val="24"/>
        </w:rPr>
        <w:t>.4</w:t>
      </w:r>
      <w:r>
        <w:rPr>
          <w:rFonts w:hint="eastAsia" w:ascii="宋体" w:hAnsi="宋体"/>
          <w:sz w:val="24"/>
          <w:szCs w:val="24"/>
        </w:rPr>
        <w:t>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磋商小组不得修改评审结果或者要求重新评审，但因资格性审查认定错误或价格计算错误需依法重新评审的除外。应在评审报告中明确记载。</w:t>
      </w:r>
    </w:p>
    <w:p w14:paraId="4C9660B1">
      <w:pPr>
        <w:spacing w:line="360" w:lineRule="auto"/>
        <w:ind w:firstLine="424" w:firstLineChars="176"/>
        <w:rPr>
          <w:rFonts w:ascii="宋体" w:hAnsi="宋体"/>
          <w:b/>
          <w:bCs/>
          <w:sz w:val="24"/>
          <w:szCs w:val="24"/>
        </w:rPr>
      </w:pPr>
      <w:r>
        <w:rPr>
          <w:rFonts w:hint="eastAsia" w:ascii="宋体" w:hAnsi="宋体"/>
          <w:b/>
          <w:bCs/>
          <w:sz w:val="24"/>
          <w:szCs w:val="24"/>
          <w:lang w:val="en-US" w:eastAsia="zh-CN"/>
        </w:rPr>
        <w:t>19</w:t>
      </w:r>
      <w:r>
        <w:rPr>
          <w:rFonts w:hint="eastAsia" w:ascii="宋体" w:hAnsi="宋体"/>
          <w:b/>
          <w:bCs/>
          <w:sz w:val="24"/>
          <w:szCs w:val="24"/>
        </w:rPr>
        <w:t>、磋商程序</w:t>
      </w:r>
    </w:p>
    <w:p w14:paraId="571AA457">
      <w:pPr>
        <w:spacing w:line="360" w:lineRule="auto"/>
        <w:ind w:firstLine="422" w:firstLineChars="176"/>
        <w:rPr>
          <w:rFonts w:hint="eastAsia" w:ascii="宋体" w:hAnsi="宋体"/>
          <w:sz w:val="24"/>
          <w:szCs w:val="24"/>
          <w:lang w:val="en-US" w:eastAsia="zh-CN"/>
        </w:rPr>
      </w:pPr>
      <w:bookmarkStart w:id="10" w:name="_Toc171002589"/>
      <w:bookmarkEnd w:id="10"/>
      <w:bookmarkStart w:id="11" w:name="_Toc119657657"/>
      <w:bookmarkEnd w:id="11"/>
      <w:bookmarkStart w:id="12" w:name="_Toc173946414"/>
      <w:bookmarkEnd w:id="12"/>
      <w:bookmarkStart w:id="13" w:name="_Toc141871099"/>
      <w:bookmarkEnd w:id="13"/>
      <w:bookmarkStart w:id="14" w:name="_Toc173946079"/>
      <w:bookmarkEnd w:id="14"/>
      <w:bookmarkStart w:id="15" w:name="_Toc140161799"/>
      <w:bookmarkEnd w:id="15"/>
      <w:bookmarkStart w:id="16" w:name="_Toc171410856"/>
      <w:bookmarkEnd w:id="16"/>
      <w:bookmarkStart w:id="17" w:name="_Toc174034447"/>
      <w:bookmarkEnd w:id="17"/>
      <w:bookmarkStart w:id="18" w:name="_Toc114060626"/>
      <w:bookmarkEnd w:id="18"/>
      <w:bookmarkStart w:id="19" w:name="_Toc24102"/>
      <w:bookmarkStart w:id="20" w:name="_Toc26934"/>
      <w:bookmarkStart w:id="21" w:name="_Toc26234"/>
      <w:r>
        <w:rPr>
          <w:rFonts w:hint="eastAsia" w:ascii="宋体" w:hAnsi="宋体"/>
          <w:sz w:val="24"/>
          <w:szCs w:val="24"/>
          <w:lang w:val="en-US" w:eastAsia="zh-CN"/>
        </w:rPr>
        <w:t>19</w:t>
      </w:r>
      <w:r>
        <w:rPr>
          <w:rFonts w:hint="eastAsia" w:ascii="宋体" w:hAnsi="宋体"/>
          <w:sz w:val="24"/>
          <w:szCs w:val="24"/>
        </w:rPr>
        <w:t>.1磋商小组所有成员应当集中与供应商分别进行磋商，并给予所有参加磋商的供</w:t>
      </w:r>
      <w:r>
        <w:rPr>
          <w:rFonts w:hint="eastAsia" w:ascii="宋体" w:hAnsi="宋体"/>
          <w:sz w:val="24"/>
          <w:szCs w:val="24"/>
          <w:lang w:val="en-US" w:eastAsia="zh-CN"/>
        </w:rPr>
        <w:t>应商平等的磋商机会。</w:t>
      </w:r>
      <w:bookmarkEnd w:id="19"/>
      <w:bookmarkEnd w:id="20"/>
      <w:bookmarkEnd w:id="21"/>
    </w:p>
    <w:p w14:paraId="5FC7FA5D">
      <w:pPr>
        <w:spacing w:line="360" w:lineRule="auto"/>
        <w:ind w:firstLine="422" w:firstLineChars="176"/>
        <w:rPr>
          <w:rFonts w:hint="eastAsia" w:ascii="宋体" w:hAnsi="宋体"/>
          <w:sz w:val="24"/>
          <w:szCs w:val="24"/>
          <w:lang w:val="en-US" w:eastAsia="zh-CN"/>
        </w:rPr>
      </w:pPr>
      <w:r>
        <w:rPr>
          <w:rFonts w:hint="eastAsia" w:ascii="宋体" w:hAnsi="宋体"/>
          <w:sz w:val="24"/>
          <w:szCs w:val="24"/>
          <w:lang w:val="en-US" w:eastAsia="zh-CN"/>
        </w:rPr>
        <w:t>19.2磋商小组首先对所有响应文件进行符合性、资格性、响应性审查。</w:t>
      </w:r>
    </w:p>
    <w:p w14:paraId="1C40534C">
      <w:pPr>
        <w:spacing w:line="360" w:lineRule="auto"/>
        <w:ind w:firstLine="422" w:firstLineChars="176"/>
        <w:rPr>
          <w:rFonts w:hint="eastAsia" w:ascii="宋体" w:hAnsi="宋体"/>
          <w:sz w:val="24"/>
          <w:szCs w:val="24"/>
          <w:lang w:val="en-US" w:eastAsia="zh-CN"/>
        </w:rPr>
      </w:pPr>
      <w:r>
        <w:rPr>
          <w:rFonts w:hint="eastAsia" w:ascii="宋体" w:hAnsi="宋体"/>
          <w:sz w:val="24"/>
          <w:szCs w:val="24"/>
          <w:lang w:val="en-US" w:eastAsia="zh-CN"/>
        </w:rPr>
        <w:t>（1）磋商小组判断响应文件的响应性仅基于响应文件本身内容而不靠外部证据。</w:t>
      </w:r>
    </w:p>
    <w:p w14:paraId="0B949C9E">
      <w:pPr>
        <w:spacing w:line="360" w:lineRule="auto"/>
        <w:ind w:firstLine="422" w:firstLineChars="176"/>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2</w:t>
      </w:r>
      <w:r>
        <w:rPr>
          <w:rFonts w:hint="eastAsia" w:ascii="宋体" w:hAnsi="宋体"/>
          <w:sz w:val="24"/>
          <w:szCs w:val="24"/>
          <w:lang w:eastAsia="zh-CN"/>
        </w:rPr>
        <w:t>）</w:t>
      </w:r>
      <w:r>
        <w:rPr>
          <w:rFonts w:hint="eastAsia" w:ascii="宋体" w:hAnsi="宋体"/>
          <w:sz w:val="24"/>
          <w:szCs w:val="24"/>
        </w:rPr>
        <w:t>实质性未响应磋商文件要求的响应将被拒绝，供应商不得通过修正或撤消不符之处而使其响应成为实质性响应。</w:t>
      </w:r>
    </w:p>
    <w:p w14:paraId="2AD883A9">
      <w:pPr>
        <w:spacing w:line="360" w:lineRule="auto"/>
        <w:ind w:firstLine="422" w:firstLineChars="176"/>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rPr>
        <w:t>实质性未响应是指响应文件中提出了超出磋商文件中磋商控制价、服务内容、服务</w:t>
      </w:r>
      <w:r>
        <w:rPr>
          <w:rFonts w:hint="eastAsia" w:ascii="宋体" w:hAnsi="宋体"/>
          <w:sz w:val="24"/>
          <w:szCs w:val="24"/>
          <w:lang w:val="en-US" w:eastAsia="zh-CN"/>
        </w:rPr>
        <w:t>周</w:t>
      </w:r>
      <w:r>
        <w:rPr>
          <w:rFonts w:hint="eastAsia" w:ascii="宋体" w:hAnsi="宋体"/>
          <w:sz w:val="24"/>
          <w:szCs w:val="24"/>
        </w:rPr>
        <w:t>期、质量要求等内容。</w:t>
      </w:r>
    </w:p>
    <w:p w14:paraId="3DDCA3BC">
      <w:pPr>
        <w:spacing w:line="360" w:lineRule="auto"/>
        <w:ind w:firstLine="422" w:firstLineChars="176"/>
        <w:rPr>
          <w:rFonts w:ascii="宋体" w:hAnsi="宋体"/>
          <w:sz w:val="24"/>
          <w:szCs w:val="24"/>
        </w:rPr>
      </w:pPr>
      <w:r>
        <w:rPr>
          <w:rFonts w:hint="eastAsia" w:ascii="宋体" w:hAnsi="宋体"/>
          <w:sz w:val="24"/>
          <w:szCs w:val="24"/>
          <w:lang w:val="en-US" w:eastAsia="zh-CN"/>
        </w:rPr>
        <w:t>19</w:t>
      </w:r>
      <w:r>
        <w:rPr>
          <w:rFonts w:ascii="宋体" w:hAnsi="宋体"/>
          <w:sz w:val="24"/>
          <w:szCs w:val="24"/>
        </w:rPr>
        <w:t>.3</w:t>
      </w:r>
      <w:r>
        <w:rPr>
          <w:rFonts w:hint="eastAsia" w:ascii="宋体" w:hAnsi="宋体"/>
          <w:sz w:val="24"/>
          <w:szCs w:val="24"/>
        </w:rPr>
        <w:t>有下列情形之一的，其响应文件将会被拒绝：</w:t>
      </w:r>
    </w:p>
    <w:p w14:paraId="4B9EA50E">
      <w:pPr>
        <w:numPr>
          <w:ilvl w:val="0"/>
          <w:numId w:val="2"/>
        </w:numPr>
        <w:spacing w:line="360" w:lineRule="auto"/>
        <w:ind w:firstLine="422" w:firstLineChars="176"/>
        <w:rPr>
          <w:rFonts w:ascii="宋体" w:hAnsi="宋体"/>
          <w:sz w:val="24"/>
          <w:szCs w:val="24"/>
        </w:rPr>
      </w:pPr>
      <w:r>
        <w:rPr>
          <w:rFonts w:hint="eastAsia" w:ascii="宋体" w:hAnsi="宋体"/>
          <w:sz w:val="24"/>
          <w:szCs w:val="24"/>
        </w:rPr>
        <w:t>供应商资格不符合竞争性磋商文件要求的；</w:t>
      </w:r>
    </w:p>
    <w:p w14:paraId="34C08082">
      <w:pPr>
        <w:numPr>
          <w:ilvl w:val="0"/>
          <w:numId w:val="2"/>
        </w:numPr>
        <w:spacing w:line="360" w:lineRule="auto"/>
        <w:ind w:firstLine="422" w:firstLineChars="176"/>
        <w:rPr>
          <w:rFonts w:ascii="宋体" w:hAnsi="宋体"/>
          <w:sz w:val="24"/>
          <w:szCs w:val="24"/>
        </w:rPr>
      </w:pPr>
      <w:r>
        <w:rPr>
          <w:rFonts w:hint="eastAsia" w:ascii="宋体" w:hAnsi="宋体"/>
          <w:sz w:val="24"/>
          <w:szCs w:val="24"/>
        </w:rPr>
        <w:t>磋商报价超过竞争性磋商文件规定的磋商控制价的；</w:t>
      </w:r>
    </w:p>
    <w:p w14:paraId="576AB7D1">
      <w:pPr>
        <w:numPr>
          <w:ilvl w:val="0"/>
          <w:numId w:val="2"/>
        </w:numPr>
        <w:spacing w:line="360" w:lineRule="auto"/>
        <w:ind w:firstLine="422" w:firstLineChars="176"/>
        <w:rPr>
          <w:rFonts w:ascii="宋体" w:hAnsi="宋体"/>
          <w:sz w:val="24"/>
          <w:szCs w:val="24"/>
        </w:rPr>
      </w:pPr>
      <w:r>
        <w:rPr>
          <w:rFonts w:hint="eastAsia" w:ascii="宋体" w:hAnsi="宋体"/>
          <w:sz w:val="24"/>
          <w:szCs w:val="24"/>
        </w:rPr>
        <w:t>以他人的名义磋商、串通磋商、以行贿手段谋取成交或者以其他弄虚作假方式磋商的；</w:t>
      </w:r>
    </w:p>
    <w:p w14:paraId="0F6886F3">
      <w:pPr>
        <w:spacing w:line="360" w:lineRule="auto"/>
        <w:ind w:firstLine="480" w:firstLineChars="200"/>
        <w:rPr>
          <w:rFonts w:ascii="宋体" w:hAnsi="宋体"/>
          <w:sz w:val="24"/>
          <w:szCs w:val="24"/>
        </w:rPr>
      </w:pPr>
      <w:r>
        <w:rPr>
          <w:rFonts w:hint="eastAsia" w:ascii="宋体" w:hAnsi="宋体"/>
          <w:sz w:val="24"/>
          <w:szCs w:val="24"/>
        </w:rPr>
        <w:t>（4）采取不正当手段谋取成交的。</w:t>
      </w:r>
    </w:p>
    <w:p w14:paraId="13F4DD87">
      <w:pPr>
        <w:spacing w:line="360" w:lineRule="auto"/>
        <w:ind w:firstLine="424" w:firstLineChars="176"/>
        <w:rPr>
          <w:rFonts w:ascii="宋体" w:hAnsi="宋体"/>
          <w:b/>
          <w:bCs/>
          <w:sz w:val="24"/>
          <w:szCs w:val="24"/>
        </w:rPr>
      </w:pPr>
      <w:r>
        <w:rPr>
          <w:rFonts w:ascii="宋体" w:hAnsi="宋体"/>
          <w:b/>
          <w:bCs/>
          <w:sz w:val="24"/>
          <w:szCs w:val="24"/>
        </w:rPr>
        <w:t>2</w:t>
      </w:r>
      <w:r>
        <w:rPr>
          <w:rFonts w:hint="eastAsia" w:ascii="宋体" w:hAnsi="宋体"/>
          <w:b/>
          <w:bCs/>
          <w:sz w:val="24"/>
          <w:szCs w:val="24"/>
          <w:lang w:val="en-US" w:eastAsia="zh-CN"/>
        </w:rPr>
        <w:t>0</w:t>
      </w:r>
      <w:r>
        <w:rPr>
          <w:rFonts w:hint="eastAsia" w:ascii="宋体" w:hAnsi="宋体"/>
          <w:b/>
          <w:bCs/>
          <w:sz w:val="24"/>
          <w:szCs w:val="24"/>
        </w:rPr>
        <w:t>、对供应商的评价</w:t>
      </w:r>
    </w:p>
    <w:p w14:paraId="3EE602A0">
      <w:pPr>
        <w:spacing w:line="360" w:lineRule="auto"/>
        <w:ind w:firstLine="422" w:firstLineChars="176"/>
        <w:rPr>
          <w:rFonts w:ascii="宋体" w:hAnsi="宋体"/>
          <w:sz w:val="24"/>
          <w:szCs w:val="24"/>
        </w:rPr>
      </w:pPr>
      <w:r>
        <w:rPr>
          <w:rFonts w:ascii="宋体" w:hAnsi="宋体"/>
          <w:sz w:val="24"/>
          <w:szCs w:val="24"/>
        </w:rPr>
        <w:t>2</w:t>
      </w:r>
      <w:r>
        <w:rPr>
          <w:rFonts w:hint="eastAsia" w:ascii="宋体" w:hAnsi="宋体"/>
          <w:sz w:val="24"/>
          <w:szCs w:val="24"/>
          <w:lang w:val="en-US" w:eastAsia="zh-CN"/>
        </w:rPr>
        <w:t>0</w:t>
      </w:r>
      <w:r>
        <w:rPr>
          <w:rFonts w:ascii="宋体" w:hAnsi="宋体"/>
          <w:sz w:val="24"/>
          <w:szCs w:val="24"/>
        </w:rPr>
        <w:t>.1</w:t>
      </w:r>
      <w:r>
        <w:rPr>
          <w:rFonts w:hint="eastAsia" w:ascii="宋体" w:hAnsi="宋体"/>
          <w:sz w:val="24"/>
          <w:szCs w:val="24"/>
        </w:rPr>
        <w:t>磋商小组只对已判定为实质性响应且通过资格审查的响应文件进行详细评价和比较。</w:t>
      </w:r>
    </w:p>
    <w:p w14:paraId="145921AC">
      <w:pPr>
        <w:spacing w:line="360" w:lineRule="auto"/>
        <w:ind w:firstLine="422" w:firstLineChars="176"/>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0</w:t>
      </w:r>
      <w:r>
        <w:rPr>
          <w:rFonts w:ascii="宋体" w:hAnsi="宋体"/>
          <w:sz w:val="24"/>
          <w:szCs w:val="24"/>
        </w:rPr>
        <w:t>.</w:t>
      </w:r>
      <w:r>
        <w:rPr>
          <w:rFonts w:hint="eastAsia" w:ascii="宋体" w:hAnsi="宋体"/>
          <w:sz w:val="24"/>
          <w:szCs w:val="24"/>
        </w:rPr>
        <w:t>2磋商小组所有成员应当集中与单一响应供应商分别进行磋商，并给予所有参加磋商的供应商平等的磋商机会。磋商完成后，要求其在规定时间内提交最后报价。</w:t>
      </w:r>
    </w:p>
    <w:p w14:paraId="705D3315">
      <w:pPr>
        <w:spacing w:line="360" w:lineRule="auto"/>
        <w:ind w:firstLine="422" w:firstLineChars="176"/>
        <w:rPr>
          <w:rFonts w:ascii="宋体" w:hAnsi="宋体"/>
          <w:sz w:val="24"/>
          <w:szCs w:val="24"/>
        </w:rPr>
      </w:pPr>
      <w:r>
        <w:rPr>
          <w:rFonts w:ascii="宋体" w:hAnsi="宋体"/>
          <w:sz w:val="24"/>
          <w:szCs w:val="24"/>
        </w:rPr>
        <w:t>2</w:t>
      </w:r>
      <w:r>
        <w:rPr>
          <w:rFonts w:hint="eastAsia" w:ascii="宋体" w:hAnsi="宋体"/>
          <w:sz w:val="24"/>
          <w:szCs w:val="24"/>
          <w:lang w:val="en-US" w:eastAsia="zh-CN"/>
        </w:rPr>
        <w:t>0</w:t>
      </w:r>
      <w:r>
        <w:rPr>
          <w:rFonts w:ascii="宋体" w:hAnsi="宋体"/>
          <w:sz w:val="24"/>
          <w:szCs w:val="24"/>
        </w:rPr>
        <w:t>.</w:t>
      </w:r>
      <w:r>
        <w:rPr>
          <w:rFonts w:hint="eastAsia" w:ascii="宋体" w:hAnsi="宋体"/>
          <w:sz w:val="24"/>
          <w:szCs w:val="24"/>
        </w:rPr>
        <w:t>3经磋商确定最终服务内容和提交最后报价的供应商后，磋商小组采用综合评分法对提交最后报价的供应商的响应文件和最后报价进行综合评分。</w:t>
      </w:r>
    </w:p>
    <w:p w14:paraId="23B4705E">
      <w:pPr>
        <w:spacing w:line="44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lang w:val="en-US" w:eastAsia="zh-CN"/>
        </w:rPr>
        <w:t>0</w:t>
      </w:r>
      <w:r>
        <w:rPr>
          <w:rFonts w:ascii="宋体" w:hAnsi="宋体"/>
          <w:sz w:val="24"/>
          <w:szCs w:val="24"/>
        </w:rPr>
        <w:t>.</w:t>
      </w:r>
      <w:r>
        <w:rPr>
          <w:rFonts w:hint="eastAsia" w:ascii="宋体" w:hAnsi="宋体"/>
          <w:sz w:val="24"/>
          <w:szCs w:val="24"/>
        </w:rPr>
        <w:t>4磋商小组根据综合评分情况，按评审得分由高到低的顺序确定3名成交候选供应商，并编写评审报告。评审得分相同的，按照最后报价由低到高的顺序确定，评审得分且最后报价相同的，按照技术指标优劣顺序确定成交候选供应商。评审报告由磋商小组全体人员签字。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E7869C9">
      <w:pPr>
        <w:spacing w:line="44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lang w:val="en-US" w:eastAsia="zh-CN"/>
        </w:rPr>
        <w:t>0</w:t>
      </w:r>
      <w:r>
        <w:rPr>
          <w:rFonts w:ascii="宋体" w:hAnsi="宋体"/>
          <w:sz w:val="24"/>
          <w:szCs w:val="24"/>
        </w:rPr>
        <w:t>.</w:t>
      </w:r>
      <w:r>
        <w:rPr>
          <w:rFonts w:hint="eastAsia" w:ascii="宋体" w:hAnsi="宋体"/>
          <w:sz w:val="24"/>
          <w:szCs w:val="24"/>
        </w:rPr>
        <w:t>5如果第一名供应商放弃成交资格或因不可抗力提出不能履行合同，采购人将依序确定排名第二名的成交候选供应商为成交供应商，也可以重新开展政府采购活动。</w:t>
      </w:r>
    </w:p>
    <w:p w14:paraId="4493D929">
      <w:pPr>
        <w:spacing w:line="440" w:lineRule="exact"/>
        <w:ind w:firstLine="424" w:firstLineChars="176"/>
        <w:rPr>
          <w:rFonts w:ascii="宋体" w:hAnsi="宋体"/>
          <w:b/>
          <w:bCs/>
          <w:sz w:val="24"/>
          <w:szCs w:val="24"/>
        </w:rPr>
      </w:pPr>
      <w:r>
        <w:rPr>
          <w:rFonts w:ascii="宋体" w:hAnsi="宋体"/>
          <w:b/>
          <w:bCs/>
          <w:sz w:val="24"/>
          <w:szCs w:val="24"/>
        </w:rPr>
        <w:t>2</w:t>
      </w:r>
      <w:r>
        <w:rPr>
          <w:rFonts w:hint="eastAsia" w:ascii="宋体" w:hAnsi="宋体"/>
          <w:b/>
          <w:bCs/>
          <w:sz w:val="24"/>
          <w:szCs w:val="24"/>
          <w:lang w:val="en-US" w:eastAsia="zh-CN"/>
        </w:rPr>
        <w:t>1</w:t>
      </w:r>
      <w:r>
        <w:rPr>
          <w:rFonts w:hint="eastAsia" w:ascii="宋体" w:hAnsi="宋体"/>
          <w:b/>
          <w:bCs/>
          <w:sz w:val="24"/>
          <w:szCs w:val="24"/>
        </w:rPr>
        <w:t>、响应文件的澄清</w:t>
      </w:r>
    </w:p>
    <w:p w14:paraId="51E4221A">
      <w:pPr>
        <w:spacing w:line="44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lang w:val="en-US" w:eastAsia="zh-CN"/>
        </w:rPr>
        <w:t>1</w:t>
      </w:r>
      <w:r>
        <w:rPr>
          <w:rFonts w:ascii="宋体" w:hAnsi="宋体"/>
          <w:sz w:val="24"/>
          <w:szCs w:val="24"/>
        </w:rPr>
        <w:t>.1</w:t>
      </w:r>
      <w:r>
        <w:rPr>
          <w:rFonts w:hint="eastAsia" w:ascii="宋体" w:hAnsi="宋体"/>
          <w:sz w:val="24"/>
          <w:szCs w:val="24"/>
        </w:rPr>
        <w:t>为了有助于对响应文件进行审查、评估和比较，磋商小组有权向供应商质疑。请供应商澄清其</w:t>
      </w:r>
      <w:r>
        <w:rPr>
          <w:rFonts w:hint="eastAsia" w:ascii="宋体" w:hAnsi="宋体"/>
          <w:kern w:val="0"/>
          <w:sz w:val="24"/>
          <w:szCs w:val="24"/>
        </w:rPr>
        <w:t>磋商</w:t>
      </w:r>
      <w:r>
        <w:rPr>
          <w:rFonts w:hint="eastAsia" w:ascii="宋体" w:hAnsi="宋体"/>
          <w:sz w:val="24"/>
          <w:szCs w:val="24"/>
        </w:rPr>
        <w:t>内容。供应商有责任按照磋商小组通知的时间、地点、方式指派委托代理人进行答疑和澄清。</w:t>
      </w:r>
    </w:p>
    <w:p w14:paraId="0EE6D47E">
      <w:pPr>
        <w:spacing w:line="44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lang w:val="en-US" w:eastAsia="zh-CN"/>
        </w:rPr>
        <w:t>1</w:t>
      </w:r>
      <w:r>
        <w:rPr>
          <w:rFonts w:ascii="宋体" w:hAnsi="宋体"/>
          <w:sz w:val="24"/>
          <w:szCs w:val="24"/>
        </w:rPr>
        <w:t>.2</w:t>
      </w:r>
      <w:r>
        <w:rPr>
          <w:rFonts w:hint="eastAsia" w:ascii="宋体" w:hAnsi="宋体"/>
          <w:sz w:val="24"/>
          <w:szCs w:val="24"/>
        </w:rPr>
        <w:t>重要澄清的答复应是书面的，并由法定代表人或其委托代理人签字。</w:t>
      </w:r>
    </w:p>
    <w:p w14:paraId="4F10650E">
      <w:pPr>
        <w:spacing w:line="44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lang w:val="en-US" w:eastAsia="zh-CN"/>
        </w:rPr>
        <w:t>1</w:t>
      </w:r>
      <w:r>
        <w:rPr>
          <w:rFonts w:ascii="宋体" w:hAnsi="宋体"/>
          <w:sz w:val="24"/>
          <w:szCs w:val="24"/>
        </w:rPr>
        <w:t>.3</w:t>
      </w:r>
      <w:r>
        <w:rPr>
          <w:rFonts w:hint="eastAsia" w:ascii="宋体" w:hAnsi="宋体"/>
          <w:sz w:val="24"/>
          <w:szCs w:val="24"/>
        </w:rPr>
        <w:t>供应商的澄清文件响应文件的组成部分，并取代响应文件中被澄清的部分。</w:t>
      </w:r>
    </w:p>
    <w:p w14:paraId="4C749F9D">
      <w:pPr>
        <w:spacing w:line="44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lang w:val="en-US" w:eastAsia="zh-CN"/>
        </w:rPr>
        <w:t>1</w:t>
      </w:r>
      <w:r>
        <w:rPr>
          <w:rFonts w:ascii="宋体" w:hAnsi="宋体"/>
          <w:sz w:val="24"/>
          <w:szCs w:val="24"/>
        </w:rPr>
        <w:t>.4</w:t>
      </w:r>
      <w:r>
        <w:rPr>
          <w:rFonts w:hint="eastAsia" w:ascii="宋体" w:hAnsi="宋体"/>
          <w:sz w:val="24"/>
          <w:szCs w:val="24"/>
        </w:rPr>
        <w:t>响应文件澄清部分不得对磋商内容进行实质性修改。</w:t>
      </w:r>
    </w:p>
    <w:p w14:paraId="46E747BD">
      <w:pPr>
        <w:spacing w:line="420" w:lineRule="exact"/>
        <w:ind w:firstLine="424" w:firstLineChars="176"/>
        <w:rPr>
          <w:rFonts w:ascii="宋体" w:hAnsi="宋体"/>
          <w:b/>
          <w:bCs/>
          <w:sz w:val="24"/>
          <w:szCs w:val="24"/>
        </w:rPr>
      </w:pPr>
      <w:r>
        <w:rPr>
          <w:rFonts w:ascii="宋体" w:hAnsi="宋体"/>
          <w:b/>
          <w:bCs/>
          <w:sz w:val="24"/>
          <w:szCs w:val="24"/>
        </w:rPr>
        <w:t>2</w:t>
      </w:r>
      <w:r>
        <w:rPr>
          <w:rFonts w:hint="eastAsia" w:ascii="宋体" w:hAnsi="宋体"/>
          <w:b/>
          <w:bCs/>
          <w:sz w:val="24"/>
          <w:szCs w:val="24"/>
          <w:lang w:val="en-US" w:eastAsia="zh-CN"/>
        </w:rPr>
        <w:t>2</w:t>
      </w:r>
      <w:r>
        <w:rPr>
          <w:rFonts w:hint="eastAsia" w:ascii="宋体" w:hAnsi="宋体"/>
          <w:b/>
          <w:bCs/>
          <w:sz w:val="24"/>
          <w:szCs w:val="24"/>
        </w:rPr>
        <w:t>、确定成交供应商</w:t>
      </w:r>
    </w:p>
    <w:p w14:paraId="6F558527">
      <w:pPr>
        <w:spacing w:line="42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lang w:val="en-US" w:eastAsia="zh-CN"/>
        </w:rPr>
        <w:t>2</w:t>
      </w:r>
      <w:r>
        <w:rPr>
          <w:rFonts w:ascii="宋体" w:hAnsi="宋体"/>
          <w:sz w:val="24"/>
          <w:szCs w:val="24"/>
        </w:rPr>
        <w:t>.1</w:t>
      </w:r>
      <w:r>
        <w:rPr>
          <w:rFonts w:hint="eastAsia" w:ascii="宋体" w:hAnsi="宋体"/>
          <w:sz w:val="24"/>
          <w:szCs w:val="24"/>
        </w:rPr>
        <w:t>磋商小组应当根据综合评分情况，按照评审由高到低的顺序推荐成交候选供应商，并向采购人提供书面评审报告。</w:t>
      </w:r>
    </w:p>
    <w:p w14:paraId="377EBB00">
      <w:pPr>
        <w:spacing w:line="360" w:lineRule="auto"/>
        <w:ind w:firstLine="422" w:firstLineChars="176"/>
        <w:rPr>
          <w:rFonts w:hint="eastAsia" w:ascii="宋体" w:hAnsi="宋体"/>
          <w:sz w:val="24"/>
          <w:szCs w:val="24"/>
          <w:lang w:val="en-US" w:eastAsia="zh-CN"/>
        </w:rPr>
      </w:pPr>
      <w:bookmarkStart w:id="22" w:name="_Toc174034448"/>
      <w:bookmarkEnd w:id="22"/>
      <w:bookmarkStart w:id="23" w:name="_Toc173946080"/>
      <w:bookmarkEnd w:id="23"/>
      <w:bookmarkStart w:id="24" w:name="_Toc173946415"/>
      <w:bookmarkEnd w:id="24"/>
      <w:bookmarkStart w:id="25" w:name="_Toc171002590"/>
      <w:bookmarkEnd w:id="25"/>
      <w:bookmarkStart w:id="26" w:name="_Toc171410857"/>
      <w:bookmarkEnd w:id="26"/>
      <w:bookmarkStart w:id="27" w:name="_Toc24476"/>
      <w:bookmarkStart w:id="28" w:name="_Toc4678"/>
      <w:bookmarkStart w:id="29" w:name="_Toc10924"/>
      <w:r>
        <w:rPr>
          <w:rFonts w:hint="eastAsia" w:ascii="宋体" w:hAnsi="宋体"/>
          <w:sz w:val="24"/>
          <w:szCs w:val="24"/>
          <w:lang w:val="en-US" w:eastAsia="zh-CN"/>
        </w:rPr>
        <w:t>22.2磋商小组经采购人授权，确定排名第一的成交候选供应商为成交供应商。当确定成交供应商放弃成交或因不可抗力提出不能履行合同的，采购人可以按照评审报告推荐的成交候选供应商名单，确定下一成交候选供应商为成交供应商，也可以重新开展政府采购活动。</w:t>
      </w:r>
      <w:bookmarkEnd w:id="27"/>
      <w:bookmarkEnd w:id="28"/>
      <w:bookmarkEnd w:id="29"/>
    </w:p>
    <w:p w14:paraId="002D875C">
      <w:pPr>
        <w:spacing w:line="420" w:lineRule="exact"/>
        <w:ind w:firstLine="424" w:firstLineChars="176"/>
        <w:rPr>
          <w:rFonts w:ascii="宋体" w:hAnsi="宋体"/>
          <w:b/>
          <w:bCs/>
          <w:sz w:val="24"/>
          <w:szCs w:val="24"/>
        </w:rPr>
      </w:pPr>
      <w:r>
        <w:rPr>
          <w:rFonts w:ascii="宋体" w:hAnsi="宋体"/>
          <w:b/>
          <w:bCs/>
          <w:sz w:val="24"/>
          <w:szCs w:val="24"/>
        </w:rPr>
        <w:t>2</w:t>
      </w:r>
      <w:r>
        <w:rPr>
          <w:rFonts w:hint="eastAsia" w:ascii="宋体" w:hAnsi="宋体"/>
          <w:b/>
          <w:bCs/>
          <w:sz w:val="24"/>
          <w:szCs w:val="24"/>
          <w:lang w:val="en-US" w:eastAsia="zh-CN"/>
        </w:rPr>
        <w:t>3</w:t>
      </w:r>
      <w:r>
        <w:rPr>
          <w:rFonts w:hint="eastAsia" w:ascii="宋体" w:hAnsi="宋体"/>
          <w:b/>
          <w:bCs/>
          <w:sz w:val="24"/>
          <w:szCs w:val="24"/>
        </w:rPr>
        <w:t>、保密及其它注意事项</w:t>
      </w:r>
    </w:p>
    <w:p w14:paraId="538FA68A">
      <w:pPr>
        <w:spacing w:line="42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lang w:val="en-US" w:eastAsia="zh-CN"/>
        </w:rPr>
        <w:t>3</w:t>
      </w:r>
      <w:r>
        <w:rPr>
          <w:rFonts w:ascii="宋体" w:hAnsi="宋体"/>
          <w:sz w:val="24"/>
          <w:szCs w:val="24"/>
        </w:rPr>
        <w:t>.1</w:t>
      </w:r>
      <w:r>
        <w:rPr>
          <w:rFonts w:hint="eastAsia" w:ascii="宋体" w:hAnsi="宋体"/>
          <w:sz w:val="24"/>
          <w:szCs w:val="24"/>
        </w:rPr>
        <w:t>评审工作是磋商工作的重要环节，评审工作在磋商小组内独立进行。</w:t>
      </w:r>
    </w:p>
    <w:p w14:paraId="0DC69819">
      <w:pPr>
        <w:spacing w:line="42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lang w:val="en-US" w:eastAsia="zh-CN"/>
        </w:rPr>
        <w:t>3</w:t>
      </w:r>
      <w:r>
        <w:rPr>
          <w:rFonts w:ascii="宋体" w:hAnsi="宋体"/>
          <w:sz w:val="24"/>
          <w:szCs w:val="24"/>
        </w:rPr>
        <w:t>.2</w:t>
      </w:r>
      <w:r>
        <w:rPr>
          <w:rFonts w:hint="eastAsia" w:ascii="宋体" w:hAnsi="宋体"/>
          <w:sz w:val="24"/>
          <w:szCs w:val="24"/>
        </w:rPr>
        <w:t>在评审期间，供应商不得向磋商小组成员询问评审情况，不得进行影响评审结果的活动。否则其响应将会被拒绝。</w:t>
      </w:r>
    </w:p>
    <w:p w14:paraId="0D4A6641">
      <w:pPr>
        <w:spacing w:line="42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lang w:val="en-US" w:eastAsia="zh-CN"/>
        </w:rPr>
        <w:t>3</w:t>
      </w:r>
      <w:r>
        <w:rPr>
          <w:rFonts w:ascii="宋体" w:hAnsi="宋体"/>
          <w:sz w:val="24"/>
          <w:szCs w:val="24"/>
        </w:rPr>
        <w:t>.3</w:t>
      </w:r>
      <w:r>
        <w:rPr>
          <w:rFonts w:hint="eastAsia" w:ascii="宋体" w:hAnsi="宋体"/>
          <w:sz w:val="24"/>
          <w:szCs w:val="24"/>
        </w:rPr>
        <w:t>为保证评审的公正性，磋商开始后直至授予成交供应商合同，磋商小组成员不得与供应商私下交换意见。</w:t>
      </w:r>
    </w:p>
    <w:p w14:paraId="60143546">
      <w:pPr>
        <w:spacing w:line="42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lang w:val="en-US" w:eastAsia="zh-CN"/>
        </w:rPr>
        <w:t>3</w:t>
      </w:r>
      <w:r>
        <w:rPr>
          <w:rFonts w:ascii="宋体" w:hAnsi="宋体"/>
          <w:sz w:val="24"/>
          <w:szCs w:val="24"/>
        </w:rPr>
        <w:t>.4</w:t>
      </w:r>
      <w:r>
        <w:rPr>
          <w:rFonts w:hint="eastAsia" w:ascii="宋体" w:hAnsi="宋体"/>
          <w:sz w:val="24"/>
          <w:szCs w:val="24"/>
        </w:rPr>
        <w:t>在评审工作结束后，凡与评审情况有接触的任何人不得擅自将评审情况扩散出评审人员之外。</w:t>
      </w:r>
    </w:p>
    <w:p w14:paraId="5BB01386">
      <w:pPr>
        <w:spacing w:line="420" w:lineRule="exact"/>
        <w:ind w:firstLine="424" w:firstLineChars="176"/>
        <w:rPr>
          <w:rFonts w:ascii="宋体" w:hAnsi="宋体"/>
          <w:b/>
          <w:bCs/>
          <w:sz w:val="24"/>
          <w:szCs w:val="24"/>
        </w:rPr>
      </w:pPr>
      <w:r>
        <w:rPr>
          <w:rFonts w:ascii="宋体" w:hAnsi="宋体"/>
          <w:b/>
          <w:bCs/>
          <w:sz w:val="24"/>
          <w:szCs w:val="24"/>
        </w:rPr>
        <w:t>2</w:t>
      </w:r>
      <w:r>
        <w:rPr>
          <w:rFonts w:hint="eastAsia" w:ascii="宋体" w:hAnsi="宋体"/>
          <w:b/>
          <w:bCs/>
          <w:sz w:val="24"/>
          <w:szCs w:val="24"/>
          <w:lang w:val="en-US" w:eastAsia="zh-CN"/>
        </w:rPr>
        <w:t>4</w:t>
      </w:r>
      <w:r>
        <w:rPr>
          <w:rFonts w:hint="eastAsia" w:ascii="宋体" w:hAnsi="宋体"/>
          <w:b/>
          <w:bCs/>
          <w:sz w:val="24"/>
          <w:szCs w:val="24"/>
        </w:rPr>
        <w:t>、成交通知</w:t>
      </w:r>
      <w:r>
        <w:tab/>
      </w:r>
    </w:p>
    <w:p w14:paraId="24C4454E">
      <w:pPr>
        <w:spacing w:line="42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lang w:val="en-US" w:eastAsia="zh-CN"/>
        </w:rPr>
        <w:t>4</w:t>
      </w:r>
      <w:r>
        <w:rPr>
          <w:rFonts w:ascii="宋体" w:hAnsi="宋体"/>
          <w:sz w:val="24"/>
          <w:szCs w:val="24"/>
        </w:rPr>
        <w:t>.1</w:t>
      </w:r>
      <w:r>
        <w:rPr>
          <w:rFonts w:hint="eastAsia" w:ascii="宋体" w:hAnsi="宋体"/>
          <w:sz w:val="24"/>
          <w:szCs w:val="24"/>
        </w:rPr>
        <w:t>成交供应商确定后，采购人向成交供应商签发成交通知书，并将成交结果通知所有未成交的供应商。</w:t>
      </w:r>
    </w:p>
    <w:p w14:paraId="34C4F6E2">
      <w:pPr>
        <w:spacing w:line="420" w:lineRule="exact"/>
        <w:ind w:firstLine="422" w:firstLineChars="176"/>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4</w:t>
      </w:r>
      <w:r>
        <w:rPr>
          <w:rFonts w:ascii="宋体" w:hAnsi="宋体"/>
          <w:sz w:val="24"/>
          <w:szCs w:val="24"/>
        </w:rPr>
        <w:t>.2</w:t>
      </w:r>
      <w:r>
        <w:rPr>
          <w:rFonts w:hint="eastAsia" w:ascii="宋体" w:hAnsi="宋体"/>
          <w:sz w:val="24"/>
          <w:szCs w:val="24"/>
        </w:rPr>
        <w:t>成交通知书作为签订合同的依据，对采购人和成交供应商均具有法律效力，成交通知书发出后，采购人改变成交结果或者成交供应商放弃项目，应依法承担法律责任。</w:t>
      </w:r>
    </w:p>
    <w:p w14:paraId="5D80BA43">
      <w:pPr>
        <w:spacing w:line="420" w:lineRule="exact"/>
        <w:ind w:firstLine="424" w:firstLineChars="176"/>
        <w:rPr>
          <w:rFonts w:ascii="宋体" w:hAnsi="宋体"/>
          <w:b/>
          <w:bCs/>
          <w:sz w:val="24"/>
          <w:szCs w:val="24"/>
        </w:rPr>
      </w:pPr>
      <w:r>
        <w:rPr>
          <w:rFonts w:ascii="宋体" w:hAnsi="宋体"/>
          <w:b/>
          <w:bCs/>
          <w:sz w:val="24"/>
          <w:szCs w:val="24"/>
        </w:rPr>
        <w:t>2</w:t>
      </w:r>
      <w:r>
        <w:rPr>
          <w:rFonts w:hint="eastAsia" w:ascii="宋体" w:hAnsi="宋体"/>
          <w:b/>
          <w:bCs/>
          <w:sz w:val="24"/>
          <w:szCs w:val="24"/>
          <w:lang w:val="en-US" w:eastAsia="zh-CN"/>
        </w:rPr>
        <w:t>5</w:t>
      </w:r>
      <w:r>
        <w:rPr>
          <w:rFonts w:hint="eastAsia" w:ascii="宋体" w:hAnsi="宋体"/>
          <w:b/>
          <w:bCs/>
          <w:sz w:val="24"/>
          <w:szCs w:val="24"/>
        </w:rPr>
        <w:t>、签订合同</w:t>
      </w:r>
    </w:p>
    <w:p w14:paraId="140E41A7">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采购人、成交供应商在成交通知书发出之日起在2个工作日，根据竞争性磋商文件确定的事项和成交供应商响应文件签订合同。双方所签订的合同不得对竞争性磋商文件和成交供应商响应文件作实质性修改。成交供应商逾期未签订合同，视为成交后无正当理由不与采购人签订合同，按照有关法律规定承担相应的法律责任。采购人逾期不与成交供应商签订合同的，按政府采购的有关规定处理。</w:t>
      </w:r>
    </w:p>
    <w:p w14:paraId="57C1ECDB">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竞争性磋商文件、竞争性磋商文件的修改文件、成交供应商的响应文件、补充或修改的文件及澄清或承诺文件等，均为双方签订合同的组成部分，并与合同一并作为本竞争性磋商文件所列采购项目的互补性法律文件，与合同具有同等法律效力。</w:t>
      </w:r>
    </w:p>
    <w:p w14:paraId="30532AC4">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p>
    <w:p w14:paraId="2BD3E063">
      <w:pPr>
        <w:spacing w:line="420" w:lineRule="exact"/>
        <w:ind w:firstLine="424" w:firstLineChars="176"/>
        <w:rPr>
          <w:rFonts w:ascii="宋体" w:hAnsi="宋体"/>
          <w:b/>
          <w:sz w:val="24"/>
          <w:szCs w:val="24"/>
        </w:rPr>
      </w:pPr>
      <w:r>
        <w:rPr>
          <w:rFonts w:ascii="宋体" w:hAnsi="宋体"/>
          <w:b/>
          <w:sz w:val="24"/>
          <w:szCs w:val="24"/>
        </w:rPr>
        <w:t>2</w:t>
      </w:r>
      <w:r>
        <w:rPr>
          <w:rFonts w:hint="eastAsia" w:ascii="宋体" w:hAnsi="宋体"/>
          <w:b/>
          <w:sz w:val="24"/>
          <w:szCs w:val="24"/>
          <w:lang w:val="en-US" w:eastAsia="zh-CN"/>
        </w:rPr>
        <w:t>6</w:t>
      </w:r>
      <w:r>
        <w:rPr>
          <w:rFonts w:hint="eastAsia" w:ascii="宋体" w:hAnsi="宋体"/>
          <w:b/>
          <w:sz w:val="24"/>
          <w:szCs w:val="24"/>
        </w:rPr>
        <w:t>、特别注意事项：</w:t>
      </w:r>
    </w:p>
    <w:p w14:paraId="6321E467">
      <w:pPr>
        <w:wordWrap w:val="0"/>
        <w:autoSpaceDE w:val="0"/>
        <w:autoSpaceDN w:val="0"/>
        <w:adjustRightInd w:val="0"/>
        <w:spacing w:line="360" w:lineRule="auto"/>
        <w:ind w:firstLine="464" w:firstLineChars="200"/>
        <w:rPr>
          <w:rFonts w:hint="eastAsia" w:ascii="宋体" w:hAnsi="宋体" w:cs="宋体"/>
          <w:spacing w:val="-4"/>
          <w:sz w:val="24"/>
          <w:szCs w:val="24"/>
        </w:rPr>
      </w:pPr>
      <w:r>
        <w:rPr>
          <w:rFonts w:hint="eastAsia" w:ascii="宋体" w:hAnsi="宋体" w:cs="宋体"/>
          <w:spacing w:val="-4"/>
          <w:sz w:val="24"/>
          <w:szCs w:val="24"/>
        </w:rPr>
        <w:t>2</w:t>
      </w:r>
      <w:r>
        <w:rPr>
          <w:rFonts w:hint="eastAsia" w:ascii="宋体" w:hAnsi="宋体" w:cs="宋体"/>
          <w:spacing w:val="-4"/>
          <w:sz w:val="24"/>
          <w:szCs w:val="24"/>
          <w:lang w:val="en-US" w:eastAsia="zh-CN"/>
        </w:rPr>
        <w:t>6</w:t>
      </w:r>
      <w:r>
        <w:rPr>
          <w:rFonts w:hint="eastAsia" w:ascii="宋体" w:hAnsi="宋体" w:cs="宋体"/>
          <w:spacing w:val="-4"/>
          <w:sz w:val="24"/>
          <w:szCs w:val="24"/>
        </w:rPr>
        <w:t>.1供应商出现下列情形之一的，磋商小组可取消其磋商资格：</w:t>
      </w:r>
    </w:p>
    <w:p w14:paraId="3CE9BDAD">
      <w:pPr>
        <w:wordWrap w:val="0"/>
        <w:autoSpaceDE w:val="0"/>
        <w:autoSpaceDN w:val="0"/>
        <w:adjustRightInd w:val="0"/>
        <w:spacing w:line="360" w:lineRule="auto"/>
        <w:ind w:firstLine="464" w:firstLineChars="200"/>
        <w:rPr>
          <w:rFonts w:hint="eastAsia" w:ascii="宋体" w:hAnsi="宋体" w:cs="宋体"/>
          <w:spacing w:val="-4"/>
          <w:sz w:val="24"/>
          <w:szCs w:val="24"/>
        </w:rPr>
      </w:pPr>
      <w:r>
        <w:rPr>
          <w:rFonts w:hint="eastAsia" w:ascii="宋体" w:hAnsi="宋体" w:cs="宋体"/>
          <w:spacing w:val="-4"/>
          <w:sz w:val="24"/>
          <w:szCs w:val="24"/>
        </w:rPr>
        <w:t>（1）未按磋商文件要求和规定提交实质性响应材料的；</w:t>
      </w:r>
    </w:p>
    <w:p w14:paraId="4E3EA15C">
      <w:pPr>
        <w:wordWrap w:val="0"/>
        <w:autoSpaceDE w:val="0"/>
        <w:autoSpaceDN w:val="0"/>
        <w:adjustRightInd w:val="0"/>
        <w:spacing w:line="360" w:lineRule="auto"/>
        <w:ind w:firstLine="464" w:firstLineChars="200"/>
        <w:rPr>
          <w:rFonts w:hint="eastAsia" w:ascii="宋体" w:hAnsi="宋体" w:cs="宋体"/>
          <w:spacing w:val="-4"/>
          <w:sz w:val="24"/>
          <w:szCs w:val="24"/>
        </w:rPr>
      </w:pPr>
      <w:r>
        <w:rPr>
          <w:rFonts w:hint="eastAsia" w:ascii="宋体" w:hAnsi="宋体" w:cs="宋体"/>
          <w:spacing w:val="-4"/>
          <w:sz w:val="24"/>
          <w:szCs w:val="24"/>
        </w:rPr>
        <w:t>（2）相互串通磋商的（有下列情形之一的，视为供应商相互串通磋商）；</w:t>
      </w:r>
    </w:p>
    <w:p w14:paraId="5350FAA1">
      <w:pPr>
        <w:wordWrap w:val="0"/>
        <w:autoSpaceDE w:val="0"/>
        <w:autoSpaceDN w:val="0"/>
        <w:adjustRightInd w:val="0"/>
        <w:spacing w:line="360" w:lineRule="auto"/>
        <w:ind w:firstLine="464" w:firstLineChars="200"/>
        <w:rPr>
          <w:rFonts w:hint="eastAsia" w:ascii="宋体" w:hAnsi="宋体" w:cs="宋体"/>
          <w:spacing w:val="-4"/>
          <w:sz w:val="24"/>
          <w:szCs w:val="24"/>
          <w:lang w:eastAsia="zh-CN"/>
        </w:rPr>
      </w:pPr>
      <w:r>
        <w:rPr>
          <w:rFonts w:hint="eastAsia" w:ascii="宋体" w:hAnsi="宋体" w:cs="宋体"/>
          <w:spacing w:val="-4"/>
          <w:sz w:val="24"/>
          <w:szCs w:val="24"/>
        </w:rPr>
        <w:t>A、不同供应商的响应文件由同一单位或者个人编制</w:t>
      </w:r>
      <w:r>
        <w:rPr>
          <w:rFonts w:hint="eastAsia" w:ascii="宋体" w:hAnsi="宋体" w:cs="宋体"/>
          <w:spacing w:val="-4"/>
          <w:sz w:val="24"/>
          <w:szCs w:val="24"/>
          <w:lang w:eastAsia="zh-CN"/>
        </w:rPr>
        <w:t>；</w:t>
      </w:r>
    </w:p>
    <w:p w14:paraId="0D5F369E">
      <w:pPr>
        <w:wordWrap w:val="0"/>
        <w:autoSpaceDE w:val="0"/>
        <w:autoSpaceDN w:val="0"/>
        <w:adjustRightInd w:val="0"/>
        <w:spacing w:line="360" w:lineRule="auto"/>
        <w:ind w:firstLine="464" w:firstLineChars="200"/>
        <w:rPr>
          <w:rFonts w:hint="eastAsia" w:ascii="宋体" w:hAnsi="宋体" w:cs="宋体"/>
          <w:spacing w:val="-4"/>
          <w:sz w:val="24"/>
          <w:szCs w:val="24"/>
          <w:lang w:eastAsia="zh-CN"/>
        </w:rPr>
      </w:pPr>
      <w:r>
        <w:rPr>
          <w:rFonts w:hint="eastAsia" w:ascii="宋体" w:hAnsi="宋体" w:cs="宋体"/>
          <w:spacing w:val="-4"/>
          <w:sz w:val="24"/>
          <w:szCs w:val="24"/>
        </w:rPr>
        <w:t>B、不同供应商的响应文件载明的项目管理成员为同一人</w:t>
      </w:r>
      <w:r>
        <w:rPr>
          <w:rFonts w:hint="eastAsia" w:ascii="宋体" w:hAnsi="宋体" w:cs="宋体"/>
          <w:spacing w:val="-4"/>
          <w:sz w:val="24"/>
          <w:szCs w:val="24"/>
          <w:lang w:eastAsia="zh-CN"/>
        </w:rPr>
        <w:t>；</w:t>
      </w:r>
    </w:p>
    <w:p w14:paraId="026CA44C">
      <w:pPr>
        <w:wordWrap w:val="0"/>
        <w:autoSpaceDE w:val="0"/>
        <w:autoSpaceDN w:val="0"/>
        <w:adjustRightInd w:val="0"/>
        <w:spacing w:line="360" w:lineRule="auto"/>
        <w:ind w:firstLine="464" w:firstLineChars="200"/>
        <w:rPr>
          <w:rFonts w:hint="eastAsia" w:ascii="宋体" w:hAnsi="宋体" w:cs="宋体"/>
          <w:spacing w:val="-4"/>
          <w:sz w:val="24"/>
          <w:szCs w:val="24"/>
          <w:lang w:eastAsia="zh-CN"/>
        </w:rPr>
      </w:pPr>
      <w:r>
        <w:rPr>
          <w:rFonts w:hint="eastAsia" w:ascii="宋体" w:hAnsi="宋体" w:cs="宋体"/>
          <w:spacing w:val="-4"/>
          <w:sz w:val="24"/>
          <w:szCs w:val="24"/>
        </w:rPr>
        <w:t>C、不同供应商的响应文件异常一致或者磋商报价呈规律性差异</w:t>
      </w:r>
      <w:r>
        <w:rPr>
          <w:rFonts w:hint="eastAsia" w:ascii="宋体" w:hAnsi="宋体" w:cs="宋体"/>
          <w:spacing w:val="-4"/>
          <w:sz w:val="24"/>
          <w:szCs w:val="24"/>
          <w:lang w:eastAsia="zh-CN"/>
        </w:rPr>
        <w:t>；</w:t>
      </w:r>
    </w:p>
    <w:p w14:paraId="49DF1390">
      <w:pPr>
        <w:wordWrap w:val="0"/>
        <w:autoSpaceDE w:val="0"/>
        <w:autoSpaceDN w:val="0"/>
        <w:adjustRightInd w:val="0"/>
        <w:spacing w:line="360" w:lineRule="auto"/>
        <w:ind w:firstLine="464" w:firstLineChars="200"/>
        <w:rPr>
          <w:rFonts w:hint="eastAsia" w:ascii="宋体" w:hAnsi="宋体" w:cs="宋体"/>
          <w:spacing w:val="-4"/>
          <w:sz w:val="24"/>
          <w:szCs w:val="24"/>
          <w:lang w:eastAsia="zh-CN"/>
        </w:rPr>
      </w:pPr>
      <w:r>
        <w:rPr>
          <w:rFonts w:hint="eastAsia" w:ascii="宋体" w:hAnsi="宋体" w:cs="宋体"/>
          <w:spacing w:val="-4"/>
          <w:sz w:val="24"/>
          <w:szCs w:val="24"/>
        </w:rPr>
        <w:t>D、不同供应商的响应文件相互混放</w:t>
      </w:r>
      <w:r>
        <w:rPr>
          <w:rFonts w:hint="eastAsia" w:ascii="宋体" w:hAnsi="宋体" w:cs="宋体"/>
          <w:spacing w:val="-4"/>
          <w:sz w:val="24"/>
          <w:szCs w:val="24"/>
          <w:lang w:eastAsia="zh-CN"/>
        </w:rPr>
        <w:t>；</w:t>
      </w:r>
    </w:p>
    <w:p w14:paraId="6A8132AE">
      <w:pPr>
        <w:wordWrap w:val="0"/>
        <w:autoSpaceDE w:val="0"/>
        <w:autoSpaceDN w:val="0"/>
        <w:adjustRightInd w:val="0"/>
        <w:spacing w:line="360" w:lineRule="auto"/>
        <w:ind w:firstLine="464" w:firstLineChars="200"/>
        <w:rPr>
          <w:rFonts w:hint="eastAsia" w:ascii="宋体" w:hAnsi="宋体" w:cs="宋体"/>
          <w:spacing w:val="-4"/>
          <w:sz w:val="24"/>
          <w:szCs w:val="24"/>
        </w:rPr>
      </w:pPr>
      <w:r>
        <w:rPr>
          <w:rFonts w:hint="eastAsia" w:ascii="宋体" w:hAnsi="宋体" w:cs="宋体"/>
          <w:spacing w:val="-4"/>
          <w:sz w:val="24"/>
          <w:szCs w:val="24"/>
        </w:rPr>
        <w:t>2</w:t>
      </w:r>
      <w:r>
        <w:rPr>
          <w:rFonts w:hint="eastAsia" w:ascii="宋体" w:hAnsi="宋体" w:cs="宋体"/>
          <w:spacing w:val="-4"/>
          <w:sz w:val="24"/>
          <w:szCs w:val="24"/>
          <w:lang w:val="en-US" w:eastAsia="zh-CN"/>
        </w:rPr>
        <w:t>6</w:t>
      </w:r>
      <w:r>
        <w:rPr>
          <w:rFonts w:hint="eastAsia" w:ascii="宋体" w:hAnsi="宋体" w:cs="宋体"/>
          <w:spacing w:val="-4"/>
          <w:sz w:val="24"/>
          <w:szCs w:val="24"/>
        </w:rPr>
        <w:t>.2供应商出现下列情形之一的，将被视为非实质性响应磋商文件要求：</w:t>
      </w:r>
    </w:p>
    <w:p w14:paraId="04E967F5">
      <w:pPr>
        <w:wordWrap w:val="0"/>
        <w:autoSpaceDE w:val="0"/>
        <w:autoSpaceDN w:val="0"/>
        <w:adjustRightInd w:val="0"/>
        <w:spacing w:line="360" w:lineRule="auto"/>
        <w:ind w:firstLine="464" w:firstLineChars="200"/>
        <w:rPr>
          <w:rFonts w:hint="eastAsia" w:ascii="宋体" w:hAnsi="宋体" w:cs="宋体"/>
          <w:spacing w:val="-4"/>
          <w:sz w:val="24"/>
          <w:szCs w:val="24"/>
        </w:rPr>
      </w:pPr>
      <w:r>
        <w:rPr>
          <w:rFonts w:hint="eastAsia" w:ascii="宋体" w:hAnsi="宋体" w:cs="宋体"/>
          <w:spacing w:val="-4"/>
          <w:sz w:val="24"/>
          <w:szCs w:val="24"/>
        </w:rPr>
        <w:t>(1)服务（完成）</w:t>
      </w:r>
      <w:r>
        <w:rPr>
          <w:rFonts w:hint="eastAsia" w:ascii="宋体" w:hAnsi="宋体" w:cs="宋体"/>
          <w:spacing w:val="-4"/>
          <w:sz w:val="24"/>
          <w:szCs w:val="24"/>
          <w:lang w:val="en-US" w:eastAsia="zh-CN"/>
        </w:rPr>
        <w:t>周期</w:t>
      </w:r>
      <w:r>
        <w:rPr>
          <w:rFonts w:hint="eastAsia" w:ascii="宋体" w:hAnsi="宋体" w:cs="宋体"/>
          <w:spacing w:val="-4"/>
          <w:sz w:val="24"/>
          <w:szCs w:val="24"/>
        </w:rPr>
        <w:t>不确切或不符合竞争性磋商文件要求的；</w:t>
      </w:r>
    </w:p>
    <w:p w14:paraId="4D42591E">
      <w:pPr>
        <w:wordWrap w:val="0"/>
        <w:autoSpaceDE w:val="0"/>
        <w:autoSpaceDN w:val="0"/>
        <w:adjustRightInd w:val="0"/>
        <w:spacing w:line="360" w:lineRule="auto"/>
        <w:ind w:firstLine="464" w:firstLineChars="200"/>
        <w:rPr>
          <w:rFonts w:hint="eastAsia" w:ascii="宋体" w:hAnsi="宋体" w:cs="宋体"/>
          <w:spacing w:val="-4"/>
          <w:sz w:val="24"/>
          <w:szCs w:val="24"/>
        </w:rPr>
      </w:pPr>
      <w:r>
        <w:rPr>
          <w:rFonts w:hint="eastAsia" w:ascii="宋体" w:hAnsi="宋体" w:cs="宋体"/>
          <w:spacing w:val="-4"/>
          <w:sz w:val="24"/>
          <w:szCs w:val="24"/>
        </w:rPr>
        <w:t>(2)最后报价有选择性的；</w:t>
      </w:r>
    </w:p>
    <w:p w14:paraId="40FE0058">
      <w:pPr>
        <w:wordWrap w:val="0"/>
        <w:autoSpaceDE w:val="0"/>
        <w:autoSpaceDN w:val="0"/>
        <w:adjustRightInd w:val="0"/>
        <w:spacing w:line="360" w:lineRule="auto"/>
        <w:ind w:firstLine="464" w:firstLineChars="200"/>
        <w:rPr>
          <w:rFonts w:hint="eastAsia" w:ascii="宋体" w:hAnsi="宋体" w:cs="宋体"/>
          <w:spacing w:val="-4"/>
          <w:sz w:val="24"/>
          <w:szCs w:val="24"/>
        </w:rPr>
      </w:pPr>
      <w:r>
        <w:rPr>
          <w:rFonts w:hint="eastAsia" w:ascii="宋体" w:hAnsi="宋体" w:cs="宋体"/>
          <w:spacing w:val="-4"/>
          <w:sz w:val="24"/>
          <w:szCs w:val="24"/>
        </w:rPr>
        <w:t>(3)最后报价超过磋商控制价的；</w:t>
      </w:r>
    </w:p>
    <w:p w14:paraId="5B3B7695">
      <w:pPr>
        <w:wordWrap w:val="0"/>
        <w:autoSpaceDE w:val="0"/>
        <w:autoSpaceDN w:val="0"/>
        <w:adjustRightInd w:val="0"/>
        <w:spacing w:line="360" w:lineRule="auto"/>
        <w:ind w:firstLine="464" w:firstLineChars="200"/>
        <w:rPr>
          <w:rFonts w:hint="eastAsia" w:ascii="宋体" w:hAnsi="宋体" w:cs="宋体"/>
          <w:spacing w:val="-4"/>
          <w:sz w:val="24"/>
          <w:szCs w:val="24"/>
        </w:rPr>
      </w:pPr>
      <w:r>
        <w:rPr>
          <w:rFonts w:hint="eastAsia" w:ascii="宋体" w:hAnsi="宋体" w:cs="宋体"/>
          <w:spacing w:val="-4"/>
          <w:sz w:val="24"/>
          <w:szCs w:val="24"/>
        </w:rPr>
        <w:t>(4)被磋商小组认定存在重大负偏离的；</w:t>
      </w:r>
    </w:p>
    <w:p w14:paraId="77BE9E79">
      <w:pPr>
        <w:wordWrap w:val="0"/>
        <w:autoSpaceDE w:val="0"/>
        <w:autoSpaceDN w:val="0"/>
        <w:adjustRightInd w:val="0"/>
        <w:spacing w:line="360" w:lineRule="auto"/>
        <w:ind w:firstLine="464" w:firstLineChars="200"/>
        <w:rPr>
          <w:rFonts w:hint="eastAsia" w:ascii="宋体" w:hAnsi="宋体" w:cs="宋体"/>
          <w:spacing w:val="-4"/>
          <w:sz w:val="24"/>
          <w:szCs w:val="24"/>
        </w:rPr>
      </w:pPr>
      <w:r>
        <w:rPr>
          <w:rFonts w:hint="eastAsia" w:ascii="宋体" w:hAnsi="宋体" w:cs="宋体"/>
          <w:spacing w:val="-4"/>
          <w:sz w:val="24"/>
          <w:szCs w:val="24"/>
        </w:rPr>
        <w:t>注：所谓重大负偏离是指供应商对竞争性磋商文件的响应在范围、质量、数量和服务（完成）</w:t>
      </w:r>
      <w:r>
        <w:rPr>
          <w:rFonts w:hint="eastAsia" w:ascii="宋体" w:hAnsi="宋体" w:cs="宋体"/>
          <w:spacing w:val="-4"/>
          <w:sz w:val="24"/>
          <w:szCs w:val="24"/>
          <w:lang w:val="en-US" w:eastAsia="zh-CN"/>
        </w:rPr>
        <w:t>周期</w:t>
      </w:r>
      <w:r>
        <w:rPr>
          <w:rFonts w:hint="eastAsia" w:ascii="宋体" w:hAnsi="宋体" w:cs="宋体"/>
          <w:spacing w:val="-4"/>
          <w:sz w:val="24"/>
          <w:szCs w:val="24"/>
        </w:rPr>
        <w:t>等方面明显不能满足服务要求的。重大负偏离的认定须经磋商小组三分之二以上同意。</w:t>
      </w:r>
    </w:p>
    <w:p w14:paraId="7F7FC239">
      <w:pPr>
        <w:pStyle w:val="16"/>
        <w:ind w:left="0" w:leftChars="0" w:firstLine="0" w:firstLineChars="0"/>
        <w:rPr>
          <w:rFonts w:hint="eastAsia" w:ascii="宋体" w:hAnsi="宋体" w:eastAsia="宋体" w:cs="宋体"/>
          <w:lang w:val="en-US" w:eastAsia="zh-CN"/>
        </w:rPr>
      </w:pPr>
    </w:p>
    <w:p w14:paraId="400254E3">
      <w:pPr>
        <w:rPr>
          <w:rFonts w:hint="eastAsia" w:ascii="宋体" w:hAnsi="宋体" w:eastAsia="宋体" w:cs="宋体"/>
          <w:lang w:val="en-US" w:eastAsia="zh-CN"/>
        </w:rPr>
      </w:pPr>
    </w:p>
    <w:p w14:paraId="106BF045">
      <w:pPr>
        <w:rPr>
          <w:rFonts w:hint="eastAsia" w:ascii="宋体" w:hAnsi="宋体" w:eastAsia="宋体" w:cs="宋体"/>
          <w:lang w:val="en-US" w:eastAsia="zh-CN"/>
        </w:rPr>
      </w:pPr>
    </w:p>
    <w:p w14:paraId="3D265023">
      <w:pPr>
        <w:rPr>
          <w:rFonts w:hint="eastAsia" w:ascii="宋体" w:hAnsi="宋体" w:eastAsia="宋体" w:cs="宋体"/>
          <w:lang w:val="en-US" w:eastAsia="zh-CN"/>
        </w:rPr>
      </w:pPr>
    </w:p>
    <w:p w14:paraId="4A05CA5A">
      <w:pPr>
        <w:rPr>
          <w:rFonts w:hint="eastAsia" w:ascii="宋体" w:hAnsi="宋体" w:eastAsia="宋体" w:cs="宋体"/>
          <w:lang w:val="en-US" w:eastAsia="zh-CN"/>
        </w:rPr>
      </w:pPr>
    </w:p>
    <w:p w14:paraId="2FE9A680">
      <w:pPr>
        <w:rPr>
          <w:rFonts w:hint="eastAsia" w:ascii="宋体" w:hAnsi="宋体" w:eastAsia="宋体" w:cs="宋体"/>
          <w:lang w:val="en-US" w:eastAsia="zh-CN"/>
        </w:rPr>
      </w:pPr>
    </w:p>
    <w:p w14:paraId="132259B2">
      <w:pPr>
        <w:rPr>
          <w:rFonts w:hint="eastAsia" w:ascii="宋体" w:hAnsi="宋体" w:eastAsia="宋体" w:cs="宋体"/>
          <w:lang w:val="en-US" w:eastAsia="zh-CN"/>
        </w:rPr>
      </w:pPr>
    </w:p>
    <w:p w14:paraId="05E4B76E">
      <w:pPr>
        <w:rPr>
          <w:rFonts w:hint="eastAsia" w:ascii="宋体" w:hAnsi="宋体" w:eastAsia="宋体" w:cs="宋体"/>
          <w:lang w:val="en-US" w:eastAsia="zh-CN"/>
        </w:rPr>
      </w:pPr>
    </w:p>
    <w:p w14:paraId="6CC30437">
      <w:pPr>
        <w:pStyle w:val="2"/>
        <w:numPr>
          <w:ilvl w:val="0"/>
          <w:numId w:val="3"/>
        </w:numPr>
        <w:bidi w:val="0"/>
        <w:spacing w:line="240" w:lineRule="auto"/>
        <w:jc w:val="center"/>
        <w:rPr>
          <w:rFonts w:hint="eastAsia" w:ascii="宋体" w:hAnsi="宋体"/>
          <w:sz w:val="36"/>
          <w:szCs w:val="36"/>
        </w:rPr>
      </w:pPr>
      <w:r>
        <w:rPr>
          <w:rFonts w:hint="eastAsia" w:ascii="宋体" w:hAnsi="宋体"/>
          <w:sz w:val="36"/>
          <w:szCs w:val="36"/>
          <w:lang w:val="en-US" w:eastAsia="zh-CN"/>
        </w:rPr>
        <w:t xml:space="preserve"> </w:t>
      </w:r>
      <w:bookmarkStart w:id="30" w:name="_Toc29014"/>
      <w:r>
        <w:rPr>
          <w:rFonts w:hint="eastAsia" w:ascii="宋体" w:hAnsi="宋体"/>
          <w:sz w:val="36"/>
          <w:szCs w:val="36"/>
        </w:rPr>
        <w:t>评审办法</w:t>
      </w:r>
      <w:r>
        <w:rPr>
          <w:rFonts w:hint="eastAsia" w:ascii="宋体" w:hAnsi="宋体"/>
          <w:sz w:val="36"/>
          <w:szCs w:val="36"/>
          <w:lang w:val="zh-CN"/>
        </w:rPr>
        <w:t>（综合评分法）</w:t>
      </w:r>
      <w:bookmarkEnd w:id="30"/>
    </w:p>
    <w:p w14:paraId="6212750F">
      <w:pPr>
        <w:numPr>
          <w:ilvl w:val="0"/>
          <w:numId w:val="0"/>
        </w:numPr>
        <w:spacing w:line="240" w:lineRule="auto"/>
        <w:jc w:val="center"/>
        <w:rPr>
          <w:rFonts w:hint="default"/>
          <w:b/>
          <w:bCs/>
          <w:sz w:val="28"/>
          <w:szCs w:val="36"/>
          <w:lang w:val="en-US" w:eastAsia="zh-CN"/>
        </w:rPr>
      </w:pPr>
      <w:r>
        <w:rPr>
          <w:rFonts w:hint="eastAsia"/>
          <w:b/>
          <w:bCs/>
          <w:sz w:val="28"/>
          <w:szCs w:val="36"/>
          <w:lang w:val="en-US" w:eastAsia="zh-CN"/>
        </w:rPr>
        <w:t>一、评审办法前附表</w:t>
      </w:r>
    </w:p>
    <w:tbl>
      <w:tblPr>
        <w:tblStyle w:val="17"/>
        <w:tblpPr w:leftFromText="180" w:rightFromText="180" w:vertAnchor="text" w:horzAnchor="page" w:tblpX="1186" w:tblpY="377"/>
        <w:tblOverlap w:val="never"/>
        <w:tblW w:w="9571" w:type="dxa"/>
        <w:tblInd w:w="0" w:type="dxa"/>
        <w:tblLayout w:type="fixed"/>
        <w:tblCellMar>
          <w:top w:w="0" w:type="dxa"/>
          <w:left w:w="108" w:type="dxa"/>
          <w:bottom w:w="0" w:type="dxa"/>
          <w:right w:w="108" w:type="dxa"/>
        </w:tblCellMar>
      </w:tblPr>
      <w:tblGrid>
        <w:gridCol w:w="384"/>
        <w:gridCol w:w="862"/>
        <w:gridCol w:w="2640"/>
        <w:gridCol w:w="5685"/>
      </w:tblGrid>
      <w:tr w14:paraId="28B8F6E5">
        <w:tblPrEx>
          <w:tblCellMar>
            <w:top w:w="0" w:type="dxa"/>
            <w:left w:w="108" w:type="dxa"/>
            <w:bottom w:w="0" w:type="dxa"/>
            <w:right w:w="108" w:type="dxa"/>
          </w:tblCellMar>
        </w:tblPrEx>
        <w:trPr>
          <w:trHeight w:val="500" w:hRule="atLeast"/>
        </w:trPr>
        <w:tc>
          <w:tcPr>
            <w:tcW w:w="1246" w:type="dxa"/>
            <w:gridSpan w:val="2"/>
            <w:tcBorders>
              <w:top w:val="single" w:color="auto" w:sz="4" w:space="0"/>
              <w:left w:val="single" w:color="auto" w:sz="4" w:space="0"/>
              <w:bottom w:val="single" w:color="auto" w:sz="4" w:space="0"/>
              <w:right w:val="single" w:color="auto" w:sz="4" w:space="0"/>
            </w:tcBorders>
            <w:vAlign w:val="center"/>
          </w:tcPr>
          <w:p w14:paraId="27117AF3">
            <w:pPr>
              <w:spacing w:line="360" w:lineRule="auto"/>
              <w:jc w:val="center"/>
              <w:rPr>
                <w:rFonts w:hint="eastAsia" w:ascii="宋体" w:hAnsi="宋体" w:eastAsia="宋体" w:cs="宋体"/>
                <w:sz w:val="22"/>
                <w:szCs w:val="22"/>
              </w:rPr>
            </w:pPr>
            <w:r>
              <w:rPr>
                <w:rFonts w:hint="eastAsia" w:ascii="宋体" w:hAnsi="宋体" w:eastAsia="宋体" w:cs="宋体"/>
                <w:sz w:val="22"/>
                <w:szCs w:val="22"/>
              </w:rPr>
              <w:t>初步评审</w:t>
            </w:r>
          </w:p>
        </w:tc>
        <w:tc>
          <w:tcPr>
            <w:tcW w:w="2640" w:type="dxa"/>
            <w:tcBorders>
              <w:top w:val="single" w:color="auto" w:sz="4" w:space="0"/>
              <w:left w:val="nil"/>
              <w:bottom w:val="single" w:color="auto" w:sz="4" w:space="0"/>
              <w:right w:val="single" w:color="auto" w:sz="4" w:space="0"/>
            </w:tcBorders>
            <w:vAlign w:val="center"/>
          </w:tcPr>
          <w:p w14:paraId="7918FA25">
            <w:pPr>
              <w:spacing w:line="360" w:lineRule="auto"/>
              <w:jc w:val="center"/>
              <w:rPr>
                <w:rFonts w:hint="eastAsia" w:ascii="宋体" w:hAnsi="宋体" w:eastAsia="宋体" w:cs="宋体"/>
                <w:sz w:val="22"/>
                <w:szCs w:val="22"/>
              </w:rPr>
            </w:pPr>
            <w:r>
              <w:rPr>
                <w:rFonts w:hint="eastAsia" w:ascii="宋体" w:hAnsi="宋体" w:eastAsia="宋体" w:cs="宋体"/>
                <w:sz w:val="22"/>
                <w:szCs w:val="22"/>
              </w:rPr>
              <w:t>评审因素</w:t>
            </w:r>
          </w:p>
        </w:tc>
        <w:tc>
          <w:tcPr>
            <w:tcW w:w="5685" w:type="dxa"/>
            <w:tcBorders>
              <w:top w:val="single" w:color="auto" w:sz="4" w:space="0"/>
              <w:left w:val="nil"/>
              <w:bottom w:val="single" w:color="auto" w:sz="4" w:space="0"/>
              <w:right w:val="single" w:color="auto" w:sz="4" w:space="0"/>
            </w:tcBorders>
            <w:vAlign w:val="center"/>
          </w:tcPr>
          <w:p w14:paraId="79E08272">
            <w:pPr>
              <w:spacing w:line="360" w:lineRule="auto"/>
              <w:jc w:val="center"/>
              <w:rPr>
                <w:rFonts w:hint="eastAsia" w:ascii="宋体" w:hAnsi="宋体" w:eastAsia="宋体" w:cs="宋体"/>
                <w:sz w:val="22"/>
                <w:szCs w:val="22"/>
              </w:rPr>
            </w:pPr>
            <w:r>
              <w:rPr>
                <w:rFonts w:hint="eastAsia" w:ascii="宋体" w:hAnsi="宋体" w:eastAsia="宋体" w:cs="宋体"/>
                <w:sz w:val="22"/>
                <w:szCs w:val="22"/>
              </w:rPr>
              <w:t>评审标准</w:t>
            </w:r>
          </w:p>
        </w:tc>
      </w:tr>
      <w:tr w14:paraId="29A7E3B0">
        <w:tblPrEx>
          <w:tblCellMar>
            <w:top w:w="0" w:type="dxa"/>
            <w:left w:w="108" w:type="dxa"/>
            <w:bottom w:w="0" w:type="dxa"/>
            <w:right w:w="108" w:type="dxa"/>
          </w:tblCellMar>
        </w:tblPrEx>
        <w:trPr>
          <w:trHeight w:val="500" w:hRule="atLeast"/>
        </w:trPr>
        <w:tc>
          <w:tcPr>
            <w:tcW w:w="384" w:type="dxa"/>
            <w:vMerge w:val="restart"/>
            <w:tcBorders>
              <w:top w:val="nil"/>
              <w:left w:val="single" w:color="auto" w:sz="4" w:space="0"/>
              <w:right w:val="single" w:color="auto" w:sz="4" w:space="0"/>
            </w:tcBorders>
            <w:vAlign w:val="center"/>
          </w:tcPr>
          <w:p w14:paraId="2463290B">
            <w:pPr>
              <w:spacing w:line="360" w:lineRule="auto"/>
              <w:jc w:val="center"/>
              <w:rPr>
                <w:rFonts w:hint="eastAsia" w:ascii="宋体" w:hAnsi="宋体" w:eastAsia="宋体" w:cs="宋体"/>
                <w:sz w:val="22"/>
                <w:szCs w:val="22"/>
                <w:lang w:eastAsia="zh-CN"/>
              </w:rPr>
            </w:pPr>
            <w:r>
              <w:rPr>
                <w:rFonts w:hint="eastAsia" w:ascii="宋体" w:hAnsi="宋体" w:eastAsia="宋体" w:cs="宋体"/>
                <w:sz w:val="22"/>
                <w:szCs w:val="22"/>
                <w:lang w:val="en-US" w:eastAsia="zh-CN"/>
              </w:rPr>
              <w:t>1</w:t>
            </w:r>
          </w:p>
        </w:tc>
        <w:tc>
          <w:tcPr>
            <w:tcW w:w="862" w:type="dxa"/>
            <w:vMerge w:val="restart"/>
            <w:tcBorders>
              <w:top w:val="nil"/>
              <w:left w:val="nil"/>
              <w:right w:val="single" w:color="auto" w:sz="4" w:space="0"/>
            </w:tcBorders>
            <w:vAlign w:val="center"/>
          </w:tcPr>
          <w:p w14:paraId="51907B07">
            <w:pPr>
              <w:spacing w:line="360" w:lineRule="auto"/>
              <w:rPr>
                <w:rFonts w:hint="eastAsia" w:ascii="宋体" w:hAnsi="宋体" w:eastAsia="宋体" w:cs="宋体"/>
                <w:sz w:val="22"/>
                <w:szCs w:val="22"/>
              </w:rPr>
            </w:pPr>
            <w:r>
              <w:rPr>
                <w:rFonts w:hint="eastAsia" w:ascii="宋体" w:hAnsi="宋体" w:eastAsia="宋体" w:cs="宋体"/>
                <w:sz w:val="22"/>
                <w:szCs w:val="22"/>
              </w:rPr>
              <w:t>符合性评审标准</w:t>
            </w:r>
          </w:p>
        </w:tc>
        <w:tc>
          <w:tcPr>
            <w:tcW w:w="2640" w:type="dxa"/>
            <w:tcBorders>
              <w:top w:val="single" w:color="auto" w:sz="4" w:space="0"/>
              <w:left w:val="nil"/>
              <w:bottom w:val="single" w:color="auto" w:sz="4" w:space="0"/>
              <w:right w:val="single" w:color="auto" w:sz="4" w:space="0"/>
            </w:tcBorders>
            <w:vAlign w:val="center"/>
          </w:tcPr>
          <w:p w14:paraId="578DA042">
            <w:pPr>
              <w:adjustRightInd w:val="0"/>
              <w:snapToGrid w:val="0"/>
              <w:spacing w:line="360" w:lineRule="auto"/>
              <w:jc w:val="center"/>
              <w:outlineLvl w:val="0"/>
              <w:rPr>
                <w:rFonts w:hint="eastAsia" w:ascii="宋体" w:hAnsi="宋体" w:eastAsia="宋体" w:cs="宋体"/>
                <w:bCs/>
                <w:color w:val="000000"/>
                <w:kern w:val="44"/>
                <w:sz w:val="22"/>
                <w:szCs w:val="22"/>
              </w:rPr>
            </w:pPr>
            <w:bookmarkStart w:id="31" w:name="_Toc174034451"/>
            <w:bookmarkEnd w:id="31"/>
            <w:bookmarkStart w:id="32" w:name="_Toc17718"/>
            <w:bookmarkEnd w:id="32"/>
            <w:bookmarkStart w:id="33" w:name="_Toc144801275"/>
            <w:bookmarkEnd w:id="33"/>
            <w:bookmarkStart w:id="34" w:name="_Toc173946083"/>
            <w:bookmarkEnd w:id="34"/>
            <w:bookmarkStart w:id="35" w:name="_Toc173946418"/>
            <w:bookmarkEnd w:id="35"/>
            <w:bookmarkStart w:id="36" w:name="_Toc116401571"/>
            <w:bookmarkEnd w:id="36"/>
            <w:bookmarkStart w:id="37" w:name="_Toc23926"/>
            <w:bookmarkEnd w:id="37"/>
            <w:bookmarkStart w:id="38" w:name="_Toc18300"/>
            <w:bookmarkEnd w:id="38"/>
            <w:bookmarkStart w:id="39" w:name="_Toc30852"/>
            <w:bookmarkEnd w:id="39"/>
            <w:bookmarkStart w:id="40" w:name="_Toc791"/>
            <w:bookmarkEnd w:id="40"/>
            <w:bookmarkStart w:id="41" w:name="_Toc1467"/>
            <w:bookmarkStart w:id="42" w:name="_Toc29924"/>
            <w:bookmarkStart w:id="43" w:name="_Toc13906"/>
            <w:bookmarkStart w:id="44" w:name="_Toc14447"/>
            <w:bookmarkStart w:id="45" w:name="_Toc26959"/>
            <w:r>
              <w:rPr>
                <w:rFonts w:hint="eastAsia" w:ascii="宋体" w:hAnsi="宋体" w:eastAsia="宋体" w:cs="宋体"/>
                <w:bCs/>
                <w:color w:val="000000"/>
                <w:kern w:val="44"/>
                <w:sz w:val="22"/>
                <w:szCs w:val="22"/>
                <w:lang w:eastAsia="zh-CN"/>
              </w:rPr>
              <w:t>供应商</w:t>
            </w:r>
            <w:r>
              <w:rPr>
                <w:rFonts w:hint="eastAsia" w:ascii="宋体" w:hAnsi="宋体" w:eastAsia="宋体" w:cs="宋体"/>
                <w:bCs/>
                <w:color w:val="000000"/>
                <w:kern w:val="44"/>
                <w:sz w:val="22"/>
                <w:szCs w:val="22"/>
              </w:rPr>
              <w:t>名称</w:t>
            </w:r>
            <w:bookmarkEnd w:id="41"/>
            <w:bookmarkEnd w:id="42"/>
            <w:bookmarkEnd w:id="43"/>
            <w:bookmarkEnd w:id="44"/>
            <w:bookmarkEnd w:id="45"/>
          </w:p>
        </w:tc>
        <w:tc>
          <w:tcPr>
            <w:tcW w:w="5685" w:type="dxa"/>
            <w:tcBorders>
              <w:top w:val="single" w:color="auto" w:sz="4" w:space="0"/>
              <w:left w:val="nil"/>
              <w:bottom w:val="single" w:color="auto" w:sz="4" w:space="0"/>
              <w:right w:val="single" w:color="auto" w:sz="4" w:space="0"/>
            </w:tcBorders>
            <w:vAlign w:val="center"/>
          </w:tcPr>
          <w:p w14:paraId="24F46D2B">
            <w:pPr>
              <w:spacing w:line="360" w:lineRule="auto"/>
              <w:rPr>
                <w:rFonts w:hint="eastAsia" w:ascii="宋体" w:hAnsi="宋体" w:eastAsia="宋体" w:cs="宋体"/>
                <w:sz w:val="22"/>
                <w:szCs w:val="22"/>
              </w:rPr>
            </w:pPr>
            <w:r>
              <w:rPr>
                <w:rFonts w:hint="eastAsia" w:ascii="宋体" w:hAnsi="宋体" w:eastAsia="宋体" w:cs="宋体"/>
                <w:sz w:val="22"/>
                <w:szCs w:val="22"/>
              </w:rPr>
              <w:t>与营业执照一致</w:t>
            </w:r>
          </w:p>
        </w:tc>
      </w:tr>
      <w:tr w14:paraId="2AFDC528">
        <w:tblPrEx>
          <w:tblCellMar>
            <w:top w:w="0" w:type="dxa"/>
            <w:left w:w="108" w:type="dxa"/>
            <w:bottom w:w="0" w:type="dxa"/>
            <w:right w:w="108" w:type="dxa"/>
          </w:tblCellMar>
        </w:tblPrEx>
        <w:trPr>
          <w:trHeight w:val="1058" w:hRule="atLeast"/>
        </w:trPr>
        <w:tc>
          <w:tcPr>
            <w:tcW w:w="384" w:type="dxa"/>
            <w:vMerge w:val="continue"/>
            <w:tcBorders>
              <w:left w:val="single" w:color="auto" w:sz="4" w:space="0"/>
              <w:right w:val="single" w:color="auto" w:sz="4" w:space="0"/>
            </w:tcBorders>
            <w:vAlign w:val="center"/>
          </w:tcPr>
          <w:p w14:paraId="0DE08FDF">
            <w:pPr>
              <w:spacing w:line="360" w:lineRule="auto"/>
              <w:jc w:val="center"/>
              <w:rPr>
                <w:rFonts w:hint="eastAsia" w:ascii="宋体" w:hAnsi="宋体" w:eastAsia="宋体" w:cs="宋体"/>
                <w:sz w:val="22"/>
                <w:szCs w:val="22"/>
              </w:rPr>
            </w:pPr>
          </w:p>
        </w:tc>
        <w:tc>
          <w:tcPr>
            <w:tcW w:w="862" w:type="dxa"/>
            <w:vMerge w:val="continue"/>
            <w:tcBorders>
              <w:left w:val="nil"/>
              <w:right w:val="single" w:color="auto" w:sz="4" w:space="0"/>
            </w:tcBorders>
            <w:vAlign w:val="center"/>
          </w:tcPr>
          <w:p w14:paraId="6B76173F">
            <w:pPr>
              <w:spacing w:line="360" w:lineRule="auto"/>
              <w:rPr>
                <w:rFonts w:hint="eastAsia" w:ascii="宋体" w:hAnsi="宋体" w:eastAsia="宋体" w:cs="宋体"/>
                <w:sz w:val="22"/>
                <w:szCs w:val="22"/>
              </w:rPr>
            </w:pPr>
          </w:p>
        </w:tc>
        <w:tc>
          <w:tcPr>
            <w:tcW w:w="2640" w:type="dxa"/>
            <w:tcBorders>
              <w:top w:val="single" w:color="auto" w:sz="4" w:space="0"/>
              <w:left w:val="nil"/>
              <w:bottom w:val="single" w:color="auto" w:sz="4" w:space="0"/>
              <w:right w:val="single" w:color="auto" w:sz="4" w:space="0"/>
            </w:tcBorders>
            <w:vAlign w:val="center"/>
          </w:tcPr>
          <w:p w14:paraId="3BA50266">
            <w:pPr>
              <w:widowControl/>
              <w:spacing w:line="360" w:lineRule="auto"/>
              <w:jc w:val="center"/>
              <w:rPr>
                <w:rFonts w:hint="eastAsia" w:ascii="宋体" w:hAnsi="宋体" w:eastAsia="宋体" w:cs="宋体"/>
                <w:sz w:val="22"/>
                <w:szCs w:val="22"/>
              </w:rPr>
            </w:pPr>
            <w:r>
              <w:rPr>
                <w:rFonts w:hint="eastAsia" w:ascii="宋体" w:hAnsi="宋体" w:eastAsia="宋体" w:cs="宋体"/>
                <w:color w:val="000000"/>
                <w:kern w:val="0"/>
                <w:sz w:val="22"/>
                <w:szCs w:val="22"/>
              </w:rPr>
              <w:t>响应文件签字盖章</w:t>
            </w:r>
          </w:p>
        </w:tc>
        <w:tc>
          <w:tcPr>
            <w:tcW w:w="5685" w:type="dxa"/>
            <w:tcBorders>
              <w:top w:val="single" w:color="auto" w:sz="4" w:space="0"/>
              <w:left w:val="nil"/>
              <w:bottom w:val="single" w:color="auto" w:sz="4" w:space="0"/>
              <w:right w:val="single" w:color="auto" w:sz="4" w:space="0"/>
            </w:tcBorders>
            <w:vAlign w:val="center"/>
          </w:tcPr>
          <w:p w14:paraId="2F21E596">
            <w:pPr>
              <w:spacing w:line="360" w:lineRule="auto"/>
              <w:rPr>
                <w:rFonts w:hint="eastAsia" w:ascii="宋体" w:hAnsi="宋体" w:eastAsia="宋体" w:cs="宋体"/>
                <w:sz w:val="22"/>
                <w:szCs w:val="22"/>
              </w:rPr>
            </w:pPr>
            <w:r>
              <w:rPr>
                <w:rFonts w:hint="eastAsia" w:ascii="宋体" w:hAnsi="宋体" w:eastAsia="宋体" w:cs="宋体"/>
                <w:sz w:val="22"/>
                <w:szCs w:val="22"/>
              </w:rPr>
              <w:t>符合竞争性磋商文件要求的签字、盖章</w:t>
            </w:r>
          </w:p>
        </w:tc>
      </w:tr>
      <w:tr w14:paraId="4C5D6BF2">
        <w:tblPrEx>
          <w:tblCellMar>
            <w:top w:w="0" w:type="dxa"/>
            <w:left w:w="108" w:type="dxa"/>
            <w:bottom w:w="0" w:type="dxa"/>
            <w:right w:w="108" w:type="dxa"/>
          </w:tblCellMar>
        </w:tblPrEx>
        <w:trPr>
          <w:trHeight w:val="538" w:hRule="atLeast"/>
        </w:trPr>
        <w:tc>
          <w:tcPr>
            <w:tcW w:w="384" w:type="dxa"/>
            <w:vMerge w:val="continue"/>
            <w:tcBorders>
              <w:left w:val="single" w:color="auto" w:sz="4" w:space="0"/>
              <w:right w:val="single" w:color="auto" w:sz="4" w:space="0"/>
            </w:tcBorders>
            <w:vAlign w:val="center"/>
          </w:tcPr>
          <w:p w14:paraId="23E17E19">
            <w:pPr>
              <w:spacing w:line="360" w:lineRule="auto"/>
              <w:rPr>
                <w:rFonts w:hint="eastAsia" w:ascii="宋体" w:hAnsi="宋体" w:eastAsia="宋体" w:cs="宋体"/>
                <w:sz w:val="22"/>
                <w:szCs w:val="22"/>
              </w:rPr>
            </w:pPr>
          </w:p>
        </w:tc>
        <w:tc>
          <w:tcPr>
            <w:tcW w:w="862" w:type="dxa"/>
            <w:vMerge w:val="continue"/>
            <w:tcBorders>
              <w:left w:val="nil"/>
              <w:right w:val="single" w:color="auto" w:sz="4" w:space="0"/>
            </w:tcBorders>
            <w:vAlign w:val="center"/>
          </w:tcPr>
          <w:p w14:paraId="3FA27B47">
            <w:pPr>
              <w:spacing w:line="360" w:lineRule="auto"/>
              <w:rPr>
                <w:rFonts w:hint="eastAsia" w:ascii="宋体" w:hAnsi="宋体" w:eastAsia="宋体" w:cs="宋体"/>
                <w:sz w:val="22"/>
                <w:szCs w:val="22"/>
              </w:rPr>
            </w:pPr>
          </w:p>
        </w:tc>
        <w:tc>
          <w:tcPr>
            <w:tcW w:w="2640" w:type="dxa"/>
            <w:tcBorders>
              <w:top w:val="single" w:color="auto" w:sz="4" w:space="0"/>
              <w:left w:val="nil"/>
              <w:bottom w:val="single" w:color="auto" w:sz="4" w:space="0"/>
              <w:right w:val="single" w:color="auto" w:sz="4" w:space="0"/>
            </w:tcBorders>
            <w:vAlign w:val="center"/>
          </w:tcPr>
          <w:p w14:paraId="56EA84F8">
            <w:pPr>
              <w:adjustRightInd w:val="0"/>
              <w:snapToGrid w:val="0"/>
              <w:spacing w:line="360" w:lineRule="auto"/>
              <w:jc w:val="center"/>
              <w:outlineLvl w:val="0"/>
              <w:rPr>
                <w:rFonts w:hint="eastAsia" w:ascii="宋体" w:hAnsi="宋体" w:eastAsia="宋体" w:cs="宋体"/>
                <w:bCs/>
                <w:color w:val="000000"/>
                <w:kern w:val="44"/>
                <w:sz w:val="22"/>
                <w:szCs w:val="22"/>
              </w:rPr>
            </w:pPr>
            <w:bookmarkStart w:id="46" w:name="_Toc144801278"/>
            <w:bookmarkEnd w:id="46"/>
            <w:bookmarkStart w:id="47" w:name="_Toc173946084"/>
            <w:bookmarkEnd w:id="47"/>
            <w:bookmarkStart w:id="48" w:name="_Toc174034452"/>
            <w:bookmarkEnd w:id="48"/>
            <w:bookmarkStart w:id="49" w:name="_Toc173946419"/>
            <w:bookmarkEnd w:id="49"/>
            <w:bookmarkStart w:id="50" w:name="_Toc7718"/>
            <w:bookmarkEnd w:id="50"/>
            <w:bookmarkStart w:id="51" w:name="_Toc13253"/>
            <w:bookmarkEnd w:id="51"/>
            <w:bookmarkStart w:id="52" w:name="_Toc11444"/>
            <w:bookmarkEnd w:id="52"/>
            <w:bookmarkStart w:id="53" w:name="_Toc116401574"/>
            <w:bookmarkEnd w:id="53"/>
            <w:bookmarkStart w:id="54" w:name="_Toc10195"/>
            <w:bookmarkEnd w:id="54"/>
            <w:bookmarkStart w:id="55" w:name="_Toc27302"/>
            <w:bookmarkStart w:id="56" w:name="_Toc21853"/>
            <w:bookmarkStart w:id="57" w:name="_Toc23361"/>
            <w:bookmarkStart w:id="58" w:name="_Toc21383"/>
            <w:bookmarkStart w:id="59" w:name="_Toc9826"/>
            <w:r>
              <w:rPr>
                <w:rFonts w:hint="eastAsia" w:ascii="宋体" w:hAnsi="宋体" w:eastAsia="宋体" w:cs="宋体"/>
                <w:bCs/>
                <w:color w:val="000000"/>
                <w:kern w:val="44"/>
                <w:sz w:val="22"/>
                <w:szCs w:val="22"/>
              </w:rPr>
              <w:t>响应文件格式</w:t>
            </w:r>
            <w:bookmarkEnd w:id="55"/>
            <w:bookmarkEnd w:id="56"/>
            <w:bookmarkEnd w:id="57"/>
            <w:bookmarkEnd w:id="58"/>
            <w:bookmarkEnd w:id="59"/>
          </w:p>
        </w:tc>
        <w:tc>
          <w:tcPr>
            <w:tcW w:w="5685" w:type="dxa"/>
            <w:tcBorders>
              <w:top w:val="single" w:color="auto" w:sz="4" w:space="0"/>
              <w:left w:val="nil"/>
              <w:bottom w:val="single" w:color="auto" w:sz="4" w:space="0"/>
              <w:right w:val="single" w:color="auto" w:sz="4" w:space="0"/>
            </w:tcBorders>
            <w:vAlign w:val="center"/>
          </w:tcPr>
          <w:p w14:paraId="08ED1112">
            <w:pPr>
              <w:spacing w:line="360" w:lineRule="auto"/>
              <w:rPr>
                <w:rFonts w:hint="eastAsia" w:ascii="宋体" w:hAnsi="宋体" w:eastAsia="宋体" w:cs="宋体"/>
                <w:sz w:val="22"/>
                <w:szCs w:val="22"/>
              </w:rPr>
            </w:pPr>
            <w:bookmarkStart w:id="60" w:name="_Toc100"/>
            <w:bookmarkEnd w:id="60"/>
            <w:bookmarkStart w:id="61" w:name="_Toc6786"/>
            <w:bookmarkEnd w:id="61"/>
            <w:bookmarkStart w:id="62" w:name="_Toc2616"/>
            <w:bookmarkEnd w:id="62"/>
            <w:bookmarkStart w:id="63" w:name="_Toc7239"/>
            <w:bookmarkEnd w:id="63"/>
            <w:bookmarkStart w:id="64" w:name="_Toc116401575"/>
            <w:bookmarkEnd w:id="64"/>
            <w:bookmarkStart w:id="65" w:name="_Toc144801279"/>
            <w:bookmarkEnd w:id="65"/>
            <w:bookmarkStart w:id="66" w:name="_Toc31346"/>
            <w:bookmarkEnd w:id="66"/>
            <w:r>
              <w:rPr>
                <w:rFonts w:hint="eastAsia" w:ascii="宋体" w:hAnsi="宋体" w:eastAsia="宋体" w:cs="宋体"/>
                <w:bCs/>
                <w:color w:val="000000"/>
                <w:kern w:val="44"/>
                <w:sz w:val="22"/>
                <w:szCs w:val="22"/>
              </w:rPr>
              <w:t>符合第</w:t>
            </w:r>
            <w:r>
              <w:rPr>
                <w:rFonts w:hint="eastAsia" w:ascii="宋体" w:hAnsi="宋体" w:eastAsia="宋体" w:cs="宋体"/>
                <w:bCs/>
                <w:color w:val="000000"/>
                <w:kern w:val="44"/>
                <w:sz w:val="22"/>
                <w:szCs w:val="22"/>
                <w:lang w:val="en-US" w:eastAsia="zh-CN"/>
              </w:rPr>
              <w:t>六</w:t>
            </w:r>
            <w:r>
              <w:rPr>
                <w:rFonts w:hint="eastAsia" w:ascii="宋体" w:hAnsi="宋体" w:eastAsia="宋体" w:cs="宋体"/>
                <w:bCs/>
                <w:color w:val="000000"/>
                <w:kern w:val="44"/>
                <w:sz w:val="22"/>
                <w:szCs w:val="22"/>
              </w:rPr>
              <w:t>章“响应文件格式”要求</w:t>
            </w:r>
          </w:p>
        </w:tc>
      </w:tr>
      <w:tr w14:paraId="1D4177A5">
        <w:tblPrEx>
          <w:tblCellMar>
            <w:top w:w="0" w:type="dxa"/>
            <w:left w:w="108" w:type="dxa"/>
            <w:bottom w:w="0" w:type="dxa"/>
            <w:right w:w="108" w:type="dxa"/>
          </w:tblCellMar>
        </w:tblPrEx>
        <w:trPr>
          <w:trHeight w:val="538" w:hRule="atLeast"/>
        </w:trPr>
        <w:tc>
          <w:tcPr>
            <w:tcW w:w="384" w:type="dxa"/>
            <w:vMerge w:val="continue"/>
            <w:tcBorders>
              <w:left w:val="single" w:color="auto" w:sz="4" w:space="0"/>
              <w:bottom w:val="single" w:color="auto" w:sz="4" w:space="0"/>
              <w:right w:val="single" w:color="auto" w:sz="4" w:space="0"/>
            </w:tcBorders>
            <w:vAlign w:val="center"/>
          </w:tcPr>
          <w:p w14:paraId="1F9915B5">
            <w:pPr>
              <w:spacing w:line="360" w:lineRule="auto"/>
              <w:rPr>
                <w:rFonts w:hint="eastAsia" w:ascii="宋体" w:hAnsi="宋体" w:eastAsia="宋体" w:cs="宋体"/>
                <w:sz w:val="22"/>
                <w:szCs w:val="22"/>
              </w:rPr>
            </w:pPr>
          </w:p>
        </w:tc>
        <w:tc>
          <w:tcPr>
            <w:tcW w:w="862" w:type="dxa"/>
            <w:vMerge w:val="continue"/>
            <w:tcBorders>
              <w:left w:val="nil"/>
              <w:bottom w:val="single" w:color="auto" w:sz="4" w:space="0"/>
              <w:right w:val="single" w:color="auto" w:sz="4" w:space="0"/>
            </w:tcBorders>
            <w:vAlign w:val="center"/>
          </w:tcPr>
          <w:p w14:paraId="5F1D2A97">
            <w:pPr>
              <w:spacing w:line="360" w:lineRule="auto"/>
              <w:rPr>
                <w:rFonts w:hint="eastAsia" w:ascii="宋体" w:hAnsi="宋体" w:eastAsia="宋体" w:cs="宋体"/>
                <w:sz w:val="22"/>
                <w:szCs w:val="22"/>
              </w:rPr>
            </w:pPr>
          </w:p>
        </w:tc>
        <w:tc>
          <w:tcPr>
            <w:tcW w:w="2640" w:type="dxa"/>
            <w:tcBorders>
              <w:top w:val="single" w:color="auto" w:sz="4" w:space="0"/>
              <w:left w:val="nil"/>
              <w:bottom w:val="single" w:color="auto" w:sz="4" w:space="0"/>
              <w:right w:val="single" w:color="auto" w:sz="4" w:space="0"/>
            </w:tcBorders>
            <w:shd w:val="clear" w:color="auto" w:fill="auto"/>
            <w:vAlign w:val="center"/>
          </w:tcPr>
          <w:p w14:paraId="66351646">
            <w:pPr>
              <w:adjustRightInd w:val="0"/>
              <w:snapToGrid w:val="0"/>
              <w:spacing w:line="360" w:lineRule="auto"/>
              <w:jc w:val="center"/>
              <w:outlineLvl w:val="0"/>
              <w:rPr>
                <w:rFonts w:hint="eastAsia" w:ascii="宋体" w:hAnsi="宋体" w:eastAsia="宋体" w:cs="宋体"/>
                <w:bCs/>
                <w:color w:val="000000"/>
                <w:kern w:val="44"/>
                <w:sz w:val="22"/>
                <w:szCs w:val="22"/>
                <w:lang w:val="en-US" w:eastAsia="zh-CN"/>
              </w:rPr>
            </w:pPr>
            <w:bookmarkStart w:id="67" w:name="_Toc18126"/>
            <w:bookmarkStart w:id="68" w:name="_Toc11881"/>
            <w:r>
              <w:rPr>
                <w:rFonts w:hint="eastAsia" w:ascii="宋体" w:hAnsi="宋体" w:eastAsia="宋体" w:cs="宋体"/>
                <w:bCs/>
                <w:color w:val="000000"/>
                <w:kern w:val="44"/>
                <w:sz w:val="22"/>
                <w:szCs w:val="22"/>
              </w:rPr>
              <w:t>报价唯一</w:t>
            </w:r>
            <w:bookmarkEnd w:id="67"/>
            <w:bookmarkEnd w:id="68"/>
          </w:p>
        </w:tc>
        <w:tc>
          <w:tcPr>
            <w:tcW w:w="5685" w:type="dxa"/>
            <w:tcBorders>
              <w:top w:val="single" w:color="auto" w:sz="4" w:space="0"/>
              <w:left w:val="nil"/>
              <w:bottom w:val="single" w:color="auto" w:sz="4" w:space="0"/>
              <w:right w:val="single" w:color="auto" w:sz="4" w:space="0"/>
            </w:tcBorders>
            <w:shd w:val="clear" w:color="auto" w:fill="auto"/>
            <w:vAlign w:val="center"/>
          </w:tcPr>
          <w:p w14:paraId="5C4D53B2">
            <w:pPr>
              <w:adjustRightInd w:val="0"/>
              <w:snapToGrid w:val="0"/>
              <w:spacing w:line="360" w:lineRule="auto"/>
              <w:jc w:val="both"/>
              <w:outlineLvl w:val="0"/>
              <w:rPr>
                <w:rFonts w:hint="eastAsia" w:ascii="宋体" w:hAnsi="宋体" w:eastAsia="宋体" w:cs="宋体"/>
                <w:bCs/>
                <w:color w:val="000000"/>
                <w:kern w:val="44"/>
                <w:sz w:val="22"/>
                <w:szCs w:val="22"/>
                <w:lang w:val="en-US" w:eastAsia="zh-CN"/>
              </w:rPr>
            </w:pPr>
            <w:bookmarkStart w:id="69" w:name="_Toc5514"/>
            <w:bookmarkStart w:id="70" w:name="_Toc24918"/>
            <w:r>
              <w:rPr>
                <w:rFonts w:hint="eastAsia" w:ascii="宋体" w:hAnsi="宋体" w:eastAsia="宋体" w:cs="宋体"/>
                <w:bCs/>
                <w:color w:val="000000"/>
                <w:kern w:val="44"/>
                <w:sz w:val="22"/>
                <w:szCs w:val="22"/>
              </w:rPr>
              <w:t>只能有一个有效报价</w:t>
            </w:r>
            <w:bookmarkEnd w:id="69"/>
            <w:bookmarkEnd w:id="70"/>
          </w:p>
        </w:tc>
      </w:tr>
      <w:tr w14:paraId="1AF5EC3C">
        <w:tblPrEx>
          <w:tblCellMar>
            <w:top w:w="0" w:type="dxa"/>
            <w:left w:w="108" w:type="dxa"/>
            <w:bottom w:w="0" w:type="dxa"/>
            <w:right w:w="108" w:type="dxa"/>
          </w:tblCellMar>
        </w:tblPrEx>
        <w:trPr>
          <w:trHeight w:val="756" w:hRule="atLeast"/>
        </w:trPr>
        <w:tc>
          <w:tcPr>
            <w:tcW w:w="384" w:type="dxa"/>
            <w:vMerge w:val="restart"/>
            <w:tcBorders>
              <w:left w:val="single" w:color="auto" w:sz="4" w:space="0"/>
              <w:right w:val="single" w:color="auto" w:sz="4" w:space="0"/>
            </w:tcBorders>
            <w:vAlign w:val="center"/>
          </w:tcPr>
          <w:p w14:paraId="28320073">
            <w:p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val="en-US" w:eastAsia="zh-CN"/>
              </w:rPr>
              <w:t>2</w:t>
            </w:r>
          </w:p>
        </w:tc>
        <w:tc>
          <w:tcPr>
            <w:tcW w:w="862" w:type="dxa"/>
            <w:vMerge w:val="restart"/>
            <w:tcBorders>
              <w:left w:val="nil"/>
              <w:right w:val="single" w:color="auto" w:sz="4" w:space="0"/>
            </w:tcBorders>
            <w:vAlign w:val="center"/>
          </w:tcPr>
          <w:p w14:paraId="20B1AB32">
            <w:pPr>
              <w:spacing w:line="360" w:lineRule="auto"/>
              <w:rPr>
                <w:rFonts w:hint="eastAsia" w:ascii="宋体" w:hAnsi="宋体" w:eastAsia="宋体" w:cs="宋体"/>
                <w:sz w:val="22"/>
                <w:szCs w:val="22"/>
              </w:rPr>
            </w:pPr>
            <w:r>
              <w:rPr>
                <w:rFonts w:hint="eastAsia" w:ascii="宋体" w:hAnsi="宋体" w:eastAsia="宋体" w:cs="宋体"/>
                <w:sz w:val="22"/>
                <w:szCs w:val="22"/>
              </w:rPr>
              <w:t>资格性评审标准</w:t>
            </w:r>
          </w:p>
        </w:tc>
        <w:tc>
          <w:tcPr>
            <w:tcW w:w="2640" w:type="dxa"/>
            <w:tcBorders>
              <w:top w:val="single" w:color="auto" w:sz="4" w:space="0"/>
              <w:left w:val="nil"/>
              <w:right w:val="single" w:color="auto" w:sz="4" w:space="0"/>
            </w:tcBorders>
            <w:shd w:val="clear" w:color="auto" w:fill="auto"/>
            <w:vAlign w:val="center"/>
          </w:tcPr>
          <w:p w14:paraId="1A3B9402">
            <w:pPr>
              <w:spacing w:line="360" w:lineRule="auto"/>
              <w:jc w:val="center"/>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满足《中华人民共和国政府采购法》第二十二条规定</w:t>
            </w:r>
          </w:p>
        </w:tc>
        <w:tc>
          <w:tcPr>
            <w:tcW w:w="5685" w:type="dxa"/>
            <w:tcBorders>
              <w:top w:val="single" w:color="auto" w:sz="4" w:space="0"/>
              <w:left w:val="nil"/>
              <w:right w:val="single" w:color="auto" w:sz="4" w:space="0"/>
            </w:tcBorders>
            <w:shd w:val="clear" w:color="auto" w:fill="auto"/>
            <w:vAlign w:val="center"/>
          </w:tcPr>
          <w:p w14:paraId="7DCB2FF2">
            <w:pPr>
              <w:spacing w:line="360" w:lineRule="auto"/>
              <w:jc w:val="left"/>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2"/>
                <w:szCs w:val="22"/>
                <w:lang w:val="en-US" w:eastAsia="zh-CN" w:bidi="ar-SA"/>
                <w14:textFill>
                  <w14:solidFill>
                    <w14:schemeClr w14:val="tx1"/>
                  </w14:solidFill>
                </w14:textFill>
              </w:rPr>
              <w:t>满足《中华人民共和国政府采购法》第二十二条规定，自行承诺</w:t>
            </w:r>
          </w:p>
        </w:tc>
      </w:tr>
      <w:tr w14:paraId="1A488F66">
        <w:tblPrEx>
          <w:tblCellMar>
            <w:top w:w="0" w:type="dxa"/>
            <w:left w:w="108" w:type="dxa"/>
            <w:bottom w:w="0" w:type="dxa"/>
            <w:right w:w="108" w:type="dxa"/>
          </w:tblCellMar>
        </w:tblPrEx>
        <w:trPr>
          <w:trHeight w:val="538" w:hRule="atLeast"/>
        </w:trPr>
        <w:tc>
          <w:tcPr>
            <w:tcW w:w="384" w:type="dxa"/>
            <w:vMerge w:val="continue"/>
            <w:tcBorders>
              <w:left w:val="single" w:color="auto" w:sz="4" w:space="0"/>
              <w:right w:val="single" w:color="auto" w:sz="4" w:space="0"/>
            </w:tcBorders>
            <w:vAlign w:val="center"/>
          </w:tcPr>
          <w:p w14:paraId="4322D007">
            <w:pPr>
              <w:spacing w:line="360" w:lineRule="auto"/>
              <w:rPr>
                <w:rFonts w:hint="eastAsia" w:ascii="宋体" w:hAnsi="宋体" w:eastAsia="宋体" w:cs="宋体"/>
                <w:sz w:val="22"/>
                <w:szCs w:val="22"/>
                <w:lang w:val="en-US" w:eastAsia="zh-CN"/>
              </w:rPr>
            </w:pPr>
          </w:p>
        </w:tc>
        <w:tc>
          <w:tcPr>
            <w:tcW w:w="862" w:type="dxa"/>
            <w:vMerge w:val="continue"/>
            <w:tcBorders>
              <w:left w:val="nil"/>
              <w:right w:val="single" w:color="auto" w:sz="4" w:space="0"/>
            </w:tcBorders>
            <w:vAlign w:val="center"/>
          </w:tcPr>
          <w:p w14:paraId="07210102">
            <w:pPr>
              <w:spacing w:line="360" w:lineRule="auto"/>
              <w:rPr>
                <w:rFonts w:hint="eastAsia" w:ascii="宋体" w:hAnsi="宋体" w:eastAsia="宋体" w:cs="宋体"/>
                <w:sz w:val="22"/>
                <w:szCs w:val="22"/>
              </w:rPr>
            </w:pPr>
          </w:p>
        </w:tc>
        <w:tc>
          <w:tcPr>
            <w:tcW w:w="2640" w:type="dxa"/>
            <w:tcBorders>
              <w:top w:val="single" w:color="auto" w:sz="4" w:space="0"/>
              <w:left w:val="nil"/>
              <w:right w:val="single" w:color="auto" w:sz="4" w:space="0"/>
            </w:tcBorders>
            <w:shd w:val="clear" w:color="auto" w:fill="auto"/>
            <w:vAlign w:val="center"/>
          </w:tcPr>
          <w:p w14:paraId="56D66FD2">
            <w:pPr>
              <w:spacing w:line="360" w:lineRule="auto"/>
              <w:jc w:val="center"/>
              <w:rPr>
                <w:rFonts w:hint="eastAsia" w:ascii="宋体" w:hAnsi="宋体" w:eastAsia="宋体" w:cs="宋体"/>
                <w:color w:val="000000" w:themeColor="text1"/>
                <w:sz w:val="22"/>
                <w:szCs w:val="22"/>
                <w:highlight w:val="yellow"/>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落实政府采购政策满足的资格要求</w:t>
            </w:r>
          </w:p>
        </w:tc>
        <w:tc>
          <w:tcPr>
            <w:tcW w:w="5685" w:type="dxa"/>
            <w:tcBorders>
              <w:top w:val="single" w:color="auto" w:sz="4" w:space="0"/>
              <w:left w:val="nil"/>
              <w:right w:val="single" w:color="auto" w:sz="4" w:space="0"/>
            </w:tcBorders>
            <w:shd w:val="clear" w:color="auto" w:fill="auto"/>
            <w:vAlign w:val="center"/>
          </w:tcPr>
          <w:p w14:paraId="1838BDF7">
            <w:pPr>
              <w:spacing w:line="360" w:lineRule="auto"/>
              <w:jc w:val="left"/>
              <w:rPr>
                <w:rFonts w:hint="eastAsia" w:ascii="宋体" w:hAnsi="宋体" w:eastAsia="宋体" w:cs="宋体"/>
                <w:color w:val="000000" w:themeColor="text1"/>
                <w:sz w:val="22"/>
                <w:szCs w:val="22"/>
                <w:highlight w:val="yellow"/>
                <w14:textFill>
                  <w14:solidFill>
                    <w14:schemeClr w14:val="tx1"/>
                  </w14:solidFill>
                </w14:textFill>
              </w:rPr>
            </w:pPr>
            <w:r>
              <w:rPr>
                <w:rFonts w:hint="eastAsia" w:ascii="宋体" w:hAnsi="宋体" w:eastAsia="宋体" w:cs="宋体"/>
                <w:sz w:val="22"/>
                <w:szCs w:val="22"/>
                <w:lang w:val="en-US" w:eastAsia="zh-CN"/>
              </w:rPr>
              <w:t>本项目专门面向中小企业采购,同时供应商须提供《中小企业声明函》</w:t>
            </w:r>
          </w:p>
        </w:tc>
      </w:tr>
      <w:tr w14:paraId="17F64348">
        <w:tblPrEx>
          <w:tblCellMar>
            <w:top w:w="0" w:type="dxa"/>
            <w:left w:w="108" w:type="dxa"/>
            <w:bottom w:w="0" w:type="dxa"/>
            <w:right w:w="108" w:type="dxa"/>
          </w:tblCellMar>
        </w:tblPrEx>
        <w:trPr>
          <w:trHeight w:val="563" w:hRule="atLeast"/>
        </w:trPr>
        <w:tc>
          <w:tcPr>
            <w:tcW w:w="384" w:type="dxa"/>
            <w:vMerge w:val="continue"/>
            <w:tcBorders>
              <w:left w:val="single" w:color="auto" w:sz="4" w:space="0"/>
              <w:right w:val="single" w:color="auto" w:sz="4" w:space="0"/>
            </w:tcBorders>
            <w:vAlign w:val="center"/>
          </w:tcPr>
          <w:p w14:paraId="04C655F8">
            <w:pPr>
              <w:spacing w:line="360" w:lineRule="auto"/>
              <w:rPr>
                <w:rFonts w:hint="eastAsia" w:ascii="宋体" w:hAnsi="宋体" w:eastAsia="宋体" w:cs="宋体"/>
                <w:sz w:val="22"/>
                <w:szCs w:val="22"/>
                <w:lang w:eastAsia="zh-CN"/>
              </w:rPr>
            </w:pPr>
          </w:p>
        </w:tc>
        <w:tc>
          <w:tcPr>
            <w:tcW w:w="862" w:type="dxa"/>
            <w:vMerge w:val="continue"/>
            <w:tcBorders>
              <w:left w:val="nil"/>
              <w:right w:val="single" w:color="auto" w:sz="4" w:space="0"/>
            </w:tcBorders>
            <w:vAlign w:val="center"/>
          </w:tcPr>
          <w:p w14:paraId="69B89A9D">
            <w:pPr>
              <w:spacing w:line="360" w:lineRule="auto"/>
              <w:rPr>
                <w:rFonts w:hint="eastAsia" w:ascii="宋体" w:hAnsi="宋体" w:eastAsia="宋体" w:cs="宋体"/>
                <w:sz w:val="22"/>
                <w:szCs w:val="22"/>
              </w:rPr>
            </w:pPr>
          </w:p>
        </w:tc>
        <w:tc>
          <w:tcPr>
            <w:tcW w:w="2640" w:type="dxa"/>
            <w:tcBorders>
              <w:top w:val="single" w:color="auto" w:sz="4" w:space="0"/>
              <w:left w:val="nil"/>
              <w:right w:val="single" w:color="auto" w:sz="4" w:space="0"/>
            </w:tcBorders>
            <w:shd w:val="clear" w:color="auto" w:fill="auto"/>
            <w:vAlign w:val="center"/>
          </w:tcPr>
          <w:p w14:paraId="024280CE">
            <w:pPr>
              <w:spacing w:line="360" w:lineRule="auto"/>
              <w:jc w:val="center"/>
              <w:rPr>
                <w:rFonts w:hint="eastAsia" w:ascii="宋体" w:hAnsi="宋体" w:eastAsia="宋体" w:cs="宋体"/>
                <w:color w:val="000000" w:themeColor="text1"/>
                <w:kern w:val="2"/>
                <w:sz w:val="22"/>
                <w:szCs w:val="22"/>
                <w:lang w:val="en-US" w:eastAsia="zh-CN" w:bidi="ar-SA"/>
                <w14:textFill>
                  <w14:solidFill>
                    <w14:schemeClr w14:val="tx1"/>
                  </w14:solidFill>
                </w14:textFill>
              </w:rPr>
            </w:pPr>
            <w:bookmarkStart w:id="71" w:name="_Toc19917"/>
            <w:bookmarkEnd w:id="71"/>
            <w:bookmarkStart w:id="72" w:name="_Toc116401579"/>
            <w:bookmarkEnd w:id="72"/>
            <w:bookmarkStart w:id="73" w:name="_Toc15384"/>
            <w:bookmarkEnd w:id="73"/>
            <w:bookmarkStart w:id="74" w:name="_Toc13685"/>
            <w:bookmarkEnd w:id="74"/>
            <w:bookmarkStart w:id="75" w:name="_Toc26175"/>
            <w:bookmarkEnd w:id="75"/>
            <w:bookmarkStart w:id="76" w:name="_Toc13189"/>
            <w:bookmarkEnd w:id="76"/>
            <w:bookmarkStart w:id="77" w:name="_Toc144801283"/>
            <w:bookmarkEnd w:id="77"/>
            <w:r>
              <w:rPr>
                <w:rFonts w:hint="eastAsia" w:ascii="宋体" w:hAnsi="宋体" w:eastAsia="宋体" w:cs="宋体"/>
                <w:sz w:val="22"/>
                <w:szCs w:val="22"/>
                <w:lang w:val="en-US" w:eastAsia="zh-CN"/>
              </w:rPr>
              <w:t>供应商具有独立承担民事责任的能力</w:t>
            </w:r>
          </w:p>
        </w:tc>
        <w:tc>
          <w:tcPr>
            <w:tcW w:w="5685" w:type="dxa"/>
            <w:tcBorders>
              <w:top w:val="single" w:color="auto" w:sz="4" w:space="0"/>
              <w:left w:val="nil"/>
              <w:right w:val="single" w:color="auto" w:sz="4" w:space="0"/>
            </w:tcBorders>
            <w:shd w:val="clear" w:color="auto" w:fill="auto"/>
            <w:vAlign w:val="center"/>
          </w:tcPr>
          <w:p w14:paraId="60B42764">
            <w:pPr>
              <w:spacing w:line="360" w:lineRule="auto"/>
              <w:jc w:val="left"/>
              <w:rPr>
                <w:rFonts w:hint="eastAsia" w:ascii="宋体" w:hAnsi="宋体" w:eastAsia="宋体" w:cs="宋体"/>
                <w:color w:val="000000" w:themeColor="text1"/>
                <w:kern w:val="2"/>
                <w:sz w:val="22"/>
                <w:szCs w:val="22"/>
                <w:lang w:val="en-US" w:eastAsia="zh-CN" w:bidi="ar-SA"/>
                <w14:textFill>
                  <w14:solidFill>
                    <w14:schemeClr w14:val="tx1"/>
                  </w14:solidFill>
                </w14:textFill>
              </w:rPr>
            </w:pPr>
            <w:bookmarkStart w:id="78" w:name="_Toc173946420"/>
            <w:bookmarkEnd w:id="78"/>
            <w:bookmarkStart w:id="79" w:name="_Toc17985"/>
            <w:bookmarkEnd w:id="79"/>
            <w:bookmarkStart w:id="80" w:name="_Toc173946085"/>
            <w:bookmarkEnd w:id="80"/>
            <w:bookmarkStart w:id="81" w:name="_Toc174034453"/>
            <w:bookmarkEnd w:id="81"/>
            <w:r>
              <w:rPr>
                <w:rFonts w:hint="eastAsia" w:ascii="宋体" w:hAnsi="宋体" w:eastAsia="宋体" w:cs="宋体"/>
                <w:sz w:val="22"/>
                <w:szCs w:val="22"/>
                <w:lang w:val="en-US" w:eastAsia="zh-CN"/>
              </w:rPr>
              <w:t>具有有效的营业执照或事业单位法人证书</w:t>
            </w:r>
          </w:p>
        </w:tc>
      </w:tr>
      <w:tr w14:paraId="7F579178">
        <w:tblPrEx>
          <w:tblCellMar>
            <w:top w:w="0" w:type="dxa"/>
            <w:left w:w="108" w:type="dxa"/>
            <w:bottom w:w="0" w:type="dxa"/>
            <w:right w:w="108" w:type="dxa"/>
          </w:tblCellMar>
        </w:tblPrEx>
        <w:trPr>
          <w:trHeight w:val="749" w:hRule="atLeast"/>
        </w:trPr>
        <w:tc>
          <w:tcPr>
            <w:tcW w:w="384" w:type="dxa"/>
            <w:vMerge w:val="continue"/>
            <w:tcBorders>
              <w:left w:val="single" w:color="auto" w:sz="4" w:space="0"/>
              <w:right w:val="single" w:color="auto" w:sz="4" w:space="0"/>
            </w:tcBorders>
            <w:vAlign w:val="center"/>
          </w:tcPr>
          <w:p w14:paraId="42B6CFAD">
            <w:pPr>
              <w:spacing w:line="360" w:lineRule="auto"/>
              <w:rPr>
                <w:rFonts w:hint="eastAsia" w:ascii="宋体" w:hAnsi="宋体" w:eastAsia="宋体" w:cs="宋体"/>
                <w:sz w:val="22"/>
                <w:szCs w:val="22"/>
              </w:rPr>
            </w:pPr>
          </w:p>
        </w:tc>
        <w:tc>
          <w:tcPr>
            <w:tcW w:w="862" w:type="dxa"/>
            <w:vMerge w:val="continue"/>
            <w:tcBorders>
              <w:left w:val="nil"/>
              <w:right w:val="single" w:color="auto" w:sz="4" w:space="0"/>
            </w:tcBorders>
            <w:vAlign w:val="center"/>
          </w:tcPr>
          <w:p w14:paraId="175B1FE0">
            <w:pPr>
              <w:spacing w:line="360" w:lineRule="auto"/>
              <w:rPr>
                <w:rFonts w:hint="eastAsia" w:ascii="宋体" w:hAnsi="宋体" w:eastAsia="宋体" w:cs="宋体"/>
                <w:sz w:val="22"/>
                <w:szCs w:val="22"/>
              </w:rPr>
            </w:pPr>
          </w:p>
        </w:tc>
        <w:tc>
          <w:tcPr>
            <w:tcW w:w="2640" w:type="dxa"/>
            <w:tcBorders>
              <w:top w:val="single" w:color="auto" w:sz="4" w:space="0"/>
              <w:left w:val="nil"/>
              <w:right w:val="single" w:color="auto" w:sz="4" w:space="0"/>
            </w:tcBorders>
            <w:vAlign w:val="center"/>
          </w:tcPr>
          <w:p w14:paraId="27C3A841">
            <w:pPr>
              <w:spacing w:line="360" w:lineRule="auto"/>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资质证书</w:t>
            </w:r>
          </w:p>
        </w:tc>
        <w:tc>
          <w:tcPr>
            <w:tcW w:w="5685" w:type="dxa"/>
            <w:tcBorders>
              <w:top w:val="single" w:color="auto" w:sz="4" w:space="0"/>
              <w:left w:val="nil"/>
              <w:right w:val="single" w:color="auto" w:sz="4" w:space="0"/>
            </w:tcBorders>
            <w:vAlign w:val="center"/>
          </w:tcPr>
          <w:p w14:paraId="430EDF2E">
            <w:pPr>
              <w:adjustRightInd w:val="0"/>
              <w:snapToGrid w:val="0"/>
              <w:spacing w:line="360" w:lineRule="auto"/>
              <w:outlineLvl w:val="0"/>
              <w:rPr>
                <w:rFonts w:hint="eastAsia" w:ascii="宋体" w:hAnsi="宋体" w:eastAsia="宋体" w:cs="宋体"/>
                <w:sz w:val="22"/>
                <w:szCs w:val="22"/>
              </w:rPr>
            </w:pPr>
            <w:bookmarkStart w:id="82" w:name="_Toc17922"/>
            <w:r>
              <w:rPr>
                <w:rFonts w:hint="eastAsia" w:ascii="宋体" w:hAnsi="宋体" w:eastAsia="宋体" w:cs="宋体"/>
                <w:sz w:val="22"/>
                <w:szCs w:val="22"/>
                <w:lang w:val="en-US" w:eastAsia="zh-CN"/>
              </w:rPr>
              <w:t>供应商须具有相关主管部门核发的林业调查规划设计丙级及以上资质</w:t>
            </w:r>
            <w:bookmarkEnd w:id="82"/>
          </w:p>
        </w:tc>
      </w:tr>
      <w:tr w14:paraId="3770E9F0">
        <w:tblPrEx>
          <w:tblCellMar>
            <w:top w:w="0" w:type="dxa"/>
            <w:left w:w="108" w:type="dxa"/>
            <w:bottom w:w="0" w:type="dxa"/>
            <w:right w:w="108" w:type="dxa"/>
          </w:tblCellMar>
        </w:tblPrEx>
        <w:trPr>
          <w:trHeight w:val="1284" w:hRule="atLeast"/>
        </w:trPr>
        <w:tc>
          <w:tcPr>
            <w:tcW w:w="384" w:type="dxa"/>
            <w:vMerge w:val="continue"/>
            <w:tcBorders>
              <w:left w:val="single" w:color="auto" w:sz="4" w:space="0"/>
              <w:right w:val="single" w:color="auto" w:sz="4" w:space="0"/>
            </w:tcBorders>
            <w:vAlign w:val="center"/>
          </w:tcPr>
          <w:p w14:paraId="0C7848D3">
            <w:pPr>
              <w:spacing w:line="360" w:lineRule="auto"/>
              <w:rPr>
                <w:rFonts w:hint="eastAsia" w:ascii="宋体" w:hAnsi="宋体" w:eastAsia="宋体" w:cs="宋体"/>
                <w:sz w:val="22"/>
                <w:szCs w:val="22"/>
              </w:rPr>
            </w:pPr>
          </w:p>
        </w:tc>
        <w:tc>
          <w:tcPr>
            <w:tcW w:w="862" w:type="dxa"/>
            <w:vMerge w:val="continue"/>
            <w:tcBorders>
              <w:left w:val="nil"/>
              <w:right w:val="single" w:color="auto" w:sz="4" w:space="0"/>
            </w:tcBorders>
            <w:vAlign w:val="center"/>
          </w:tcPr>
          <w:p w14:paraId="6F587D08">
            <w:pPr>
              <w:spacing w:line="360" w:lineRule="auto"/>
              <w:rPr>
                <w:rFonts w:hint="eastAsia" w:ascii="宋体" w:hAnsi="宋体" w:eastAsia="宋体" w:cs="宋体"/>
                <w:sz w:val="22"/>
                <w:szCs w:val="22"/>
              </w:rPr>
            </w:pPr>
          </w:p>
        </w:tc>
        <w:tc>
          <w:tcPr>
            <w:tcW w:w="2640" w:type="dxa"/>
            <w:tcBorders>
              <w:top w:val="single" w:color="auto" w:sz="4" w:space="0"/>
              <w:left w:val="nil"/>
              <w:right w:val="single" w:color="auto" w:sz="4" w:space="0"/>
            </w:tcBorders>
            <w:vAlign w:val="center"/>
          </w:tcPr>
          <w:p w14:paraId="2F8921B6">
            <w:pPr>
              <w:spacing w:line="360" w:lineRule="auto"/>
              <w:jc w:val="center"/>
              <w:rPr>
                <w:rFonts w:hint="eastAsia" w:ascii="宋体" w:hAnsi="宋体" w:eastAsia="宋体" w:cs="宋体"/>
                <w:sz w:val="22"/>
                <w:szCs w:val="22"/>
                <w:lang w:eastAsia="zh-CN"/>
              </w:rPr>
            </w:pPr>
            <w:r>
              <w:rPr>
                <w:rFonts w:hint="eastAsia" w:ascii="宋体" w:hAnsi="宋体" w:eastAsia="宋体" w:cs="宋体"/>
                <w:sz w:val="22"/>
                <w:szCs w:val="22"/>
                <w:lang w:val="en-US" w:eastAsia="zh-CN"/>
              </w:rPr>
              <w:t>项目负责人</w:t>
            </w:r>
          </w:p>
        </w:tc>
        <w:tc>
          <w:tcPr>
            <w:tcW w:w="5685" w:type="dxa"/>
            <w:tcBorders>
              <w:top w:val="single" w:color="auto" w:sz="4" w:space="0"/>
              <w:left w:val="nil"/>
              <w:right w:val="single" w:color="auto" w:sz="4" w:space="0"/>
            </w:tcBorders>
            <w:vAlign w:val="center"/>
          </w:tcPr>
          <w:p w14:paraId="176FEBED">
            <w:pPr>
              <w:spacing w:line="360" w:lineRule="auto"/>
              <w:jc w:val="left"/>
              <w:rPr>
                <w:rFonts w:hint="eastAsia" w:ascii="宋体" w:hAnsi="宋体" w:eastAsia="宋体" w:cs="宋体"/>
                <w:sz w:val="22"/>
                <w:szCs w:val="22"/>
                <w:lang w:eastAsia="zh-CN"/>
              </w:rPr>
            </w:pPr>
            <w:r>
              <w:rPr>
                <w:rFonts w:hint="eastAsia" w:ascii="宋体" w:hAnsi="宋体" w:eastAsia="宋体" w:cs="宋体"/>
                <w:sz w:val="22"/>
                <w:szCs w:val="22"/>
                <w:lang w:val="en-US" w:eastAsia="zh-CN"/>
              </w:rPr>
              <w:t>拟派项目负责人须具有相关（林业）专业高级及以上职称且为本单位正式员工，需提供近半年任意连续两个月社保缴纳证明（新成立的企业从成立之日起计算）</w:t>
            </w:r>
          </w:p>
        </w:tc>
      </w:tr>
      <w:tr w14:paraId="3EAA7B2A">
        <w:tblPrEx>
          <w:tblCellMar>
            <w:top w:w="0" w:type="dxa"/>
            <w:left w:w="108" w:type="dxa"/>
            <w:bottom w:w="0" w:type="dxa"/>
            <w:right w:w="108" w:type="dxa"/>
          </w:tblCellMar>
        </w:tblPrEx>
        <w:trPr>
          <w:trHeight w:val="783" w:hRule="atLeast"/>
        </w:trPr>
        <w:tc>
          <w:tcPr>
            <w:tcW w:w="384" w:type="dxa"/>
            <w:vMerge w:val="continue"/>
            <w:tcBorders>
              <w:left w:val="single" w:color="auto" w:sz="4" w:space="0"/>
              <w:right w:val="single" w:color="auto" w:sz="4" w:space="0"/>
            </w:tcBorders>
            <w:vAlign w:val="center"/>
          </w:tcPr>
          <w:p w14:paraId="059DE991">
            <w:pPr>
              <w:spacing w:line="360" w:lineRule="auto"/>
              <w:rPr>
                <w:rFonts w:hint="eastAsia" w:ascii="宋体" w:hAnsi="宋体" w:eastAsia="宋体" w:cs="宋体"/>
                <w:sz w:val="22"/>
                <w:szCs w:val="22"/>
              </w:rPr>
            </w:pPr>
          </w:p>
        </w:tc>
        <w:tc>
          <w:tcPr>
            <w:tcW w:w="862" w:type="dxa"/>
            <w:vMerge w:val="continue"/>
            <w:tcBorders>
              <w:left w:val="nil"/>
              <w:right w:val="single" w:color="auto" w:sz="4" w:space="0"/>
            </w:tcBorders>
            <w:vAlign w:val="center"/>
          </w:tcPr>
          <w:p w14:paraId="59AD408C">
            <w:pPr>
              <w:spacing w:line="360" w:lineRule="auto"/>
              <w:rPr>
                <w:rFonts w:hint="eastAsia" w:ascii="宋体" w:hAnsi="宋体" w:eastAsia="宋体" w:cs="宋体"/>
                <w:sz w:val="22"/>
                <w:szCs w:val="22"/>
              </w:rPr>
            </w:pPr>
          </w:p>
        </w:tc>
        <w:tc>
          <w:tcPr>
            <w:tcW w:w="2640" w:type="dxa"/>
            <w:tcBorders>
              <w:top w:val="single" w:color="auto" w:sz="4" w:space="0"/>
              <w:left w:val="nil"/>
              <w:right w:val="single" w:color="auto" w:sz="4" w:space="0"/>
            </w:tcBorders>
            <w:shd w:val="clear" w:color="auto" w:fill="auto"/>
            <w:vAlign w:val="center"/>
          </w:tcPr>
          <w:p w14:paraId="6C0C4017">
            <w:pPr>
              <w:spacing w:line="360" w:lineRule="auto"/>
              <w:jc w:val="center"/>
              <w:rPr>
                <w:rFonts w:hint="eastAsia" w:ascii="宋体" w:hAnsi="宋体" w:eastAsia="宋体" w:cs="宋体"/>
                <w:bCs/>
                <w:kern w:val="2"/>
                <w:sz w:val="22"/>
                <w:szCs w:val="22"/>
                <w:lang w:val="en-US" w:eastAsia="zh-CN" w:bidi="ar-SA"/>
              </w:rPr>
            </w:pPr>
            <w:r>
              <w:rPr>
                <w:rFonts w:hint="eastAsia" w:ascii="宋体" w:hAnsi="宋体" w:eastAsia="宋体" w:cs="宋体"/>
                <w:sz w:val="22"/>
                <w:szCs w:val="22"/>
                <w:lang w:val="en-US" w:eastAsia="zh-CN"/>
              </w:rPr>
              <w:t>单位负责人为同一人或者存在控股、管理关系的不同供应商，不得同时参加本项目政府采购活动</w:t>
            </w:r>
          </w:p>
        </w:tc>
        <w:tc>
          <w:tcPr>
            <w:tcW w:w="5685" w:type="dxa"/>
            <w:tcBorders>
              <w:top w:val="single" w:color="auto" w:sz="4" w:space="0"/>
              <w:left w:val="nil"/>
              <w:right w:val="single" w:color="auto" w:sz="4" w:space="0"/>
            </w:tcBorders>
            <w:shd w:val="clear" w:color="auto" w:fill="auto"/>
            <w:vAlign w:val="center"/>
          </w:tcPr>
          <w:p w14:paraId="57415945">
            <w:pPr>
              <w:pStyle w:val="9"/>
              <w:spacing w:line="360" w:lineRule="auto"/>
              <w:ind w:left="0" w:leftChars="0" w:firstLine="0" w:firstLineChars="0"/>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磋商文件内附“国家企业信用信息”中公示的公司信息、股东或投资人信息截图，查询时间自公告发布之日起</w:t>
            </w:r>
          </w:p>
        </w:tc>
      </w:tr>
      <w:tr w14:paraId="17F4B07B">
        <w:tblPrEx>
          <w:tblCellMar>
            <w:top w:w="0" w:type="dxa"/>
            <w:left w:w="108" w:type="dxa"/>
            <w:bottom w:w="0" w:type="dxa"/>
            <w:right w:w="108" w:type="dxa"/>
          </w:tblCellMar>
        </w:tblPrEx>
        <w:trPr>
          <w:trHeight w:val="692" w:hRule="atLeast"/>
        </w:trPr>
        <w:tc>
          <w:tcPr>
            <w:tcW w:w="384" w:type="dxa"/>
            <w:vMerge w:val="continue"/>
            <w:tcBorders>
              <w:left w:val="single" w:color="auto" w:sz="4" w:space="0"/>
              <w:right w:val="single" w:color="auto" w:sz="4" w:space="0"/>
            </w:tcBorders>
            <w:vAlign w:val="center"/>
          </w:tcPr>
          <w:p w14:paraId="73D4E488">
            <w:pPr>
              <w:spacing w:line="360" w:lineRule="auto"/>
              <w:rPr>
                <w:rFonts w:hint="eastAsia" w:ascii="宋体" w:hAnsi="宋体" w:eastAsia="宋体" w:cs="宋体"/>
                <w:sz w:val="22"/>
                <w:szCs w:val="22"/>
              </w:rPr>
            </w:pPr>
          </w:p>
        </w:tc>
        <w:tc>
          <w:tcPr>
            <w:tcW w:w="862" w:type="dxa"/>
            <w:vMerge w:val="continue"/>
            <w:tcBorders>
              <w:left w:val="nil"/>
              <w:right w:val="single" w:color="auto" w:sz="4" w:space="0"/>
            </w:tcBorders>
            <w:vAlign w:val="center"/>
          </w:tcPr>
          <w:p w14:paraId="5B6847B9">
            <w:pPr>
              <w:spacing w:line="360" w:lineRule="auto"/>
              <w:rPr>
                <w:rFonts w:hint="eastAsia" w:ascii="宋体" w:hAnsi="宋体" w:eastAsia="宋体" w:cs="宋体"/>
                <w:sz w:val="22"/>
                <w:szCs w:val="22"/>
              </w:rPr>
            </w:pPr>
          </w:p>
        </w:tc>
        <w:tc>
          <w:tcPr>
            <w:tcW w:w="2640" w:type="dxa"/>
            <w:tcBorders>
              <w:top w:val="single" w:color="auto" w:sz="4" w:space="0"/>
              <w:left w:val="nil"/>
              <w:bottom w:val="single" w:color="auto" w:sz="4" w:space="0"/>
              <w:right w:val="single" w:color="auto" w:sz="4" w:space="0"/>
            </w:tcBorders>
            <w:vAlign w:val="center"/>
          </w:tcPr>
          <w:p w14:paraId="0DE1DFD8">
            <w:pPr>
              <w:spacing w:line="360" w:lineRule="auto"/>
              <w:jc w:val="center"/>
              <w:rPr>
                <w:rFonts w:hint="eastAsia" w:ascii="宋体" w:hAnsi="宋体" w:eastAsia="宋体" w:cs="宋体"/>
                <w:sz w:val="22"/>
                <w:szCs w:val="22"/>
              </w:rPr>
            </w:pPr>
            <w:bookmarkStart w:id="83" w:name="_Toc50397872"/>
            <w:bookmarkEnd w:id="83"/>
            <w:bookmarkStart w:id="84" w:name="_Toc21447"/>
            <w:bookmarkEnd w:id="84"/>
            <w:bookmarkStart w:id="85" w:name="_Toc9108"/>
            <w:bookmarkEnd w:id="85"/>
            <w:bookmarkStart w:id="86" w:name="_Toc23510"/>
            <w:bookmarkEnd w:id="86"/>
            <w:bookmarkStart w:id="87" w:name="_Toc109465607"/>
            <w:bookmarkEnd w:id="87"/>
            <w:bookmarkStart w:id="88" w:name="_Toc109033491"/>
            <w:bookmarkEnd w:id="88"/>
            <w:bookmarkStart w:id="89" w:name="_Toc116401594"/>
            <w:bookmarkEnd w:id="89"/>
            <w:bookmarkStart w:id="90" w:name="_Toc20453"/>
            <w:bookmarkEnd w:id="90"/>
            <w:bookmarkStart w:id="91" w:name="_Toc50397332"/>
            <w:bookmarkEnd w:id="91"/>
            <w:bookmarkStart w:id="92" w:name="_Toc30444"/>
            <w:bookmarkEnd w:id="92"/>
            <w:bookmarkStart w:id="93" w:name="_Toc109464609"/>
            <w:bookmarkEnd w:id="93"/>
            <w:bookmarkStart w:id="94" w:name="_Toc77596807"/>
            <w:bookmarkEnd w:id="94"/>
            <w:bookmarkStart w:id="95" w:name="_Toc144801297"/>
            <w:bookmarkEnd w:id="95"/>
            <w:r>
              <w:rPr>
                <w:rFonts w:hint="eastAsia" w:ascii="宋体" w:hAnsi="宋体" w:eastAsia="宋体" w:cs="宋体"/>
                <w:sz w:val="22"/>
                <w:szCs w:val="22"/>
                <w:lang w:val="en-US" w:eastAsia="zh-CN"/>
              </w:rPr>
              <w:t>具有履行本项目服务内容所必须的设备和专业技术服务能力</w:t>
            </w:r>
          </w:p>
        </w:tc>
        <w:tc>
          <w:tcPr>
            <w:tcW w:w="5685" w:type="dxa"/>
            <w:tcBorders>
              <w:top w:val="single" w:color="auto" w:sz="4" w:space="0"/>
              <w:left w:val="nil"/>
              <w:bottom w:val="single" w:color="auto" w:sz="4" w:space="0"/>
              <w:right w:val="single" w:color="auto" w:sz="4" w:space="0"/>
            </w:tcBorders>
          </w:tcPr>
          <w:p w14:paraId="6C39D9B6">
            <w:pPr>
              <w:adjustRightInd w:val="0"/>
              <w:snapToGrid w:val="0"/>
              <w:spacing w:line="360" w:lineRule="auto"/>
              <w:jc w:val="left"/>
              <w:rPr>
                <w:rFonts w:hint="eastAsia" w:ascii="宋体" w:hAnsi="宋体" w:eastAsia="宋体" w:cs="宋体"/>
                <w:color w:val="000000"/>
                <w:sz w:val="22"/>
                <w:szCs w:val="22"/>
              </w:rPr>
            </w:pPr>
            <w:r>
              <w:rPr>
                <w:rFonts w:hint="eastAsia" w:ascii="宋体" w:hAnsi="宋体" w:eastAsia="宋体" w:cs="宋体"/>
                <w:sz w:val="22"/>
                <w:szCs w:val="22"/>
                <w:lang w:val="en-US" w:eastAsia="zh-CN"/>
              </w:rPr>
              <w:t>提供证明材料或承诺书，承诺书格式自拟</w:t>
            </w:r>
          </w:p>
        </w:tc>
      </w:tr>
      <w:tr w14:paraId="0826D62C">
        <w:tblPrEx>
          <w:tblCellMar>
            <w:top w:w="0" w:type="dxa"/>
            <w:left w:w="108" w:type="dxa"/>
            <w:bottom w:w="0" w:type="dxa"/>
            <w:right w:w="108" w:type="dxa"/>
          </w:tblCellMar>
        </w:tblPrEx>
        <w:trPr>
          <w:trHeight w:val="692" w:hRule="atLeast"/>
        </w:trPr>
        <w:tc>
          <w:tcPr>
            <w:tcW w:w="384" w:type="dxa"/>
            <w:vMerge w:val="continue"/>
            <w:tcBorders>
              <w:left w:val="single" w:color="auto" w:sz="4" w:space="0"/>
              <w:right w:val="single" w:color="auto" w:sz="4" w:space="0"/>
            </w:tcBorders>
            <w:vAlign w:val="center"/>
          </w:tcPr>
          <w:p w14:paraId="1E7088B1">
            <w:pPr>
              <w:spacing w:line="360" w:lineRule="auto"/>
              <w:rPr>
                <w:rFonts w:hint="eastAsia" w:ascii="宋体" w:hAnsi="宋体" w:eastAsia="宋体" w:cs="宋体"/>
                <w:sz w:val="22"/>
                <w:szCs w:val="22"/>
              </w:rPr>
            </w:pPr>
          </w:p>
        </w:tc>
        <w:tc>
          <w:tcPr>
            <w:tcW w:w="862" w:type="dxa"/>
            <w:vMerge w:val="continue"/>
            <w:tcBorders>
              <w:left w:val="nil"/>
              <w:right w:val="single" w:color="auto" w:sz="4" w:space="0"/>
            </w:tcBorders>
            <w:vAlign w:val="center"/>
          </w:tcPr>
          <w:p w14:paraId="2EB94F52">
            <w:pPr>
              <w:spacing w:line="360" w:lineRule="auto"/>
              <w:rPr>
                <w:rFonts w:hint="eastAsia" w:ascii="宋体" w:hAnsi="宋体" w:eastAsia="宋体" w:cs="宋体"/>
                <w:sz w:val="22"/>
                <w:szCs w:val="22"/>
              </w:rPr>
            </w:pPr>
          </w:p>
        </w:tc>
        <w:tc>
          <w:tcPr>
            <w:tcW w:w="2640" w:type="dxa"/>
            <w:tcBorders>
              <w:top w:val="single" w:color="auto" w:sz="4" w:space="0"/>
              <w:left w:val="nil"/>
              <w:bottom w:val="single" w:color="auto" w:sz="4" w:space="0"/>
              <w:right w:val="single" w:color="auto" w:sz="4" w:space="0"/>
            </w:tcBorders>
            <w:vAlign w:val="center"/>
          </w:tcPr>
          <w:p w14:paraId="7B942721">
            <w:pPr>
              <w:adjustRightInd w:val="0"/>
              <w:snapToGrid w:val="0"/>
              <w:spacing w:line="360" w:lineRule="auto"/>
              <w:jc w:val="center"/>
              <w:outlineLvl w:val="0"/>
              <w:rPr>
                <w:rFonts w:hint="eastAsia" w:ascii="宋体" w:hAnsi="宋体" w:eastAsia="宋体" w:cs="宋体"/>
                <w:bCs/>
                <w:color w:val="000000"/>
                <w:kern w:val="44"/>
                <w:sz w:val="22"/>
                <w:szCs w:val="22"/>
              </w:rPr>
            </w:pPr>
            <w:bookmarkStart w:id="96" w:name="_Toc173946086"/>
            <w:bookmarkEnd w:id="96"/>
            <w:bookmarkStart w:id="97" w:name="_Toc174034454"/>
            <w:bookmarkEnd w:id="97"/>
            <w:bookmarkStart w:id="98" w:name="_Toc173946421"/>
            <w:bookmarkEnd w:id="98"/>
            <w:bookmarkStart w:id="99" w:name="_Toc12452"/>
            <w:bookmarkEnd w:id="99"/>
            <w:bookmarkStart w:id="100" w:name="_Toc30002"/>
            <w:bookmarkStart w:id="101" w:name="_Toc1814"/>
            <w:r>
              <w:rPr>
                <w:rFonts w:hint="eastAsia" w:ascii="宋体" w:hAnsi="宋体" w:eastAsia="宋体" w:cs="宋体"/>
                <w:sz w:val="22"/>
                <w:szCs w:val="22"/>
                <w:lang w:val="en-US" w:eastAsia="zh-CN"/>
              </w:rPr>
              <w:t>具有良好的商业信誉和健全的财务会计制度</w:t>
            </w:r>
            <w:bookmarkEnd w:id="100"/>
            <w:bookmarkEnd w:id="101"/>
          </w:p>
        </w:tc>
        <w:tc>
          <w:tcPr>
            <w:tcW w:w="5685" w:type="dxa"/>
            <w:tcBorders>
              <w:top w:val="single" w:color="auto" w:sz="4" w:space="0"/>
              <w:left w:val="nil"/>
              <w:bottom w:val="single" w:color="auto" w:sz="4" w:space="0"/>
              <w:right w:val="single" w:color="auto" w:sz="4" w:space="0"/>
            </w:tcBorders>
          </w:tcPr>
          <w:p w14:paraId="76C46DFF">
            <w:pPr>
              <w:adjustRightInd w:val="0"/>
              <w:snapToGrid w:val="0"/>
              <w:spacing w:line="360" w:lineRule="auto"/>
              <w:jc w:val="left"/>
              <w:rPr>
                <w:rFonts w:hint="eastAsia" w:ascii="宋体" w:hAnsi="宋体" w:eastAsia="宋体" w:cs="宋体"/>
                <w:color w:val="000000"/>
                <w:sz w:val="22"/>
                <w:szCs w:val="22"/>
              </w:rPr>
            </w:pPr>
            <w:r>
              <w:rPr>
                <w:rFonts w:hint="eastAsia" w:ascii="宋体" w:hAnsi="宋体" w:eastAsia="宋体" w:cs="宋体"/>
                <w:sz w:val="22"/>
                <w:szCs w:val="22"/>
                <w:lang w:val="en-US" w:eastAsia="zh-CN"/>
              </w:rPr>
              <w:t>提供承诺书（格式自拟）</w:t>
            </w:r>
          </w:p>
        </w:tc>
      </w:tr>
      <w:tr w14:paraId="34119399">
        <w:tblPrEx>
          <w:tblCellMar>
            <w:top w:w="0" w:type="dxa"/>
            <w:left w:w="108" w:type="dxa"/>
            <w:bottom w:w="0" w:type="dxa"/>
            <w:right w:w="108" w:type="dxa"/>
          </w:tblCellMar>
        </w:tblPrEx>
        <w:trPr>
          <w:trHeight w:val="692" w:hRule="atLeast"/>
        </w:trPr>
        <w:tc>
          <w:tcPr>
            <w:tcW w:w="384" w:type="dxa"/>
            <w:vMerge w:val="continue"/>
            <w:tcBorders>
              <w:left w:val="single" w:color="auto" w:sz="4" w:space="0"/>
              <w:right w:val="single" w:color="auto" w:sz="4" w:space="0"/>
            </w:tcBorders>
            <w:vAlign w:val="center"/>
          </w:tcPr>
          <w:p w14:paraId="029FFE94">
            <w:pPr>
              <w:spacing w:line="360" w:lineRule="auto"/>
              <w:rPr>
                <w:rFonts w:hint="eastAsia" w:ascii="宋体" w:hAnsi="宋体" w:eastAsia="宋体" w:cs="宋体"/>
                <w:sz w:val="22"/>
                <w:szCs w:val="22"/>
              </w:rPr>
            </w:pPr>
          </w:p>
        </w:tc>
        <w:tc>
          <w:tcPr>
            <w:tcW w:w="862" w:type="dxa"/>
            <w:vMerge w:val="continue"/>
            <w:tcBorders>
              <w:left w:val="nil"/>
              <w:right w:val="single" w:color="auto" w:sz="4" w:space="0"/>
            </w:tcBorders>
            <w:vAlign w:val="center"/>
          </w:tcPr>
          <w:p w14:paraId="273DB6A3">
            <w:pPr>
              <w:spacing w:line="360" w:lineRule="auto"/>
              <w:rPr>
                <w:rFonts w:hint="eastAsia" w:ascii="宋体" w:hAnsi="宋体" w:eastAsia="宋体" w:cs="宋体"/>
                <w:sz w:val="22"/>
                <w:szCs w:val="22"/>
              </w:rPr>
            </w:pPr>
          </w:p>
        </w:tc>
        <w:tc>
          <w:tcPr>
            <w:tcW w:w="2640" w:type="dxa"/>
            <w:tcBorders>
              <w:top w:val="single" w:color="auto" w:sz="4" w:space="0"/>
              <w:left w:val="nil"/>
              <w:bottom w:val="single" w:color="auto" w:sz="4" w:space="0"/>
              <w:right w:val="single" w:color="auto" w:sz="4" w:space="0"/>
            </w:tcBorders>
            <w:vAlign w:val="center"/>
          </w:tcPr>
          <w:p w14:paraId="54EBACBD">
            <w:pPr>
              <w:adjustRightInd w:val="0"/>
              <w:snapToGrid w:val="0"/>
              <w:spacing w:line="360" w:lineRule="auto"/>
              <w:jc w:val="center"/>
              <w:outlineLvl w:val="0"/>
              <w:rPr>
                <w:rFonts w:hint="eastAsia" w:ascii="宋体" w:hAnsi="宋体" w:eastAsia="宋体" w:cs="宋体"/>
                <w:sz w:val="22"/>
                <w:szCs w:val="22"/>
                <w:lang w:val="en-US" w:eastAsia="zh-CN"/>
              </w:rPr>
            </w:pPr>
            <w:bookmarkStart w:id="102" w:name="_Toc9839"/>
            <w:bookmarkStart w:id="103" w:name="_Toc70"/>
            <w:r>
              <w:rPr>
                <w:rFonts w:hint="eastAsia" w:ascii="宋体" w:hAnsi="宋体" w:eastAsia="宋体" w:cs="宋体"/>
                <w:sz w:val="22"/>
                <w:szCs w:val="22"/>
                <w:lang w:val="en-US" w:eastAsia="zh-CN"/>
              </w:rPr>
              <w:t>供应商依法缴纳税收和社会保障资金</w:t>
            </w:r>
            <w:bookmarkEnd w:id="102"/>
            <w:bookmarkEnd w:id="103"/>
          </w:p>
        </w:tc>
        <w:tc>
          <w:tcPr>
            <w:tcW w:w="5685" w:type="dxa"/>
            <w:tcBorders>
              <w:top w:val="single" w:color="auto" w:sz="4" w:space="0"/>
              <w:left w:val="nil"/>
              <w:bottom w:val="single" w:color="auto" w:sz="4" w:space="0"/>
              <w:right w:val="single" w:color="auto" w:sz="4" w:space="0"/>
            </w:tcBorders>
          </w:tcPr>
          <w:p w14:paraId="44B04A7F">
            <w:pPr>
              <w:adjustRightInd w:val="0"/>
              <w:snapToGrid w:val="0"/>
              <w:spacing w:line="360" w:lineRule="auto"/>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提供承诺书（格式自拟）</w:t>
            </w:r>
          </w:p>
        </w:tc>
      </w:tr>
      <w:tr w14:paraId="70EE1278">
        <w:tblPrEx>
          <w:tblCellMar>
            <w:top w:w="0" w:type="dxa"/>
            <w:left w:w="108" w:type="dxa"/>
            <w:bottom w:w="0" w:type="dxa"/>
            <w:right w:w="108" w:type="dxa"/>
          </w:tblCellMar>
        </w:tblPrEx>
        <w:trPr>
          <w:trHeight w:val="692" w:hRule="atLeast"/>
        </w:trPr>
        <w:tc>
          <w:tcPr>
            <w:tcW w:w="384" w:type="dxa"/>
            <w:vMerge w:val="continue"/>
            <w:tcBorders>
              <w:left w:val="single" w:color="auto" w:sz="4" w:space="0"/>
              <w:right w:val="single" w:color="auto" w:sz="4" w:space="0"/>
            </w:tcBorders>
            <w:vAlign w:val="center"/>
          </w:tcPr>
          <w:p w14:paraId="5C77464A">
            <w:pPr>
              <w:spacing w:line="360" w:lineRule="auto"/>
              <w:rPr>
                <w:rFonts w:hint="eastAsia" w:ascii="宋体" w:hAnsi="宋体" w:eastAsia="宋体" w:cs="宋体"/>
                <w:sz w:val="22"/>
                <w:szCs w:val="22"/>
              </w:rPr>
            </w:pPr>
          </w:p>
        </w:tc>
        <w:tc>
          <w:tcPr>
            <w:tcW w:w="862" w:type="dxa"/>
            <w:vMerge w:val="continue"/>
            <w:tcBorders>
              <w:left w:val="nil"/>
              <w:right w:val="single" w:color="auto" w:sz="4" w:space="0"/>
            </w:tcBorders>
            <w:vAlign w:val="center"/>
          </w:tcPr>
          <w:p w14:paraId="01310C46">
            <w:pPr>
              <w:spacing w:line="360" w:lineRule="auto"/>
              <w:rPr>
                <w:rFonts w:hint="eastAsia" w:ascii="宋体" w:hAnsi="宋体" w:eastAsia="宋体" w:cs="宋体"/>
                <w:sz w:val="22"/>
                <w:szCs w:val="22"/>
              </w:rPr>
            </w:pPr>
          </w:p>
        </w:tc>
        <w:tc>
          <w:tcPr>
            <w:tcW w:w="2640" w:type="dxa"/>
            <w:tcBorders>
              <w:top w:val="single" w:color="auto" w:sz="4" w:space="0"/>
              <w:left w:val="nil"/>
              <w:bottom w:val="single" w:color="auto" w:sz="4" w:space="0"/>
              <w:right w:val="single" w:color="auto" w:sz="4" w:space="0"/>
            </w:tcBorders>
            <w:vAlign w:val="center"/>
          </w:tcPr>
          <w:p w14:paraId="5FEE4DB8">
            <w:pPr>
              <w:adjustRightInd w:val="0"/>
              <w:snapToGrid w:val="0"/>
              <w:spacing w:line="360" w:lineRule="auto"/>
              <w:jc w:val="center"/>
              <w:outlineLvl w:val="0"/>
              <w:rPr>
                <w:rFonts w:hint="eastAsia" w:ascii="宋体" w:hAnsi="宋体" w:eastAsia="宋体" w:cs="宋体"/>
                <w:sz w:val="22"/>
                <w:szCs w:val="22"/>
                <w:lang w:val="en-US" w:eastAsia="zh-CN"/>
              </w:rPr>
            </w:pPr>
            <w:bookmarkStart w:id="104" w:name="_Toc609"/>
            <w:bookmarkStart w:id="105" w:name="_Toc5257"/>
            <w:r>
              <w:rPr>
                <w:rFonts w:hint="eastAsia" w:ascii="宋体" w:hAnsi="宋体" w:eastAsia="宋体" w:cs="宋体"/>
                <w:sz w:val="22"/>
                <w:szCs w:val="22"/>
                <w:lang w:val="en-US" w:eastAsia="zh-CN"/>
              </w:rPr>
              <w:t>无商业贿赂及无不正当竞争行为</w:t>
            </w:r>
            <w:bookmarkEnd w:id="104"/>
            <w:bookmarkEnd w:id="105"/>
          </w:p>
        </w:tc>
        <w:tc>
          <w:tcPr>
            <w:tcW w:w="5685" w:type="dxa"/>
            <w:tcBorders>
              <w:top w:val="single" w:color="auto" w:sz="4" w:space="0"/>
              <w:left w:val="nil"/>
              <w:bottom w:val="single" w:color="auto" w:sz="4" w:space="0"/>
              <w:right w:val="single" w:color="auto" w:sz="4" w:space="0"/>
            </w:tcBorders>
          </w:tcPr>
          <w:p w14:paraId="616ABBBE">
            <w:pPr>
              <w:adjustRightInd w:val="0"/>
              <w:snapToGrid w:val="0"/>
              <w:spacing w:line="360" w:lineRule="auto"/>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提供承诺书（格式自拟）</w:t>
            </w:r>
          </w:p>
        </w:tc>
      </w:tr>
      <w:tr w14:paraId="3C45DEFC">
        <w:tblPrEx>
          <w:tblCellMar>
            <w:top w:w="0" w:type="dxa"/>
            <w:left w:w="108" w:type="dxa"/>
            <w:bottom w:w="0" w:type="dxa"/>
            <w:right w:w="108" w:type="dxa"/>
          </w:tblCellMar>
        </w:tblPrEx>
        <w:trPr>
          <w:trHeight w:val="692" w:hRule="atLeast"/>
        </w:trPr>
        <w:tc>
          <w:tcPr>
            <w:tcW w:w="384" w:type="dxa"/>
            <w:vMerge w:val="continue"/>
            <w:tcBorders>
              <w:left w:val="single" w:color="auto" w:sz="4" w:space="0"/>
              <w:right w:val="single" w:color="auto" w:sz="4" w:space="0"/>
            </w:tcBorders>
            <w:vAlign w:val="center"/>
          </w:tcPr>
          <w:p w14:paraId="4EB851CE">
            <w:pPr>
              <w:spacing w:line="360" w:lineRule="auto"/>
              <w:rPr>
                <w:rFonts w:hint="eastAsia" w:ascii="宋体" w:hAnsi="宋体" w:eastAsia="宋体" w:cs="宋体"/>
                <w:sz w:val="22"/>
                <w:szCs w:val="22"/>
              </w:rPr>
            </w:pPr>
          </w:p>
        </w:tc>
        <w:tc>
          <w:tcPr>
            <w:tcW w:w="862" w:type="dxa"/>
            <w:vMerge w:val="continue"/>
            <w:tcBorders>
              <w:left w:val="nil"/>
              <w:right w:val="single" w:color="auto" w:sz="4" w:space="0"/>
            </w:tcBorders>
            <w:vAlign w:val="center"/>
          </w:tcPr>
          <w:p w14:paraId="204A23ED">
            <w:pPr>
              <w:spacing w:line="360" w:lineRule="auto"/>
              <w:rPr>
                <w:rFonts w:hint="eastAsia" w:ascii="宋体" w:hAnsi="宋体" w:eastAsia="宋体" w:cs="宋体"/>
                <w:sz w:val="22"/>
                <w:szCs w:val="22"/>
              </w:rPr>
            </w:pPr>
          </w:p>
        </w:tc>
        <w:tc>
          <w:tcPr>
            <w:tcW w:w="2640" w:type="dxa"/>
            <w:tcBorders>
              <w:top w:val="single" w:color="auto" w:sz="4" w:space="0"/>
              <w:left w:val="nil"/>
              <w:bottom w:val="single" w:color="auto" w:sz="4" w:space="0"/>
              <w:right w:val="single" w:color="auto" w:sz="4" w:space="0"/>
            </w:tcBorders>
            <w:vAlign w:val="center"/>
          </w:tcPr>
          <w:p w14:paraId="69D26CC6">
            <w:pPr>
              <w:adjustRightInd w:val="0"/>
              <w:snapToGrid w:val="0"/>
              <w:spacing w:line="360" w:lineRule="auto"/>
              <w:jc w:val="center"/>
              <w:outlineLvl w:val="0"/>
              <w:rPr>
                <w:rFonts w:hint="eastAsia" w:ascii="宋体" w:hAnsi="宋体" w:eastAsia="宋体" w:cs="宋体"/>
                <w:sz w:val="22"/>
                <w:szCs w:val="22"/>
                <w:lang w:val="en-US" w:eastAsia="zh-CN"/>
              </w:rPr>
            </w:pPr>
            <w:bookmarkStart w:id="106" w:name="_Toc17274"/>
            <w:bookmarkStart w:id="107" w:name="_Toc2621"/>
            <w:r>
              <w:rPr>
                <w:rFonts w:hint="eastAsia" w:ascii="宋体" w:hAnsi="宋体" w:eastAsia="宋体" w:cs="宋体"/>
                <w:sz w:val="22"/>
                <w:szCs w:val="22"/>
                <w:lang w:val="en-US" w:eastAsia="zh-CN"/>
              </w:rPr>
              <w:t>无行贿犯罪记录</w:t>
            </w:r>
            <w:bookmarkEnd w:id="106"/>
            <w:bookmarkEnd w:id="107"/>
          </w:p>
        </w:tc>
        <w:tc>
          <w:tcPr>
            <w:tcW w:w="5685" w:type="dxa"/>
            <w:tcBorders>
              <w:top w:val="single" w:color="auto" w:sz="4" w:space="0"/>
              <w:left w:val="nil"/>
              <w:bottom w:val="single" w:color="auto" w:sz="4" w:space="0"/>
              <w:right w:val="single" w:color="auto" w:sz="4" w:space="0"/>
            </w:tcBorders>
          </w:tcPr>
          <w:p w14:paraId="45982B0D">
            <w:pPr>
              <w:adjustRightInd w:val="0"/>
              <w:snapToGrid w:val="0"/>
              <w:spacing w:line="360" w:lineRule="auto"/>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在中国裁判文书网自行查询结果或自行承诺（查询对象：企业、法定代表人）</w:t>
            </w:r>
          </w:p>
        </w:tc>
      </w:tr>
      <w:tr w14:paraId="782A42CF">
        <w:tblPrEx>
          <w:tblCellMar>
            <w:top w:w="0" w:type="dxa"/>
            <w:left w:w="108" w:type="dxa"/>
            <w:bottom w:w="0" w:type="dxa"/>
            <w:right w:w="108" w:type="dxa"/>
          </w:tblCellMar>
        </w:tblPrEx>
        <w:trPr>
          <w:trHeight w:val="692" w:hRule="atLeast"/>
        </w:trPr>
        <w:tc>
          <w:tcPr>
            <w:tcW w:w="384" w:type="dxa"/>
            <w:vMerge w:val="continue"/>
            <w:tcBorders>
              <w:left w:val="single" w:color="auto" w:sz="4" w:space="0"/>
              <w:right w:val="single" w:color="auto" w:sz="4" w:space="0"/>
            </w:tcBorders>
            <w:vAlign w:val="center"/>
          </w:tcPr>
          <w:p w14:paraId="7CE6ECE5">
            <w:pPr>
              <w:spacing w:line="360" w:lineRule="auto"/>
              <w:rPr>
                <w:rFonts w:hint="eastAsia" w:ascii="宋体" w:hAnsi="宋体" w:eastAsia="宋体" w:cs="宋体"/>
                <w:sz w:val="22"/>
                <w:szCs w:val="22"/>
              </w:rPr>
            </w:pPr>
          </w:p>
        </w:tc>
        <w:tc>
          <w:tcPr>
            <w:tcW w:w="862" w:type="dxa"/>
            <w:vMerge w:val="continue"/>
            <w:tcBorders>
              <w:left w:val="nil"/>
              <w:right w:val="single" w:color="auto" w:sz="4" w:space="0"/>
            </w:tcBorders>
            <w:vAlign w:val="center"/>
          </w:tcPr>
          <w:p w14:paraId="75AF2ECF">
            <w:pPr>
              <w:spacing w:line="360" w:lineRule="auto"/>
              <w:rPr>
                <w:rFonts w:hint="eastAsia" w:ascii="宋体" w:hAnsi="宋体" w:eastAsia="宋体" w:cs="宋体"/>
                <w:sz w:val="22"/>
                <w:szCs w:val="22"/>
              </w:rPr>
            </w:pPr>
          </w:p>
        </w:tc>
        <w:tc>
          <w:tcPr>
            <w:tcW w:w="2640" w:type="dxa"/>
            <w:tcBorders>
              <w:top w:val="single" w:color="auto" w:sz="4" w:space="0"/>
              <w:left w:val="nil"/>
              <w:bottom w:val="single" w:color="auto" w:sz="4" w:space="0"/>
              <w:right w:val="single" w:color="auto" w:sz="4" w:space="0"/>
            </w:tcBorders>
            <w:vAlign w:val="center"/>
          </w:tcPr>
          <w:p w14:paraId="7E336A8E">
            <w:pPr>
              <w:adjustRightInd w:val="0"/>
              <w:snapToGrid w:val="0"/>
              <w:spacing w:line="360" w:lineRule="auto"/>
              <w:jc w:val="center"/>
              <w:outlineLvl w:val="0"/>
              <w:rPr>
                <w:rFonts w:hint="eastAsia" w:ascii="宋体" w:hAnsi="宋体" w:eastAsia="宋体" w:cs="宋体"/>
                <w:sz w:val="22"/>
                <w:szCs w:val="22"/>
                <w:lang w:val="en-US" w:eastAsia="zh-CN"/>
              </w:rPr>
            </w:pPr>
            <w:bookmarkStart w:id="108" w:name="_Toc3799"/>
            <w:bookmarkStart w:id="109" w:name="_Toc660"/>
            <w:r>
              <w:rPr>
                <w:rFonts w:hint="eastAsia" w:ascii="宋体" w:hAnsi="宋体" w:eastAsia="宋体" w:cs="宋体"/>
                <w:sz w:val="22"/>
                <w:szCs w:val="22"/>
                <w:lang w:val="en-US" w:eastAsia="zh-CN"/>
              </w:rPr>
              <w:t>信用查询</w:t>
            </w:r>
            <w:bookmarkEnd w:id="108"/>
            <w:bookmarkEnd w:id="109"/>
          </w:p>
        </w:tc>
        <w:tc>
          <w:tcPr>
            <w:tcW w:w="5685" w:type="dxa"/>
            <w:tcBorders>
              <w:top w:val="single" w:color="auto" w:sz="4" w:space="0"/>
              <w:left w:val="nil"/>
              <w:bottom w:val="single" w:color="auto" w:sz="4" w:space="0"/>
              <w:right w:val="single" w:color="auto" w:sz="4" w:space="0"/>
            </w:tcBorders>
          </w:tcPr>
          <w:p w14:paraId="64DC0909">
            <w:pPr>
              <w:adjustRightInd w:val="0"/>
              <w:snapToGrid w:val="0"/>
              <w:spacing w:line="360" w:lineRule="auto"/>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供应商未列入“中国执行信息公开网”的“失信被执行人”，“信用中国”www.creditchina.gov.cn网站的 “重大税收违法失信主体”和“中国政府采购网”www.ccgp.gov.cn网站的“政府采购严重违法失信行为记录名单”；（采购人、代理机构在开标后对所有供应商信用记录进行查询，并将查询结果网页打印存档，供应商不良信用记录以代理机构开标后查询结果为准。）</w:t>
            </w:r>
          </w:p>
        </w:tc>
      </w:tr>
      <w:tr w14:paraId="06A70EA7">
        <w:tblPrEx>
          <w:tblCellMar>
            <w:top w:w="0" w:type="dxa"/>
            <w:left w:w="108" w:type="dxa"/>
            <w:bottom w:w="0" w:type="dxa"/>
            <w:right w:w="108" w:type="dxa"/>
          </w:tblCellMar>
        </w:tblPrEx>
        <w:trPr>
          <w:trHeight w:val="692" w:hRule="atLeast"/>
        </w:trPr>
        <w:tc>
          <w:tcPr>
            <w:tcW w:w="384" w:type="dxa"/>
            <w:vMerge w:val="continue"/>
            <w:tcBorders>
              <w:left w:val="single" w:color="auto" w:sz="4" w:space="0"/>
              <w:right w:val="single" w:color="auto" w:sz="4" w:space="0"/>
            </w:tcBorders>
            <w:vAlign w:val="center"/>
          </w:tcPr>
          <w:p w14:paraId="5D840F94">
            <w:pPr>
              <w:spacing w:line="360" w:lineRule="auto"/>
              <w:rPr>
                <w:rFonts w:hint="eastAsia" w:ascii="宋体" w:hAnsi="宋体" w:eastAsia="宋体" w:cs="宋体"/>
                <w:sz w:val="22"/>
                <w:szCs w:val="22"/>
              </w:rPr>
            </w:pPr>
          </w:p>
        </w:tc>
        <w:tc>
          <w:tcPr>
            <w:tcW w:w="862" w:type="dxa"/>
            <w:vMerge w:val="continue"/>
            <w:tcBorders>
              <w:left w:val="nil"/>
              <w:right w:val="single" w:color="auto" w:sz="4" w:space="0"/>
            </w:tcBorders>
            <w:vAlign w:val="center"/>
          </w:tcPr>
          <w:p w14:paraId="57794ACD">
            <w:pPr>
              <w:spacing w:line="360" w:lineRule="auto"/>
              <w:rPr>
                <w:rFonts w:hint="eastAsia" w:ascii="宋体" w:hAnsi="宋体" w:eastAsia="宋体" w:cs="宋体"/>
                <w:sz w:val="22"/>
                <w:szCs w:val="22"/>
              </w:rPr>
            </w:pPr>
          </w:p>
        </w:tc>
        <w:tc>
          <w:tcPr>
            <w:tcW w:w="2640" w:type="dxa"/>
            <w:tcBorders>
              <w:top w:val="single" w:color="auto" w:sz="4" w:space="0"/>
              <w:left w:val="nil"/>
              <w:bottom w:val="single" w:color="auto" w:sz="4" w:space="0"/>
              <w:right w:val="single" w:color="auto" w:sz="4" w:space="0"/>
            </w:tcBorders>
            <w:vAlign w:val="center"/>
          </w:tcPr>
          <w:p w14:paraId="0A00EC9E">
            <w:pPr>
              <w:adjustRightInd w:val="0"/>
              <w:snapToGrid w:val="0"/>
              <w:spacing w:line="360" w:lineRule="auto"/>
              <w:jc w:val="center"/>
              <w:outlineLvl w:val="0"/>
              <w:rPr>
                <w:rFonts w:hint="eastAsia" w:ascii="宋体" w:hAnsi="宋体" w:eastAsia="宋体" w:cs="宋体"/>
                <w:color w:val="000000"/>
                <w:kern w:val="0"/>
                <w:sz w:val="22"/>
                <w:szCs w:val="22"/>
                <w:lang w:eastAsia="zh-CN"/>
              </w:rPr>
            </w:pPr>
            <w:bookmarkStart w:id="110" w:name="_Toc174034455"/>
            <w:bookmarkEnd w:id="110"/>
            <w:bookmarkStart w:id="111" w:name="_Toc7643"/>
            <w:bookmarkEnd w:id="111"/>
            <w:bookmarkStart w:id="112" w:name="_Toc173946087"/>
            <w:bookmarkEnd w:id="112"/>
            <w:bookmarkStart w:id="113" w:name="_Toc173946422"/>
            <w:bookmarkEnd w:id="113"/>
            <w:bookmarkStart w:id="114" w:name="_Toc31353"/>
            <w:bookmarkStart w:id="115" w:name="_Toc6242"/>
            <w:r>
              <w:rPr>
                <w:rFonts w:hint="eastAsia" w:ascii="宋体" w:hAnsi="宋体" w:eastAsia="宋体" w:cs="宋体"/>
                <w:color w:val="000000"/>
                <w:kern w:val="0"/>
                <w:sz w:val="22"/>
                <w:szCs w:val="22"/>
                <w:lang w:val="en-US" w:eastAsia="zh-CN"/>
              </w:rPr>
              <w:t>联合体</w:t>
            </w:r>
            <w:bookmarkEnd w:id="114"/>
            <w:bookmarkEnd w:id="115"/>
          </w:p>
        </w:tc>
        <w:tc>
          <w:tcPr>
            <w:tcW w:w="5685" w:type="dxa"/>
            <w:tcBorders>
              <w:top w:val="single" w:color="auto" w:sz="4" w:space="0"/>
              <w:left w:val="nil"/>
              <w:bottom w:val="single" w:color="auto" w:sz="4" w:space="0"/>
              <w:right w:val="single" w:color="auto" w:sz="4" w:space="0"/>
            </w:tcBorders>
          </w:tcPr>
          <w:p w14:paraId="3F471ECA">
            <w:pPr>
              <w:pStyle w:val="15"/>
              <w:spacing w:line="360" w:lineRule="auto"/>
              <w:ind w:left="0" w:leftChars="0" w:firstLine="0" w:firstLineChars="0"/>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本项目不接受联合体磋商，提供承诺书（格式自拟）</w:t>
            </w:r>
          </w:p>
        </w:tc>
      </w:tr>
      <w:tr w14:paraId="032FA87A">
        <w:tblPrEx>
          <w:tblCellMar>
            <w:top w:w="0" w:type="dxa"/>
            <w:left w:w="108" w:type="dxa"/>
            <w:bottom w:w="0" w:type="dxa"/>
            <w:right w:w="108" w:type="dxa"/>
          </w:tblCellMar>
        </w:tblPrEx>
        <w:trPr>
          <w:trHeight w:val="569" w:hRule="atLeast"/>
        </w:trPr>
        <w:tc>
          <w:tcPr>
            <w:tcW w:w="384" w:type="dxa"/>
            <w:vMerge w:val="continue"/>
            <w:tcBorders>
              <w:left w:val="single" w:color="auto" w:sz="4" w:space="0"/>
              <w:bottom w:val="single" w:color="auto" w:sz="4" w:space="0"/>
              <w:right w:val="single" w:color="auto" w:sz="4" w:space="0"/>
            </w:tcBorders>
            <w:vAlign w:val="center"/>
          </w:tcPr>
          <w:p w14:paraId="32AE8D2E">
            <w:pPr>
              <w:spacing w:line="360" w:lineRule="auto"/>
              <w:rPr>
                <w:rFonts w:hint="eastAsia" w:ascii="宋体" w:hAnsi="宋体" w:eastAsia="宋体" w:cs="宋体"/>
                <w:sz w:val="22"/>
                <w:szCs w:val="22"/>
              </w:rPr>
            </w:pPr>
          </w:p>
        </w:tc>
        <w:tc>
          <w:tcPr>
            <w:tcW w:w="862" w:type="dxa"/>
            <w:vMerge w:val="continue"/>
            <w:tcBorders>
              <w:left w:val="nil"/>
              <w:bottom w:val="single" w:color="auto" w:sz="4" w:space="0"/>
              <w:right w:val="single" w:color="auto" w:sz="4" w:space="0"/>
            </w:tcBorders>
            <w:vAlign w:val="center"/>
          </w:tcPr>
          <w:p w14:paraId="170B7458">
            <w:pPr>
              <w:spacing w:line="360" w:lineRule="auto"/>
              <w:rPr>
                <w:rFonts w:hint="eastAsia" w:ascii="宋体" w:hAnsi="宋体" w:eastAsia="宋体" w:cs="宋体"/>
                <w:sz w:val="22"/>
                <w:szCs w:val="22"/>
              </w:rPr>
            </w:pPr>
          </w:p>
        </w:tc>
        <w:tc>
          <w:tcPr>
            <w:tcW w:w="2640" w:type="dxa"/>
            <w:tcBorders>
              <w:top w:val="single" w:color="auto" w:sz="4" w:space="0"/>
              <w:left w:val="nil"/>
              <w:bottom w:val="single" w:color="auto" w:sz="4" w:space="0"/>
              <w:right w:val="single" w:color="auto" w:sz="4" w:space="0"/>
            </w:tcBorders>
            <w:vAlign w:val="center"/>
          </w:tcPr>
          <w:p w14:paraId="6FF3AC1F">
            <w:pPr>
              <w:adjustRightInd w:val="0"/>
              <w:snapToGrid w:val="0"/>
              <w:spacing w:line="360" w:lineRule="auto"/>
              <w:jc w:val="center"/>
              <w:outlineLvl w:val="0"/>
              <w:rPr>
                <w:rFonts w:hint="eastAsia" w:ascii="宋体" w:hAnsi="宋体" w:eastAsia="宋体" w:cs="宋体"/>
                <w:color w:val="000000"/>
                <w:kern w:val="0"/>
                <w:sz w:val="22"/>
                <w:szCs w:val="22"/>
                <w:lang w:val="en-US" w:eastAsia="zh-CN"/>
              </w:rPr>
            </w:pPr>
            <w:bookmarkStart w:id="116" w:name="_Toc32251"/>
            <w:bookmarkStart w:id="117" w:name="_Toc7242"/>
            <w:r>
              <w:rPr>
                <w:rFonts w:hint="eastAsia" w:ascii="宋体" w:hAnsi="宋体" w:eastAsia="宋体" w:cs="宋体"/>
                <w:color w:val="000000"/>
                <w:kern w:val="0"/>
                <w:sz w:val="22"/>
                <w:szCs w:val="22"/>
                <w:lang w:val="en-US" w:eastAsia="zh-CN"/>
              </w:rPr>
              <w:t>资格后审</w:t>
            </w:r>
            <w:bookmarkEnd w:id="116"/>
            <w:bookmarkEnd w:id="117"/>
          </w:p>
        </w:tc>
        <w:tc>
          <w:tcPr>
            <w:tcW w:w="5685" w:type="dxa"/>
            <w:tcBorders>
              <w:top w:val="single" w:color="auto" w:sz="4" w:space="0"/>
              <w:left w:val="nil"/>
              <w:bottom w:val="single" w:color="auto" w:sz="4" w:space="0"/>
              <w:right w:val="single" w:color="auto" w:sz="4" w:space="0"/>
            </w:tcBorders>
            <w:vAlign w:val="center"/>
          </w:tcPr>
          <w:p w14:paraId="4011FAE2">
            <w:pPr>
              <w:pStyle w:val="15"/>
              <w:spacing w:line="360" w:lineRule="auto"/>
              <w:ind w:left="0" w:leftChars="0" w:firstLine="0" w:firstLineChars="0"/>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本次磋商实行资格后审，资格审查的具体要求见磋商文件（提供资格后审承诺书，格式自拟）</w:t>
            </w:r>
          </w:p>
        </w:tc>
      </w:tr>
      <w:tr w14:paraId="1F5A769D">
        <w:tblPrEx>
          <w:tblCellMar>
            <w:top w:w="0" w:type="dxa"/>
            <w:left w:w="108" w:type="dxa"/>
            <w:bottom w:w="0" w:type="dxa"/>
            <w:right w:w="108" w:type="dxa"/>
          </w:tblCellMar>
        </w:tblPrEx>
        <w:trPr>
          <w:trHeight w:val="525" w:hRule="atLeast"/>
        </w:trPr>
        <w:tc>
          <w:tcPr>
            <w:tcW w:w="384" w:type="dxa"/>
            <w:vMerge w:val="restart"/>
            <w:tcBorders>
              <w:top w:val="single" w:color="auto" w:sz="4" w:space="0"/>
              <w:left w:val="single" w:color="auto" w:sz="4" w:space="0"/>
              <w:bottom w:val="single" w:color="auto" w:sz="4" w:space="0"/>
              <w:right w:val="single" w:color="auto" w:sz="4" w:space="0"/>
            </w:tcBorders>
            <w:vAlign w:val="center"/>
          </w:tcPr>
          <w:p w14:paraId="243BEC40">
            <w:pPr>
              <w:spacing w:line="360" w:lineRule="auto"/>
              <w:jc w:val="center"/>
              <w:rPr>
                <w:rFonts w:hint="eastAsia" w:ascii="宋体" w:hAnsi="宋体" w:eastAsia="宋体" w:cs="宋体"/>
                <w:sz w:val="22"/>
                <w:szCs w:val="22"/>
                <w:lang w:eastAsia="zh-CN"/>
              </w:rPr>
            </w:pPr>
            <w:r>
              <w:rPr>
                <w:rFonts w:hint="eastAsia" w:ascii="宋体" w:hAnsi="宋体" w:eastAsia="宋体" w:cs="宋体"/>
                <w:sz w:val="22"/>
                <w:szCs w:val="22"/>
                <w:lang w:val="en-US" w:eastAsia="zh-CN"/>
              </w:rPr>
              <w:t>3</w:t>
            </w:r>
          </w:p>
        </w:tc>
        <w:tc>
          <w:tcPr>
            <w:tcW w:w="862" w:type="dxa"/>
            <w:vMerge w:val="restart"/>
            <w:tcBorders>
              <w:top w:val="single" w:color="auto" w:sz="4" w:space="0"/>
              <w:left w:val="single" w:color="auto" w:sz="4" w:space="0"/>
              <w:bottom w:val="single" w:color="auto" w:sz="4" w:space="0"/>
              <w:right w:val="single" w:color="auto" w:sz="4" w:space="0"/>
            </w:tcBorders>
            <w:vAlign w:val="center"/>
          </w:tcPr>
          <w:p w14:paraId="43DA6631">
            <w:pPr>
              <w:spacing w:line="360" w:lineRule="auto"/>
              <w:rPr>
                <w:rFonts w:hint="eastAsia" w:ascii="宋体" w:hAnsi="宋体" w:eastAsia="宋体" w:cs="宋体"/>
                <w:sz w:val="22"/>
                <w:szCs w:val="22"/>
              </w:rPr>
            </w:pPr>
            <w:r>
              <w:rPr>
                <w:rFonts w:hint="eastAsia" w:ascii="宋体" w:hAnsi="宋体" w:eastAsia="宋体" w:cs="宋体"/>
                <w:sz w:val="22"/>
                <w:szCs w:val="22"/>
              </w:rPr>
              <w:t>响应性评审标准</w:t>
            </w:r>
          </w:p>
        </w:tc>
        <w:tc>
          <w:tcPr>
            <w:tcW w:w="2640" w:type="dxa"/>
            <w:tcBorders>
              <w:top w:val="single" w:color="auto" w:sz="4" w:space="0"/>
              <w:left w:val="single" w:color="auto" w:sz="4" w:space="0"/>
              <w:bottom w:val="single" w:color="auto" w:sz="4" w:space="0"/>
              <w:right w:val="single" w:color="auto" w:sz="4" w:space="0"/>
            </w:tcBorders>
            <w:vAlign w:val="center"/>
          </w:tcPr>
          <w:p w14:paraId="1E3905D1">
            <w:pPr>
              <w:adjustRightInd w:val="0"/>
              <w:snapToGrid w:val="0"/>
              <w:spacing w:line="360" w:lineRule="auto"/>
              <w:jc w:val="center"/>
              <w:rPr>
                <w:rFonts w:hint="eastAsia" w:ascii="宋体" w:hAnsi="宋体" w:eastAsia="宋体" w:cs="宋体"/>
                <w:sz w:val="22"/>
                <w:szCs w:val="22"/>
                <w:highlight w:val="none"/>
                <w:lang w:eastAsia="zh-CN"/>
              </w:rPr>
            </w:pPr>
            <w:r>
              <w:rPr>
                <w:rFonts w:hint="eastAsia" w:ascii="宋体" w:hAnsi="宋体" w:eastAsia="宋体" w:cs="宋体"/>
                <w:color w:val="000000"/>
                <w:kern w:val="0"/>
                <w:sz w:val="22"/>
                <w:szCs w:val="22"/>
                <w:highlight w:val="none"/>
                <w:lang w:val="en-US" w:eastAsia="zh-CN"/>
              </w:rPr>
              <w:t>服务期限</w:t>
            </w:r>
          </w:p>
        </w:tc>
        <w:tc>
          <w:tcPr>
            <w:tcW w:w="5685" w:type="dxa"/>
            <w:tcBorders>
              <w:top w:val="single" w:color="auto" w:sz="4" w:space="0"/>
              <w:left w:val="single" w:color="auto" w:sz="4" w:space="0"/>
              <w:bottom w:val="single" w:color="auto" w:sz="4" w:space="0"/>
              <w:right w:val="single" w:color="auto" w:sz="4" w:space="0"/>
            </w:tcBorders>
            <w:vAlign w:val="center"/>
          </w:tcPr>
          <w:p w14:paraId="288BF2A1">
            <w:pPr>
              <w:adjustRightInd w:val="0"/>
              <w:snapToGrid w:val="0"/>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2026年6月底完成</w:t>
            </w:r>
          </w:p>
        </w:tc>
      </w:tr>
      <w:tr w14:paraId="045426F8">
        <w:tblPrEx>
          <w:tblCellMar>
            <w:top w:w="0" w:type="dxa"/>
            <w:left w:w="108" w:type="dxa"/>
            <w:bottom w:w="0" w:type="dxa"/>
            <w:right w:w="108" w:type="dxa"/>
          </w:tblCellMar>
        </w:tblPrEx>
        <w:trPr>
          <w:trHeight w:val="525" w:hRule="atLeast"/>
        </w:trPr>
        <w:tc>
          <w:tcPr>
            <w:tcW w:w="384" w:type="dxa"/>
            <w:vMerge w:val="continue"/>
            <w:tcBorders>
              <w:left w:val="single" w:color="auto" w:sz="4" w:space="0"/>
              <w:right w:val="single" w:color="auto" w:sz="4" w:space="0"/>
            </w:tcBorders>
            <w:vAlign w:val="center"/>
          </w:tcPr>
          <w:p w14:paraId="1EE27372">
            <w:pPr>
              <w:spacing w:line="360" w:lineRule="auto"/>
              <w:jc w:val="center"/>
              <w:rPr>
                <w:rFonts w:hint="eastAsia" w:ascii="宋体" w:hAnsi="宋体" w:eastAsia="宋体" w:cs="宋体"/>
                <w:sz w:val="22"/>
                <w:szCs w:val="22"/>
                <w:lang w:val="en-US" w:eastAsia="zh-CN"/>
              </w:rPr>
            </w:pPr>
          </w:p>
        </w:tc>
        <w:tc>
          <w:tcPr>
            <w:tcW w:w="862" w:type="dxa"/>
            <w:vMerge w:val="continue"/>
            <w:tcBorders>
              <w:left w:val="single" w:color="auto" w:sz="4" w:space="0"/>
              <w:right w:val="single" w:color="auto" w:sz="4" w:space="0"/>
            </w:tcBorders>
            <w:vAlign w:val="center"/>
          </w:tcPr>
          <w:p w14:paraId="5FFE3D84">
            <w:pPr>
              <w:spacing w:line="360" w:lineRule="auto"/>
              <w:rPr>
                <w:rFonts w:hint="eastAsia" w:ascii="宋体" w:hAnsi="宋体" w:eastAsia="宋体" w:cs="宋体"/>
                <w:sz w:val="22"/>
                <w:szCs w:val="22"/>
              </w:rPr>
            </w:pPr>
          </w:p>
        </w:tc>
        <w:tc>
          <w:tcPr>
            <w:tcW w:w="2640" w:type="dxa"/>
            <w:tcBorders>
              <w:top w:val="single" w:color="auto" w:sz="4" w:space="0"/>
              <w:left w:val="single" w:color="auto" w:sz="4" w:space="0"/>
              <w:bottom w:val="single" w:color="auto" w:sz="4" w:space="0"/>
              <w:right w:val="single" w:color="auto" w:sz="4" w:space="0"/>
            </w:tcBorders>
            <w:vAlign w:val="center"/>
          </w:tcPr>
          <w:p w14:paraId="00159A82">
            <w:pPr>
              <w:adjustRightInd w:val="0"/>
              <w:snapToGrid w:val="0"/>
              <w:spacing w:line="360" w:lineRule="auto"/>
              <w:jc w:val="center"/>
              <w:rPr>
                <w:rFonts w:hint="default"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服务地点</w:t>
            </w:r>
          </w:p>
        </w:tc>
        <w:tc>
          <w:tcPr>
            <w:tcW w:w="5685" w:type="dxa"/>
            <w:tcBorders>
              <w:top w:val="single" w:color="auto" w:sz="4" w:space="0"/>
              <w:left w:val="single" w:color="auto" w:sz="4" w:space="0"/>
              <w:bottom w:val="single" w:color="auto" w:sz="4" w:space="0"/>
              <w:right w:val="single" w:color="auto" w:sz="4" w:space="0"/>
            </w:tcBorders>
            <w:vAlign w:val="center"/>
          </w:tcPr>
          <w:p w14:paraId="20C73063">
            <w:pPr>
              <w:adjustRightInd w:val="0"/>
              <w:snapToGrid w:val="0"/>
              <w:spacing w:line="360" w:lineRule="auto"/>
              <w:jc w:val="left"/>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采购人指定地点</w:t>
            </w:r>
          </w:p>
        </w:tc>
      </w:tr>
      <w:tr w14:paraId="6DD708E1">
        <w:tblPrEx>
          <w:tblCellMar>
            <w:top w:w="0" w:type="dxa"/>
            <w:left w:w="108" w:type="dxa"/>
            <w:bottom w:w="0" w:type="dxa"/>
            <w:right w:w="108" w:type="dxa"/>
          </w:tblCellMar>
        </w:tblPrEx>
        <w:trPr>
          <w:trHeight w:val="429" w:hRule="atLeast"/>
        </w:trPr>
        <w:tc>
          <w:tcPr>
            <w:tcW w:w="384" w:type="dxa"/>
            <w:vMerge w:val="continue"/>
            <w:tcBorders>
              <w:top w:val="single" w:color="auto" w:sz="4" w:space="0"/>
              <w:left w:val="single" w:color="auto" w:sz="4" w:space="0"/>
              <w:bottom w:val="single" w:color="auto" w:sz="4" w:space="0"/>
              <w:right w:val="single" w:color="auto" w:sz="4" w:space="0"/>
            </w:tcBorders>
            <w:vAlign w:val="center"/>
          </w:tcPr>
          <w:p w14:paraId="2E978A7F">
            <w:pPr>
              <w:spacing w:line="360" w:lineRule="auto"/>
              <w:jc w:val="center"/>
              <w:rPr>
                <w:rFonts w:hint="eastAsia" w:ascii="宋体" w:hAnsi="宋体" w:eastAsia="宋体" w:cs="宋体"/>
                <w:sz w:val="22"/>
                <w:szCs w:val="22"/>
              </w:rPr>
            </w:pPr>
          </w:p>
        </w:tc>
        <w:tc>
          <w:tcPr>
            <w:tcW w:w="862" w:type="dxa"/>
            <w:vMerge w:val="continue"/>
            <w:tcBorders>
              <w:top w:val="single" w:color="auto" w:sz="4" w:space="0"/>
              <w:left w:val="single" w:color="auto" w:sz="4" w:space="0"/>
              <w:bottom w:val="single" w:color="auto" w:sz="4" w:space="0"/>
              <w:right w:val="single" w:color="auto" w:sz="4" w:space="0"/>
            </w:tcBorders>
            <w:vAlign w:val="center"/>
          </w:tcPr>
          <w:p w14:paraId="29B64823">
            <w:pPr>
              <w:spacing w:line="360" w:lineRule="auto"/>
              <w:rPr>
                <w:rFonts w:hint="eastAsia" w:ascii="宋体" w:hAnsi="宋体" w:eastAsia="宋体" w:cs="宋体"/>
                <w:sz w:val="22"/>
                <w:szCs w:val="22"/>
              </w:rPr>
            </w:pPr>
          </w:p>
        </w:tc>
        <w:tc>
          <w:tcPr>
            <w:tcW w:w="2640" w:type="dxa"/>
            <w:tcBorders>
              <w:top w:val="single" w:color="auto" w:sz="4" w:space="0"/>
              <w:left w:val="single" w:color="auto" w:sz="4" w:space="0"/>
              <w:bottom w:val="single" w:color="auto" w:sz="4" w:space="0"/>
              <w:right w:val="single" w:color="auto" w:sz="4" w:space="0"/>
            </w:tcBorders>
            <w:vAlign w:val="center"/>
          </w:tcPr>
          <w:p w14:paraId="46054C58">
            <w:pPr>
              <w:adjustRightInd w:val="0"/>
              <w:snapToGrid w:val="0"/>
              <w:spacing w:line="360" w:lineRule="auto"/>
              <w:jc w:val="center"/>
              <w:rPr>
                <w:rFonts w:hint="eastAsia" w:ascii="宋体" w:hAnsi="宋体" w:eastAsia="宋体" w:cs="宋体"/>
                <w:sz w:val="22"/>
                <w:szCs w:val="22"/>
              </w:rPr>
            </w:pPr>
            <w:r>
              <w:rPr>
                <w:rFonts w:hint="eastAsia" w:ascii="宋体" w:hAnsi="宋体" w:eastAsia="宋体" w:cs="宋体"/>
                <w:sz w:val="22"/>
                <w:szCs w:val="22"/>
              </w:rPr>
              <w:t>质量</w:t>
            </w:r>
            <w:r>
              <w:rPr>
                <w:rFonts w:hint="eastAsia" w:ascii="宋体" w:hAnsi="宋体" w:eastAsia="宋体" w:cs="宋体"/>
                <w:color w:val="000000"/>
                <w:kern w:val="0"/>
                <w:sz w:val="22"/>
                <w:szCs w:val="22"/>
              </w:rPr>
              <w:t>要求</w:t>
            </w:r>
          </w:p>
        </w:tc>
        <w:tc>
          <w:tcPr>
            <w:tcW w:w="5685" w:type="dxa"/>
            <w:tcBorders>
              <w:top w:val="single" w:color="auto" w:sz="4" w:space="0"/>
              <w:left w:val="single" w:color="auto" w:sz="4" w:space="0"/>
              <w:bottom w:val="single" w:color="auto" w:sz="4" w:space="0"/>
              <w:right w:val="single" w:color="auto" w:sz="4" w:space="0"/>
            </w:tcBorders>
            <w:vAlign w:val="center"/>
          </w:tcPr>
          <w:p w14:paraId="7DDE1E88">
            <w:pPr>
              <w:adjustRightInd w:val="0"/>
              <w:snapToGrid w:val="0"/>
              <w:spacing w:line="360" w:lineRule="auto"/>
              <w:jc w:val="left"/>
              <w:rPr>
                <w:rFonts w:hint="eastAsia" w:ascii="宋体" w:hAnsi="宋体" w:eastAsia="宋体" w:cs="宋体"/>
                <w:sz w:val="22"/>
                <w:szCs w:val="22"/>
              </w:rPr>
            </w:pPr>
            <w:r>
              <w:rPr>
                <w:rFonts w:hint="eastAsia" w:ascii="宋体" w:hAnsi="宋体" w:eastAsia="宋体" w:cs="宋体"/>
                <w:sz w:val="22"/>
                <w:szCs w:val="22"/>
                <w:lang w:val="en-US" w:eastAsia="zh-CN"/>
              </w:rPr>
              <w:t>符合国家、行业及地方现行相关法律法规、规范及技术标准，满足采购人要求</w:t>
            </w:r>
          </w:p>
        </w:tc>
      </w:tr>
      <w:tr w14:paraId="5E54F9FB">
        <w:tblPrEx>
          <w:tblCellMar>
            <w:top w:w="0" w:type="dxa"/>
            <w:left w:w="108" w:type="dxa"/>
            <w:bottom w:w="0" w:type="dxa"/>
            <w:right w:w="108" w:type="dxa"/>
          </w:tblCellMar>
        </w:tblPrEx>
        <w:trPr>
          <w:trHeight w:val="500" w:hRule="atLeast"/>
        </w:trPr>
        <w:tc>
          <w:tcPr>
            <w:tcW w:w="384" w:type="dxa"/>
            <w:vMerge w:val="continue"/>
            <w:tcBorders>
              <w:top w:val="single" w:color="auto" w:sz="4" w:space="0"/>
              <w:left w:val="single" w:color="auto" w:sz="4" w:space="0"/>
              <w:bottom w:val="single" w:color="auto" w:sz="4" w:space="0"/>
              <w:right w:val="single" w:color="auto" w:sz="4" w:space="0"/>
            </w:tcBorders>
            <w:vAlign w:val="center"/>
          </w:tcPr>
          <w:p w14:paraId="5D213904">
            <w:pPr>
              <w:spacing w:line="360" w:lineRule="auto"/>
              <w:rPr>
                <w:rFonts w:hint="eastAsia" w:ascii="宋体" w:hAnsi="宋体" w:eastAsia="宋体" w:cs="宋体"/>
                <w:sz w:val="22"/>
                <w:szCs w:val="22"/>
              </w:rPr>
            </w:pPr>
          </w:p>
        </w:tc>
        <w:tc>
          <w:tcPr>
            <w:tcW w:w="862" w:type="dxa"/>
            <w:vMerge w:val="continue"/>
            <w:tcBorders>
              <w:top w:val="single" w:color="auto" w:sz="4" w:space="0"/>
              <w:left w:val="single" w:color="auto" w:sz="4" w:space="0"/>
              <w:bottom w:val="single" w:color="auto" w:sz="4" w:space="0"/>
              <w:right w:val="single" w:color="auto" w:sz="4" w:space="0"/>
            </w:tcBorders>
            <w:vAlign w:val="center"/>
          </w:tcPr>
          <w:p w14:paraId="136AAB91">
            <w:pPr>
              <w:spacing w:line="360" w:lineRule="auto"/>
              <w:rPr>
                <w:rFonts w:hint="eastAsia" w:ascii="宋体" w:hAnsi="宋体" w:eastAsia="宋体" w:cs="宋体"/>
                <w:sz w:val="22"/>
                <w:szCs w:val="22"/>
              </w:rPr>
            </w:pPr>
          </w:p>
        </w:tc>
        <w:tc>
          <w:tcPr>
            <w:tcW w:w="2640" w:type="dxa"/>
            <w:tcBorders>
              <w:top w:val="single" w:color="auto" w:sz="4" w:space="0"/>
              <w:left w:val="single" w:color="auto" w:sz="4" w:space="0"/>
              <w:bottom w:val="single" w:color="auto" w:sz="4" w:space="0"/>
              <w:right w:val="single" w:color="auto" w:sz="4" w:space="0"/>
            </w:tcBorders>
            <w:vAlign w:val="center"/>
          </w:tcPr>
          <w:p w14:paraId="5C947DC3">
            <w:pPr>
              <w:adjustRightInd w:val="0"/>
              <w:snapToGrid w:val="0"/>
              <w:spacing w:line="360" w:lineRule="auto"/>
              <w:jc w:val="center"/>
              <w:rPr>
                <w:rFonts w:hint="eastAsia" w:ascii="宋体" w:hAnsi="宋体" w:eastAsia="宋体" w:cs="宋体"/>
                <w:sz w:val="22"/>
                <w:szCs w:val="22"/>
              </w:rPr>
            </w:pPr>
            <w:r>
              <w:rPr>
                <w:rFonts w:hint="eastAsia" w:ascii="宋体" w:hAnsi="宋体" w:eastAsia="宋体" w:cs="宋体"/>
                <w:sz w:val="22"/>
                <w:szCs w:val="22"/>
              </w:rPr>
              <w:t>磋商有效期</w:t>
            </w:r>
          </w:p>
        </w:tc>
        <w:tc>
          <w:tcPr>
            <w:tcW w:w="5685" w:type="dxa"/>
            <w:tcBorders>
              <w:top w:val="single" w:color="auto" w:sz="4" w:space="0"/>
              <w:left w:val="single" w:color="auto" w:sz="4" w:space="0"/>
              <w:bottom w:val="single" w:color="auto" w:sz="4" w:space="0"/>
              <w:right w:val="single" w:color="auto" w:sz="4" w:space="0"/>
            </w:tcBorders>
            <w:vAlign w:val="center"/>
          </w:tcPr>
          <w:p w14:paraId="32668F4E">
            <w:pPr>
              <w:adjustRightInd w:val="0"/>
              <w:snapToGrid w:val="0"/>
              <w:spacing w:line="360" w:lineRule="auto"/>
              <w:jc w:val="both"/>
              <w:rPr>
                <w:rFonts w:hint="eastAsia" w:ascii="宋体" w:hAnsi="宋体" w:eastAsia="宋体" w:cs="宋体"/>
                <w:sz w:val="22"/>
                <w:szCs w:val="22"/>
              </w:rPr>
            </w:pPr>
            <w:r>
              <w:rPr>
                <w:rFonts w:hint="eastAsia" w:ascii="宋体" w:hAnsi="宋体" w:eastAsia="宋体" w:cs="宋体"/>
                <w:color w:val="auto"/>
                <w:spacing w:val="6"/>
                <w:sz w:val="22"/>
                <w:szCs w:val="22"/>
                <w:lang w:val="en-US" w:eastAsia="zh-CN"/>
              </w:rPr>
              <w:t>磋商</w:t>
            </w:r>
            <w:r>
              <w:rPr>
                <w:rFonts w:hint="eastAsia" w:ascii="宋体" w:hAnsi="宋体" w:eastAsia="宋体" w:cs="宋体"/>
                <w:color w:val="auto"/>
                <w:spacing w:val="6"/>
                <w:sz w:val="22"/>
                <w:szCs w:val="22"/>
              </w:rPr>
              <w:t>截止之日起60日历天</w:t>
            </w:r>
          </w:p>
        </w:tc>
      </w:tr>
      <w:tr w14:paraId="398E7197">
        <w:tblPrEx>
          <w:tblCellMar>
            <w:top w:w="0" w:type="dxa"/>
            <w:left w:w="108" w:type="dxa"/>
            <w:bottom w:w="0" w:type="dxa"/>
            <w:right w:w="108" w:type="dxa"/>
          </w:tblCellMar>
        </w:tblPrEx>
        <w:trPr>
          <w:trHeight w:val="373" w:hRule="atLeast"/>
        </w:trPr>
        <w:tc>
          <w:tcPr>
            <w:tcW w:w="384" w:type="dxa"/>
            <w:vMerge w:val="continue"/>
            <w:tcBorders>
              <w:top w:val="single" w:color="auto" w:sz="4" w:space="0"/>
              <w:left w:val="single" w:color="auto" w:sz="4" w:space="0"/>
              <w:bottom w:val="single" w:color="auto" w:sz="4" w:space="0"/>
              <w:right w:val="single" w:color="auto" w:sz="4" w:space="0"/>
            </w:tcBorders>
            <w:vAlign w:val="center"/>
          </w:tcPr>
          <w:p w14:paraId="20903CDD">
            <w:pPr>
              <w:spacing w:line="360" w:lineRule="auto"/>
              <w:rPr>
                <w:rFonts w:hint="eastAsia" w:ascii="宋体" w:hAnsi="宋体" w:eastAsia="宋体" w:cs="宋体"/>
                <w:sz w:val="22"/>
                <w:szCs w:val="22"/>
              </w:rPr>
            </w:pPr>
          </w:p>
        </w:tc>
        <w:tc>
          <w:tcPr>
            <w:tcW w:w="862" w:type="dxa"/>
            <w:vMerge w:val="continue"/>
            <w:tcBorders>
              <w:top w:val="single" w:color="auto" w:sz="4" w:space="0"/>
              <w:left w:val="single" w:color="auto" w:sz="4" w:space="0"/>
              <w:bottom w:val="single" w:color="auto" w:sz="4" w:space="0"/>
              <w:right w:val="single" w:color="auto" w:sz="4" w:space="0"/>
            </w:tcBorders>
            <w:vAlign w:val="center"/>
          </w:tcPr>
          <w:p w14:paraId="670F86F9">
            <w:pPr>
              <w:spacing w:line="360" w:lineRule="auto"/>
              <w:rPr>
                <w:rFonts w:hint="eastAsia" w:ascii="宋体" w:hAnsi="宋体" w:eastAsia="宋体" w:cs="宋体"/>
                <w:sz w:val="22"/>
                <w:szCs w:val="22"/>
              </w:rPr>
            </w:pPr>
          </w:p>
        </w:tc>
        <w:tc>
          <w:tcPr>
            <w:tcW w:w="2640" w:type="dxa"/>
            <w:tcBorders>
              <w:top w:val="single" w:color="auto" w:sz="4" w:space="0"/>
              <w:left w:val="single" w:color="auto" w:sz="4" w:space="0"/>
              <w:bottom w:val="single" w:color="auto" w:sz="4" w:space="0"/>
              <w:right w:val="single" w:color="auto" w:sz="4" w:space="0"/>
            </w:tcBorders>
            <w:vAlign w:val="center"/>
          </w:tcPr>
          <w:p w14:paraId="4892BA8D">
            <w:pPr>
              <w:adjustRightInd w:val="0"/>
              <w:snapToGrid w:val="0"/>
              <w:spacing w:line="360" w:lineRule="auto"/>
              <w:jc w:val="center"/>
              <w:rPr>
                <w:rFonts w:hint="eastAsia" w:ascii="宋体" w:hAnsi="宋体" w:eastAsia="宋体" w:cs="宋体"/>
                <w:sz w:val="22"/>
                <w:szCs w:val="22"/>
              </w:rPr>
            </w:pPr>
            <w:r>
              <w:rPr>
                <w:rFonts w:hint="eastAsia" w:ascii="宋体" w:hAnsi="宋体" w:eastAsia="宋体" w:cs="宋体"/>
                <w:sz w:val="22"/>
                <w:szCs w:val="22"/>
                <w:lang w:eastAsia="zh-CN"/>
              </w:rPr>
              <w:t>磋商</w:t>
            </w:r>
            <w:r>
              <w:rPr>
                <w:rFonts w:hint="eastAsia" w:ascii="宋体" w:hAnsi="宋体" w:eastAsia="宋体" w:cs="宋体"/>
                <w:sz w:val="22"/>
                <w:szCs w:val="22"/>
              </w:rPr>
              <w:t>报价</w:t>
            </w:r>
          </w:p>
        </w:tc>
        <w:tc>
          <w:tcPr>
            <w:tcW w:w="5685" w:type="dxa"/>
            <w:tcBorders>
              <w:top w:val="single" w:color="auto" w:sz="4" w:space="0"/>
              <w:left w:val="single" w:color="auto" w:sz="4" w:space="0"/>
              <w:bottom w:val="single" w:color="auto" w:sz="4" w:space="0"/>
              <w:right w:val="single" w:color="auto" w:sz="4" w:space="0"/>
            </w:tcBorders>
            <w:vAlign w:val="center"/>
          </w:tcPr>
          <w:p w14:paraId="69275E71">
            <w:pPr>
              <w:adjustRightInd w:val="0"/>
              <w:snapToGrid w:val="0"/>
              <w:spacing w:line="360" w:lineRule="auto"/>
              <w:jc w:val="both"/>
              <w:rPr>
                <w:rFonts w:hint="eastAsia" w:ascii="宋体" w:hAnsi="宋体" w:eastAsia="宋体" w:cs="宋体"/>
                <w:sz w:val="22"/>
                <w:szCs w:val="22"/>
              </w:rPr>
            </w:pPr>
            <w:r>
              <w:rPr>
                <w:rFonts w:hint="eastAsia" w:ascii="宋体" w:hAnsi="宋体" w:eastAsia="宋体" w:cs="宋体"/>
                <w:color w:val="auto"/>
                <w:spacing w:val="6"/>
                <w:sz w:val="22"/>
                <w:szCs w:val="22"/>
              </w:rPr>
              <w:t>本次磋商应以人民币报价，分两次进行报价。</w:t>
            </w:r>
            <w:r>
              <w:rPr>
                <w:rFonts w:hint="eastAsia" w:ascii="宋体" w:hAnsi="宋体" w:eastAsia="宋体" w:cs="宋体"/>
                <w:sz w:val="22"/>
                <w:szCs w:val="22"/>
                <w:lang w:eastAsia="zh-CN"/>
              </w:rPr>
              <w:t>供应商</w:t>
            </w:r>
            <w:r>
              <w:rPr>
                <w:rFonts w:hint="eastAsia" w:ascii="宋体" w:hAnsi="宋体" w:eastAsia="宋体" w:cs="宋体"/>
                <w:sz w:val="22"/>
                <w:szCs w:val="22"/>
              </w:rPr>
              <w:t>磋商报价不得高于采购人公布的预算价（最高限价），否则其磋商将被否决</w:t>
            </w:r>
          </w:p>
        </w:tc>
      </w:tr>
      <w:tr w14:paraId="2E3F36FC">
        <w:tblPrEx>
          <w:tblCellMar>
            <w:top w:w="0" w:type="dxa"/>
            <w:left w:w="108" w:type="dxa"/>
            <w:bottom w:w="0" w:type="dxa"/>
            <w:right w:w="108" w:type="dxa"/>
          </w:tblCellMar>
        </w:tblPrEx>
        <w:trPr>
          <w:trHeight w:val="611" w:hRule="atLeast"/>
        </w:trPr>
        <w:tc>
          <w:tcPr>
            <w:tcW w:w="384" w:type="dxa"/>
            <w:vMerge w:val="continue"/>
            <w:tcBorders>
              <w:top w:val="single" w:color="auto" w:sz="4" w:space="0"/>
              <w:left w:val="single" w:color="auto" w:sz="4" w:space="0"/>
              <w:bottom w:val="single" w:color="auto" w:sz="4" w:space="0"/>
              <w:right w:val="single" w:color="auto" w:sz="4" w:space="0"/>
            </w:tcBorders>
            <w:vAlign w:val="center"/>
          </w:tcPr>
          <w:p w14:paraId="414B5036">
            <w:pPr>
              <w:spacing w:line="360" w:lineRule="auto"/>
              <w:rPr>
                <w:rFonts w:hint="eastAsia" w:ascii="宋体" w:hAnsi="宋体" w:eastAsia="宋体" w:cs="宋体"/>
                <w:sz w:val="22"/>
                <w:szCs w:val="22"/>
              </w:rPr>
            </w:pPr>
          </w:p>
        </w:tc>
        <w:tc>
          <w:tcPr>
            <w:tcW w:w="862" w:type="dxa"/>
            <w:vMerge w:val="continue"/>
            <w:tcBorders>
              <w:top w:val="single" w:color="auto" w:sz="4" w:space="0"/>
              <w:left w:val="single" w:color="auto" w:sz="4" w:space="0"/>
              <w:bottom w:val="single" w:color="auto" w:sz="4" w:space="0"/>
              <w:right w:val="single" w:color="auto" w:sz="4" w:space="0"/>
            </w:tcBorders>
            <w:vAlign w:val="center"/>
          </w:tcPr>
          <w:p w14:paraId="57EE55F8">
            <w:pPr>
              <w:spacing w:line="360" w:lineRule="auto"/>
              <w:rPr>
                <w:rFonts w:hint="eastAsia" w:ascii="宋体" w:hAnsi="宋体" w:eastAsia="宋体" w:cs="宋体"/>
                <w:sz w:val="22"/>
                <w:szCs w:val="22"/>
              </w:rPr>
            </w:pPr>
          </w:p>
        </w:tc>
        <w:tc>
          <w:tcPr>
            <w:tcW w:w="2640" w:type="dxa"/>
            <w:tcBorders>
              <w:top w:val="single" w:color="auto" w:sz="4" w:space="0"/>
              <w:left w:val="single" w:color="auto" w:sz="4" w:space="0"/>
              <w:bottom w:val="single" w:color="auto" w:sz="4" w:space="0"/>
              <w:right w:val="single" w:color="auto" w:sz="4" w:space="0"/>
            </w:tcBorders>
            <w:vAlign w:val="center"/>
          </w:tcPr>
          <w:p w14:paraId="3A1CED50">
            <w:pPr>
              <w:adjustRightInd w:val="0"/>
              <w:snapToGrid w:val="0"/>
              <w:spacing w:line="360" w:lineRule="auto"/>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磋商范围</w:t>
            </w:r>
          </w:p>
        </w:tc>
        <w:tc>
          <w:tcPr>
            <w:tcW w:w="5685" w:type="dxa"/>
            <w:tcBorders>
              <w:top w:val="single" w:color="auto" w:sz="4" w:space="0"/>
              <w:left w:val="single" w:color="auto" w:sz="4" w:space="0"/>
              <w:bottom w:val="single" w:color="auto" w:sz="4" w:space="0"/>
              <w:right w:val="single" w:color="auto" w:sz="4" w:space="0"/>
            </w:tcBorders>
            <w:vAlign w:val="center"/>
          </w:tcPr>
          <w:p w14:paraId="6BF11D21">
            <w:pPr>
              <w:adjustRightInd w:val="0"/>
              <w:snapToGrid w:val="0"/>
              <w:spacing w:line="360" w:lineRule="auto"/>
              <w:jc w:val="both"/>
              <w:rPr>
                <w:rFonts w:hint="eastAsia" w:ascii="宋体" w:hAnsi="宋体" w:eastAsia="宋体" w:cs="宋体"/>
                <w:sz w:val="22"/>
                <w:szCs w:val="22"/>
                <w:lang w:eastAsia="zh-CN"/>
              </w:rPr>
            </w:pPr>
            <w:r>
              <w:rPr>
                <w:rFonts w:hint="eastAsia" w:ascii="宋体" w:hAnsi="宋体" w:eastAsia="宋体" w:cs="宋体"/>
                <w:sz w:val="22"/>
                <w:szCs w:val="22"/>
                <w:lang w:val="en-US" w:eastAsia="zh-CN"/>
              </w:rPr>
              <w:t>竞争性磋商文件的所有内容</w:t>
            </w:r>
          </w:p>
        </w:tc>
      </w:tr>
    </w:tbl>
    <w:p w14:paraId="29DB8957">
      <w:pPr>
        <w:numPr>
          <w:ilvl w:val="0"/>
          <w:numId w:val="0"/>
        </w:numPr>
        <w:rPr>
          <w:rFonts w:hint="default"/>
          <w:lang w:val="en-US" w:eastAsia="zh-CN"/>
        </w:rPr>
      </w:pPr>
    </w:p>
    <w:p w14:paraId="3E9A9D20">
      <w:pPr>
        <w:spacing w:line="360" w:lineRule="auto"/>
        <w:ind w:firstLine="482" w:firstLineChars="200"/>
        <w:rPr>
          <w:rFonts w:ascii="Calibri" w:hAnsi="Calibri" w:eastAsia="宋体" w:cs="Times New Roman"/>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 磋商文件的评审、比较和否决</w:t>
      </w:r>
    </w:p>
    <w:p w14:paraId="2710EFEC">
      <w:pPr>
        <w:spacing w:line="360" w:lineRule="auto"/>
        <w:ind w:firstLine="482" w:firstLineChars="200"/>
        <w:rPr>
          <w:rFonts w:ascii="Calibri" w:hAnsi="Calibri" w:eastAsia="宋体" w:cs="Times New Roman"/>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磋商小组将按照竞争性磋商文件的规定，仅对在实质上响应竞争性磋商文件要求的响应文件进行评估和比较。</w:t>
      </w:r>
    </w:p>
    <w:p w14:paraId="6DC2590B">
      <w:pPr>
        <w:spacing w:line="360" w:lineRule="auto"/>
        <w:ind w:firstLine="482" w:firstLineChars="200"/>
        <w:rPr>
          <w:rFonts w:ascii="Calibri" w:hAnsi="Calibri" w:eastAsia="宋体" w:cs="Times New Roman"/>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根据相关法律法规及有关磋商文件规定，结合本项目具体情况，制定本次采购磋商办法。并按照“公平、公正、科学、择优”的原则进行磋商。采用百分制综合评估法进行评比。</w:t>
      </w:r>
    </w:p>
    <w:p w14:paraId="0E3EA8D5">
      <w:pPr>
        <w:spacing w:line="360" w:lineRule="auto"/>
        <w:ind w:firstLine="482" w:firstLineChars="200"/>
        <w:rPr>
          <w:rFonts w:ascii="Calibri" w:hAnsi="Calibri" w:eastAsia="宋体" w:cs="Times New Roman"/>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1.3</w:t>
      </w:r>
      <w:r>
        <w:rPr>
          <w:rFonts w:hint="eastAsia" w:ascii="宋体" w:hAnsi="宋体" w:eastAsia="宋体" w:cs="宋体"/>
          <w:color w:val="000000" w:themeColor="text1"/>
          <w:sz w:val="24"/>
          <w:szCs w:val="24"/>
          <w14:textFill>
            <w14:solidFill>
              <w14:schemeClr w14:val="tx1"/>
            </w14:solidFill>
          </w14:textFill>
        </w:rPr>
        <w:t>在磋商过程中，磋商小组可以以书面形式要求</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就响应文件中含义不明确的内容进行书面说明并提供相关材料；凡遇到响应文件中无界定或界定不清、前后不一致使磋商小组意见有分歧且又难于协商一致的问题，均由磋商小组予以表决，获半数以上同意的即为通过，未获半数同意的即为否决。</w:t>
      </w:r>
    </w:p>
    <w:p w14:paraId="759B6418">
      <w:pPr>
        <w:spacing w:line="360" w:lineRule="auto"/>
        <w:ind w:firstLine="482" w:firstLineChars="200"/>
        <w:rPr>
          <w:rFonts w:ascii="Calibri" w:hAnsi="Calibri" w:eastAsia="宋体" w:cs="Times New Roman"/>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1.4</w:t>
      </w:r>
      <w:r>
        <w:rPr>
          <w:rFonts w:hint="eastAsia" w:ascii="宋体" w:hAnsi="宋体" w:eastAsia="宋体" w:cs="宋体"/>
          <w:color w:val="000000" w:themeColor="text1"/>
          <w:sz w:val="24"/>
          <w:szCs w:val="24"/>
          <w14:textFill>
            <w14:solidFill>
              <w14:schemeClr w14:val="tx1"/>
            </w14:solidFill>
          </w14:textFill>
        </w:rPr>
        <w:t>磋商时，磋商报价是磋商的重要依据，但不是唯一依据，采购人不承诺将合同授予报价最低或最高的</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w:t>
      </w:r>
    </w:p>
    <w:p w14:paraId="0787F722">
      <w:pPr>
        <w:spacing w:line="360" w:lineRule="auto"/>
        <w:ind w:firstLine="482" w:firstLineChars="200"/>
        <w:rPr>
          <w:rFonts w:ascii="Calibri" w:hAnsi="Calibri" w:eastAsia="宋体" w:cs="Times New Roman"/>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磋商小组依据竞争性磋商文件中规定的磋商标准和方法，对响应文件进行评审和比较，向采购人提出书面评标报告，并推荐合格的成交候选人。采购人根据磋商小组提出的书面评标报告和推荐的成交候选人按序确定成交人。</w:t>
      </w:r>
    </w:p>
    <w:p w14:paraId="31043325">
      <w:pPr>
        <w:spacing w:line="360" w:lineRule="auto"/>
        <w:ind w:firstLine="482" w:firstLineChars="200"/>
        <w:rPr>
          <w:rFonts w:ascii="Calibri" w:hAnsi="Calibri" w:eastAsia="宋体" w:cs="Times New Roman"/>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 磋商程序</w:t>
      </w:r>
    </w:p>
    <w:p w14:paraId="6566C8DD">
      <w:pPr>
        <w:spacing w:line="360" w:lineRule="auto"/>
        <w:ind w:firstLine="480" w:firstLineChars="200"/>
        <w:rPr>
          <w:rFonts w:ascii="Calibri" w:hAnsi="Calibri"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 资格审查</w:t>
      </w:r>
    </w:p>
    <w:p w14:paraId="5FAF55C6">
      <w:pPr>
        <w:spacing w:line="360" w:lineRule="auto"/>
        <w:ind w:firstLine="480" w:firstLineChars="200"/>
        <w:rPr>
          <w:rFonts w:ascii="Calibri" w:hAnsi="Calibri"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本项目采用资格后审</w:t>
      </w:r>
    </w:p>
    <w:p w14:paraId="535B622E">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磋商小组按照竞争性磋商文件</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资格要求，对</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的响应文件进行形式</w:t>
      </w:r>
      <w:r>
        <w:rPr>
          <w:rFonts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资格和响应性审查，有一项不符合的，按废标处理，符合的进入下一磋商程序。</w:t>
      </w:r>
    </w:p>
    <w:p w14:paraId="36F96184">
      <w:pPr>
        <w:keepNext w:val="0"/>
        <w:keepLines w:val="0"/>
        <w:pageBreakBefore w:val="0"/>
        <w:widowControl w:val="0"/>
        <w:numPr>
          <w:ilvl w:val="0"/>
          <w:numId w:val="0"/>
        </w:numPr>
        <w:kinsoku/>
        <w:wordWrap/>
        <w:overflowPunct/>
        <w:topLinePunct w:val="0"/>
        <w:bidi w:val="0"/>
        <w:adjustRightInd/>
        <w:snapToGrid/>
        <w:spacing w:before="0" w:beforeLines="0" w:after="0" w:afterLines="0" w:line="360" w:lineRule="auto"/>
        <w:ind w:left="0" w:leftChars="0" w:right="0" w:firstLine="482" w:firstLineChars="200"/>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rPr>
        <w:t>评标具体方法和标准</w:t>
      </w:r>
    </w:p>
    <w:p w14:paraId="56CE7BE3">
      <w:pPr>
        <w:pStyle w:val="5"/>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本次</w:t>
      </w: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color w:val="auto"/>
          <w:sz w:val="24"/>
          <w:szCs w:val="24"/>
          <w:highlight w:val="none"/>
        </w:rPr>
        <w:t>采用综合评分法。</w:t>
      </w:r>
      <w:r>
        <w:rPr>
          <w:rFonts w:hint="eastAsia" w:ascii="宋体" w:hAnsi="宋体" w:eastAsia="宋体" w:cs="宋体"/>
          <w:b w:val="0"/>
          <w:bCs/>
          <w:color w:val="auto"/>
          <w:sz w:val="24"/>
          <w:szCs w:val="24"/>
          <w:highlight w:val="none"/>
          <w:lang w:val="en-US" w:eastAsia="zh-CN"/>
        </w:rPr>
        <w:t>磋商小组</w:t>
      </w:r>
      <w:r>
        <w:rPr>
          <w:rFonts w:hint="eastAsia" w:ascii="宋体" w:hAnsi="宋体" w:eastAsia="宋体" w:cs="宋体"/>
          <w:b w:val="0"/>
          <w:bCs/>
          <w:color w:val="auto"/>
          <w:sz w:val="24"/>
          <w:szCs w:val="24"/>
          <w:highlight w:val="none"/>
        </w:rPr>
        <w:t>对满足招标文件实质性要求的</w:t>
      </w:r>
      <w:r>
        <w:rPr>
          <w:rFonts w:hint="eastAsia" w:ascii="宋体" w:hAnsi="宋体" w:eastAsia="宋体" w:cs="宋体"/>
          <w:b w:val="0"/>
          <w:bCs/>
          <w:color w:val="auto"/>
          <w:sz w:val="24"/>
          <w:szCs w:val="24"/>
          <w:highlight w:val="none"/>
          <w:lang w:val="en-US" w:eastAsia="zh-CN"/>
        </w:rPr>
        <w:t>响应</w:t>
      </w:r>
      <w:r>
        <w:rPr>
          <w:rFonts w:hint="eastAsia" w:ascii="宋体" w:hAnsi="宋体" w:eastAsia="宋体" w:cs="宋体"/>
          <w:b w:val="0"/>
          <w:bCs/>
          <w:color w:val="auto"/>
          <w:sz w:val="24"/>
          <w:szCs w:val="24"/>
          <w:highlight w:val="none"/>
        </w:rPr>
        <w:t>文件，按照本章规定的评分标准进行打分，并按得分由高到低顺序推荐</w:t>
      </w:r>
      <w:r>
        <w:rPr>
          <w:rFonts w:hint="eastAsia" w:ascii="宋体" w:hAns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rPr>
        <w:t>候选人，但</w:t>
      </w:r>
      <w:r>
        <w:rPr>
          <w:rFonts w:hint="eastAsia" w:ascii="宋体" w:hAnsi="宋体" w:eastAsia="宋体" w:cs="宋体"/>
          <w:b w:val="0"/>
          <w:bCs/>
          <w:color w:val="auto"/>
          <w:sz w:val="24"/>
          <w:szCs w:val="24"/>
          <w:highlight w:val="none"/>
          <w:lang w:val="en-US" w:eastAsia="zh-CN"/>
        </w:rPr>
        <w:t>磋商</w:t>
      </w:r>
      <w:r>
        <w:rPr>
          <w:rFonts w:hint="eastAsia" w:ascii="宋体" w:hAnsi="宋体" w:eastAsia="宋体" w:cs="宋体"/>
          <w:b w:val="0"/>
          <w:bCs/>
          <w:color w:val="auto"/>
          <w:sz w:val="24"/>
          <w:szCs w:val="24"/>
          <w:highlight w:val="none"/>
        </w:rPr>
        <w:t>报价低于其成本的除外。综合评分相等时，以</w:t>
      </w:r>
      <w:r>
        <w:rPr>
          <w:rFonts w:hint="eastAsia" w:ascii="宋体" w:hAnsi="宋体" w:eastAsia="宋体" w:cs="宋体"/>
          <w:b w:val="0"/>
          <w:bCs/>
          <w:color w:val="auto"/>
          <w:sz w:val="24"/>
          <w:szCs w:val="24"/>
          <w:highlight w:val="none"/>
          <w:lang w:val="en-US" w:eastAsia="zh-CN"/>
        </w:rPr>
        <w:t>磋商</w:t>
      </w:r>
      <w:r>
        <w:rPr>
          <w:rFonts w:hint="eastAsia" w:ascii="宋体" w:hAnsi="宋体" w:eastAsia="宋体" w:cs="宋体"/>
          <w:b w:val="0"/>
          <w:bCs/>
          <w:color w:val="auto"/>
          <w:sz w:val="24"/>
          <w:szCs w:val="24"/>
          <w:highlight w:val="none"/>
        </w:rPr>
        <w:t>报价低的优先；</w:t>
      </w:r>
      <w:r>
        <w:rPr>
          <w:rFonts w:hint="eastAsia" w:ascii="宋体" w:hAnsi="宋体" w:eastAsia="宋体" w:cs="宋体"/>
          <w:b w:val="0"/>
          <w:bCs/>
          <w:color w:val="auto"/>
          <w:sz w:val="24"/>
          <w:szCs w:val="24"/>
          <w:highlight w:val="none"/>
          <w:lang w:val="en-US" w:eastAsia="zh-CN"/>
        </w:rPr>
        <w:t>磋商</w:t>
      </w:r>
      <w:r>
        <w:rPr>
          <w:rFonts w:hint="eastAsia" w:ascii="宋体" w:hAnsi="宋体" w:eastAsia="宋体" w:cs="宋体"/>
          <w:b w:val="0"/>
          <w:bCs/>
          <w:color w:val="auto"/>
          <w:sz w:val="24"/>
          <w:szCs w:val="24"/>
          <w:highlight w:val="none"/>
        </w:rPr>
        <w:t>报价也相等的，以技术得分高的优先；如果技术得分也相等，采购人自行确定。</w:t>
      </w:r>
    </w:p>
    <w:p w14:paraId="0F3CEAAD">
      <w:pPr>
        <w:pStyle w:val="5"/>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2" w:firstLineChars="200"/>
        <w:jc w:val="left"/>
        <w:textAlignment w:val="auto"/>
        <w:outlineLvl w:val="9"/>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4</w:t>
      </w:r>
      <w:r>
        <w:rPr>
          <w:rFonts w:hint="eastAsia" w:ascii="宋体" w:hAnsi="宋体" w:eastAsia="宋体" w:cs="宋体"/>
          <w:b/>
          <w:bCs w:val="0"/>
          <w:color w:val="auto"/>
          <w:sz w:val="24"/>
          <w:szCs w:val="24"/>
          <w:highlight w:val="none"/>
          <w:lang w:val="en-US" w:eastAsia="zh-CN"/>
        </w:rPr>
        <w:t>.磋商报价</w:t>
      </w:r>
    </w:p>
    <w:p w14:paraId="2994CE69">
      <w:pPr>
        <w:pStyle w:val="5"/>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磋商小组</w:t>
      </w:r>
      <w:r>
        <w:rPr>
          <w:rFonts w:hint="eastAsia" w:ascii="宋体" w:hAnsi="宋体" w:eastAsia="宋体" w:cs="宋体"/>
          <w:b w:val="0"/>
          <w:bCs/>
          <w:color w:val="auto"/>
          <w:sz w:val="24"/>
          <w:szCs w:val="24"/>
          <w:highlight w:val="none"/>
        </w:rPr>
        <w:t>认为</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的报价明显低于其他通过符合性审查</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的报价，有可能影响产品质量或者不能诚信履约的，应当要求其在</w:t>
      </w: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color w:val="auto"/>
          <w:sz w:val="24"/>
          <w:szCs w:val="24"/>
          <w:highlight w:val="none"/>
        </w:rPr>
        <w:t>现场合理的时间内提供书面说明，必要时提交相关证明材料；</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不能证明其报价合理性的，</w:t>
      </w: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color w:val="auto"/>
          <w:sz w:val="24"/>
          <w:szCs w:val="24"/>
          <w:highlight w:val="none"/>
        </w:rPr>
        <w:t>委员会应当将其作为无效</w:t>
      </w:r>
      <w:r>
        <w:rPr>
          <w:rFonts w:hint="eastAsia" w:ascii="宋体" w:hAnsi="宋体" w:eastAsia="宋体" w:cs="宋体"/>
          <w:b w:val="0"/>
          <w:bCs/>
          <w:color w:val="auto"/>
          <w:sz w:val="24"/>
          <w:szCs w:val="24"/>
          <w:highlight w:val="none"/>
          <w:lang w:val="en-US" w:eastAsia="zh-CN"/>
        </w:rPr>
        <w:t>磋商</w:t>
      </w:r>
      <w:r>
        <w:rPr>
          <w:rFonts w:hint="eastAsia" w:ascii="宋体" w:hAnsi="宋体" w:eastAsia="宋体" w:cs="宋体"/>
          <w:b w:val="0"/>
          <w:bCs/>
          <w:color w:val="auto"/>
          <w:sz w:val="24"/>
          <w:szCs w:val="24"/>
          <w:highlight w:val="none"/>
        </w:rPr>
        <w:t>处理。</w:t>
      </w:r>
    </w:p>
    <w:p w14:paraId="0C38BC4B">
      <w:pPr>
        <w:pStyle w:val="5"/>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2"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rPr>
        <w:t>5.计分办法</w:t>
      </w:r>
    </w:p>
    <w:p w14:paraId="6AC6190C">
      <w:pPr>
        <w:pStyle w:val="5"/>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计分过程中按四舍五入的法则，取至小数点后2位，</w:t>
      </w:r>
      <w:r>
        <w:rPr>
          <w:rFonts w:hint="eastAsia" w:ascii="宋体" w:hAnsi="宋体" w:eastAsia="宋体" w:cs="宋体"/>
          <w:b w:val="0"/>
          <w:bCs/>
          <w:color w:val="auto"/>
          <w:sz w:val="24"/>
          <w:szCs w:val="24"/>
          <w:highlight w:val="none"/>
          <w:lang w:val="en-US" w:eastAsia="zh-CN"/>
        </w:rPr>
        <w:t>磋商</w:t>
      </w:r>
      <w:r>
        <w:rPr>
          <w:rFonts w:hint="eastAsia" w:ascii="宋体" w:hAnsi="宋体" w:eastAsia="宋体" w:cs="宋体"/>
          <w:b w:val="0"/>
          <w:bCs/>
          <w:color w:val="auto"/>
          <w:sz w:val="24"/>
          <w:szCs w:val="24"/>
          <w:highlight w:val="none"/>
        </w:rPr>
        <w:t>供应商的最终得分为所有评委打分的算术平均值，最终结果取至小数点后2位。</w:t>
      </w:r>
      <w:r>
        <w:rPr>
          <w:rFonts w:hint="eastAsia" w:ascii="宋体" w:hAnsi="宋体" w:eastAsia="宋体" w:cs="宋体"/>
          <w:b w:val="0"/>
          <w:bCs/>
          <w:color w:val="auto"/>
          <w:sz w:val="24"/>
          <w:szCs w:val="24"/>
          <w:highlight w:val="none"/>
          <w:lang w:val="en-US" w:eastAsia="zh-CN"/>
        </w:rPr>
        <w:t>磋商小组</w:t>
      </w:r>
      <w:r>
        <w:rPr>
          <w:rFonts w:hint="eastAsia" w:ascii="宋体" w:hAnsi="宋体" w:eastAsia="宋体" w:cs="宋体"/>
          <w:b w:val="0"/>
          <w:bCs/>
          <w:color w:val="auto"/>
          <w:sz w:val="24"/>
          <w:szCs w:val="24"/>
          <w:highlight w:val="none"/>
        </w:rPr>
        <w:t>将按投标供应商得分高低排序向采购人推荐前三名为</w:t>
      </w:r>
      <w:r>
        <w:rPr>
          <w:rFonts w:hint="eastAsia" w:ascii="宋体" w:hAns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rPr>
        <w:t>候选人。</w:t>
      </w:r>
    </w:p>
    <w:p w14:paraId="41E469F8">
      <w:pPr>
        <w:pStyle w:val="5"/>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jc w:val="left"/>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val="0"/>
          <w:bCs/>
          <w:color w:val="auto"/>
          <w:sz w:val="24"/>
          <w:szCs w:val="24"/>
          <w:highlight w:val="none"/>
        </w:rPr>
        <w:t xml:space="preserve"> </w:t>
      </w:r>
      <w:r>
        <w:rPr>
          <w:rFonts w:hint="eastAsia" w:ascii="宋体" w:hAnsi="宋体" w:eastAsia="宋体" w:cs="宋体"/>
          <w:b/>
          <w:bCs w:val="0"/>
          <w:color w:val="auto"/>
          <w:sz w:val="24"/>
          <w:szCs w:val="24"/>
          <w:highlight w:val="none"/>
        </w:rPr>
        <w:t>6.定标</w:t>
      </w:r>
    </w:p>
    <w:p w14:paraId="22027349">
      <w:pPr>
        <w:pStyle w:val="5"/>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 按评委计分结果,</w:t>
      </w:r>
      <w:r>
        <w:rPr>
          <w:rFonts w:hint="eastAsia" w:ascii="宋体" w:hAnsi="宋体" w:eastAsia="宋体" w:cs="宋体"/>
          <w:b w:val="0"/>
          <w:bCs/>
          <w:color w:val="auto"/>
          <w:sz w:val="24"/>
          <w:szCs w:val="24"/>
          <w:highlight w:val="none"/>
          <w:lang w:val="en-US" w:eastAsia="zh-CN"/>
        </w:rPr>
        <w:t>磋商小组</w:t>
      </w:r>
      <w:r>
        <w:rPr>
          <w:rFonts w:hint="eastAsia" w:ascii="宋体" w:hAnsi="宋体" w:eastAsia="宋体" w:cs="宋体"/>
          <w:b w:val="0"/>
          <w:bCs/>
          <w:color w:val="auto"/>
          <w:sz w:val="24"/>
          <w:szCs w:val="24"/>
          <w:highlight w:val="none"/>
        </w:rPr>
        <w:t>按照得分由高到低的顺序推荐3名</w:t>
      </w:r>
      <w:r>
        <w:rPr>
          <w:rFonts w:hint="eastAsia" w:ascii="宋体" w:hAns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rPr>
        <w:t>候选人，并向采购人提供书面评标报告，并经采购人授权，直接确定排名第一的</w:t>
      </w:r>
      <w:r>
        <w:rPr>
          <w:rFonts w:hint="eastAsia" w:ascii="宋体" w:hAns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rPr>
        <w:t>候选人为</w:t>
      </w:r>
      <w:r>
        <w:rPr>
          <w:rFonts w:hint="eastAsia" w:ascii="宋体" w:hAns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rPr>
        <w:t>人。</w:t>
      </w:r>
    </w:p>
    <w:p w14:paraId="69BD0C24">
      <w:pPr>
        <w:pStyle w:val="5"/>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2" w:firstLineChars="200"/>
        <w:jc w:val="left"/>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7</w:t>
      </w:r>
      <w:r>
        <w:rPr>
          <w:rFonts w:hint="eastAsia" w:ascii="宋体" w:hAnsi="宋体" w:eastAsia="宋体" w:cs="宋体"/>
          <w:b/>
          <w:bCs w:val="0"/>
          <w:color w:val="auto"/>
          <w:sz w:val="24"/>
          <w:szCs w:val="24"/>
          <w:highlight w:val="none"/>
        </w:rPr>
        <w:t xml:space="preserve">.其他事项 </w:t>
      </w:r>
    </w:p>
    <w:p w14:paraId="201ECF99">
      <w:pPr>
        <w:pStyle w:val="5"/>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磋商小组</w:t>
      </w:r>
      <w:r>
        <w:rPr>
          <w:rFonts w:hint="eastAsia" w:ascii="宋体" w:hAnsi="宋体" w:eastAsia="宋体" w:cs="宋体"/>
          <w:b w:val="0"/>
          <w:bCs/>
          <w:color w:val="auto"/>
          <w:sz w:val="24"/>
          <w:szCs w:val="24"/>
          <w:highlight w:val="none"/>
        </w:rPr>
        <w:t>会认为</w:t>
      </w:r>
      <w:r>
        <w:rPr>
          <w:rFonts w:hint="eastAsia" w:ascii="宋体" w:hAnsi="宋体" w:eastAsia="宋体" w:cs="宋体"/>
          <w:b w:val="0"/>
          <w:bCs/>
          <w:color w:val="auto"/>
          <w:sz w:val="24"/>
          <w:szCs w:val="24"/>
          <w:highlight w:val="none"/>
          <w:lang w:val="en-US" w:eastAsia="zh-CN"/>
        </w:rPr>
        <w:t>供应商</w:t>
      </w:r>
      <w:r>
        <w:rPr>
          <w:rFonts w:hint="eastAsia" w:ascii="宋体" w:hAnsi="宋体" w:eastAsia="宋体" w:cs="宋体"/>
          <w:b w:val="0"/>
          <w:bCs/>
          <w:color w:val="auto"/>
          <w:sz w:val="24"/>
          <w:szCs w:val="24"/>
          <w:highlight w:val="none"/>
        </w:rPr>
        <w:t>的报价明显低于其他通过资格性审查</w:t>
      </w:r>
      <w:r>
        <w:rPr>
          <w:rFonts w:hint="eastAsia" w:ascii="宋体" w:hAnsi="宋体" w:eastAsia="宋体" w:cs="宋体"/>
          <w:b w:val="0"/>
          <w:bCs/>
          <w:color w:val="auto"/>
          <w:sz w:val="24"/>
          <w:szCs w:val="24"/>
          <w:highlight w:val="none"/>
          <w:lang w:val="en-US" w:eastAsia="zh-CN"/>
        </w:rPr>
        <w:t>供应商</w:t>
      </w:r>
      <w:r>
        <w:rPr>
          <w:rFonts w:hint="eastAsia" w:ascii="宋体" w:hAnsi="宋体" w:eastAsia="宋体" w:cs="宋体"/>
          <w:b w:val="0"/>
          <w:bCs/>
          <w:color w:val="auto"/>
          <w:sz w:val="24"/>
          <w:szCs w:val="24"/>
          <w:highlight w:val="none"/>
        </w:rPr>
        <w:t>的报价，有可能影响产品质量或者不能诚信履约的，应当要求其在</w:t>
      </w: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color w:val="auto"/>
          <w:sz w:val="24"/>
          <w:szCs w:val="24"/>
          <w:highlight w:val="none"/>
        </w:rPr>
        <w:t>现场合理的时间内提供书面说明，必要时提交相关证明材料；</w:t>
      </w:r>
      <w:r>
        <w:rPr>
          <w:rFonts w:hint="eastAsia" w:ascii="宋体" w:hAnsi="宋体" w:eastAsia="宋体" w:cs="宋体"/>
          <w:b w:val="0"/>
          <w:bCs/>
          <w:color w:val="auto"/>
          <w:sz w:val="24"/>
          <w:szCs w:val="24"/>
          <w:highlight w:val="none"/>
          <w:lang w:val="en-US" w:eastAsia="zh-CN"/>
        </w:rPr>
        <w:t>供应商</w:t>
      </w:r>
      <w:r>
        <w:rPr>
          <w:rFonts w:hint="eastAsia" w:ascii="宋体" w:hAnsi="宋体" w:eastAsia="宋体" w:cs="宋体"/>
          <w:b w:val="0"/>
          <w:bCs/>
          <w:color w:val="auto"/>
          <w:sz w:val="24"/>
          <w:szCs w:val="24"/>
          <w:highlight w:val="none"/>
        </w:rPr>
        <w:t>不能证明其报价合理性的，</w:t>
      </w:r>
      <w:r>
        <w:rPr>
          <w:rFonts w:hint="eastAsia" w:ascii="宋体" w:hAnsi="宋体" w:eastAsia="宋体" w:cs="宋体"/>
          <w:b w:val="0"/>
          <w:bCs/>
          <w:color w:val="auto"/>
          <w:sz w:val="24"/>
          <w:szCs w:val="24"/>
          <w:highlight w:val="none"/>
          <w:lang w:val="en-US" w:eastAsia="zh-CN"/>
        </w:rPr>
        <w:t>磋商小组</w:t>
      </w:r>
      <w:r>
        <w:rPr>
          <w:rFonts w:hint="eastAsia" w:ascii="宋体" w:hAnsi="宋体" w:eastAsia="宋体" w:cs="宋体"/>
          <w:b w:val="0"/>
          <w:bCs/>
          <w:color w:val="auto"/>
          <w:sz w:val="24"/>
          <w:szCs w:val="24"/>
          <w:highlight w:val="none"/>
        </w:rPr>
        <w:t>应当将其作为无效</w:t>
      </w:r>
      <w:r>
        <w:rPr>
          <w:rFonts w:hint="eastAsia" w:ascii="宋体" w:hAnsi="宋体" w:eastAsia="宋体" w:cs="宋体"/>
          <w:b w:val="0"/>
          <w:bCs/>
          <w:color w:val="auto"/>
          <w:sz w:val="24"/>
          <w:szCs w:val="24"/>
          <w:highlight w:val="none"/>
          <w:lang w:val="en-US" w:eastAsia="zh-CN"/>
        </w:rPr>
        <w:t>磋商</w:t>
      </w:r>
      <w:r>
        <w:rPr>
          <w:rFonts w:hint="eastAsia" w:ascii="宋体" w:hAnsi="宋体" w:eastAsia="宋体" w:cs="宋体"/>
          <w:b w:val="0"/>
          <w:bCs/>
          <w:color w:val="auto"/>
          <w:sz w:val="24"/>
          <w:szCs w:val="24"/>
          <w:highlight w:val="none"/>
        </w:rPr>
        <w:t>处理。</w:t>
      </w:r>
    </w:p>
    <w:p w14:paraId="1993D867">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66C74C42">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583EA67F">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6611E964">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105888CA">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6C5D3A8E">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5A55AF01">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19D22CD8">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438C5795">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58111A58">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7A250408">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0045388D">
      <w:pPr>
        <w:numPr>
          <w:ilvl w:val="0"/>
          <w:numId w:val="0"/>
        </w:numPr>
        <w:jc w:val="center"/>
        <w:rPr>
          <w:rFonts w:hint="default"/>
          <w:b/>
          <w:bCs/>
          <w:sz w:val="28"/>
          <w:szCs w:val="36"/>
          <w:lang w:val="en-US" w:eastAsia="zh-CN"/>
        </w:rPr>
      </w:pPr>
      <w:r>
        <w:rPr>
          <w:rFonts w:hint="eastAsia"/>
          <w:b/>
          <w:bCs/>
          <w:sz w:val="28"/>
          <w:szCs w:val="36"/>
          <w:lang w:val="en-US" w:eastAsia="zh-CN"/>
        </w:rPr>
        <w:t>二、评分标准</w:t>
      </w:r>
    </w:p>
    <w:p w14:paraId="48465800">
      <w:pPr>
        <w:numPr>
          <w:ilvl w:val="0"/>
          <w:numId w:val="0"/>
        </w:numPr>
        <w:rPr>
          <w:rFonts w:hint="default"/>
          <w:lang w:val="en-US" w:eastAsia="zh-CN"/>
        </w:rPr>
      </w:pPr>
    </w:p>
    <w:tbl>
      <w:tblPr>
        <w:tblStyle w:val="17"/>
        <w:tblW w:w="9001"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1188"/>
        <w:gridCol w:w="5925"/>
        <w:gridCol w:w="711"/>
      </w:tblGrid>
      <w:tr w14:paraId="2E7D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001" w:type="dxa"/>
            <w:gridSpan w:val="4"/>
            <w:noWrap w:val="0"/>
            <w:vAlign w:val="center"/>
          </w:tcPr>
          <w:p w14:paraId="7C1F0115">
            <w:pPr>
              <w:spacing w:line="360" w:lineRule="auto"/>
              <w:jc w:val="center"/>
              <w:rPr>
                <w:rFonts w:hint="eastAsia" w:ascii="宋体" w:hAnsi="宋体" w:eastAsia="宋体" w:cs="宋体"/>
                <w:b/>
                <w:bCs/>
                <w:color w:val="auto"/>
                <w:sz w:val="24"/>
                <w:szCs w:val="24"/>
                <w:u w:val="none"/>
                <w:lang w:bidi="ar-SA"/>
              </w:rPr>
            </w:pPr>
            <w:r>
              <w:rPr>
                <w:rFonts w:hint="eastAsia" w:ascii="宋体" w:hAnsi="宋体" w:eastAsia="宋体" w:cs="宋体"/>
                <w:b/>
                <w:bCs/>
                <w:color w:val="auto"/>
                <w:sz w:val="24"/>
                <w:szCs w:val="24"/>
                <w:u w:val="none"/>
                <w:lang w:bidi="ar-SA"/>
              </w:rPr>
              <w:t>综合评分部分（满分100分）</w:t>
            </w:r>
          </w:p>
        </w:tc>
      </w:tr>
      <w:tr w14:paraId="2E6B3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365" w:type="dxa"/>
            <w:gridSpan w:val="2"/>
            <w:noWrap w:val="0"/>
            <w:vAlign w:val="center"/>
          </w:tcPr>
          <w:p w14:paraId="31E99139">
            <w:pPr>
              <w:spacing w:line="360" w:lineRule="auto"/>
              <w:jc w:val="center"/>
              <w:rPr>
                <w:rFonts w:hint="eastAsia" w:ascii="宋体" w:hAnsi="宋体" w:eastAsia="宋体" w:cs="宋体"/>
                <w:b w:val="0"/>
                <w:bCs w:val="0"/>
                <w:color w:val="auto"/>
                <w:sz w:val="24"/>
                <w:szCs w:val="24"/>
                <w:highlight w:val="none"/>
                <w:u w:val="none"/>
                <w:lang w:bidi="ar-SA"/>
              </w:rPr>
            </w:pPr>
            <w:r>
              <w:rPr>
                <w:rFonts w:hint="eastAsia" w:ascii="宋体" w:hAnsi="宋体" w:eastAsia="宋体" w:cs="宋体"/>
                <w:b w:val="0"/>
                <w:bCs w:val="0"/>
                <w:color w:val="auto"/>
                <w:sz w:val="24"/>
                <w:szCs w:val="24"/>
                <w:highlight w:val="none"/>
                <w:u w:val="none"/>
                <w:lang w:bidi="ar-SA"/>
              </w:rPr>
              <w:t>分值构成</w:t>
            </w:r>
          </w:p>
          <w:p w14:paraId="3A66F5AF">
            <w:pPr>
              <w:spacing w:line="360" w:lineRule="auto"/>
              <w:jc w:val="center"/>
              <w:rPr>
                <w:rFonts w:hint="eastAsia" w:ascii="宋体" w:hAnsi="宋体" w:eastAsia="宋体" w:cs="宋体"/>
                <w:b/>
                <w:bCs/>
                <w:color w:val="auto"/>
                <w:sz w:val="24"/>
                <w:szCs w:val="24"/>
                <w:highlight w:val="none"/>
                <w:u w:val="none"/>
                <w:lang w:bidi="ar-SA"/>
              </w:rPr>
            </w:pPr>
            <w:r>
              <w:rPr>
                <w:rFonts w:hint="eastAsia" w:ascii="宋体" w:hAnsi="宋体" w:eastAsia="宋体" w:cs="宋体"/>
                <w:b w:val="0"/>
                <w:bCs w:val="0"/>
                <w:color w:val="auto"/>
                <w:sz w:val="24"/>
                <w:szCs w:val="24"/>
                <w:highlight w:val="none"/>
                <w:u w:val="none"/>
                <w:lang w:bidi="ar-SA"/>
              </w:rPr>
              <w:t>(总分100分)</w:t>
            </w:r>
          </w:p>
        </w:tc>
        <w:tc>
          <w:tcPr>
            <w:tcW w:w="6636" w:type="dxa"/>
            <w:gridSpan w:val="2"/>
            <w:noWrap w:val="0"/>
            <w:vAlign w:val="center"/>
          </w:tcPr>
          <w:p w14:paraId="611A9961">
            <w:pPr>
              <w:spacing w:line="360" w:lineRule="auto"/>
              <w:rPr>
                <w:rFonts w:hint="eastAsia" w:ascii="宋体" w:hAnsi="宋体" w:eastAsia="宋体" w:cs="宋体"/>
                <w:kern w:val="1"/>
                <w:sz w:val="24"/>
                <w:szCs w:val="24"/>
                <w:highlight w:val="none"/>
              </w:rPr>
            </w:pPr>
            <w:r>
              <w:rPr>
                <w:rFonts w:hint="eastAsia" w:ascii="宋体" w:hAnsi="宋体" w:eastAsia="宋体" w:cs="宋体"/>
                <w:kern w:val="1"/>
                <w:sz w:val="24"/>
                <w:szCs w:val="24"/>
                <w:highlight w:val="none"/>
              </w:rPr>
              <w:t>商务</w:t>
            </w:r>
            <w:r>
              <w:rPr>
                <w:rFonts w:hint="eastAsia" w:ascii="宋体" w:hAnsi="宋体" w:eastAsia="宋体" w:cs="宋体"/>
                <w:kern w:val="1"/>
                <w:sz w:val="24"/>
                <w:szCs w:val="24"/>
                <w:highlight w:val="none"/>
                <w:lang w:val="en-US" w:eastAsia="zh-CN"/>
              </w:rPr>
              <w:t>部分</w:t>
            </w:r>
            <w:r>
              <w:rPr>
                <w:rFonts w:hint="eastAsia" w:ascii="宋体" w:hAnsi="宋体" w:eastAsia="宋体" w:cs="宋体"/>
                <w:kern w:val="1"/>
                <w:sz w:val="24"/>
                <w:szCs w:val="24"/>
                <w:highlight w:val="none"/>
              </w:rPr>
              <w:t>：</w:t>
            </w:r>
            <w:r>
              <w:rPr>
                <w:rFonts w:hint="eastAsia" w:ascii="宋体" w:hAnsi="宋体" w:eastAsia="宋体" w:cs="宋体"/>
                <w:kern w:val="1"/>
                <w:sz w:val="24"/>
                <w:szCs w:val="24"/>
                <w:highlight w:val="none"/>
                <w:u w:val="single"/>
                <w:lang w:val="en-US" w:eastAsia="zh-CN"/>
              </w:rPr>
              <w:t>15</w:t>
            </w:r>
            <w:r>
              <w:rPr>
                <w:rFonts w:hint="eastAsia" w:ascii="宋体" w:hAnsi="宋体" w:eastAsia="宋体" w:cs="宋体"/>
                <w:kern w:val="1"/>
                <w:sz w:val="24"/>
                <w:szCs w:val="24"/>
                <w:highlight w:val="none"/>
              </w:rPr>
              <w:t>分</w:t>
            </w:r>
          </w:p>
          <w:p w14:paraId="31913864">
            <w:pPr>
              <w:spacing w:line="360" w:lineRule="auto"/>
              <w:rPr>
                <w:rFonts w:hint="eastAsia" w:ascii="宋体" w:hAnsi="宋体" w:eastAsia="宋体" w:cs="宋体"/>
                <w:kern w:val="1"/>
                <w:sz w:val="24"/>
                <w:szCs w:val="24"/>
                <w:highlight w:val="none"/>
              </w:rPr>
            </w:pPr>
            <w:r>
              <w:rPr>
                <w:rFonts w:hint="eastAsia" w:ascii="宋体" w:hAnsi="宋体" w:eastAsia="宋体" w:cs="宋体"/>
                <w:kern w:val="1"/>
                <w:sz w:val="24"/>
                <w:szCs w:val="24"/>
                <w:highlight w:val="none"/>
              </w:rPr>
              <w:t>技术</w:t>
            </w:r>
            <w:r>
              <w:rPr>
                <w:rFonts w:hint="eastAsia" w:ascii="宋体" w:hAnsi="宋体" w:eastAsia="宋体" w:cs="宋体"/>
                <w:kern w:val="1"/>
                <w:sz w:val="24"/>
                <w:szCs w:val="24"/>
                <w:highlight w:val="none"/>
                <w:lang w:val="en-US" w:eastAsia="zh-CN"/>
              </w:rPr>
              <w:t>部分</w:t>
            </w:r>
            <w:r>
              <w:rPr>
                <w:rFonts w:hint="eastAsia" w:ascii="宋体" w:hAnsi="宋体" w:eastAsia="宋体" w:cs="宋体"/>
                <w:kern w:val="1"/>
                <w:sz w:val="24"/>
                <w:szCs w:val="24"/>
                <w:highlight w:val="none"/>
              </w:rPr>
              <w:t>：</w:t>
            </w:r>
            <w:r>
              <w:rPr>
                <w:rFonts w:hint="eastAsia" w:ascii="宋体" w:hAnsi="宋体" w:eastAsia="宋体" w:cs="宋体"/>
                <w:kern w:val="1"/>
                <w:sz w:val="24"/>
                <w:szCs w:val="24"/>
                <w:highlight w:val="none"/>
                <w:u w:val="single"/>
                <w:lang w:val="en-US" w:eastAsia="zh-CN"/>
              </w:rPr>
              <w:t>60</w:t>
            </w:r>
            <w:r>
              <w:rPr>
                <w:rFonts w:hint="eastAsia" w:ascii="宋体" w:hAnsi="宋体" w:eastAsia="宋体" w:cs="宋体"/>
                <w:kern w:val="1"/>
                <w:sz w:val="24"/>
                <w:szCs w:val="24"/>
                <w:highlight w:val="none"/>
              </w:rPr>
              <w:t>分</w:t>
            </w:r>
          </w:p>
          <w:p w14:paraId="7EDF8108">
            <w:pPr>
              <w:spacing w:line="360" w:lineRule="auto"/>
              <w:jc w:val="both"/>
              <w:rPr>
                <w:rFonts w:hint="eastAsia" w:ascii="宋体" w:hAnsi="宋体" w:eastAsia="宋体" w:cs="宋体"/>
                <w:b/>
                <w:bCs/>
                <w:color w:val="auto"/>
                <w:sz w:val="24"/>
                <w:szCs w:val="24"/>
                <w:highlight w:val="none"/>
                <w:u w:val="none"/>
                <w:lang w:bidi="ar-SA"/>
              </w:rPr>
            </w:pPr>
            <w:r>
              <w:rPr>
                <w:rFonts w:hint="eastAsia" w:ascii="宋体" w:hAnsi="宋体" w:eastAsia="宋体" w:cs="宋体"/>
                <w:kern w:val="1"/>
                <w:sz w:val="24"/>
                <w:szCs w:val="24"/>
                <w:highlight w:val="none"/>
              </w:rPr>
              <w:t>综合</w:t>
            </w:r>
            <w:r>
              <w:rPr>
                <w:rFonts w:hint="eastAsia" w:ascii="宋体" w:hAnsi="宋体" w:eastAsia="宋体" w:cs="宋体"/>
                <w:kern w:val="1"/>
                <w:sz w:val="24"/>
                <w:szCs w:val="24"/>
                <w:highlight w:val="none"/>
                <w:lang w:val="en-US" w:eastAsia="zh-CN"/>
              </w:rPr>
              <w:t>部分</w:t>
            </w:r>
            <w:r>
              <w:rPr>
                <w:rFonts w:hint="eastAsia" w:ascii="宋体" w:hAnsi="宋体" w:eastAsia="宋体" w:cs="宋体"/>
                <w:kern w:val="1"/>
                <w:sz w:val="24"/>
                <w:szCs w:val="24"/>
                <w:highlight w:val="none"/>
              </w:rPr>
              <w:t>：</w:t>
            </w:r>
            <w:r>
              <w:rPr>
                <w:rFonts w:hint="eastAsia" w:ascii="宋体" w:hAnsi="宋体" w:eastAsia="宋体" w:cs="宋体"/>
                <w:kern w:val="1"/>
                <w:sz w:val="24"/>
                <w:szCs w:val="24"/>
                <w:highlight w:val="none"/>
                <w:u w:val="single"/>
                <w:lang w:val="en-US" w:eastAsia="zh-CN"/>
              </w:rPr>
              <w:t>25</w:t>
            </w:r>
            <w:r>
              <w:rPr>
                <w:rFonts w:hint="eastAsia" w:ascii="宋体" w:hAnsi="宋体" w:eastAsia="宋体" w:cs="宋体"/>
                <w:kern w:val="1"/>
                <w:sz w:val="24"/>
                <w:szCs w:val="24"/>
                <w:highlight w:val="none"/>
              </w:rPr>
              <w:t>分</w:t>
            </w:r>
          </w:p>
        </w:tc>
      </w:tr>
      <w:tr w14:paraId="562BB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77" w:type="dxa"/>
            <w:noWrap w:val="0"/>
            <w:vAlign w:val="center"/>
          </w:tcPr>
          <w:p w14:paraId="56241326">
            <w:pPr>
              <w:spacing w:line="360" w:lineRule="auto"/>
              <w:jc w:val="center"/>
              <w:rPr>
                <w:rFonts w:hint="eastAsia" w:ascii="宋体" w:hAnsi="宋体" w:eastAsia="宋体" w:cs="宋体"/>
                <w:b/>
                <w:bCs/>
                <w:color w:val="auto"/>
                <w:sz w:val="24"/>
                <w:szCs w:val="24"/>
                <w:u w:val="none"/>
                <w:lang w:bidi="ar-SA"/>
              </w:rPr>
            </w:pPr>
            <w:r>
              <w:rPr>
                <w:rFonts w:hint="eastAsia" w:ascii="宋体" w:hAnsi="宋体" w:eastAsia="宋体" w:cs="宋体"/>
                <w:b/>
                <w:bCs/>
                <w:color w:val="auto"/>
                <w:sz w:val="24"/>
                <w:szCs w:val="24"/>
                <w:u w:val="none"/>
                <w:lang w:bidi="ar-SA"/>
              </w:rPr>
              <w:t>评分因素</w:t>
            </w:r>
          </w:p>
        </w:tc>
        <w:tc>
          <w:tcPr>
            <w:tcW w:w="1188" w:type="dxa"/>
            <w:noWrap w:val="0"/>
            <w:vAlign w:val="center"/>
          </w:tcPr>
          <w:p w14:paraId="04D3B012">
            <w:pPr>
              <w:spacing w:line="360" w:lineRule="auto"/>
              <w:jc w:val="center"/>
              <w:rPr>
                <w:rFonts w:hint="eastAsia" w:ascii="宋体" w:hAnsi="宋体" w:eastAsia="宋体" w:cs="宋体"/>
                <w:b/>
                <w:bCs/>
                <w:color w:val="auto"/>
                <w:sz w:val="24"/>
                <w:szCs w:val="24"/>
                <w:u w:val="none"/>
                <w:lang w:bidi="ar-SA"/>
              </w:rPr>
            </w:pPr>
            <w:r>
              <w:rPr>
                <w:rFonts w:hint="eastAsia" w:ascii="宋体" w:hAnsi="宋体" w:eastAsia="宋体" w:cs="宋体"/>
                <w:b/>
                <w:bCs/>
                <w:color w:val="auto"/>
                <w:sz w:val="24"/>
                <w:szCs w:val="24"/>
                <w:u w:val="none"/>
                <w:lang w:bidi="ar-SA"/>
              </w:rPr>
              <w:t>评分内容</w:t>
            </w:r>
          </w:p>
        </w:tc>
        <w:tc>
          <w:tcPr>
            <w:tcW w:w="5925" w:type="dxa"/>
            <w:noWrap w:val="0"/>
            <w:vAlign w:val="center"/>
          </w:tcPr>
          <w:p w14:paraId="7694F651">
            <w:pPr>
              <w:spacing w:line="360" w:lineRule="auto"/>
              <w:jc w:val="center"/>
              <w:rPr>
                <w:rFonts w:hint="eastAsia" w:ascii="宋体" w:hAnsi="宋体" w:eastAsia="宋体" w:cs="宋体"/>
                <w:b/>
                <w:bCs/>
                <w:color w:val="auto"/>
                <w:sz w:val="24"/>
                <w:szCs w:val="24"/>
                <w:u w:val="none"/>
                <w:lang w:bidi="ar-SA"/>
              </w:rPr>
            </w:pPr>
            <w:r>
              <w:rPr>
                <w:rFonts w:hint="eastAsia" w:ascii="宋体" w:hAnsi="宋体" w:eastAsia="宋体" w:cs="宋体"/>
                <w:b/>
                <w:bCs/>
                <w:color w:val="auto"/>
                <w:sz w:val="24"/>
                <w:szCs w:val="24"/>
                <w:u w:val="none"/>
                <w:lang w:bidi="ar-SA"/>
              </w:rPr>
              <w:t>评分标准</w:t>
            </w:r>
          </w:p>
        </w:tc>
        <w:tc>
          <w:tcPr>
            <w:tcW w:w="711" w:type="dxa"/>
            <w:noWrap w:val="0"/>
            <w:vAlign w:val="center"/>
          </w:tcPr>
          <w:p w14:paraId="65BE66C8">
            <w:pPr>
              <w:spacing w:line="360" w:lineRule="auto"/>
              <w:jc w:val="center"/>
              <w:rPr>
                <w:rFonts w:hint="eastAsia" w:ascii="宋体" w:hAnsi="宋体" w:eastAsia="宋体" w:cs="宋体"/>
                <w:b/>
                <w:bCs/>
                <w:color w:val="auto"/>
                <w:sz w:val="24"/>
                <w:szCs w:val="24"/>
                <w:u w:val="none"/>
                <w:lang w:bidi="ar-SA"/>
              </w:rPr>
            </w:pPr>
            <w:r>
              <w:rPr>
                <w:rFonts w:hint="eastAsia" w:ascii="宋体" w:hAnsi="宋体" w:eastAsia="宋体" w:cs="宋体"/>
                <w:b/>
                <w:bCs/>
                <w:color w:val="auto"/>
                <w:sz w:val="24"/>
                <w:szCs w:val="24"/>
                <w:u w:val="none"/>
                <w:lang w:bidi="ar-SA"/>
              </w:rPr>
              <w:t>分值</w:t>
            </w:r>
          </w:p>
        </w:tc>
      </w:tr>
      <w:tr w14:paraId="167B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2" w:hRule="atLeast"/>
        </w:trPr>
        <w:tc>
          <w:tcPr>
            <w:tcW w:w="1177" w:type="dxa"/>
            <w:noWrap w:val="0"/>
            <w:vAlign w:val="center"/>
          </w:tcPr>
          <w:p w14:paraId="5F610DD1">
            <w:pPr>
              <w:spacing w:line="360" w:lineRule="auto"/>
              <w:jc w:val="center"/>
              <w:rPr>
                <w:rFonts w:hint="eastAsia" w:ascii="宋体" w:hAnsi="宋体" w:eastAsia="宋体" w:cs="宋体"/>
                <w:b/>
                <w:bCs/>
                <w:color w:val="auto"/>
                <w:sz w:val="24"/>
                <w:szCs w:val="24"/>
                <w:u w:val="none"/>
                <w:lang w:bidi="ar-SA"/>
              </w:rPr>
            </w:pPr>
            <w:r>
              <w:rPr>
                <w:rFonts w:hint="eastAsia" w:ascii="宋体" w:hAnsi="宋体" w:eastAsia="宋体" w:cs="宋体"/>
                <w:b/>
                <w:bCs/>
                <w:sz w:val="24"/>
                <w:szCs w:val="24"/>
                <w:lang w:val="en-US" w:eastAsia="zh-CN"/>
              </w:rPr>
              <w:t>商务部分</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15</w:t>
            </w:r>
            <w:r>
              <w:rPr>
                <w:rFonts w:hint="eastAsia" w:ascii="宋体" w:hAnsi="宋体" w:eastAsia="宋体" w:cs="宋体"/>
                <w:b/>
                <w:bCs/>
                <w:sz w:val="24"/>
                <w:szCs w:val="24"/>
              </w:rPr>
              <w:t>分）</w:t>
            </w:r>
          </w:p>
        </w:tc>
        <w:tc>
          <w:tcPr>
            <w:tcW w:w="1188" w:type="dxa"/>
            <w:noWrap w:val="0"/>
            <w:vAlign w:val="center"/>
          </w:tcPr>
          <w:p w14:paraId="2891F5ED">
            <w:pPr>
              <w:spacing w:line="360" w:lineRule="auto"/>
              <w:jc w:val="center"/>
              <w:rPr>
                <w:rFonts w:hint="eastAsia" w:ascii="宋体" w:hAnsi="宋体" w:eastAsia="宋体" w:cs="宋体"/>
                <w:b/>
                <w:bCs/>
                <w:color w:val="auto"/>
                <w:sz w:val="24"/>
                <w:szCs w:val="24"/>
                <w:u w:val="none"/>
                <w:lang w:bidi="ar-SA"/>
              </w:rPr>
            </w:pPr>
            <w:r>
              <w:rPr>
                <w:rFonts w:hint="eastAsia" w:ascii="宋体" w:hAnsi="宋体" w:eastAsia="宋体" w:cs="宋体"/>
                <w:sz w:val="24"/>
                <w:szCs w:val="24"/>
                <w:lang w:val="en-US" w:eastAsia="zh-CN"/>
              </w:rPr>
              <w:t>磋商</w:t>
            </w:r>
            <w:r>
              <w:rPr>
                <w:rFonts w:hint="eastAsia" w:ascii="宋体" w:hAnsi="宋体" w:eastAsia="宋体" w:cs="宋体"/>
                <w:sz w:val="24"/>
                <w:szCs w:val="24"/>
              </w:rPr>
              <w:t>报价</w:t>
            </w:r>
          </w:p>
        </w:tc>
        <w:tc>
          <w:tcPr>
            <w:tcW w:w="5925" w:type="dxa"/>
            <w:noWrap w:val="0"/>
            <w:vAlign w:val="center"/>
          </w:tcPr>
          <w:p w14:paraId="6154F36C">
            <w:pPr>
              <w:spacing w:line="360" w:lineRule="auto"/>
              <w:rPr>
                <w:rFonts w:hint="eastAsia" w:ascii="宋体" w:hAnsi="宋体" w:eastAsia="宋体" w:cs="宋体"/>
                <w:sz w:val="24"/>
                <w:szCs w:val="24"/>
              </w:rPr>
            </w:pPr>
            <w:r>
              <w:rPr>
                <w:rFonts w:hint="eastAsia" w:ascii="宋体" w:hAnsi="宋体" w:eastAsia="宋体" w:cs="宋体"/>
                <w:sz w:val="24"/>
                <w:szCs w:val="24"/>
              </w:rPr>
              <w:t>1、本次竞争性磋商分为两轮报价，响应文件中的报价作为第一次报价，不得高于</w:t>
            </w:r>
            <w:r>
              <w:rPr>
                <w:rFonts w:hint="eastAsia" w:ascii="宋体" w:hAnsi="宋体" w:eastAsia="宋体" w:cs="宋体"/>
                <w:sz w:val="24"/>
                <w:szCs w:val="24"/>
                <w:highlight w:val="none"/>
              </w:rPr>
              <w:t>磋商控制价</w:t>
            </w:r>
            <w:r>
              <w:rPr>
                <w:rFonts w:hint="eastAsia" w:ascii="宋体" w:hAnsi="宋体" w:eastAsia="宋体" w:cs="宋体"/>
                <w:sz w:val="24"/>
                <w:szCs w:val="24"/>
              </w:rPr>
              <w:t>。所有未进入详细评审的磋商为无效磋商，其报价不作为评分依据。</w:t>
            </w:r>
          </w:p>
          <w:p w14:paraId="4338B770">
            <w:pPr>
              <w:spacing w:line="360" w:lineRule="auto"/>
              <w:rPr>
                <w:rFonts w:hint="eastAsia" w:ascii="宋体" w:hAnsi="宋体" w:eastAsia="宋体" w:cs="宋体"/>
                <w:sz w:val="24"/>
                <w:szCs w:val="24"/>
                <w:highlight w:val="none"/>
              </w:rPr>
            </w:pPr>
            <w:r>
              <w:rPr>
                <w:rFonts w:hint="eastAsia" w:ascii="宋体" w:hAnsi="宋体" w:eastAsia="宋体" w:cs="宋体"/>
                <w:sz w:val="24"/>
                <w:szCs w:val="24"/>
              </w:rPr>
              <w:t>2、</w:t>
            </w:r>
            <w:r>
              <w:rPr>
                <w:rFonts w:hint="eastAsia" w:ascii="宋体" w:hAnsi="宋体" w:eastAsia="宋体" w:cs="宋体"/>
                <w:sz w:val="24"/>
                <w:szCs w:val="24"/>
                <w:highlight w:val="none"/>
              </w:rPr>
              <w:t>价格分采用低价优先法计算，即满足竞争性磋商文件要求且最后报价最低的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的价格为磋商基准价，其价格分为满分，其他</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的价格分统一按照下列公式计算：</w:t>
            </w:r>
          </w:p>
          <w:p w14:paraId="13FABA69">
            <w:pPr>
              <w:spacing w:line="360" w:lineRule="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其他</w:t>
            </w:r>
            <w:r>
              <w:rPr>
                <w:rFonts w:hint="eastAsia" w:ascii="宋体" w:hAnsi="宋体" w:eastAsia="宋体" w:cs="宋体"/>
                <w:bCs/>
                <w:kern w:val="0"/>
                <w:sz w:val="24"/>
                <w:szCs w:val="24"/>
                <w:highlight w:val="none"/>
                <w:lang w:eastAsia="zh-CN"/>
              </w:rPr>
              <w:t>供应商</w:t>
            </w:r>
            <w:r>
              <w:rPr>
                <w:rFonts w:hint="eastAsia" w:ascii="宋体" w:hAnsi="宋体" w:eastAsia="宋体" w:cs="宋体"/>
                <w:bCs/>
                <w:kern w:val="0"/>
                <w:sz w:val="24"/>
                <w:szCs w:val="24"/>
                <w:highlight w:val="none"/>
              </w:rPr>
              <w:t>磋商报价得分=</w:t>
            </w:r>
            <w:r>
              <w:rPr>
                <w:rFonts w:hint="eastAsia" w:ascii="宋体" w:hAnsi="宋体" w:eastAsia="宋体" w:cs="宋体"/>
                <w:color w:val="000000"/>
                <w:sz w:val="24"/>
                <w:szCs w:val="24"/>
                <w:highlight w:val="none"/>
                <w:lang w:val="zh-CN"/>
              </w:rPr>
              <w:t>（</w:t>
            </w:r>
            <w:r>
              <w:rPr>
                <w:rFonts w:hint="eastAsia" w:ascii="宋体" w:hAnsi="宋体" w:eastAsia="宋体" w:cs="宋体"/>
                <w:bCs/>
                <w:kern w:val="0"/>
                <w:sz w:val="24"/>
                <w:szCs w:val="24"/>
                <w:highlight w:val="none"/>
              </w:rPr>
              <w:t>磋商基准价/磋商报价</w:t>
            </w:r>
            <w:r>
              <w:rPr>
                <w:rFonts w:hint="eastAsia" w:ascii="宋体" w:hAnsi="宋体" w:eastAsia="宋体" w:cs="宋体"/>
                <w:color w:val="000000"/>
                <w:sz w:val="24"/>
                <w:szCs w:val="24"/>
                <w:highlight w:val="none"/>
                <w:lang w:val="zh-CN"/>
              </w:rPr>
              <w:t>）</w:t>
            </w:r>
            <w:r>
              <w:rPr>
                <w:rFonts w:hint="eastAsia" w:ascii="宋体" w:hAnsi="宋体" w:eastAsia="宋体" w:cs="宋体"/>
                <w:bCs/>
                <w:kern w:val="0"/>
                <w:sz w:val="24"/>
                <w:szCs w:val="24"/>
                <w:highlight w:val="none"/>
              </w:rPr>
              <w:t>×</w:t>
            </w:r>
            <w:r>
              <w:rPr>
                <w:rFonts w:hint="eastAsia" w:ascii="宋体" w:hAnsi="宋体" w:eastAsia="宋体" w:cs="宋体"/>
                <w:bCs/>
                <w:kern w:val="0"/>
                <w:sz w:val="24"/>
                <w:szCs w:val="24"/>
                <w:highlight w:val="none"/>
                <w:lang w:val="en-US" w:eastAsia="zh-CN"/>
              </w:rPr>
              <w:t>15</w:t>
            </w:r>
            <w:r>
              <w:rPr>
                <w:rFonts w:hint="eastAsia" w:ascii="宋体" w:hAnsi="宋体" w:eastAsia="宋体" w:cs="宋体"/>
                <w:bCs/>
                <w:kern w:val="0"/>
                <w:sz w:val="24"/>
                <w:szCs w:val="24"/>
                <w:highlight w:val="none"/>
              </w:rPr>
              <w:t>%×100</w:t>
            </w:r>
          </w:p>
          <w:p w14:paraId="7ED670E7">
            <w:pPr>
              <w:spacing w:line="360" w:lineRule="auto"/>
              <w:ind w:firstLine="442" w:firstLineChars="200"/>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注：1.得分四舍五入后保留两位小数。</w:t>
            </w:r>
          </w:p>
          <w:p w14:paraId="1E56AE92">
            <w:pPr>
              <w:spacing w:line="360" w:lineRule="auto"/>
              <w:ind w:firstLine="442" w:firstLineChars="200"/>
              <w:rPr>
                <w:rFonts w:hint="eastAsia" w:ascii="宋体" w:hAnsi="宋体" w:cs="宋体"/>
                <w:b/>
                <w:bCs/>
                <w:sz w:val="22"/>
                <w:szCs w:val="22"/>
              </w:rPr>
            </w:pPr>
            <w:r>
              <w:rPr>
                <w:rFonts w:hint="eastAsia" w:ascii="宋体" w:hAnsi="宋体" w:cs="宋体"/>
                <w:b/>
                <w:bCs/>
                <w:sz w:val="22"/>
                <w:szCs w:val="22"/>
                <w:lang w:val="en-US" w:eastAsia="zh-CN"/>
              </w:rPr>
              <w:t>2.</w:t>
            </w:r>
            <w:r>
              <w:rPr>
                <w:rFonts w:hint="eastAsia" w:ascii="宋体" w:hAnsi="宋体" w:cs="宋体"/>
                <w:b/>
                <w:bCs/>
                <w:sz w:val="22"/>
                <w:szCs w:val="22"/>
              </w:rPr>
              <w:t>如磋商小组一致认为最低报价明显不合理，有降低质量、不能诚信履约的可能时，磋商小组有权通知供应商进行解释。如供应商未能在规定期限内作出解释，或所作解释不合理，经磋商小组取得一致意见后，对该供应商将不予推荐。</w:t>
            </w:r>
          </w:p>
          <w:p w14:paraId="72138B44">
            <w:pPr>
              <w:spacing w:line="360" w:lineRule="auto"/>
              <w:ind w:firstLine="442" w:firstLineChars="200"/>
              <w:rPr>
                <w:rFonts w:hint="eastAsia" w:ascii="宋体" w:hAnsi="宋体" w:eastAsia="宋体" w:cs="宋体"/>
                <w:sz w:val="24"/>
                <w:szCs w:val="24"/>
                <w:highlight w:val="none"/>
                <w:lang w:val="en-US" w:eastAsia="zh-CN"/>
              </w:rPr>
            </w:pPr>
            <w:r>
              <w:rPr>
                <w:rFonts w:hint="eastAsia" w:ascii="宋体" w:hAnsi="宋体" w:cs="宋体"/>
                <w:b/>
                <w:bCs/>
                <w:sz w:val="22"/>
                <w:szCs w:val="22"/>
                <w:lang w:val="en-US" w:eastAsia="zh-CN"/>
              </w:rPr>
              <w:t>3.落实的政府采购政策：（1）本项目专门面向中小企业采购，不再进行价格扣除。参加政府采购活动的中小企业应当提供《中小企业声明函》；（2）关于监狱企业：视同小微企业。须提供由省级以上监狱管理局、戒毒管理局（含新疆生产建设兵团）出具的属于监狱企业的证明文件；（3）关于残疾人福利性单位：视同小微企业。须提供完整的“残疾人福利性单位声明函”。</w:t>
            </w:r>
          </w:p>
        </w:tc>
        <w:tc>
          <w:tcPr>
            <w:tcW w:w="711" w:type="dxa"/>
            <w:noWrap w:val="0"/>
            <w:vAlign w:val="center"/>
          </w:tcPr>
          <w:p w14:paraId="3E93CDBB">
            <w:pPr>
              <w:snapToGrid w:val="0"/>
              <w:spacing w:line="360" w:lineRule="auto"/>
              <w:jc w:val="center"/>
              <w:rPr>
                <w:rFonts w:hint="eastAsia" w:ascii="宋体" w:hAnsi="宋体" w:eastAsia="宋体" w:cs="宋体"/>
                <w:b/>
                <w:bCs/>
                <w:color w:val="auto"/>
                <w:sz w:val="24"/>
                <w:szCs w:val="24"/>
                <w:u w:val="none"/>
                <w:lang w:bidi="ar-SA"/>
              </w:rPr>
            </w:pPr>
            <w:r>
              <w:rPr>
                <w:rFonts w:hint="eastAsia" w:ascii="宋体" w:hAnsi="宋体" w:eastAsia="宋体" w:cs="宋体"/>
                <w:color w:val="auto"/>
                <w:kern w:val="0"/>
                <w:sz w:val="24"/>
                <w:szCs w:val="24"/>
                <w:u w:val="none"/>
                <w:lang w:val="en-US" w:eastAsia="zh-CN" w:bidi="ar-SA"/>
              </w:rPr>
              <w:t>15</w:t>
            </w:r>
            <w:r>
              <w:rPr>
                <w:rFonts w:hint="eastAsia" w:ascii="宋体" w:hAnsi="宋体" w:eastAsia="宋体" w:cs="宋体"/>
                <w:color w:val="auto"/>
                <w:kern w:val="0"/>
                <w:sz w:val="24"/>
                <w:szCs w:val="24"/>
                <w:u w:val="none"/>
                <w:lang w:bidi="ar-SA"/>
              </w:rPr>
              <w:t>分</w:t>
            </w:r>
          </w:p>
        </w:tc>
      </w:tr>
      <w:tr w14:paraId="61229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177" w:type="dxa"/>
            <w:vMerge w:val="restart"/>
            <w:noWrap w:val="0"/>
            <w:vAlign w:val="center"/>
          </w:tcPr>
          <w:p w14:paraId="30B22971">
            <w:pPr>
              <w:spacing w:line="360" w:lineRule="auto"/>
              <w:jc w:val="both"/>
              <w:rPr>
                <w:rFonts w:hint="eastAsia" w:ascii="宋体" w:hAnsi="宋体" w:eastAsia="宋体" w:cs="宋体"/>
                <w:b/>
                <w:bCs/>
                <w:color w:val="auto"/>
                <w:sz w:val="24"/>
                <w:szCs w:val="24"/>
                <w:u w:val="none"/>
                <w:lang w:bidi="ar-SA"/>
              </w:rPr>
            </w:pPr>
            <w:r>
              <w:rPr>
                <w:rFonts w:hint="eastAsia" w:ascii="宋体" w:hAnsi="宋体" w:eastAsia="宋体" w:cs="宋体"/>
                <w:b/>
                <w:bCs/>
                <w:color w:val="auto"/>
                <w:sz w:val="24"/>
                <w:szCs w:val="24"/>
                <w:u w:val="none"/>
                <w:lang w:bidi="ar-SA"/>
              </w:rPr>
              <w:t>技术</w:t>
            </w:r>
            <w:r>
              <w:rPr>
                <w:rFonts w:hint="eastAsia" w:ascii="宋体" w:hAnsi="宋体" w:eastAsia="宋体" w:cs="宋体"/>
                <w:b/>
                <w:bCs/>
                <w:color w:val="auto"/>
                <w:sz w:val="24"/>
                <w:szCs w:val="24"/>
                <w:u w:val="none"/>
                <w:lang w:val="en-US" w:eastAsia="zh-CN" w:bidi="ar-SA"/>
              </w:rPr>
              <w:t>部分</w:t>
            </w:r>
            <w:r>
              <w:rPr>
                <w:rFonts w:hint="eastAsia" w:ascii="宋体" w:hAnsi="宋体" w:eastAsia="宋体" w:cs="宋体"/>
                <w:b/>
                <w:bCs/>
                <w:color w:val="auto"/>
                <w:sz w:val="24"/>
                <w:szCs w:val="24"/>
                <w:u w:val="none"/>
                <w:lang w:bidi="ar-SA"/>
              </w:rPr>
              <w:t>(</w:t>
            </w:r>
            <w:r>
              <w:rPr>
                <w:rFonts w:hint="eastAsia" w:ascii="宋体" w:hAnsi="宋体" w:eastAsia="宋体" w:cs="宋体"/>
                <w:b/>
                <w:bCs/>
                <w:color w:val="auto"/>
                <w:sz w:val="24"/>
                <w:szCs w:val="24"/>
                <w:u w:val="none"/>
                <w:lang w:val="en-US" w:eastAsia="zh-CN" w:bidi="ar-SA"/>
              </w:rPr>
              <w:t>60</w:t>
            </w:r>
            <w:r>
              <w:rPr>
                <w:rFonts w:hint="eastAsia" w:ascii="宋体" w:hAnsi="宋体" w:eastAsia="宋体" w:cs="宋体"/>
                <w:b/>
                <w:bCs/>
                <w:color w:val="auto"/>
                <w:sz w:val="24"/>
                <w:szCs w:val="24"/>
                <w:u w:val="none"/>
                <w:lang w:bidi="ar-SA"/>
              </w:rPr>
              <w:t>分)</w:t>
            </w:r>
          </w:p>
        </w:tc>
        <w:tc>
          <w:tcPr>
            <w:tcW w:w="1188" w:type="dxa"/>
            <w:shd w:val="clear" w:color="auto" w:fill="auto"/>
            <w:noWrap w:val="0"/>
            <w:vAlign w:val="top"/>
          </w:tcPr>
          <w:p w14:paraId="05D8FC62">
            <w:pPr>
              <w:pStyle w:val="37"/>
              <w:spacing w:before="91" w:line="360" w:lineRule="auto"/>
              <w:ind w:left="114" w:leftChars="0" w:right="107" w:rightChars="0" w:hanging="2" w:firstLineChars="0"/>
              <w:jc w:val="center"/>
              <w:rPr>
                <w:rFonts w:hint="eastAsia" w:ascii="宋体" w:hAnsi="宋体" w:eastAsia="宋体" w:cs="宋体"/>
                <w:kern w:val="2"/>
                <w:sz w:val="24"/>
                <w:szCs w:val="24"/>
                <w:lang w:val="en-US" w:eastAsia="en-US" w:bidi="ar-SA"/>
              </w:rPr>
            </w:pPr>
            <w:r>
              <w:rPr>
                <w:rFonts w:hint="eastAsia" w:ascii="宋体" w:hAnsi="宋体" w:eastAsia="宋体" w:cs="宋体"/>
                <w:kern w:val="2"/>
                <w:sz w:val="24"/>
                <w:szCs w:val="24"/>
                <w:lang w:val="en-US" w:eastAsia="en-US" w:bidi="ar-SA"/>
              </w:rPr>
              <w:t>项目总体理解</w:t>
            </w:r>
          </w:p>
        </w:tc>
        <w:tc>
          <w:tcPr>
            <w:tcW w:w="5925" w:type="dxa"/>
            <w:shd w:val="clear" w:color="auto" w:fill="auto"/>
            <w:noWrap w:val="0"/>
            <w:vAlign w:val="top"/>
          </w:tcPr>
          <w:p w14:paraId="404D706E">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en-US" w:bidi="ar-SA"/>
              </w:rPr>
              <w:t>根据供应商提供的方案对本项目研究背景、研究目的、重要性和意义、重点任务等方面的分析，形成较为准确的对项目重点内容的基本判断</w:t>
            </w:r>
            <w:r>
              <w:rPr>
                <w:rFonts w:hint="eastAsia" w:ascii="宋体" w:hAnsi="宋体" w:eastAsia="宋体" w:cs="宋体"/>
                <w:kern w:val="2"/>
                <w:sz w:val="24"/>
                <w:szCs w:val="24"/>
                <w:lang w:val="en-US" w:eastAsia="zh-CN" w:bidi="ar-SA"/>
              </w:rPr>
              <w:t>：</w:t>
            </w:r>
          </w:p>
          <w:p w14:paraId="17D2E0F2">
            <w:pPr>
              <w:numPr>
                <w:ilvl w:val="0"/>
                <w:numId w:val="4"/>
              </w:numPr>
              <w:spacing w:line="360" w:lineRule="auto"/>
              <w:rPr>
                <w:rFonts w:hint="eastAsia" w:ascii="宋体" w:hAnsi="宋体" w:eastAsia="宋体" w:cs="宋体"/>
                <w:kern w:val="2"/>
                <w:sz w:val="24"/>
                <w:szCs w:val="24"/>
                <w:lang w:val="en-US" w:eastAsia="en-US" w:bidi="ar-SA"/>
              </w:rPr>
            </w:pPr>
            <w:r>
              <w:rPr>
                <w:rFonts w:hint="eastAsia" w:ascii="宋体" w:hAnsi="宋体" w:eastAsia="宋体" w:cs="宋体"/>
                <w:kern w:val="2"/>
                <w:sz w:val="24"/>
                <w:szCs w:val="24"/>
                <w:lang w:val="en-US" w:eastAsia="en-US" w:bidi="ar-SA"/>
              </w:rPr>
              <w:t>把握项目定位准确，完全满足本项目的采购需求，分析准确，符合当地实际，具有较强的可行性的得10分；</w:t>
            </w:r>
          </w:p>
          <w:p w14:paraId="7E476DE7">
            <w:pPr>
              <w:numPr>
                <w:ilvl w:val="0"/>
                <w:numId w:val="4"/>
              </w:numPr>
              <w:spacing w:line="360" w:lineRule="auto"/>
              <w:rPr>
                <w:rFonts w:hint="eastAsia" w:ascii="宋体" w:hAnsi="宋体" w:eastAsia="宋体" w:cs="宋体"/>
                <w:kern w:val="2"/>
                <w:sz w:val="24"/>
                <w:szCs w:val="24"/>
                <w:lang w:val="en-US" w:eastAsia="en-US" w:bidi="ar-SA"/>
              </w:rPr>
            </w:pPr>
            <w:r>
              <w:rPr>
                <w:rFonts w:hint="eastAsia" w:ascii="宋体" w:hAnsi="宋体" w:eastAsia="宋体" w:cs="宋体"/>
                <w:kern w:val="2"/>
                <w:sz w:val="24"/>
                <w:szCs w:val="24"/>
                <w:lang w:val="en-US" w:eastAsia="en-US" w:bidi="ar-SA"/>
              </w:rPr>
              <w:t>把握项目定位较准确，基本满足本项目的采购需求，符合当地实际，可行性高的得7分；</w:t>
            </w:r>
          </w:p>
          <w:p w14:paraId="0C807BC9">
            <w:pPr>
              <w:numPr>
                <w:ilvl w:val="0"/>
                <w:numId w:val="4"/>
              </w:numPr>
              <w:spacing w:line="360" w:lineRule="auto"/>
              <w:rPr>
                <w:rFonts w:hint="eastAsia" w:ascii="宋体" w:hAnsi="宋体" w:eastAsia="宋体" w:cs="宋体"/>
                <w:kern w:val="2"/>
                <w:sz w:val="24"/>
                <w:szCs w:val="24"/>
                <w:lang w:val="en-US" w:eastAsia="en-US" w:bidi="ar-SA"/>
              </w:rPr>
            </w:pPr>
            <w:r>
              <w:rPr>
                <w:rFonts w:hint="eastAsia" w:ascii="宋体" w:hAnsi="宋体" w:eastAsia="宋体" w:cs="宋体"/>
                <w:kern w:val="2"/>
                <w:sz w:val="24"/>
                <w:szCs w:val="24"/>
                <w:lang w:val="en-US" w:eastAsia="en-US" w:bidi="ar-SA"/>
              </w:rPr>
              <w:t>项目定位一般，能满足本项目的 采购需求，符合当地实际但可行性一般的得4分；</w:t>
            </w:r>
          </w:p>
          <w:p w14:paraId="69B9CDB0">
            <w:pPr>
              <w:numPr>
                <w:ilvl w:val="0"/>
                <w:numId w:val="4"/>
              </w:numPr>
              <w:spacing w:line="360" w:lineRule="auto"/>
              <w:rPr>
                <w:rFonts w:hint="eastAsia" w:ascii="宋体" w:hAnsi="宋体" w:eastAsia="宋体" w:cs="宋体"/>
                <w:kern w:val="2"/>
                <w:sz w:val="24"/>
                <w:szCs w:val="24"/>
                <w:lang w:val="en-US" w:eastAsia="en-US" w:bidi="ar-SA"/>
              </w:rPr>
            </w:pPr>
            <w:r>
              <w:rPr>
                <w:rFonts w:hint="eastAsia" w:ascii="宋体" w:hAnsi="宋体" w:eastAsia="宋体" w:cs="宋体"/>
                <w:kern w:val="2"/>
                <w:sz w:val="24"/>
                <w:szCs w:val="24"/>
                <w:lang w:val="en-US" w:eastAsia="en-US" w:bidi="ar-SA"/>
              </w:rPr>
              <w:t>项目定位不准确，不能满足本项目的采购需求，不符合当地实际，可行性差的得1分；</w:t>
            </w:r>
          </w:p>
          <w:p w14:paraId="531A2CE9">
            <w:pPr>
              <w:numPr>
                <w:ilvl w:val="0"/>
                <w:numId w:val="4"/>
              </w:numPr>
              <w:spacing w:line="360" w:lineRule="auto"/>
              <w:rPr>
                <w:rFonts w:hint="eastAsia" w:ascii="宋体" w:hAnsi="宋体" w:eastAsia="宋体" w:cs="宋体"/>
                <w:kern w:val="2"/>
                <w:sz w:val="24"/>
                <w:szCs w:val="24"/>
                <w:lang w:val="en-US" w:eastAsia="en-US" w:bidi="ar-SA"/>
              </w:rPr>
            </w:pPr>
            <w:r>
              <w:rPr>
                <w:rFonts w:hint="eastAsia" w:ascii="宋体" w:hAnsi="宋体" w:eastAsia="宋体" w:cs="宋体"/>
                <w:kern w:val="2"/>
                <w:sz w:val="24"/>
                <w:szCs w:val="24"/>
                <w:lang w:val="en-US" w:eastAsia="en-US" w:bidi="ar-SA"/>
              </w:rPr>
              <w:t>未提供的不得分。</w:t>
            </w:r>
          </w:p>
        </w:tc>
        <w:tc>
          <w:tcPr>
            <w:tcW w:w="711" w:type="dxa"/>
            <w:noWrap w:val="0"/>
            <w:vAlign w:val="center"/>
          </w:tcPr>
          <w:p w14:paraId="43C2F5E8">
            <w:pPr>
              <w:spacing w:line="360" w:lineRule="auto"/>
              <w:jc w:val="center"/>
              <w:rPr>
                <w:rFonts w:hint="eastAsia" w:ascii="宋体" w:hAnsi="宋体" w:eastAsia="宋体" w:cs="宋体"/>
                <w:color w:val="auto"/>
                <w:sz w:val="24"/>
                <w:szCs w:val="24"/>
                <w:u w:val="none"/>
                <w:lang w:bidi="ar-SA"/>
              </w:rPr>
            </w:pPr>
            <w:r>
              <w:rPr>
                <w:rFonts w:hint="eastAsia" w:ascii="宋体" w:hAnsi="宋体" w:eastAsia="宋体" w:cs="宋体"/>
                <w:color w:val="auto"/>
                <w:sz w:val="24"/>
                <w:szCs w:val="24"/>
                <w:u w:val="none"/>
                <w:lang w:val="en-US" w:eastAsia="zh-CN" w:bidi="ar-SA"/>
              </w:rPr>
              <w:t>10</w:t>
            </w:r>
            <w:r>
              <w:rPr>
                <w:rFonts w:hint="eastAsia" w:ascii="宋体" w:hAnsi="宋体" w:eastAsia="宋体" w:cs="宋体"/>
                <w:color w:val="auto"/>
                <w:sz w:val="24"/>
                <w:szCs w:val="24"/>
                <w:u w:val="none"/>
                <w:lang w:bidi="ar-SA"/>
              </w:rPr>
              <w:t>分</w:t>
            </w:r>
          </w:p>
        </w:tc>
      </w:tr>
      <w:tr w14:paraId="050DA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1177" w:type="dxa"/>
            <w:vMerge w:val="continue"/>
            <w:noWrap w:val="0"/>
            <w:vAlign w:val="center"/>
          </w:tcPr>
          <w:p w14:paraId="2EE711F3">
            <w:pPr>
              <w:spacing w:line="360" w:lineRule="auto"/>
              <w:rPr>
                <w:rFonts w:hint="eastAsia" w:ascii="宋体" w:hAnsi="宋体" w:eastAsia="宋体" w:cs="宋体"/>
                <w:color w:val="auto"/>
                <w:sz w:val="24"/>
                <w:szCs w:val="24"/>
                <w:u w:val="none"/>
              </w:rPr>
            </w:pPr>
          </w:p>
        </w:tc>
        <w:tc>
          <w:tcPr>
            <w:tcW w:w="1188" w:type="dxa"/>
            <w:shd w:val="clear" w:color="auto" w:fill="auto"/>
            <w:noWrap w:val="0"/>
            <w:vAlign w:val="top"/>
          </w:tcPr>
          <w:p w14:paraId="68BBD339">
            <w:pPr>
              <w:pStyle w:val="37"/>
              <w:spacing w:before="91" w:line="360" w:lineRule="auto"/>
              <w:ind w:right="107" w:rightChars="0"/>
              <w:rPr>
                <w:rFonts w:hint="eastAsia" w:ascii="宋体" w:hAnsi="宋体" w:eastAsia="宋体" w:cs="宋体"/>
                <w:kern w:val="2"/>
                <w:sz w:val="24"/>
                <w:szCs w:val="24"/>
                <w:lang w:val="en-US" w:eastAsia="en-US" w:bidi="ar-SA"/>
              </w:rPr>
            </w:pPr>
            <w:r>
              <w:rPr>
                <w:rFonts w:hint="eastAsia" w:ascii="宋体" w:hAnsi="宋体" w:eastAsia="宋体" w:cs="宋体"/>
                <w:kern w:val="2"/>
                <w:sz w:val="24"/>
                <w:szCs w:val="24"/>
                <w:lang w:val="en-US" w:eastAsia="en-US" w:bidi="ar-SA"/>
              </w:rPr>
              <w:t>针对项目编制的工作方案</w:t>
            </w:r>
          </w:p>
        </w:tc>
        <w:tc>
          <w:tcPr>
            <w:tcW w:w="5925" w:type="dxa"/>
            <w:shd w:val="clear" w:color="auto" w:fill="auto"/>
            <w:noWrap w:val="0"/>
            <w:vAlign w:val="top"/>
          </w:tcPr>
          <w:p w14:paraId="798CE53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供应商针对本项目所提出的工作方案，对本项目各环节具体步骤清楚、工作目标明确；供应商对本项目的组织机构分配及主要人员岗位职责分工等内容。</w:t>
            </w:r>
          </w:p>
          <w:p w14:paraId="52C7045E">
            <w:pPr>
              <w:numPr>
                <w:ilvl w:val="0"/>
                <w:numId w:val="5"/>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规划编制的工作方案全面合理、针对性强，得10分；</w:t>
            </w:r>
          </w:p>
          <w:p w14:paraId="3EC28D9C">
            <w:pPr>
              <w:numPr>
                <w:ilvl w:val="0"/>
                <w:numId w:val="5"/>
              </w:numPr>
              <w:spacing w:line="360" w:lineRule="auto"/>
              <w:rPr>
                <w:rFonts w:hint="eastAsia" w:ascii="宋体" w:hAnsi="宋体" w:eastAsia="宋体" w:cs="宋体"/>
                <w:kern w:val="2"/>
                <w:sz w:val="24"/>
                <w:szCs w:val="24"/>
                <w:lang w:val="en-US" w:eastAsia="en-US" w:bidi="ar-SA"/>
              </w:rPr>
            </w:pPr>
            <w:r>
              <w:rPr>
                <w:rFonts w:hint="eastAsia" w:ascii="宋体" w:hAnsi="宋体" w:eastAsia="宋体" w:cs="宋体"/>
                <w:color w:val="auto"/>
                <w:sz w:val="24"/>
                <w:szCs w:val="24"/>
              </w:rPr>
              <w:t>规划编制的工作方案比较全面、有一定的针对性，得</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分；</w:t>
            </w:r>
          </w:p>
          <w:p w14:paraId="2DD91C91">
            <w:pPr>
              <w:numPr>
                <w:ilvl w:val="0"/>
                <w:numId w:val="5"/>
              </w:numPr>
              <w:spacing w:line="360" w:lineRule="auto"/>
              <w:rPr>
                <w:rFonts w:hint="eastAsia" w:ascii="宋体" w:hAnsi="宋体" w:eastAsia="宋体" w:cs="宋体"/>
                <w:sz w:val="24"/>
                <w:szCs w:val="24"/>
                <w:lang w:val="en-US" w:eastAsia="en-US"/>
              </w:rPr>
            </w:pPr>
            <w:r>
              <w:rPr>
                <w:rFonts w:hint="eastAsia" w:ascii="宋体" w:hAnsi="宋体" w:eastAsia="宋体" w:cs="宋体"/>
                <w:color w:val="auto"/>
                <w:sz w:val="24"/>
                <w:szCs w:val="24"/>
              </w:rPr>
              <w:t>规划编制的工作方案有一定偏差，规划编制方案一般，针对性一般得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p>
          <w:p w14:paraId="2848880E">
            <w:pPr>
              <w:numPr>
                <w:ilvl w:val="0"/>
                <w:numId w:val="5"/>
              </w:numPr>
              <w:spacing w:line="360" w:lineRule="auto"/>
              <w:rPr>
                <w:rFonts w:hint="eastAsia" w:ascii="宋体" w:hAnsi="宋体" w:eastAsia="宋体" w:cs="宋体"/>
                <w:kern w:val="2"/>
                <w:sz w:val="24"/>
                <w:szCs w:val="24"/>
                <w:lang w:val="en-US" w:eastAsia="en-US" w:bidi="ar-SA"/>
              </w:rPr>
            </w:pPr>
            <w:r>
              <w:rPr>
                <w:rFonts w:hint="eastAsia" w:ascii="宋体" w:hAnsi="宋体" w:eastAsia="宋体" w:cs="宋体"/>
                <w:color w:val="auto"/>
                <w:sz w:val="24"/>
                <w:szCs w:val="24"/>
              </w:rPr>
              <w:t>规划编制的工作方案</w:t>
            </w:r>
            <w:r>
              <w:rPr>
                <w:rFonts w:hint="eastAsia" w:ascii="宋体" w:hAnsi="宋体" w:eastAsia="宋体" w:cs="宋体"/>
                <w:color w:val="auto"/>
                <w:sz w:val="24"/>
                <w:szCs w:val="24"/>
                <w:lang w:val="en-US" w:eastAsia="zh-CN"/>
              </w:rPr>
              <w:t>偏差甚大</w:t>
            </w:r>
            <w:r>
              <w:rPr>
                <w:rFonts w:hint="eastAsia" w:ascii="宋体" w:hAnsi="宋体" w:eastAsia="宋体" w:cs="宋体"/>
                <w:color w:val="auto"/>
                <w:sz w:val="24"/>
                <w:szCs w:val="24"/>
              </w:rPr>
              <w:t>，规划编制方案</w:t>
            </w:r>
            <w:r>
              <w:rPr>
                <w:rFonts w:hint="eastAsia" w:ascii="宋体" w:hAnsi="宋体" w:eastAsia="宋体" w:cs="宋体"/>
                <w:color w:val="auto"/>
                <w:sz w:val="24"/>
                <w:szCs w:val="24"/>
                <w:lang w:val="en-US" w:eastAsia="zh-CN"/>
              </w:rPr>
              <w:t>不能满足项目需求</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针对性差</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w:t>
            </w:r>
          </w:p>
          <w:p w14:paraId="421AACF6">
            <w:pPr>
              <w:numPr>
                <w:ilvl w:val="0"/>
                <w:numId w:val="5"/>
              </w:numPr>
              <w:spacing w:line="360" w:lineRule="auto"/>
              <w:rPr>
                <w:rFonts w:hint="eastAsia" w:ascii="宋体" w:hAnsi="宋体" w:eastAsia="宋体" w:cs="宋体"/>
                <w:kern w:val="2"/>
                <w:sz w:val="24"/>
                <w:szCs w:val="24"/>
                <w:lang w:val="en-US" w:eastAsia="en-US" w:bidi="ar-SA"/>
              </w:rPr>
            </w:pPr>
            <w:r>
              <w:rPr>
                <w:rFonts w:hint="eastAsia" w:ascii="宋体" w:hAnsi="宋体" w:eastAsia="宋体" w:cs="宋体"/>
                <w:kern w:val="2"/>
                <w:sz w:val="24"/>
                <w:szCs w:val="24"/>
                <w:lang w:val="en-US" w:eastAsia="en-US" w:bidi="ar-SA"/>
              </w:rPr>
              <w:t>未提供的不得分</w:t>
            </w:r>
            <w:r>
              <w:rPr>
                <w:rFonts w:hint="eastAsia" w:ascii="宋体" w:hAnsi="宋体" w:eastAsia="宋体" w:cs="宋体"/>
                <w:color w:val="auto"/>
                <w:sz w:val="24"/>
                <w:szCs w:val="24"/>
              </w:rPr>
              <w:t>。</w:t>
            </w:r>
          </w:p>
        </w:tc>
        <w:tc>
          <w:tcPr>
            <w:tcW w:w="711" w:type="dxa"/>
            <w:noWrap w:val="0"/>
            <w:vAlign w:val="center"/>
          </w:tcPr>
          <w:p w14:paraId="59068B09">
            <w:pPr>
              <w:spacing w:line="360" w:lineRule="auto"/>
              <w:jc w:val="center"/>
              <w:rPr>
                <w:rFonts w:hint="eastAsia" w:ascii="宋体" w:hAnsi="宋体" w:eastAsia="宋体" w:cs="宋体"/>
                <w:color w:val="auto"/>
                <w:sz w:val="24"/>
                <w:szCs w:val="24"/>
                <w:u w:val="none"/>
                <w:lang w:bidi="ar-SA"/>
              </w:rPr>
            </w:pPr>
            <w:r>
              <w:rPr>
                <w:rFonts w:hint="eastAsia" w:ascii="宋体" w:hAnsi="宋体" w:eastAsia="宋体" w:cs="宋体"/>
                <w:color w:val="auto"/>
                <w:sz w:val="24"/>
                <w:szCs w:val="24"/>
                <w:u w:val="none"/>
                <w:lang w:val="en-US" w:eastAsia="zh-CN" w:bidi="ar-SA"/>
              </w:rPr>
              <w:t>10</w:t>
            </w:r>
            <w:r>
              <w:rPr>
                <w:rFonts w:hint="eastAsia" w:ascii="宋体" w:hAnsi="宋体" w:eastAsia="宋体" w:cs="宋体"/>
                <w:color w:val="auto"/>
                <w:sz w:val="24"/>
                <w:szCs w:val="24"/>
                <w:u w:val="none"/>
                <w:lang w:bidi="ar-SA"/>
              </w:rPr>
              <w:t>分</w:t>
            </w:r>
          </w:p>
        </w:tc>
      </w:tr>
      <w:tr w14:paraId="3201C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177" w:type="dxa"/>
            <w:vMerge w:val="continue"/>
            <w:noWrap w:val="0"/>
            <w:vAlign w:val="center"/>
          </w:tcPr>
          <w:p w14:paraId="1977B4C3">
            <w:pPr>
              <w:spacing w:line="360" w:lineRule="auto"/>
              <w:rPr>
                <w:rFonts w:hint="eastAsia" w:ascii="宋体" w:hAnsi="宋体" w:eastAsia="宋体" w:cs="宋体"/>
                <w:color w:val="auto"/>
                <w:sz w:val="24"/>
                <w:szCs w:val="24"/>
                <w:u w:val="none"/>
              </w:rPr>
            </w:pPr>
          </w:p>
        </w:tc>
        <w:tc>
          <w:tcPr>
            <w:tcW w:w="1188" w:type="dxa"/>
            <w:shd w:val="clear" w:color="auto" w:fill="auto"/>
            <w:noWrap w:val="0"/>
            <w:vAlign w:val="top"/>
          </w:tcPr>
          <w:p w14:paraId="18546024">
            <w:pPr>
              <w:pStyle w:val="37"/>
              <w:spacing w:before="91" w:line="360" w:lineRule="auto"/>
              <w:ind w:left="114" w:leftChars="0" w:right="107" w:rightChars="0" w:hanging="2" w:firstLineChars="0"/>
              <w:rPr>
                <w:rFonts w:hint="eastAsia" w:ascii="宋体" w:hAnsi="宋体" w:eastAsia="宋体" w:cs="宋体"/>
                <w:kern w:val="2"/>
                <w:sz w:val="24"/>
                <w:szCs w:val="24"/>
                <w:lang w:val="en-US" w:eastAsia="en-US" w:bidi="ar-SA"/>
              </w:rPr>
            </w:pPr>
            <w:r>
              <w:rPr>
                <w:rFonts w:hint="eastAsia" w:ascii="宋体" w:hAnsi="宋体" w:eastAsia="宋体" w:cs="宋体"/>
                <w:kern w:val="2"/>
                <w:sz w:val="24"/>
                <w:szCs w:val="24"/>
                <w:lang w:val="en-US" w:eastAsia="en-US" w:bidi="ar-SA"/>
              </w:rPr>
              <w:t>针对本项目重难点、关键问题的把握</w:t>
            </w:r>
          </w:p>
        </w:tc>
        <w:tc>
          <w:tcPr>
            <w:tcW w:w="5925" w:type="dxa"/>
            <w:shd w:val="clear" w:color="auto" w:fill="auto"/>
            <w:noWrap w:val="0"/>
            <w:vAlign w:val="top"/>
          </w:tcPr>
          <w:p w14:paraId="74A90DD5">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供应商针对本项目</w:t>
            </w:r>
            <w:r>
              <w:rPr>
                <w:rFonts w:hint="eastAsia" w:ascii="宋体" w:hAnsi="宋体" w:eastAsia="宋体" w:cs="宋体"/>
                <w:color w:val="auto"/>
                <w:sz w:val="24"/>
                <w:szCs w:val="24"/>
                <w:lang w:val="en-US" w:eastAsia="en-US"/>
              </w:rPr>
              <w:t>重难点、关键问题的把握</w:t>
            </w:r>
            <w:r>
              <w:rPr>
                <w:rFonts w:hint="eastAsia" w:ascii="宋体" w:hAnsi="宋体" w:eastAsia="宋体" w:cs="宋体"/>
                <w:color w:val="auto"/>
                <w:sz w:val="24"/>
                <w:szCs w:val="24"/>
                <w:lang w:val="en-US" w:eastAsia="zh-CN"/>
              </w:rPr>
              <w:t>进行分析</w:t>
            </w:r>
            <w:r>
              <w:rPr>
                <w:rFonts w:hint="eastAsia" w:ascii="宋体" w:hAnsi="宋体" w:eastAsia="宋体" w:cs="宋体"/>
                <w:color w:val="auto"/>
                <w:sz w:val="24"/>
                <w:szCs w:val="24"/>
              </w:rPr>
              <w:t>，对本项目</w:t>
            </w:r>
            <w:r>
              <w:rPr>
                <w:rFonts w:hint="eastAsia" w:ascii="宋体" w:hAnsi="宋体" w:eastAsia="宋体" w:cs="宋体"/>
                <w:color w:val="auto"/>
                <w:sz w:val="24"/>
                <w:szCs w:val="24"/>
                <w:lang w:val="en-US" w:eastAsia="zh-CN"/>
              </w:rPr>
              <w:t>重难点问题分析明确并有相对应的实施解决方案，对项目实施具有指导作用</w:t>
            </w:r>
            <w:r>
              <w:rPr>
                <w:rFonts w:hint="eastAsia" w:ascii="宋体" w:hAnsi="宋体" w:eastAsia="宋体" w:cs="宋体"/>
                <w:color w:val="auto"/>
                <w:sz w:val="24"/>
                <w:szCs w:val="24"/>
                <w:lang w:eastAsia="zh-CN"/>
              </w:rPr>
              <w:t>：</w:t>
            </w:r>
          </w:p>
          <w:p w14:paraId="055FB0A0">
            <w:pPr>
              <w:numPr>
                <w:ilvl w:val="0"/>
                <w:numId w:val="6"/>
              </w:num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对规划的重点、难点问题</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关键问题</w:t>
            </w:r>
            <w:r>
              <w:rPr>
                <w:rFonts w:hint="eastAsia" w:ascii="宋体" w:hAnsi="宋体" w:eastAsia="宋体" w:cs="宋体"/>
                <w:color w:val="auto"/>
                <w:sz w:val="24"/>
                <w:szCs w:val="24"/>
              </w:rPr>
              <w:t>把握明确的，针对性强、合理可行，对项目实施具有较强的指导作用得</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p w14:paraId="6A9DE90D">
            <w:pPr>
              <w:numPr>
                <w:ilvl w:val="0"/>
                <w:numId w:val="6"/>
              </w:num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对规划的重点、难点问题</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关键问题</w:t>
            </w:r>
            <w:r>
              <w:rPr>
                <w:rFonts w:hint="eastAsia" w:ascii="宋体" w:hAnsi="宋体" w:eastAsia="宋体" w:cs="宋体"/>
                <w:color w:val="auto"/>
                <w:sz w:val="24"/>
                <w:szCs w:val="24"/>
              </w:rPr>
              <w:t>把握</w:t>
            </w:r>
            <w:r>
              <w:rPr>
                <w:rFonts w:hint="eastAsia" w:ascii="宋体" w:hAnsi="宋体" w:eastAsia="宋体" w:cs="宋体"/>
                <w:color w:val="auto"/>
                <w:sz w:val="24"/>
                <w:szCs w:val="24"/>
                <w:lang w:val="en-US" w:eastAsia="zh-CN"/>
              </w:rPr>
              <w:t>相对</w:t>
            </w:r>
            <w:r>
              <w:rPr>
                <w:rFonts w:hint="eastAsia" w:ascii="宋体" w:hAnsi="宋体" w:eastAsia="宋体" w:cs="宋体"/>
                <w:color w:val="auto"/>
                <w:sz w:val="24"/>
                <w:szCs w:val="24"/>
              </w:rPr>
              <w:t>明确的，针对性</w:t>
            </w:r>
            <w:r>
              <w:rPr>
                <w:rFonts w:hint="eastAsia" w:ascii="宋体" w:hAnsi="宋体" w:eastAsia="宋体" w:cs="宋体"/>
                <w:color w:val="auto"/>
                <w:sz w:val="24"/>
                <w:szCs w:val="24"/>
                <w:lang w:val="en-US" w:eastAsia="zh-CN"/>
              </w:rPr>
              <w:t>较</w:t>
            </w:r>
            <w:r>
              <w:rPr>
                <w:rFonts w:hint="eastAsia" w:ascii="宋体" w:hAnsi="宋体" w:eastAsia="宋体" w:cs="宋体"/>
                <w:color w:val="auto"/>
                <w:sz w:val="24"/>
                <w:szCs w:val="24"/>
              </w:rPr>
              <w:t>强、合理可行，对项目实施具有指导作用得</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p w14:paraId="5729F96F">
            <w:pPr>
              <w:numPr>
                <w:ilvl w:val="0"/>
                <w:numId w:val="6"/>
              </w:num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对规划的重点、难点问题</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关键问题</w:t>
            </w:r>
            <w:r>
              <w:rPr>
                <w:rFonts w:hint="eastAsia" w:ascii="宋体" w:hAnsi="宋体" w:eastAsia="宋体" w:cs="宋体"/>
                <w:color w:val="auto"/>
                <w:sz w:val="24"/>
                <w:szCs w:val="24"/>
              </w:rPr>
              <w:t>把握不清晰，合理性、可行性较差，对项目实施指导作用一般得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p w14:paraId="7C9A877E">
            <w:pPr>
              <w:numPr>
                <w:ilvl w:val="0"/>
                <w:numId w:val="6"/>
              </w:num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对规划的重点、难点问题</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关键问题</w:t>
            </w:r>
            <w:r>
              <w:rPr>
                <w:rFonts w:hint="eastAsia" w:ascii="宋体" w:hAnsi="宋体" w:eastAsia="宋体" w:cs="宋体"/>
                <w:color w:val="auto"/>
                <w:sz w:val="24"/>
                <w:szCs w:val="24"/>
              </w:rPr>
              <w:t>把握不清晰，</w:t>
            </w:r>
            <w:r>
              <w:rPr>
                <w:rFonts w:hint="eastAsia" w:ascii="宋体" w:hAnsi="宋体" w:eastAsia="宋体" w:cs="宋体"/>
                <w:color w:val="auto"/>
                <w:sz w:val="24"/>
                <w:szCs w:val="24"/>
                <w:lang w:val="en-US" w:eastAsia="zh-CN"/>
              </w:rPr>
              <w:t>毫无</w:t>
            </w:r>
            <w:r>
              <w:rPr>
                <w:rFonts w:hint="eastAsia" w:ascii="宋体" w:hAnsi="宋体" w:eastAsia="宋体" w:cs="宋体"/>
                <w:color w:val="auto"/>
                <w:sz w:val="24"/>
                <w:szCs w:val="24"/>
              </w:rPr>
              <w:t>合理性</w:t>
            </w:r>
            <w:r>
              <w:rPr>
                <w:rFonts w:hint="eastAsia" w:ascii="宋体" w:hAnsi="宋体" w:eastAsia="宋体" w:cs="宋体"/>
                <w:color w:val="auto"/>
                <w:sz w:val="24"/>
                <w:szCs w:val="24"/>
                <w:lang w:val="en-US" w:eastAsia="zh-CN"/>
              </w:rPr>
              <w:t>与</w:t>
            </w:r>
            <w:r>
              <w:rPr>
                <w:rFonts w:hint="eastAsia" w:ascii="宋体" w:hAnsi="宋体" w:eastAsia="宋体" w:cs="宋体"/>
                <w:color w:val="auto"/>
                <w:sz w:val="24"/>
                <w:szCs w:val="24"/>
              </w:rPr>
              <w:t>可行性，对项目实施</w:t>
            </w:r>
            <w:r>
              <w:rPr>
                <w:rFonts w:hint="eastAsia" w:ascii="宋体" w:hAnsi="宋体" w:eastAsia="宋体" w:cs="宋体"/>
                <w:color w:val="auto"/>
                <w:sz w:val="24"/>
                <w:szCs w:val="24"/>
                <w:lang w:val="en-US" w:eastAsia="zh-CN"/>
              </w:rPr>
              <w:t>没有</w:t>
            </w:r>
            <w:r>
              <w:rPr>
                <w:rFonts w:hint="eastAsia" w:ascii="宋体" w:hAnsi="宋体" w:eastAsia="宋体" w:cs="宋体"/>
                <w:color w:val="auto"/>
                <w:sz w:val="24"/>
                <w:szCs w:val="24"/>
              </w:rPr>
              <w:t>指导作用得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p w14:paraId="07422470">
            <w:pPr>
              <w:pStyle w:val="16"/>
              <w:spacing w:line="360" w:lineRule="auto"/>
              <w:ind w:left="0" w:leftChars="0" w:firstLine="0" w:firstLineChars="0"/>
              <w:rPr>
                <w:rFonts w:hint="eastAsia" w:ascii="宋体" w:hAnsi="宋体" w:eastAsia="宋体" w:cs="宋体"/>
                <w:kern w:val="2"/>
                <w:sz w:val="24"/>
                <w:szCs w:val="24"/>
                <w:lang w:val="en-US" w:eastAsia="en-US" w:bidi="ar-SA"/>
              </w:rPr>
            </w:pPr>
            <w:r>
              <w:rPr>
                <w:rFonts w:hint="eastAsia" w:ascii="宋体" w:hAnsi="宋体" w:eastAsia="宋体" w:cs="宋体"/>
                <w:kern w:val="2"/>
                <w:sz w:val="24"/>
                <w:szCs w:val="24"/>
                <w:lang w:val="en-US" w:eastAsia="zh-CN" w:bidi="ar-SA"/>
              </w:rPr>
              <w:t>5、</w:t>
            </w:r>
            <w:r>
              <w:rPr>
                <w:rFonts w:hint="eastAsia" w:ascii="宋体" w:hAnsi="宋体" w:eastAsia="宋体" w:cs="宋体"/>
                <w:kern w:val="2"/>
                <w:sz w:val="24"/>
                <w:szCs w:val="24"/>
                <w:lang w:val="en-US" w:eastAsia="en-US" w:bidi="ar-SA"/>
              </w:rPr>
              <w:t>未提供的不得分</w:t>
            </w:r>
            <w:r>
              <w:rPr>
                <w:rFonts w:hint="eastAsia" w:ascii="宋体" w:hAnsi="宋体" w:eastAsia="宋体" w:cs="宋体"/>
                <w:color w:val="auto"/>
                <w:sz w:val="24"/>
                <w:szCs w:val="24"/>
              </w:rPr>
              <w:t>。</w:t>
            </w:r>
          </w:p>
        </w:tc>
        <w:tc>
          <w:tcPr>
            <w:tcW w:w="711" w:type="dxa"/>
            <w:noWrap w:val="0"/>
            <w:vAlign w:val="center"/>
          </w:tcPr>
          <w:p w14:paraId="7768844D">
            <w:pPr>
              <w:spacing w:line="360" w:lineRule="auto"/>
              <w:jc w:val="center"/>
              <w:rPr>
                <w:rFonts w:hint="eastAsia" w:ascii="宋体" w:hAnsi="宋体" w:eastAsia="宋体" w:cs="宋体"/>
                <w:color w:val="auto"/>
                <w:sz w:val="24"/>
                <w:szCs w:val="24"/>
                <w:u w:val="none"/>
                <w:lang w:bidi="ar-SA"/>
              </w:rPr>
            </w:pPr>
            <w:r>
              <w:rPr>
                <w:rFonts w:hint="eastAsia" w:ascii="宋体" w:hAnsi="宋体" w:eastAsia="宋体" w:cs="宋体"/>
                <w:color w:val="auto"/>
                <w:sz w:val="24"/>
                <w:szCs w:val="24"/>
                <w:u w:val="none"/>
                <w:lang w:val="en-US" w:eastAsia="zh-CN" w:bidi="ar-SA"/>
              </w:rPr>
              <w:t>10</w:t>
            </w:r>
            <w:r>
              <w:rPr>
                <w:rFonts w:hint="eastAsia" w:ascii="宋体" w:hAnsi="宋体" w:eastAsia="宋体" w:cs="宋体"/>
                <w:color w:val="auto"/>
                <w:sz w:val="24"/>
                <w:szCs w:val="24"/>
                <w:u w:val="none"/>
                <w:lang w:bidi="ar-SA"/>
              </w:rPr>
              <w:t>分</w:t>
            </w:r>
          </w:p>
        </w:tc>
      </w:tr>
      <w:tr w14:paraId="07A09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77" w:type="dxa"/>
            <w:vMerge w:val="continue"/>
            <w:noWrap w:val="0"/>
            <w:vAlign w:val="center"/>
          </w:tcPr>
          <w:p w14:paraId="7B344E1A">
            <w:pPr>
              <w:spacing w:line="360" w:lineRule="auto"/>
              <w:rPr>
                <w:rFonts w:hint="eastAsia" w:ascii="宋体" w:hAnsi="宋体" w:eastAsia="宋体" w:cs="宋体"/>
                <w:color w:val="auto"/>
                <w:sz w:val="24"/>
                <w:szCs w:val="24"/>
                <w:u w:val="none"/>
              </w:rPr>
            </w:pPr>
          </w:p>
        </w:tc>
        <w:tc>
          <w:tcPr>
            <w:tcW w:w="1188" w:type="dxa"/>
            <w:shd w:val="clear" w:color="auto" w:fill="auto"/>
            <w:noWrap w:val="0"/>
            <w:vAlign w:val="top"/>
          </w:tcPr>
          <w:p w14:paraId="0BCD9AE0">
            <w:pPr>
              <w:pStyle w:val="37"/>
              <w:spacing w:before="91" w:line="360" w:lineRule="auto"/>
              <w:rPr>
                <w:rFonts w:hint="eastAsia" w:ascii="宋体" w:hAnsi="宋体" w:eastAsia="宋体" w:cs="宋体"/>
                <w:kern w:val="2"/>
                <w:sz w:val="24"/>
                <w:szCs w:val="24"/>
                <w:lang w:val="en-US" w:eastAsia="en-US" w:bidi="ar-SA"/>
              </w:rPr>
            </w:pPr>
            <w:r>
              <w:rPr>
                <w:rFonts w:hint="eastAsia" w:ascii="宋体" w:hAnsi="宋体" w:eastAsia="宋体" w:cs="宋体"/>
                <w:kern w:val="2"/>
                <w:sz w:val="24"/>
                <w:szCs w:val="24"/>
                <w:lang w:val="en-US" w:eastAsia="en-US" w:bidi="ar-SA"/>
              </w:rPr>
              <w:t>规划编制的工作进度计划与保证措施</w:t>
            </w:r>
          </w:p>
        </w:tc>
        <w:tc>
          <w:tcPr>
            <w:tcW w:w="5925" w:type="dxa"/>
            <w:shd w:val="clear" w:color="auto" w:fill="auto"/>
            <w:noWrap w:val="0"/>
            <w:vAlign w:val="top"/>
          </w:tcPr>
          <w:p w14:paraId="4139E44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供应商针对本项目提出的规划编制</w:t>
            </w:r>
            <w:r>
              <w:rPr>
                <w:rFonts w:hint="eastAsia" w:ascii="宋体" w:hAnsi="宋体" w:eastAsia="宋体" w:cs="宋体"/>
                <w:color w:val="auto"/>
                <w:sz w:val="24"/>
                <w:szCs w:val="24"/>
                <w:lang w:val="en-US" w:eastAsia="zh-CN"/>
              </w:rPr>
              <w:t>工作，计划和保障措施合理、具体，内容详细，有明确规划项目的编制深度、成果内容及规划编制进度安排规划成果汇报重要节点，能满足各阶段的进度要求：</w:t>
            </w:r>
          </w:p>
          <w:p w14:paraId="6E42A941">
            <w:pPr>
              <w:numPr>
                <w:ilvl w:val="0"/>
                <w:numId w:val="7"/>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项目进度计划及措施内容优化，</w:t>
            </w:r>
            <w:r>
              <w:rPr>
                <w:rFonts w:hint="eastAsia" w:ascii="宋体" w:hAnsi="宋体" w:eastAsia="宋体" w:cs="宋体"/>
                <w:color w:val="auto"/>
                <w:sz w:val="24"/>
                <w:szCs w:val="24"/>
                <w:lang w:val="en-US" w:eastAsia="zh-CN"/>
              </w:rPr>
              <w:t>针对性、</w:t>
            </w:r>
            <w:r>
              <w:rPr>
                <w:rFonts w:hint="eastAsia" w:ascii="宋体" w:hAnsi="宋体" w:eastAsia="宋体" w:cs="宋体"/>
                <w:color w:val="auto"/>
                <w:sz w:val="24"/>
                <w:szCs w:val="24"/>
              </w:rPr>
              <w:t>合理性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科学性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可操作性</w:t>
            </w:r>
            <w:r>
              <w:rPr>
                <w:rFonts w:hint="eastAsia" w:ascii="宋体" w:hAnsi="宋体" w:eastAsia="宋体" w:cs="宋体"/>
                <w:color w:val="auto"/>
                <w:sz w:val="24"/>
                <w:szCs w:val="24"/>
              </w:rPr>
              <w:t>强，</w:t>
            </w:r>
            <w:r>
              <w:rPr>
                <w:rFonts w:hint="eastAsia" w:ascii="宋体" w:hAnsi="宋体" w:eastAsia="宋体" w:cs="宋体"/>
                <w:color w:val="auto"/>
                <w:sz w:val="24"/>
                <w:szCs w:val="24"/>
                <w:lang w:val="en-US" w:eastAsia="zh-CN"/>
              </w:rPr>
              <w:t>工作方法选择得当，能高效</w:t>
            </w:r>
            <w:r>
              <w:rPr>
                <w:rFonts w:hint="eastAsia" w:ascii="宋体" w:hAnsi="宋体" w:eastAsia="宋体" w:cs="宋体"/>
                <w:color w:val="auto"/>
                <w:sz w:val="24"/>
                <w:szCs w:val="24"/>
              </w:rPr>
              <w:t>完成规划任务的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得10分；</w:t>
            </w:r>
          </w:p>
          <w:p w14:paraId="1E62BC67">
            <w:pPr>
              <w:numPr>
                <w:ilvl w:val="0"/>
                <w:numId w:val="7"/>
              </w:numPr>
              <w:spacing w:line="360" w:lineRule="auto"/>
              <w:rPr>
                <w:rFonts w:hint="eastAsia" w:ascii="宋体" w:hAnsi="宋体" w:eastAsia="宋体" w:cs="宋体"/>
                <w:kern w:val="2"/>
                <w:sz w:val="24"/>
                <w:szCs w:val="24"/>
                <w:lang w:val="en-US" w:eastAsia="en-US" w:bidi="ar-SA"/>
              </w:rPr>
            </w:pPr>
            <w:r>
              <w:rPr>
                <w:rFonts w:hint="eastAsia" w:ascii="宋体" w:hAnsi="宋体" w:eastAsia="宋体" w:cs="宋体"/>
                <w:color w:val="auto"/>
                <w:sz w:val="24"/>
                <w:szCs w:val="24"/>
                <w:lang w:eastAsia="zh-CN"/>
              </w:rPr>
              <w:t>项目进度计划及措施内容优化，</w:t>
            </w:r>
            <w:r>
              <w:rPr>
                <w:rFonts w:hint="eastAsia" w:ascii="宋体" w:hAnsi="宋体" w:eastAsia="宋体" w:cs="宋体"/>
                <w:color w:val="auto"/>
                <w:sz w:val="24"/>
                <w:szCs w:val="24"/>
                <w:lang w:val="en-US" w:eastAsia="zh-CN"/>
              </w:rPr>
              <w:t>针对性、</w:t>
            </w:r>
            <w:r>
              <w:rPr>
                <w:rFonts w:hint="eastAsia" w:ascii="宋体" w:hAnsi="宋体" w:eastAsia="宋体" w:cs="宋体"/>
                <w:color w:val="auto"/>
                <w:sz w:val="24"/>
                <w:szCs w:val="24"/>
                <w:lang w:eastAsia="zh-CN"/>
              </w:rPr>
              <w:t>合理性、科学性、</w:t>
            </w:r>
            <w:r>
              <w:rPr>
                <w:rFonts w:hint="eastAsia" w:ascii="宋体" w:hAnsi="宋体" w:eastAsia="宋体" w:cs="宋体"/>
                <w:color w:val="auto"/>
                <w:sz w:val="24"/>
                <w:szCs w:val="24"/>
                <w:lang w:val="en-US" w:eastAsia="zh-CN"/>
              </w:rPr>
              <w:t>可操作性相对较</w:t>
            </w:r>
            <w:r>
              <w:rPr>
                <w:rFonts w:hint="eastAsia" w:ascii="宋体" w:hAnsi="宋体" w:eastAsia="宋体" w:cs="宋体"/>
                <w:color w:val="auto"/>
                <w:sz w:val="24"/>
                <w:szCs w:val="24"/>
                <w:lang w:eastAsia="zh-CN"/>
              </w:rPr>
              <w:t>强，</w:t>
            </w:r>
            <w:r>
              <w:rPr>
                <w:rFonts w:hint="eastAsia" w:ascii="宋体" w:hAnsi="宋体" w:eastAsia="宋体" w:cs="宋体"/>
                <w:color w:val="auto"/>
                <w:sz w:val="24"/>
                <w:szCs w:val="24"/>
                <w:lang w:val="en-US" w:eastAsia="zh-CN"/>
              </w:rPr>
              <w:t>工作方法选择相对得当，能</w:t>
            </w:r>
            <w:r>
              <w:rPr>
                <w:rFonts w:hint="eastAsia" w:ascii="宋体" w:hAnsi="宋体" w:eastAsia="宋体" w:cs="宋体"/>
                <w:color w:val="auto"/>
                <w:sz w:val="24"/>
                <w:szCs w:val="24"/>
                <w:lang w:eastAsia="zh-CN"/>
              </w:rPr>
              <w:t>完成规划任务的，得</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分；</w:t>
            </w:r>
          </w:p>
          <w:p w14:paraId="27A9DFA0">
            <w:pPr>
              <w:numPr>
                <w:ilvl w:val="0"/>
                <w:numId w:val="7"/>
              </w:numPr>
              <w:spacing w:line="360" w:lineRule="auto"/>
              <w:rPr>
                <w:rFonts w:hint="eastAsia" w:ascii="宋体" w:hAnsi="宋体" w:eastAsia="宋体" w:cs="宋体"/>
                <w:kern w:val="2"/>
                <w:sz w:val="24"/>
                <w:szCs w:val="24"/>
                <w:lang w:val="en-US" w:eastAsia="en-US" w:bidi="ar-SA"/>
              </w:rPr>
            </w:pPr>
            <w:r>
              <w:rPr>
                <w:rFonts w:hint="eastAsia" w:ascii="宋体" w:hAnsi="宋体" w:eastAsia="宋体" w:cs="宋体"/>
                <w:color w:val="auto"/>
                <w:sz w:val="24"/>
                <w:szCs w:val="24"/>
                <w:lang w:eastAsia="zh-CN"/>
              </w:rPr>
              <w:t>项目进度计划及措施内容</w:t>
            </w:r>
            <w:r>
              <w:rPr>
                <w:rFonts w:hint="eastAsia" w:ascii="宋体" w:hAnsi="宋体" w:eastAsia="宋体" w:cs="宋体"/>
                <w:color w:val="auto"/>
                <w:sz w:val="24"/>
                <w:szCs w:val="24"/>
                <w:lang w:val="en-US" w:eastAsia="zh-CN"/>
              </w:rPr>
              <w:t>基本合理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针对性、</w:t>
            </w:r>
            <w:r>
              <w:rPr>
                <w:rFonts w:hint="eastAsia" w:ascii="宋体" w:hAnsi="宋体" w:eastAsia="宋体" w:cs="宋体"/>
                <w:color w:val="auto"/>
                <w:sz w:val="24"/>
                <w:szCs w:val="24"/>
                <w:lang w:eastAsia="zh-CN"/>
              </w:rPr>
              <w:t>合理性、科学性、</w:t>
            </w:r>
            <w:r>
              <w:rPr>
                <w:rFonts w:hint="eastAsia" w:ascii="宋体" w:hAnsi="宋体" w:eastAsia="宋体" w:cs="宋体"/>
                <w:color w:val="auto"/>
                <w:sz w:val="24"/>
                <w:szCs w:val="24"/>
                <w:lang w:val="en-US" w:eastAsia="zh-CN"/>
              </w:rPr>
              <w:t>可操作性内容一般</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工作方法不太得当，</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p>
          <w:p w14:paraId="0AB748E1">
            <w:pPr>
              <w:numPr>
                <w:ilvl w:val="0"/>
                <w:numId w:val="7"/>
              </w:numPr>
              <w:spacing w:line="360" w:lineRule="auto"/>
              <w:rPr>
                <w:rFonts w:hint="eastAsia" w:ascii="宋体" w:hAnsi="宋体" w:eastAsia="宋体" w:cs="宋体"/>
                <w:kern w:val="2"/>
                <w:sz w:val="24"/>
                <w:szCs w:val="24"/>
                <w:lang w:val="en-US" w:eastAsia="en-US" w:bidi="ar-SA"/>
              </w:rPr>
            </w:pPr>
            <w:r>
              <w:rPr>
                <w:rFonts w:hint="eastAsia" w:ascii="宋体" w:hAnsi="宋体" w:eastAsia="宋体" w:cs="宋体"/>
                <w:color w:val="auto"/>
                <w:sz w:val="24"/>
                <w:szCs w:val="24"/>
                <w:lang w:eastAsia="zh-CN"/>
              </w:rPr>
              <w:t>项目进度计划及措施</w:t>
            </w:r>
            <w:r>
              <w:rPr>
                <w:rFonts w:hint="eastAsia" w:ascii="宋体" w:hAnsi="宋体" w:eastAsia="宋体" w:cs="宋体"/>
                <w:color w:val="auto"/>
                <w:sz w:val="24"/>
                <w:szCs w:val="24"/>
                <w:lang w:val="en-US" w:eastAsia="zh-CN"/>
              </w:rPr>
              <w:t>不合理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没有针对性、</w:t>
            </w:r>
            <w:r>
              <w:rPr>
                <w:rFonts w:hint="eastAsia" w:ascii="宋体" w:hAnsi="宋体" w:eastAsia="宋体" w:cs="宋体"/>
                <w:color w:val="auto"/>
                <w:sz w:val="24"/>
                <w:szCs w:val="24"/>
                <w:lang w:eastAsia="zh-CN"/>
              </w:rPr>
              <w:t>合理性、科学性、</w:t>
            </w:r>
            <w:r>
              <w:rPr>
                <w:rFonts w:hint="eastAsia" w:ascii="宋体" w:hAnsi="宋体" w:eastAsia="宋体" w:cs="宋体"/>
                <w:color w:val="auto"/>
                <w:sz w:val="24"/>
                <w:szCs w:val="24"/>
                <w:lang w:val="en-US" w:eastAsia="zh-CN"/>
              </w:rPr>
              <w:t>可操作性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工作方法选择不准确，有很多方面需要进一步完善甚至重新考虑，</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p w14:paraId="3D350534">
            <w:pPr>
              <w:numPr>
                <w:ilvl w:val="0"/>
                <w:numId w:val="7"/>
              </w:numPr>
              <w:spacing w:line="360" w:lineRule="auto"/>
              <w:rPr>
                <w:rFonts w:hint="eastAsia" w:ascii="宋体" w:hAnsi="宋体" w:eastAsia="宋体" w:cs="宋体"/>
                <w:kern w:val="2"/>
                <w:sz w:val="24"/>
                <w:szCs w:val="24"/>
                <w:lang w:val="en-US" w:eastAsia="en-US" w:bidi="ar-SA"/>
              </w:rPr>
            </w:pPr>
            <w:r>
              <w:rPr>
                <w:rFonts w:hint="eastAsia" w:ascii="宋体" w:hAnsi="宋体" w:eastAsia="宋体" w:cs="宋体"/>
                <w:color w:val="auto"/>
                <w:sz w:val="24"/>
                <w:szCs w:val="24"/>
              </w:rPr>
              <w:t>缺项不得分。</w:t>
            </w:r>
          </w:p>
        </w:tc>
        <w:tc>
          <w:tcPr>
            <w:tcW w:w="711" w:type="dxa"/>
            <w:noWrap w:val="0"/>
            <w:vAlign w:val="center"/>
          </w:tcPr>
          <w:p w14:paraId="71A3E9D4">
            <w:pPr>
              <w:spacing w:line="360" w:lineRule="auto"/>
              <w:jc w:val="center"/>
              <w:rPr>
                <w:rFonts w:hint="eastAsia" w:ascii="宋体" w:hAnsi="宋体" w:eastAsia="宋体" w:cs="宋体"/>
                <w:color w:val="auto"/>
                <w:sz w:val="24"/>
                <w:szCs w:val="24"/>
                <w:u w:val="none"/>
                <w:lang w:bidi="ar-SA"/>
              </w:rPr>
            </w:pPr>
            <w:r>
              <w:rPr>
                <w:rFonts w:hint="eastAsia" w:ascii="宋体" w:hAnsi="宋体" w:eastAsia="宋体" w:cs="宋体"/>
                <w:color w:val="auto"/>
                <w:sz w:val="24"/>
                <w:szCs w:val="24"/>
                <w:u w:val="none"/>
                <w:lang w:val="en-US" w:eastAsia="zh-CN" w:bidi="ar-SA"/>
              </w:rPr>
              <w:t>10</w:t>
            </w:r>
            <w:r>
              <w:rPr>
                <w:rFonts w:hint="eastAsia" w:ascii="宋体" w:hAnsi="宋体" w:eastAsia="宋体" w:cs="宋体"/>
                <w:color w:val="auto"/>
                <w:sz w:val="24"/>
                <w:szCs w:val="24"/>
                <w:u w:val="none"/>
                <w:lang w:bidi="ar-SA"/>
              </w:rPr>
              <w:t>分</w:t>
            </w:r>
          </w:p>
        </w:tc>
      </w:tr>
      <w:tr w14:paraId="06847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177" w:type="dxa"/>
            <w:vMerge w:val="continue"/>
            <w:noWrap w:val="0"/>
            <w:vAlign w:val="center"/>
          </w:tcPr>
          <w:p w14:paraId="1CBF9C9E">
            <w:pPr>
              <w:spacing w:line="360" w:lineRule="auto"/>
              <w:rPr>
                <w:rFonts w:hint="eastAsia" w:ascii="宋体" w:hAnsi="宋体" w:eastAsia="宋体" w:cs="宋体"/>
                <w:color w:val="auto"/>
                <w:sz w:val="24"/>
                <w:szCs w:val="24"/>
                <w:u w:val="none"/>
              </w:rPr>
            </w:pPr>
          </w:p>
        </w:tc>
        <w:tc>
          <w:tcPr>
            <w:tcW w:w="1188" w:type="dxa"/>
            <w:shd w:val="clear" w:color="auto" w:fill="auto"/>
            <w:noWrap w:val="0"/>
            <w:vAlign w:val="top"/>
          </w:tcPr>
          <w:p w14:paraId="2BB8713A">
            <w:pPr>
              <w:pStyle w:val="37"/>
              <w:spacing w:before="91" w:line="360" w:lineRule="auto"/>
              <w:ind w:left="116" w:leftChars="0" w:right="107" w:rightChars="0"/>
              <w:rPr>
                <w:rFonts w:hint="eastAsia" w:ascii="宋体" w:hAnsi="宋体" w:eastAsia="宋体" w:cs="宋体"/>
                <w:kern w:val="2"/>
                <w:sz w:val="24"/>
                <w:szCs w:val="24"/>
                <w:lang w:val="en-US" w:eastAsia="en-US" w:bidi="ar-SA"/>
              </w:rPr>
            </w:pPr>
            <w:r>
              <w:rPr>
                <w:rFonts w:hint="eastAsia" w:ascii="宋体" w:hAnsi="宋体" w:eastAsia="宋体" w:cs="宋体"/>
                <w:kern w:val="2"/>
                <w:sz w:val="24"/>
                <w:szCs w:val="24"/>
                <w:lang w:val="en-US" w:eastAsia="en-US" w:bidi="ar-SA"/>
              </w:rPr>
              <w:t>规划编制的资源配备计划措施</w:t>
            </w:r>
          </w:p>
        </w:tc>
        <w:tc>
          <w:tcPr>
            <w:tcW w:w="5925" w:type="dxa"/>
            <w:shd w:val="clear" w:color="auto" w:fill="auto"/>
            <w:noWrap w:val="0"/>
            <w:vAlign w:val="top"/>
          </w:tcPr>
          <w:p w14:paraId="095FA55D">
            <w:pPr>
              <w:spacing w:line="360" w:lineRule="auto"/>
              <w:ind w:left="34"/>
              <w:jc w:val="left"/>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为保障项目的顺利完成，对供应商拟投入本项目的技术人员力量、设施设备情况等进行综合评分：</w:t>
            </w:r>
          </w:p>
          <w:p w14:paraId="239A8BDC">
            <w:pPr>
              <w:numPr>
                <w:ilvl w:val="0"/>
                <w:numId w:val="8"/>
              </w:numPr>
              <w:spacing w:line="360" w:lineRule="auto"/>
              <w:ind w:left="0" w:leftChars="0" w:firstLineChars="0"/>
              <w:jc w:val="left"/>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人员安排合理、准确、岗位职责、员工管理与培训制度全面、详细、拟投入设施设备合理、可行的得10分；</w:t>
            </w:r>
          </w:p>
          <w:p w14:paraId="32574B4D">
            <w:pPr>
              <w:numPr>
                <w:ilvl w:val="0"/>
                <w:numId w:val="8"/>
              </w:numPr>
              <w:spacing w:line="360" w:lineRule="auto"/>
              <w:ind w:left="0" w:leftChars="0" w:firstLineChars="0"/>
              <w:jc w:val="left"/>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人员安排较合理、岗位职责、员工管理与培训制度较全面、拟投入设施设备较合理、可行的得7分；</w:t>
            </w:r>
          </w:p>
          <w:p w14:paraId="510723AC">
            <w:pPr>
              <w:numPr>
                <w:ilvl w:val="0"/>
                <w:numId w:val="8"/>
              </w:numPr>
              <w:spacing w:line="360" w:lineRule="auto"/>
              <w:ind w:left="0" w:leftChars="0" w:firstLineChars="0"/>
              <w:jc w:val="left"/>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人员安排、岗位职责、员工管理与培训制度满足项目需求且合理、拟投入设施设备可行的得4分；</w:t>
            </w:r>
          </w:p>
          <w:p w14:paraId="04D5D6FD">
            <w:pPr>
              <w:numPr>
                <w:ilvl w:val="0"/>
                <w:numId w:val="8"/>
              </w:numPr>
              <w:spacing w:line="360" w:lineRule="auto"/>
              <w:ind w:left="0" w:leftChars="0" w:firstLineChars="0"/>
              <w:jc w:val="left"/>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人员安排、岗位职责、员工管理与培训制度较简单但基本满足项目需求的得1分；</w:t>
            </w:r>
          </w:p>
          <w:p w14:paraId="513BB86B">
            <w:pPr>
              <w:numPr>
                <w:ilvl w:val="0"/>
                <w:numId w:val="8"/>
              </w:numPr>
              <w:spacing w:line="360" w:lineRule="auto"/>
              <w:ind w:left="0" w:leftChars="0" w:firstLineChars="0"/>
              <w:jc w:val="left"/>
              <w:rPr>
                <w:rFonts w:hint="eastAsia" w:ascii="宋体" w:hAnsi="宋体" w:eastAsia="宋体" w:cs="宋体"/>
                <w:kern w:val="2"/>
                <w:sz w:val="24"/>
                <w:szCs w:val="24"/>
                <w:lang w:val="en-US" w:eastAsia="en-US" w:bidi="ar-SA"/>
              </w:rPr>
            </w:pPr>
            <w:r>
              <w:rPr>
                <w:rFonts w:hint="eastAsia" w:ascii="宋体" w:hAnsi="宋体" w:eastAsia="宋体" w:cs="宋体"/>
                <w:color w:val="auto"/>
                <w:sz w:val="24"/>
                <w:szCs w:val="24"/>
              </w:rPr>
              <w:t>缺项不得分</w:t>
            </w:r>
            <w:r>
              <w:rPr>
                <w:rFonts w:hint="eastAsia" w:ascii="宋体" w:hAnsi="宋体" w:eastAsia="宋体" w:cs="宋体"/>
                <w:bCs/>
                <w:color w:val="auto"/>
                <w:sz w:val="24"/>
                <w:szCs w:val="24"/>
                <w:lang w:val="en-US" w:eastAsia="zh-CN"/>
              </w:rPr>
              <w:t>。</w:t>
            </w:r>
          </w:p>
        </w:tc>
        <w:tc>
          <w:tcPr>
            <w:tcW w:w="711" w:type="dxa"/>
            <w:noWrap w:val="0"/>
            <w:vAlign w:val="center"/>
          </w:tcPr>
          <w:p w14:paraId="69566E5D">
            <w:pPr>
              <w:spacing w:line="360" w:lineRule="auto"/>
              <w:jc w:val="center"/>
              <w:rPr>
                <w:rFonts w:hint="eastAsia" w:ascii="宋体" w:hAnsi="宋体" w:eastAsia="宋体" w:cs="宋体"/>
                <w:color w:val="auto"/>
                <w:sz w:val="24"/>
                <w:szCs w:val="24"/>
                <w:u w:val="none"/>
                <w:lang w:bidi="ar-SA"/>
              </w:rPr>
            </w:pPr>
            <w:r>
              <w:rPr>
                <w:rFonts w:hint="eastAsia" w:ascii="宋体" w:hAnsi="宋体" w:eastAsia="宋体" w:cs="宋体"/>
                <w:color w:val="auto"/>
                <w:sz w:val="24"/>
                <w:szCs w:val="24"/>
                <w:u w:val="none"/>
                <w:lang w:val="en-US" w:eastAsia="zh-CN" w:bidi="ar-SA"/>
              </w:rPr>
              <w:t>10</w:t>
            </w:r>
            <w:r>
              <w:rPr>
                <w:rFonts w:hint="eastAsia" w:ascii="宋体" w:hAnsi="宋体" w:eastAsia="宋体" w:cs="宋体"/>
                <w:color w:val="auto"/>
                <w:sz w:val="24"/>
                <w:szCs w:val="24"/>
                <w:u w:val="none"/>
                <w:lang w:bidi="ar-SA"/>
              </w:rPr>
              <w:t>分</w:t>
            </w:r>
          </w:p>
        </w:tc>
      </w:tr>
      <w:tr w14:paraId="1A0F4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177" w:type="dxa"/>
            <w:vMerge w:val="continue"/>
            <w:noWrap w:val="0"/>
            <w:vAlign w:val="center"/>
          </w:tcPr>
          <w:p w14:paraId="4700AC33">
            <w:pPr>
              <w:spacing w:line="360" w:lineRule="auto"/>
              <w:rPr>
                <w:rFonts w:hint="eastAsia" w:ascii="宋体" w:hAnsi="宋体" w:eastAsia="宋体" w:cs="宋体"/>
                <w:color w:val="auto"/>
                <w:sz w:val="24"/>
                <w:szCs w:val="24"/>
                <w:u w:val="none"/>
              </w:rPr>
            </w:pPr>
          </w:p>
        </w:tc>
        <w:tc>
          <w:tcPr>
            <w:tcW w:w="1188" w:type="dxa"/>
            <w:shd w:val="clear" w:color="auto" w:fill="auto"/>
            <w:noWrap w:val="0"/>
            <w:vAlign w:val="top"/>
          </w:tcPr>
          <w:p w14:paraId="1DCBC4B1">
            <w:pPr>
              <w:pStyle w:val="37"/>
              <w:spacing w:before="91" w:line="360" w:lineRule="auto"/>
              <w:ind w:left="116" w:leftChars="0" w:right="107" w:rightChars="0"/>
              <w:rPr>
                <w:rFonts w:hint="eastAsia" w:ascii="宋体" w:hAnsi="宋体" w:eastAsia="宋体" w:cs="宋体"/>
                <w:kern w:val="2"/>
                <w:sz w:val="24"/>
                <w:szCs w:val="24"/>
                <w:lang w:val="en-US" w:eastAsia="en-US" w:bidi="ar-SA"/>
              </w:rPr>
            </w:pPr>
            <w:r>
              <w:rPr>
                <w:rFonts w:hint="eastAsia" w:ascii="宋体" w:hAnsi="宋体" w:eastAsia="宋体" w:cs="宋体"/>
                <w:color w:val="auto"/>
                <w:sz w:val="24"/>
                <w:szCs w:val="24"/>
              </w:rPr>
              <w:t>规划编制的质量管理体系与保证措施</w:t>
            </w:r>
          </w:p>
        </w:tc>
        <w:tc>
          <w:tcPr>
            <w:tcW w:w="5925" w:type="dxa"/>
            <w:shd w:val="clear" w:color="auto" w:fill="auto"/>
            <w:noWrap w:val="0"/>
            <w:vAlign w:val="top"/>
          </w:tcPr>
          <w:p w14:paraId="34D2D061">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供应商针对本项目提出的对于规划编制质量工作，保证规划编制工作的高质量的完成，制定质量保证措施，和相关的技术保障</w:t>
            </w:r>
            <w:r>
              <w:rPr>
                <w:rFonts w:hint="eastAsia" w:ascii="宋体" w:hAnsi="宋体" w:eastAsia="宋体" w:cs="宋体"/>
                <w:color w:val="auto"/>
                <w:sz w:val="24"/>
                <w:szCs w:val="24"/>
                <w:lang w:eastAsia="zh-CN"/>
              </w:rPr>
              <w:t>：</w:t>
            </w:r>
          </w:p>
          <w:p w14:paraId="613F610F">
            <w:pPr>
              <w:numPr>
                <w:ilvl w:val="0"/>
                <w:numId w:val="9"/>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规划编制质量管理体系与措施符合要求，质量保证体系周全、完善，得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p>
          <w:p w14:paraId="611F2EAD">
            <w:pPr>
              <w:numPr>
                <w:ilvl w:val="0"/>
                <w:numId w:val="9"/>
              </w:numPr>
              <w:spacing w:line="360" w:lineRule="auto"/>
              <w:rPr>
                <w:rFonts w:hint="eastAsia" w:ascii="宋体" w:hAnsi="宋体" w:eastAsia="宋体" w:cs="宋体"/>
                <w:kern w:val="2"/>
                <w:sz w:val="24"/>
                <w:szCs w:val="24"/>
                <w:lang w:val="en-US" w:eastAsia="en-US" w:bidi="ar-SA"/>
              </w:rPr>
            </w:pPr>
            <w:r>
              <w:rPr>
                <w:rFonts w:hint="eastAsia" w:ascii="宋体" w:hAnsi="宋体" w:eastAsia="宋体" w:cs="宋体"/>
                <w:color w:val="auto"/>
                <w:sz w:val="24"/>
                <w:szCs w:val="24"/>
              </w:rPr>
              <w:t>规划质量管理体系与措施符合要求，技术方案的质量保证体系比较周全、完善，得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p>
          <w:p w14:paraId="216F778B">
            <w:pPr>
              <w:numPr>
                <w:ilvl w:val="0"/>
                <w:numId w:val="9"/>
              </w:numPr>
              <w:spacing w:line="360" w:lineRule="auto"/>
              <w:rPr>
                <w:rFonts w:hint="eastAsia" w:ascii="宋体" w:hAnsi="宋体" w:eastAsia="宋体" w:cs="宋体"/>
                <w:kern w:val="2"/>
                <w:sz w:val="24"/>
                <w:szCs w:val="24"/>
                <w:lang w:val="en-US" w:eastAsia="en-US" w:bidi="ar-SA"/>
              </w:rPr>
            </w:pPr>
            <w:r>
              <w:rPr>
                <w:rFonts w:hint="eastAsia" w:ascii="宋体" w:hAnsi="宋体" w:eastAsia="宋体" w:cs="宋体"/>
                <w:color w:val="auto"/>
                <w:sz w:val="24"/>
                <w:szCs w:val="24"/>
              </w:rPr>
              <w:t>规划质量及保证措施基本符合要求，得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w:t>
            </w:r>
          </w:p>
          <w:p w14:paraId="1B4FC001">
            <w:pPr>
              <w:numPr>
                <w:ilvl w:val="0"/>
                <w:numId w:val="9"/>
              </w:numPr>
              <w:spacing w:line="360" w:lineRule="auto"/>
              <w:rPr>
                <w:rFonts w:hint="eastAsia" w:ascii="宋体" w:hAnsi="宋体" w:eastAsia="宋体" w:cs="宋体"/>
                <w:kern w:val="2"/>
                <w:sz w:val="24"/>
                <w:szCs w:val="24"/>
                <w:lang w:val="en-US" w:eastAsia="en-US" w:bidi="ar-SA"/>
              </w:rPr>
            </w:pPr>
            <w:r>
              <w:rPr>
                <w:rFonts w:hint="eastAsia" w:ascii="宋体" w:hAnsi="宋体" w:eastAsia="宋体" w:cs="宋体"/>
                <w:color w:val="auto"/>
                <w:sz w:val="24"/>
                <w:szCs w:val="24"/>
              </w:rPr>
              <w:t>规划质量及保证措施</w:t>
            </w:r>
            <w:r>
              <w:rPr>
                <w:rFonts w:hint="eastAsia" w:ascii="宋体" w:hAnsi="宋体" w:eastAsia="宋体" w:cs="宋体"/>
                <w:color w:val="auto"/>
                <w:sz w:val="24"/>
                <w:szCs w:val="24"/>
                <w:lang w:val="en-US" w:eastAsia="zh-CN"/>
              </w:rPr>
              <w:t>不</w:t>
            </w:r>
            <w:r>
              <w:rPr>
                <w:rFonts w:hint="eastAsia" w:ascii="宋体" w:hAnsi="宋体" w:eastAsia="宋体" w:cs="宋体"/>
                <w:color w:val="auto"/>
                <w:sz w:val="24"/>
                <w:szCs w:val="24"/>
              </w:rPr>
              <w:t>符合要求，得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p w14:paraId="13B8B026">
            <w:pPr>
              <w:numPr>
                <w:ilvl w:val="0"/>
                <w:numId w:val="9"/>
              </w:numPr>
              <w:spacing w:line="360" w:lineRule="auto"/>
              <w:rPr>
                <w:rFonts w:hint="eastAsia" w:ascii="宋体" w:hAnsi="宋体" w:eastAsia="宋体" w:cs="宋体"/>
                <w:kern w:val="2"/>
                <w:sz w:val="24"/>
                <w:szCs w:val="24"/>
                <w:lang w:val="en-US" w:eastAsia="en-US" w:bidi="ar-SA"/>
              </w:rPr>
            </w:pPr>
            <w:r>
              <w:rPr>
                <w:rFonts w:hint="eastAsia" w:ascii="宋体" w:hAnsi="宋体" w:eastAsia="宋体" w:cs="宋体"/>
                <w:color w:val="auto"/>
                <w:sz w:val="24"/>
                <w:szCs w:val="24"/>
              </w:rPr>
              <w:t>缺项不得分。</w:t>
            </w:r>
          </w:p>
        </w:tc>
        <w:tc>
          <w:tcPr>
            <w:tcW w:w="711" w:type="dxa"/>
            <w:noWrap w:val="0"/>
            <w:vAlign w:val="center"/>
          </w:tcPr>
          <w:p w14:paraId="75969D38">
            <w:pPr>
              <w:spacing w:line="360" w:lineRule="auto"/>
              <w:jc w:val="center"/>
              <w:rPr>
                <w:rFonts w:hint="eastAsia" w:ascii="宋体" w:hAnsi="宋体" w:eastAsia="宋体" w:cs="宋体"/>
                <w:color w:val="auto"/>
                <w:sz w:val="24"/>
                <w:szCs w:val="24"/>
                <w:u w:val="none"/>
                <w:lang w:val="en-US" w:eastAsia="zh-CN" w:bidi="ar-SA"/>
              </w:rPr>
            </w:pPr>
            <w:r>
              <w:rPr>
                <w:rFonts w:hint="eastAsia" w:ascii="宋体" w:hAnsi="宋体" w:eastAsia="宋体" w:cs="宋体"/>
                <w:color w:val="auto"/>
                <w:sz w:val="24"/>
                <w:szCs w:val="24"/>
                <w:u w:val="none"/>
                <w:lang w:val="en-US" w:eastAsia="zh-CN" w:bidi="ar-SA"/>
              </w:rPr>
              <w:t>5分</w:t>
            </w:r>
          </w:p>
        </w:tc>
      </w:tr>
      <w:tr w14:paraId="224B9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177" w:type="dxa"/>
            <w:vMerge w:val="continue"/>
            <w:noWrap w:val="0"/>
            <w:vAlign w:val="center"/>
          </w:tcPr>
          <w:p w14:paraId="44BA1229">
            <w:pPr>
              <w:spacing w:line="360" w:lineRule="auto"/>
              <w:rPr>
                <w:rFonts w:hint="eastAsia" w:ascii="宋体" w:hAnsi="宋体" w:eastAsia="宋体" w:cs="宋体"/>
                <w:color w:val="auto"/>
                <w:sz w:val="24"/>
                <w:szCs w:val="24"/>
                <w:u w:val="none"/>
              </w:rPr>
            </w:pPr>
          </w:p>
        </w:tc>
        <w:tc>
          <w:tcPr>
            <w:tcW w:w="1188" w:type="dxa"/>
            <w:shd w:val="clear" w:color="auto" w:fill="auto"/>
            <w:noWrap w:val="0"/>
            <w:vAlign w:val="top"/>
          </w:tcPr>
          <w:p w14:paraId="295E370F">
            <w:pPr>
              <w:pStyle w:val="37"/>
              <w:spacing w:before="91" w:line="360" w:lineRule="auto"/>
              <w:ind w:left="116" w:leftChars="0" w:right="107" w:rightChars="0"/>
              <w:rPr>
                <w:rFonts w:hint="eastAsia" w:ascii="宋体" w:hAnsi="宋体" w:eastAsia="宋体" w:cs="宋体"/>
                <w:kern w:val="2"/>
                <w:sz w:val="24"/>
                <w:szCs w:val="24"/>
                <w:lang w:val="en-US" w:eastAsia="en-US" w:bidi="ar-SA"/>
              </w:rPr>
            </w:pPr>
            <w:r>
              <w:rPr>
                <w:rFonts w:hint="eastAsia" w:ascii="宋体" w:hAnsi="宋体" w:eastAsia="宋体" w:cs="宋体"/>
                <w:bCs/>
                <w:color w:val="auto"/>
                <w:sz w:val="24"/>
                <w:szCs w:val="24"/>
                <w:lang w:val="en-US" w:eastAsia="zh-CN"/>
              </w:rPr>
              <w:t>对本</w:t>
            </w:r>
            <w:r>
              <w:rPr>
                <w:rFonts w:hint="eastAsia" w:ascii="宋体" w:hAnsi="宋体" w:eastAsia="宋体" w:cs="宋体"/>
                <w:bCs/>
                <w:color w:val="auto"/>
                <w:sz w:val="24"/>
                <w:szCs w:val="24"/>
              </w:rPr>
              <w:t>规划</w:t>
            </w:r>
            <w:r>
              <w:rPr>
                <w:rFonts w:hint="eastAsia" w:ascii="宋体" w:hAnsi="宋体" w:eastAsia="宋体" w:cs="宋体"/>
                <w:bCs/>
                <w:color w:val="auto"/>
                <w:sz w:val="24"/>
                <w:szCs w:val="24"/>
                <w:lang w:val="en-US" w:eastAsia="zh-CN"/>
              </w:rPr>
              <w:t>编制项目的</w:t>
            </w:r>
            <w:r>
              <w:rPr>
                <w:rFonts w:hint="eastAsia" w:ascii="宋体" w:hAnsi="宋体" w:eastAsia="宋体" w:cs="宋体"/>
                <w:bCs/>
                <w:color w:val="auto"/>
                <w:sz w:val="24"/>
                <w:szCs w:val="24"/>
              </w:rPr>
              <w:t>合理化建议</w:t>
            </w:r>
          </w:p>
        </w:tc>
        <w:tc>
          <w:tcPr>
            <w:tcW w:w="5925" w:type="dxa"/>
            <w:shd w:val="clear" w:color="auto" w:fill="auto"/>
            <w:noWrap w:val="0"/>
            <w:vAlign w:val="top"/>
          </w:tcPr>
          <w:p w14:paraId="7536F481">
            <w:pPr>
              <w:spacing w:line="360" w:lineRule="auto"/>
              <w:rPr>
                <w:rFonts w:hint="eastAsia" w:ascii="宋体" w:hAnsi="宋体" w:eastAsia="宋体" w:cs="宋体"/>
                <w:bCs/>
                <w:color w:val="auto"/>
                <w:sz w:val="24"/>
                <w:szCs w:val="24"/>
              </w:rPr>
            </w:pPr>
            <w:r>
              <w:rPr>
                <w:rFonts w:hint="eastAsia" w:ascii="宋体" w:hAnsi="宋体" w:eastAsia="宋体" w:cs="宋体"/>
                <w:color w:val="auto"/>
                <w:sz w:val="24"/>
                <w:szCs w:val="24"/>
              </w:rPr>
              <w:t>供应商针对本项目</w:t>
            </w:r>
            <w:r>
              <w:rPr>
                <w:rFonts w:hint="eastAsia" w:ascii="宋体" w:hAnsi="宋体" w:eastAsia="宋体" w:cs="宋体"/>
                <w:color w:val="auto"/>
                <w:sz w:val="24"/>
                <w:szCs w:val="24"/>
                <w:lang w:val="en-US" w:eastAsia="zh-CN"/>
              </w:rPr>
              <w:t>提出的合理化建议</w:t>
            </w:r>
            <w:r>
              <w:rPr>
                <w:rFonts w:hint="eastAsia" w:ascii="宋体" w:hAnsi="宋体" w:eastAsia="宋体" w:cs="宋体"/>
                <w:color w:val="auto"/>
                <w:sz w:val="24"/>
                <w:szCs w:val="24"/>
                <w:lang w:eastAsia="zh-CN"/>
              </w:rPr>
              <w:t>：</w:t>
            </w:r>
          </w:p>
          <w:p w14:paraId="0E701020">
            <w:pPr>
              <w:numPr>
                <w:ilvl w:val="0"/>
                <w:numId w:val="10"/>
              </w:numPr>
              <w:spacing w:line="360" w:lineRule="auto"/>
              <w:rPr>
                <w:rFonts w:hint="eastAsia" w:ascii="宋体" w:hAnsi="宋体" w:eastAsia="宋体" w:cs="宋体"/>
                <w:sz w:val="24"/>
                <w:szCs w:val="24"/>
              </w:rPr>
            </w:pPr>
            <w:r>
              <w:rPr>
                <w:rFonts w:hint="eastAsia" w:ascii="宋体" w:hAnsi="宋体" w:eastAsia="宋体" w:cs="宋体"/>
                <w:bCs/>
                <w:color w:val="auto"/>
                <w:sz w:val="24"/>
                <w:szCs w:val="24"/>
              </w:rPr>
              <w:t>建议合理、科学，具有针对性，可行性强得5分；</w:t>
            </w:r>
          </w:p>
          <w:p w14:paraId="5EA443E1">
            <w:pPr>
              <w:pStyle w:val="16"/>
              <w:numPr>
                <w:ilvl w:val="0"/>
                <w:numId w:val="0"/>
              </w:numPr>
              <w:rPr>
                <w:rFonts w:hint="eastAsia" w:ascii="宋体" w:hAnsi="宋体" w:eastAsia="宋体" w:cs="宋体"/>
                <w:bCs/>
                <w:color w:val="auto"/>
                <w:kern w:val="2"/>
                <w:sz w:val="24"/>
                <w:szCs w:val="24"/>
                <w:lang w:val="en-US" w:eastAsia="zh-CN" w:bidi="ar-SA"/>
              </w:rPr>
            </w:pPr>
            <w:r>
              <w:rPr>
                <w:rFonts w:hint="eastAsia" w:ascii="宋体" w:hAnsi="宋体" w:eastAsia="宋体" w:cs="宋体"/>
                <w:sz w:val="24"/>
                <w:szCs w:val="24"/>
                <w:lang w:val="en-US" w:eastAsia="zh-CN"/>
              </w:rPr>
              <w:t>2</w:t>
            </w:r>
            <w:r>
              <w:rPr>
                <w:rFonts w:hint="eastAsia" w:ascii="宋体" w:hAnsi="宋体" w:eastAsia="宋体" w:cs="宋体"/>
                <w:bCs/>
                <w:color w:val="auto"/>
                <w:kern w:val="2"/>
                <w:sz w:val="24"/>
                <w:szCs w:val="24"/>
                <w:lang w:val="en-US" w:eastAsia="zh-CN" w:bidi="ar-SA"/>
              </w:rPr>
              <w:t>、建议较合理、科学，较有针对性，可行性较强得3分；</w:t>
            </w:r>
          </w:p>
          <w:p w14:paraId="5AED6C98">
            <w:pPr>
              <w:numPr>
                <w:ilvl w:val="0"/>
                <w:numId w:val="0"/>
              </w:numPr>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kern w:val="2"/>
                <w:sz w:val="24"/>
                <w:szCs w:val="24"/>
                <w:lang w:val="en-US" w:eastAsia="zh-CN" w:bidi="ar-SA"/>
              </w:rPr>
              <w:t>3</w:t>
            </w:r>
            <w:r>
              <w:rPr>
                <w:rFonts w:hint="eastAsia" w:ascii="宋体" w:hAnsi="宋体" w:eastAsia="宋体" w:cs="宋体"/>
                <w:bCs/>
                <w:color w:val="auto"/>
                <w:sz w:val="24"/>
                <w:szCs w:val="24"/>
                <w:lang w:val="en-US" w:eastAsia="zh-CN"/>
              </w:rPr>
              <w:t>、建议基本合理，针对性和可行性一般得2分；</w:t>
            </w:r>
          </w:p>
          <w:p w14:paraId="5FF101E0">
            <w:pPr>
              <w:numPr>
                <w:ilvl w:val="0"/>
                <w:numId w:val="0"/>
              </w:numPr>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4、建议不合理，没有可行性得1分；</w:t>
            </w:r>
          </w:p>
          <w:p w14:paraId="6A16B277">
            <w:pPr>
              <w:numPr>
                <w:ilvl w:val="0"/>
                <w:numId w:val="0"/>
              </w:numPr>
              <w:spacing w:line="360" w:lineRule="auto"/>
              <w:rPr>
                <w:rFonts w:hint="eastAsia" w:ascii="宋体" w:hAnsi="宋体" w:eastAsia="宋体" w:cs="宋体"/>
                <w:kern w:val="2"/>
                <w:sz w:val="24"/>
                <w:szCs w:val="24"/>
                <w:lang w:val="en-US" w:eastAsia="en-US" w:bidi="ar-SA"/>
              </w:rPr>
            </w:pPr>
            <w:r>
              <w:rPr>
                <w:rFonts w:hint="eastAsia" w:ascii="宋体" w:hAnsi="宋体" w:eastAsia="宋体" w:cs="宋体"/>
                <w:bCs/>
                <w:color w:val="auto"/>
                <w:sz w:val="24"/>
                <w:szCs w:val="24"/>
                <w:lang w:val="en-US" w:eastAsia="zh-CN"/>
              </w:rPr>
              <w:t>5、缺项不得分。</w:t>
            </w:r>
          </w:p>
        </w:tc>
        <w:tc>
          <w:tcPr>
            <w:tcW w:w="711" w:type="dxa"/>
            <w:noWrap w:val="0"/>
            <w:vAlign w:val="center"/>
          </w:tcPr>
          <w:p w14:paraId="4316F28A">
            <w:pPr>
              <w:spacing w:line="360" w:lineRule="auto"/>
              <w:jc w:val="center"/>
              <w:rPr>
                <w:rFonts w:hint="eastAsia" w:ascii="宋体" w:hAnsi="宋体" w:eastAsia="宋体" w:cs="宋体"/>
                <w:color w:val="auto"/>
                <w:sz w:val="24"/>
                <w:szCs w:val="24"/>
                <w:u w:val="none"/>
                <w:lang w:val="en-US" w:eastAsia="zh-CN" w:bidi="ar-SA"/>
              </w:rPr>
            </w:pPr>
            <w:r>
              <w:rPr>
                <w:rFonts w:hint="eastAsia" w:ascii="宋体" w:hAnsi="宋体" w:eastAsia="宋体" w:cs="宋体"/>
                <w:color w:val="auto"/>
                <w:sz w:val="24"/>
                <w:szCs w:val="24"/>
                <w:u w:val="none"/>
                <w:lang w:val="en-US" w:eastAsia="zh-CN" w:bidi="ar-SA"/>
              </w:rPr>
              <w:t>5分</w:t>
            </w:r>
          </w:p>
        </w:tc>
      </w:tr>
      <w:tr w14:paraId="4A37C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7" w:type="dxa"/>
            <w:vMerge w:val="restart"/>
            <w:noWrap w:val="0"/>
            <w:vAlign w:val="center"/>
          </w:tcPr>
          <w:p w14:paraId="21F5CADD">
            <w:pPr>
              <w:snapToGrid w:val="0"/>
              <w:spacing w:line="360" w:lineRule="auto"/>
              <w:jc w:val="center"/>
              <w:rPr>
                <w:rFonts w:hint="eastAsia" w:ascii="宋体" w:hAnsi="宋体" w:eastAsia="宋体" w:cs="宋体"/>
                <w:b/>
                <w:bCs/>
                <w:color w:val="auto"/>
                <w:sz w:val="24"/>
                <w:szCs w:val="24"/>
                <w:u w:val="none"/>
                <w:lang w:bidi="ar-SA"/>
              </w:rPr>
            </w:pPr>
            <w:r>
              <w:rPr>
                <w:rFonts w:hint="eastAsia" w:ascii="宋体" w:hAnsi="宋体" w:eastAsia="宋体" w:cs="宋体"/>
                <w:b/>
                <w:bCs/>
                <w:color w:val="auto"/>
                <w:kern w:val="0"/>
                <w:sz w:val="24"/>
                <w:szCs w:val="24"/>
                <w:u w:val="none"/>
                <w:lang w:val="en-US" w:eastAsia="zh-CN" w:bidi="ar-SA"/>
              </w:rPr>
              <w:t>综合部分</w:t>
            </w:r>
            <w:r>
              <w:rPr>
                <w:rFonts w:hint="eastAsia" w:ascii="宋体" w:hAnsi="宋体" w:eastAsia="宋体" w:cs="宋体"/>
                <w:b/>
                <w:bCs/>
                <w:color w:val="auto"/>
                <w:kern w:val="0"/>
                <w:sz w:val="24"/>
                <w:szCs w:val="24"/>
                <w:u w:val="none"/>
                <w:lang w:bidi="ar-SA"/>
              </w:rPr>
              <w:t>（</w:t>
            </w:r>
            <w:r>
              <w:rPr>
                <w:rFonts w:hint="eastAsia" w:ascii="宋体" w:hAnsi="宋体" w:eastAsia="宋体" w:cs="宋体"/>
                <w:b/>
                <w:bCs/>
                <w:color w:val="auto"/>
                <w:kern w:val="0"/>
                <w:sz w:val="24"/>
                <w:szCs w:val="24"/>
                <w:u w:val="none"/>
                <w:lang w:val="en-US" w:eastAsia="zh-CN" w:bidi="ar-SA"/>
              </w:rPr>
              <w:t>25</w:t>
            </w:r>
            <w:r>
              <w:rPr>
                <w:rFonts w:hint="eastAsia" w:ascii="宋体" w:hAnsi="宋体" w:eastAsia="宋体" w:cs="宋体"/>
                <w:b/>
                <w:bCs/>
                <w:color w:val="auto"/>
                <w:kern w:val="0"/>
                <w:sz w:val="24"/>
                <w:szCs w:val="24"/>
                <w:u w:val="none"/>
                <w:lang w:bidi="ar-SA"/>
              </w:rPr>
              <w:t>分）</w:t>
            </w:r>
          </w:p>
        </w:tc>
        <w:tc>
          <w:tcPr>
            <w:tcW w:w="1188" w:type="dxa"/>
            <w:noWrap w:val="0"/>
            <w:vAlign w:val="center"/>
          </w:tcPr>
          <w:p w14:paraId="4DA68C65">
            <w:pPr>
              <w:widowControl/>
              <w:shd w:val="clear" w:color="auto" w:fill="FFFFFF"/>
              <w:spacing w:line="360" w:lineRule="auto"/>
              <w:jc w:val="center"/>
              <w:rPr>
                <w:rFonts w:hint="eastAsia" w:ascii="宋体" w:hAnsi="宋体" w:eastAsia="宋体" w:cs="宋体"/>
                <w:color w:val="auto"/>
                <w:sz w:val="24"/>
                <w:szCs w:val="24"/>
                <w:u w:val="none"/>
                <w:lang w:bidi="ar-SA"/>
              </w:rPr>
            </w:pPr>
            <w:r>
              <w:rPr>
                <w:rFonts w:hint="eastAsia" w:ascii="宋体" w:hAnsi="宋体" w:eastAsia="宋体" w:cs="宋体"/>
                <w:color w:val="auto"/>
                <w:sz w:val="24"/>
                <w:szCs w:val="24"/>
                <w:highlight w:val="none"/>
              </w:rPr>
              <w:t>企业业绩</w:t>
            </w:r>
          </w:p>
        </w:tc>
        <w:tc>
          <w:tcPr>
            <w:tcW w:w="5925" w:type="dxa"/>
            <w:noWrap w:val="0"/>
            <w:vAlign w:val="top"/>
          </w:tcPr>
          <w:p w14:paraId="24C52620">
            <w:pPr>
              <w:pStyle w:val="4"/>
              <w:spacing w:line="360" w:lineRule="auto"/>
              <w:jc w:val="left"/>
              <w:rPr>
                <w:rFonts w:hint="eastAsia" w:ascii="宋体" w:hAnsi="宋体" w:eastAsia="宋体" w:cs="宋体"/>
                <w:color w:val="auto"/>
                <w:kern w:val="2"/>
                <w:sz w:val="24"/>
                <w:szCs w:val="24"/>
                <w:lang w:val="en-US" w:eastAsia="zh-CN"/>
              </w:rPr>
            </w:pPr>
            <w:r>
              <w:rPr>
                <w:rFonts w:hint="eastAsia" w:eastAsia="宋体" w:cs="宋体"/>
                <w:color w:val="auto"/>
                <w:kern w:val="2"/>
                <w:sz w:val="24"/>
                <w:szCs w:val="24"/>
                <w:lang w:val="en-US" w:eastAsia="zh-CN"/>
              </w:rPr>
              <w:t>供应商</w:t>
            </w:r>
            <w:r>
              <w:rPr>
                <w:rFonts w:hint="eastAsia" w:ascii="宋体" w:hAnsi="宋体" w:eastAsia="宋体" w:cs="宋体"/>
                <w:color w:val="auto"/>
                <w:kern w:val="2"/>
                <w:sz w:val="24"/>
                <w:szCs w:val="24"/>
                <w:lang w:val="en-US" w:eastAsia="zh-CN"/>
              </w:rPr>
              <w:t>2022年1月1日以来（以合同签订时间为准）承担过的类似</w:t>
            </w:r>
            <w:r>
              <w:rPr>
                <w:rFonts w:hint="eastAsia" w:eastAsia="宋体" w:cs="宋体"/>
                <w:color w:val="auto"/>
                <w:kern w:val="2"/>
                <w:sz w:val="24"/>
                <w:szCs w:val="24"/>
                <w:lang w:val="en-US" w:eastAsia="zh-CN"/>
              </w:rPr>
              <w:t>（</w:t>
            </w:r>
            <w:r>
              <w:rPr>
                <w:rFonts w:hint="eastAsia" w:eastAsia="宋体" w:cs="宋体"/>
                <w:kern w:val="2"/>
                <w:sz w:val="24"/>
                <w:szCs w:val="24"/>
              </w:rPr>
              <w:t>国家级自然保护</w:t>
            </w:r>
            <w:r>
              <w:rPr>
                <w:rFonts w:hint="eastAsia" w:eastAsia="宋体" w:cs="宋体"/>
                <w:kern w:val="2"/>
                <w:sz w:val="24"/>
                <w:szCs w:val="24"/>
                <w:lang w:val="en-US" w:eastAsia="zh-CN"/>
              </w:rPr>
              <w:t>区</w:t>
            </w:r>
            <w:r>
              <w:rPr>
                <w:rFonts w:hint="eastAsia" w:eastAsia="宋体" w:cs="宋体"/>
                <w:kern w:val="2"/>
                <w:sz w:val="24"/>
                <w:szCs w:val="24"/>
              </w:rPr>
              <w:t>总体</w:t>
            </w:r>
            <w:r>
              <w:rPr>
                <w:rFonts w:hint="eastAsia" w:ascii="宋体" w:hAnsi="宋体" w:eastAsia="宋体" w:cs="宋体"/>
                <w:color w:val="auto"/>
                <w:kern w:val="2"/>
                <w:sz w:val="24"/>
                <w:szCs w:val="24"/>
                <w:lang w:val="en-US" w:eastAsia="zh-CN"/>
              </w:rPr>
              <w:t>规划</w:t>
            </w:r>
            <w:r>
              <w:rPr>
                <w:rFonts w:hint="eastAsia" w:eastAsia="宋体" w:cs="宋体"/>
                <w:color w:val="auto"/>
                <w:kern w:val="2"/>
                <w:sz w:val="24"/>
                <w:szCs w:val="24"/>
                <w:lang w:val="en-US" w:eastAsia="zh-CN"/>
              </w:rPr>
              <w:t>、湿地保护总体规划）</w:t>
            </w:r>
            <w:r>
              <w:rPr>
                <w:rFonts w:hint="eastAsia" w:ascii="宋体" w:hAnsi="宋体" w:eastAsia="宋体" w:cs="宋体"/>
                <w:color w:val="auto"/>
                <w:kern w:val="2"/>
                <w:sz w:val="24"/>
                <w:szCs w:val="24"/>
                <w:lang w:val="en-US" w:eastAsia="zh-CN"/>
              </w:rPr>
              <w:t>项目业绩，每提供一项得</w:t>
            </w:r>
            <w:r>
              <w:rPr>
                <w:rFonts w:hint="eastAsia" w:eastAsia="宋体" w:cs="宋体"/>
                <w:color w:val="auto"/>
                <w:kern w:val="2"/>
                <w:sz w:val="24"/>
                <w:szCs w:val="24"/>
                <w:lang w:val="en-US" w:eastAsia="zh-CN"/>
              </w:rPr>
              <w:t>3</w:t>
            </w:r>
            <w:r>
              <w:rPr>
                <w:rFonts w:hint="eastAsia" w:ascii="宋体" w:hAnsi="宋体" w:eastAsia="宋体" w:cs="宋体"/>
                <w:color w:val="auto"/>
                <w:kern w:val="2"/>
                <w:sz w:val="24"/>
                <w:szCs w:val="24"/>
                <w:lang w:val="en-US" w:eastAsia="zh-CN"/>
              </w:rPr>
              <w:t>分，本项最多得</w:t>
            </w:r>
            <w:r>
              <w:rPr>
                <w:rFonts w:hint="eastAsia" w:eastAsia="宋体" w:cs="宋体"/>
                <w:color w:val="auto"/>
                <w:kern w:val="2"/>
                <w:sz w:val="24"/>
                <w:szCs w:val="24"/>
                <w:lang w:val="en-US" w:eastAsia="zh-CN"/>
              </w:rPr>
              <w:t>15</w:t>
            </w:r>
            <w:r>
              <w:rPr>
                <w:rFonts w:hint="eastAsia" w:ascii="宋体" w:hAnsi="宋体" w:eastAsia="宋体" w:cs="宋体"/>
                <w:color w:val="auto"/>
                <w:kern w:val="2"/>
                <w:sz w:val="24"/>
                <w:szCs w:val="24"/>
                <w:lang w:val="en-US" w:eastAsia="zh-CN"/>
              </w:rPr>
              <w:t>分；</w:t>
            </w:r>
            <w:r>
              <w:rPr>
                <w:rFonts w:hint="eastAsia" w:ascii="宋体" w:hAnsi="宋体" w:eastAsia="宋体" w:cs="宋体"/>
                <w:color w:val="auto"/>
                <w:sz w:val="24"/>
                <w:szCs w:val="24"/>
              </w:rPr>
              <w:t>缺项不得分</w:t>
            </w:r>
            <w:r>
              <w:rPr>
                <w:rFonts w:hint="eastAsia" w:ascii="宋体" w:hAnsi="宋体" w:eastAsia="宋体" w:cs="宋体"/>
                <w:bCs/>
                <w:color w:val="auto"/>
                <w:sz w:val="24"/>
                <w:szCs w:val="24"/>
                <w:lang w:val="en-US" w:eastAsia="zh-CN"/>
              </w:rPr>
              <w:t>。</w:t>
            </w:r>
          </w:p>
          <w:p w14:paraId="2BB6630F">
            <w:pPr>
              <w:pStyle w:val="4"/>
              <w:spacing w:line="360" w:lineRule="auto"/>
              <w:jc w:val="left"/>
              <w:rPr>
                <w:rFonts w:hint="eastAsia" w:ascii="宋体" w:hAnsi="宋体" w:eastAsia="宋体" w:cs="宋体"/>
                <w:color w:val="auto"/>
                <w:sz w:val="24"/>
                <w:szCs w:val="24"/>
                <w:u w:val="none"/>
                <w:lang w:val="en-US" w:eastAsia="zh-CN" w:bidi="ar-SA"/>
              </w:rPr>
            </w:pPr>
            <w:r>
              <w:rPr>
                <w:rFonts w:hint="eastAsia" w:ascii="宋体" w:hAnsi="宋体" w:eastAsia="宋体" w:cs="宋体"/>
                <w:color w:val="auto"/>
                <w:kern w:val="2"/>
                <w:sz w:val="24"/>
                <w:szCs w:val="24"/>
                <w:lang w:val="en-US" w:eastAsia="zh-CN"/>
              </w:rPr>
              <w:t>注：提供中标通知书或合同扫描件，以合同签订时间为准。</w:t>
            </w:r>
          </w:p>
        </w:tc>
        <w:tc>
          <w:tcPr>
            <w:tcW w:w="711" w:type="dxa"/>
            <w:noWrap w:val="0"/>
            <w:vAlign w:val="center"/>
          </w:tcPr>
          <w:p w14:paraId="7B112802">
            <w:pPr>
              <w:snapToGrid w:val="0"/>
              <w:spacing w:line="360" w:lineRule="auto"/>
              <w:jc w:val="center"/>
              <w:rPr>
                <w:rFonts w:hint="eastAsia" w:ascii="宋体" w:hAnsi="宋体" w:eastAsia="宋体" w:cs="宋体"/>
                <w:color w:val="auto"/>
                <w:sz w:val="24"/>
                <w:szCs w:val="24"/>
                <w:u w:val="none"/>
                <w:lang w:bidi="ar-SA"/>
              </w:rPr>
            </w:pPr>
            <w:r>
              <w:rPr>
                <w:rFonts w:hint="eastAsia" w:ascii="宋体" w:hAnsi="宋体" w:eastAsia="宋体" w:cs="宋体"/>
                <w:color w:val="auto"/>
                <w:sz w:val="24"/>
                <w:szCs w:val="24"/>
                <w:u w:val="none"/>
                <w:lang w:val="en-US" w:eastAsia="zh-CN" w:bidi="ar-SA"/>
              </w:rPr>
              <w:t>15</w:t>
            </w:r>
            <w:r>
              <w:rPr>
                <w:rFonts w:hint="eastAsia" w:ascii="宋体" w:hAnsi="宋体" w:eastAsia="宋体" w:cs="宋体"/>
                <w:color w:val="auto"/>
                <w:sz w:val="24"/>
                <w:szCs w:val="24"/>
                <w:u w:val="none"/>
                <w:lang w:bidi="ar-SA"/>
              </w:rPr>
              <w:t>分</w:t>
            </w:r>
          </w:p>
        </w:tc>
      </w:tr>
      <w:tr w14:paraId="18357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7" w:type="dxa"/>
            <w:vMerge w:val="continue"/>
            <w:noWrap w:val="0"/>
            <w:vAlign w:val="center"/>
          </w:tcPr>
          <w:p w14:paraId="03C4ED13">
            <w:pPr>
              <w:snapToGrid w:val="0"/>
              <w:spacing w:line="360" w:lineRule="auto"/>
              <w:jc w:val="center"/>
              <w:rPr>
                <w:rFonts w:hint="eastAsia" w:ascii="宋体" w:hAnsi="宋体" w:eastAsia="宋体" w:cs="宋体"/>
                <w:b/>
                <w:bCs/>
                <w:color w:val="auto"/>
                <w:kern w:val="0"/>
                <w:sz w:val="24"/>
                <w:szCs w:val="24"/>
                <w:u w:val="none"/>
                <w:lang w:val="en-US" w:eastAsia="zh-CN" w:bidi="ar-SA"/>
              </w:rPr>
            </w:pPr>
          </w:p>
        </w:tc>
        <w:tc>
          <w:tcPr>
            <w:tcW w:w="1188" w:type="dxa"/>
            <w:noWrap w:val="0"/>
            <w:vAlign w:val="center"/>
          </w:tcPr>
          <w:p w14:paraId="22BAA218">
            <w:pPr>
              <w:keepNext w:val="0"/>
              <w:keepLines w:val="0"/>
              <w:pageBreakBefore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项目管理机构</w:t>
            </w:r>
          </w:p>
        </w:tc>
        <w:tc>
          <w:tcPr>
            <w:tcW w:w="5925" w:type="dxa"/>
            <w:noWrap w:val="0"/>
            <w:vAlign w:val="top"/>
          </w:tcPr>
          <w:p w14:paraId="72F45CE4">
            <w:pPr>
              <w:pStyle w:val="4"/>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rPr>
              <w:t>项目组（除项目负责人外）其他人员</w:t>
            </w:r>
            <w:r>
              <w:rPr>
                <w:rFonts w:hint="eastAsia" w:ascii="宋体" w:hAnsi="宋体" w:eastAsia="宋体" w:cs="宋体"/>
                <w:color w:val="auto"/>
                <w:sz w:val="24"/>
                <w:szCs w:val="24"/>
                <w:highlight w:val="none"/>
                <w:lang w:val="en-US" w:eastAsia="zh-CN"/>
              </w:rPr>
              <w:t>具备</w:t>
            </w:r>
            <w:r>
              <w:rPr>
                <w:rFonts w:hint="eastAsia" w:eastAsia="宋体" w:cs="宋体"/>
                <w:color w:val="auto"/>
                <w:sz w:val="24"/>
                <w:szCs w:val="24"/>
                <w:highlight w:val="none"/>
                <w:lang w:val="en-US" w:eastAsia="zh-CN"/>
              </w:rPr>
              <w:t>相关专业</w:t>
            </w:r>
            <w:r>
              <w:rPr>
                <w:rFonts w:hint="eastAsia" w:eastAsia="宋体" w:cs="宋体"/>
                <w:sz w:val="24"/>
                <w:szCs w:val="24"/>
              </w:rPr>
              <w:t>（林业、林业规划设计、城乡规划设计等）</w:t>
            </w:r>
            <w:r>
              <w:rPr>
                <w:rFonts w:hint="eastAsia" w:eastAsia="宋体" w:cs="宋体"/>
                <w:color w:val="auto"/>
                <w:sz w:val="24"/>
                <w:szCs w:val="24"/>
                <w:highlight w:val="none"/>
                <w:lang w:val="en-US" w:eastAsia="zh-CN"/>
              </w:rPr>
              <w:t>中</w:t>
            </w:r>
            <w:r>
              <w:rPr>
                <w:rFonts w:hint="eastAsia" w:ascii="宋体" w:hAnsi="宋体" w:eastAsia="宋体" w:cs="宋体"/>
                <w:color w:val="auto"/>
                <w:sz w:val="24"/>
                <w:szCs w:val="24"/>
                <w:highlight w:val="none"/>
                <w:lang w:val="en-US" w:eastAsia="zh-CN"/>
              </w:rPr>
              <w:t>级及以上职称的，每配备一名得</w:t>
            </w:r>
            <w:r>
              <w:rPr>
                <w:rFonts w:hint="eastAsia"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分,本项最多得</w:t>
            </w:r>
            <w:r>
              <w:rPr>
                <w:rFonts w:hint="eastAsia"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p w14:paraId="2814E2FF">
            <w:pPr>
              <w:pStyle w:val="4"/>
              <w:spacing w:line="360" w:lineRule="auto"/>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sz w:val="24"/>
                <w:szCs w:val="24"/>
                <w:highlight w:val="none"/>
                <w:lang w:val="en-US" w:eastAsia="zh-CN"/>
              </w:rPr>
              <w:t>注：提供项目团队成员的人员证书扫描件</w:t>
            </w:r>
            <w:r>
              <w:rPr>
                <w:rFonts w:hint="eastAsia" w:eastAsia="宋体" w:cs="宋体"/>
                <w:color w:val="auto"/>
                <w:sz w:val="24"/>
                <w:szCs w:val="24"/>
                <w:highlight w:val="none"/>
                <w:lang w:val="en-US" w:eastAsia="zh-CN"/>
              </w:rPr>
              <w:t>、近半年以来连续2个月社保缴纳证明（新成立的企业从成立之日起计算）</w:t>
            </w:r>
            <w:r>
              <w:rPr>
                <w:rFonts w:hint="eastAsia" w:ascii="宋体" w:hAnsi="宋体" w:eastAsia="宋体" w:cs="宋体"/>
                <w:color w:val="auto"/>
                <w:sz w:val="24"/>
                <w:szCs w:val="24"/>
                <w:highlight w:val="none"/>
                <w:lang w:val="en-US" w:eastAsia="zh-CN"/>
              </w:rPr>
              <w:t>，未提供或不符合以上条件不得分。</w:t>
            </w:r>
          </w:p>
        </w:tc>
        <w:tc>
          <w:tcPr>
            <w:tcW w:w="711" w:type="dxa"/>
            <w:noWrap w:val="0"/>
            <w:vAlign w:val="center"/>
          </w:tcPr>
          <w:p w14:paraId="48D0E0D8">
            <w:pPr>
              <w:snapToGrid w:val="0"/>
              <w:spacing w:line="360" w:lineRule="auto"/>
              <w:jc w:val="center"/>
              <w:rPr>
                <w:rFonts w:hint="default" w:ascii="宋体" w:hAnsi="宋体" w:eastAsia="宋体" w:cs="宋体"/>
                <w:color w:val="auto"/>
                <w:sz w:val="24"/>
                <w:szCs w:val="24"/>
                <w:u w:val="none"/>
                <w:lang w:val="en-US" w:eastAsia="zh-CN" w:bidi="ar-SA"/>
              </w:rPr>
            </w:pPr>
            <w:r>
              <w:rPr>
                <w:rFonts w:hint="eastAsia" w:ascii="宋体" w:hAnsi="宋体" w:eastAsia="宋体" w:cs="宋体"/>
                <w:color w:val="auto"/>
                <w:sz w:val="24"/>
                <w:szCs w:val="24"/>
                <w:u w:val="none"/>
                <w:lang w:val="en-US" w:eastAsia="zh-CN" w:bidi="ar-SA"/>
              </w:rPr>
              <w:t>6分</w:t>
            </w:r>
          </w:p>
        </w:tc>
      </w:tr>
      <w:tr w14:paraId="45D9C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77" w:type="dxa"/>
            <w:vMerge w:val="continue"/>
            <w:noWrap w:val="0"/>
            <w:vAlign w:val="center"/>
          </w:tcPr>
          <w:p w14:paraId="065BE3CE">
            <w:pPr>
              <w:spacing w:line="360" w:lineRule="auto"/>
              <w:rPr>
                <w:rFonts w:hint="eastAsia" w:ascii="宋体" w:hAnsi="宋体" w:eastAsia="宋体" w:cs="宋体"/>
                <w:color w:val="auto"/>
                <w:sz w:val="24"/>
                <w:szCs w:val="24"/>
                <w:u w:val="none"/>
              </w:rPr>
            </w:pPr>
          </w:p>
        </w:tc>
        <w:tc>
          <w:tcPr>
            <w:tcW w:w="1188" w:type="dxa"/>
            <w:noWrap w:val="0"/>
            <w:vAlign w:val="center"/>
          </w:tcPr>
          <w:p w14:paraId="0EF93C8E">
            <w:pPr>
              <w:pStyle w:val="32"/>
              <w:spacing w:line="360" w:lineRule="auto"/>
              <w:jc w:val="both"/>
              <w:rPr>
                <w:rFonts w:hint="eastAsia" w:ascii="宋体" w:hAnsi="宋体" w:eastAsia="宋体" w:cs="宋体"/>
                <w:color w:val="auto"/>
                <w:sz w:val="24"/>
                <w:szCs w:val="24"/>
                <w:u w:val="none"/>
                <w:lang w:val="en-US" w:eastAsia="zh-CN" w:bidi="ar-SA"/>
              </w:rPr>
            </w:pPr>
            <w:r>
              <w:rPr>
                <w:rFonts w:hint="eastAsia" w:ascii="宋体" w:hAnsi="宋体" w:eastAsia="宋体" w:cs="宋体"/>
                <w:color w:val="auto"/>
                <w:sz w:val="24"/>
                <w:szCs w:val="24"/>
                <w:u w:val="none"/>
                <w:lang w:val="en-US" w:eastAsia="zh-CN" w:bidi="ar-SA"/>
              </w:rPr>
              <w:t>售后服务承诺</w:t>
            </w:r>
          </w:p>
        </w:tc>
        <w:tc>
          <w:tcPr>
            <w:tcW w:w="5925" w:type="dxa"/>
            <w:noWrap w:val="0"/>
            <w:vAlign w:val="top"/>
          </w:tcPr>
          <w:p w14:paraId="54BD6C2B">
            <w:pPr>
              <w:pStyle w:val="32"/>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就本项目的售后服务做出承诺：</w:t>
            </w:r>
          </w:p>
          <w:p w14:paraId="645FC5BE">
            <w:pPr>
              <w:pStyle w:val="32"/>
              <w:autoSpaceDE w:val="0"/>
              <w:autoSpaceDN w:val="0"/>
              <w:adjustRightInd w:val="0"/>
              <w:spacing w:line="360" w:lineRule="auto"/>
              <w:jc w:val="both"/>
              <w:rPr>
                <w:rFonts w:hint="eastAsia" w:ascii="宋体" w:hAnsi="宋体" w:eastAsia="宋体" w:cs="宋体"/>
                <w:kern w:val="0"/>
                <w:szCs w:val="21"/>
              </w:rPr>
            </w:pPr>
            <w:r>
              <w:rPr>
                <w:rFonts w:hint="eastAsia" w:hAnsi="宋体"/>
              </w:rPr>
              <w:t>至少应包括严格执行各种专业规范，积极配合方案及相关编制审批时各项修改、配合技术交底、协助审批通过</w:t>
            </w:r>
            <w:r>
              <w:rPr>
                <w:rFonts w:hint="eastAsia" w:ascii="宋体" w:hAnsi="宋体" w:eastAsia="宋体" w:cs="宋体"/>
                <w:kern w:val="0"/>
                <w:szCs w:val="21"/>
              </w:rPr>
              <w:t>等。内容完整、符合本项目要求的得4分；</w:t>
            </w:r>
          </w:p>
          <w:p w14:paraId="2F9750AC">
            <w:pPr>
              <w:pStyle w:val="32"/>
              <w:autoSpaceDE w:val="0"/>
              <w:autoSpaceDN w:val="0"/>
              <w:adjustRightInd w:val="0"/>
              <w:spacing w:line="360" w:lineRule="auto"/>
              <w:jc w:val="both"/>
              <w:rPr>
                <w:rFonts w:ascii="宋体" w:hAnsi="宋体" w:eastAsia="宋体" w:cs="宋体"/>
                <w:kern w:val="0"/>
                <w:szCs w:val="21"/>
              </w:rPr>
            </w:pPr>
            <w:r>
              <w:rPr>
                <w:rFonts w:hint="eastAsia" w:ascii="宋体" w:hAnsi="宋体" w:eastAsia="宋体" w:cs="宋体"/>
                <w:kern w:val="0"/>
                <w:szCs w:val="21"/>
              </w:rPr>
              <w:t>每有一项内容缺失或缺陷的扣</w:t>
            </w:r>
            <w:r>
              <w:rPr>
                <w:rFonts w:ascii="宋体" w:hAnsi="宋体" w:eastAsia="宋体" w:cs="宋体"/>
                <w:kern w:val="0"/>
                <w:szCs w:val="21"/>
              </w:rPr>
              <w:t xml:space="preserve">1 </w:t>
            </w:r>
            <w:r>
              <w:rPr>
                <w:rFonts w:hint="eastAsia" w:ascii="宋体" w:hAnsi="宋体" w:eastAsia="宋体" w:cs="宋体"/>
                <w:kern w:val="0"/>
                <w:szCs w:val="21"/>
              </w:rPr>
              <w:t>分，扣完为止。</w:t>
            </w:r>
          </w:p>
          <w:p w14:paraId="4C825AF9">
            <w:pPr>
              <w:pStyle w:val="16"/>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cs="宋体"/>
                <w:sz w:val="24"/>
                <w:szCs w:val="22"/>
              </w:rPr>
              <w:t>缺陷是指：存在不适用项目实际情况的情形、凭空编造、内容前后不一致、前后逻辑错误、涉及的规范及标准错误、地点区域错误、不符合采购需求、不利于项目实施等。</w:t>
            </w:r>
          </w:p>
        </w:tc>
        <w:tc>
          <w:tcPr>
            <w:tcW w:w="711" w:type="dxa"/>
            <w:noWrap w:val="0"/>
            <w:vAlign w:val="center"/>
          </w:tcPr>
          <w:p w14:paraId="5C8C0C00">
            <w:pPr>
              <w:snapToGrid w:val="0"/>
              <w:spacing w:line="360" w:lineRule="auto"/>
              <w:jc w:val="center"/>
              <w:rPr>
                <w:rFonts w:hint="eastAsia" w:ascii="宋体" w:hAnsi="宋体" w:eastAsia="宋体" w:cs="宋体"/>
                <w:color w:val="auto"/>
                <w:sz w:val="24"/>
                <w:szCs w:val="24"/>
                <w:u w:val="none"/>
                <w:lang w:bidi="ar-SA"/>
              </w:rPr>
            </w:pPr>
            <w:r>
              <w:rPr>
                <w:rFonts w:hint="eastAsia" w:ascii="宋体" w:hAnsi="宋体" w:eastAsia="宋体" w:cs="宋体"/>
                <w:color w:val="auto"/>
                <w:sz w:val="24"/>
                <w:szCs w:val="24"/>
                <w:u w:val="none"/>
                <w:lang w:val="en-US" w:eastAsia="zh-CN" w:bidi="ar-SA"/>
              </w:rPr>
              <w:t>4</w:t>
            </w:r>
            <w:r>
              <w:rPr>
                <w:rFonts w:hint="eastAsia" w:ascii="宋体" w:hAnsi="宋体" w:eastAsia="宋体" w:cs="宋体"/>
                <w:color w:val="auto"/>
                <w:sz w:val="24"/>
                <w:szCs w:val="24"/>
                <w:u w:val="none"/>
                <w:lang w:bidi="ar-SA"/>
              </w:rPr>
              <w:t>分</w:t>
            </w:r>
          </w:p>
        </w:tc>
      </w:tr>
      <w:tr w14:paraId="689E5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001" w:type="dxa"/>
            <w:gridSpan w:val="4"/>
            <w:noWrap w:val="0"/>
            <w:vAlign w:val="center"/>
          </w:tcPr>
          <w:p w14:paraId="3D25E128">
            <w:pPr>
              <w:snapToGrid w:val="0"/>
              <w:spacing w:line="360" w:lineRule="auto"/>
              <w:jc w:val="left"/>
              <w:rPr>
                <w:rFonts w:hint="eastAsia" w:ascii="宋体" w:hAnsi="宋体" w:eastAsia="宋体" w:cs="宋体"/>
                <w:color w:val="auto"/>
                <w:sz w:val="24"/>
                <w:szCs w:val="24"/>
                <w:u w:val="none"/>
                <w:lang w:val="en-US" w:eastAsia="zh-CN" w:bidi="ar-SA"/>
              </w:rPr>
            </w:pPr>
            <w:r>
              <w:rPr>
                <w:rFonts w:hint="eastAsia" w:ascii="宋体" w:hAnsi="宋体" w:eastAsia="宋体" w:cs="宋体"/>
                <w:color w:val="auto"/>
                <w:sz w:val="24"/>
                <w:szCs w:val="24"/>
                <w:u w:val="none"/>
                <w:lang w:val="en-US" w:eastAsia="zh-CN" w:bidi="ar-SA"/>
              </w:rPr>
              <w:t>注：供应商综合得分=报价部分+技术部分+商务部分。</w:t>
            </w:r>
          </w:p>
        </w:tc>
      </w:tr>
    </w:tbl>
    <w:p w14:paraId="4AFB2F05">
      <w:pPr>
        <w:numPr>
          <w:ilvl w:val="0"/>
          <w:numId w:val="0"/>
        </w:numPr>
        <w:rPr>
          <w:rFonts w:hint="default"/>
          <w:lang w:val="en-US" w:eastAsia="zh-CN"/>
        </w:rPr>
      </w:pPr>
    </w:p>
    <w:p w14:paraId="0DA13F84">
      <w:pPr>
        <w:pStyle w:val="16"/>
        <w:ind w:left="0" w:leftChars="0" w:firstLine="0" w:firstLineChars="0"/>
        <w:rPr>
          <w:rFonts w:hint="default"/>
          <w:lang w:val="en-US" w:eastAsia="zh-CN"/>
        </w:rPr>
      </w:pPr>
    </w:p>
    <w:p w14:paraId="2CEF1FD0">
      <w:pPr>
        <w:rPr>
          <w:rFonts w:hint="default"/>
          <w:lang w:val="en-US" w:eastAsia="zh-CN"/>
        </w:rPr>
      </w:pPr>
    </w:p>
    <w:p w14:paraId="285BE92A">
      <w:pPr>
        <w:rPr>
          <w:rFonts w:hint="default"/>
          <w:lang w:val="en-US" w:eastAsia="zh-CN"/>
        </w:rPr>
      </w:pPr>
    </w:p>
    <w:p w14:paraId="447CF695">
      <w:pPr>
        <w:rPr>
          <w:rFonts w:hint="default"/>
          <w:lang w:val="en-US" w:eastAsia="zh-CN"/>
        </w:rPr>
      </w:pPr>
    </w:p>
    <w:p w14:paraId="31754AA4">
      <w:pPr>
        <w:rPr>
          <w:rFonts w:hint="default"/>
          <w:lang w:val="en-US" w:eastAsia="zh-CN"/>
        </w:rPr>
      </w:pPr>
    </w:p>
    <w:p w14:paraId="47D3FFE1">
      <w:pPr>
        <w:rPr>
          <w:rFonts w:hint="default"/>
          <w:lang w:val="en-US" w:eastAsia="zh-CN"/>
        </w:rPr>
      </w:pPr>
    </w:p>
    <w:p w14:paraId="2469C350">
      <w:pPr>
        <w:rPr>
          <w:rFonts w:hint="default"/>
          <w:lang w:val="en-US" w:eastAsia="zh-CN"/>
        </w:rPr>
      </w:pPr>
    </w:p>
    <w:p w14:paraId="1B94EBBD">
      <w:pPr>
        <w:rPr>
          <w:rFonts w:hint="default"/>
          <w:lang w:val="en-US" w:eastAsia="zh-CN"/>
        </w:rPr>
      </w:pPr>
    </w:p>
    <w:p w14:paraId="4554AD87">
      <w:pPr>
        <w:rPr>
          <w:rFonts w:hint="default"/>
          <w:lang w:val="en-US" w:eastAsia="zh-CN"/>
        </w:rPr>
      </w:pPr>
    </w:p>
    <w:p w14:paraId="15AE72FA">
      <w:pPr>
        <w:rPr>
          <w:rFonts w:hint="default"/>
          <w:lang w:val="en-US" w:eastAsia="zh-CN"/>
        </w:rPr>
      </w:pPr>
    </w:p>
    <w:p w14:paraId="28BE16B4">
      <w:pPr>
        <w:rPr>
          <w:rFonts w:hint="default"/>
          <w:lang w:val="en-US" w:eastAsia="zh-CN"/>
        </w:rPr>
      </w:pPr>
    </w:p>
    <w:p w14:paraId="3AB34E14">
      <w:pPr>
        <w:rPr>
          <w:rFonts w:hint="default"/>
          <w:lang w:val="en-US" w:eastAsia="zh-CN"/>
        </w:rPr>
      </w:pPr>
    </w:p>
    <w:p w14:paraId="01B9E347">
      <w:pPr>
        <w:rPr>
          <w:rFonts w:hint="default"/>
          <w:lang w:val="en-US" w:eastAsia="zh-CN"/>
        </w:rPr>
      </w:pPr>
    </w:p>
    <w:p w14:paraId="7EF71D2A">
      <w:pPr>
        <w:rPr>
          <w:rFonts w:hint="default"/>
          <w:lang w:val="en-US" w:eastAsia="zh-CN"/>
        </w:rPr>
      </w:pPr>
    </w:p>
    <w:p w14:paraId="1FD154E7">
      <w:pPr>
        <w:rPr>
          <w:rFonts w:hint="default"/>
          <w:lang w:val="en-US" w:eastAsia="zh-CN"/>
        </w:rPr>
      </w:pPr>
    </w:p>
    <w:p w14:paraId="536A06E2">
      <w:pPr>
        <w:numPr>
          <w:ilvl w:val="0"/>
          <w:numId w:val="0"/>
        </w:numPr>
        <w:tabs>
          <w:tab w:val="left" w:pos="312"/>
        </w:tabs>
        <w:spacing w:line="500" w:lineRule="exact"/>
        <w:ind w:firstLine="482" w:firstLineChars="200"/>
        <w:rPr>
          <w:rFonts w:ascii="宋体" w:hAnsi="宋体" w:cs="宋体"/>
          <w:b/>
          <w:sz w:val="24"/>
          <w:szCs w:val="24"/>
        </w:rPr>
      </w:pPr>
      <w:r>
        <w:rPr>
          <w:rFonts w:hint="eastAsia" w:ascii="宋体" w:hAnsi="宋体" w:cs="宋体"/>
          <w:b/>
          <w:bCs/>
          <w:kern w:val="0"/>
          <w:sz w:val="24"/>
          <w:szCs w:val="24"/>
          <w:lang w:val="en-US" w:eastAsia="zh-CN"/>
        </w:rPr>
        <w:t>1、</w:t>
      </w:r>
      <w:r>
        <w:rPr>
          <w:rFonts w:hint="eastAsia" w:ascii="宋体" w:hAnsi="宋体" w:cs="宋体"/>
          <w:b/>
          <w:bCs/>
          <w:kern w:val="0"/>
          <w:sz w:val="24"/>
          <w:szCs w:val="24"/>
        </w:rPr>
        <w:t>本次磋商采用综合评分法：</w:t>
      </w:r>
      <w:r>
        <w:rPr>
          <w:rFonts w:hint="eastAsia" w:ascii="宋体" w:hAnsi="宋体" w:cs="宋体"/>
          <w:sz w:val="24"/>
          <w:szCs w:val="24"/>
        </w:rPr>
        <w:t>磋商小组对满足竞争性磋商文件实质性要求和提交最终报价的响应文件，按本章节规定的评分标准进行综合评分，并按得分由高到低顺序推荐3名成交候选人。</w:t>
      </w:r>
    </w:p>
    <w:p w14:paraId="2661E1DC">
      <w:pPr>
        <w:spacing w:line="500" w:lineRule="exact"/>
        <w:ind w:firstLine="482" w:firstLineChars="200"/>
        <w:rPr>
          <w:rFonts w:ascii="宋体" w:hAnsi="宋体" w:cs="宋体"/>
          <w:b/>
          <w:bCs/>
          <w:sz w:val="24"/>
          <w:szCs w:val="24"/>
        </w:rPr>
      </w:pPr>
      <w:r>
        <w:rPr>
          <w:rFonts w:hint="eastAsia" w:ascii="宋体" w:hAnsi="宋体" w:cs="宋体"/>
          <w:b/>
          <w:bCs/>
          <w:sz w:val="24"/>
          <w:szCs w:val="24"/>
        </w:rPr>
        <w:t>2、 评审标准</w:t>
      </w:r>
    </w:p>
    <w:p w14:paraId="7DACDA7F">
      <w:pPr>
        <w:spacing w:line="500" w:lineRule="exact"/>
        <w:ind w:firstLine="420" w:firstLineChars="175"/>
        <w:rPr>
          <w:rFonts w:ascii="宋体" w:hAnsi="宋体" w:cs="宋体"/>
          <w:sz w:val="24"/>
          <w:szCs w:val="24"/>
        </w:rPr>
      </w:pPr>
      <w:bookmarkStart w:id="118" w:name="_Toc23196"/>
      <w:bookmarkEnd w:id="118"/>
      <w:bookmarkStart w:id="119" w:name="_Toc179632620"/>
      <w:bookmarkEnd w:id="119"/>
      <w:bookmarkStart w:id="120" w:name="_Toc31847"/>
      <w:bookmarkEnd w:id="120"/>
      <w:bookmarkStart w:id="121" w:name="_Toc12931"/>
      <w:bookmarkEnd w:id="121"/>
      <w:r>
        <w:rPr>
          <w:rFonts w:hint="eastAsia" w:ascii="宋体" w:hAnsi="宋体" w:cs="宋体"/>
          <w:sz w:val="24"/>
          <w:szCs w:val="24"/>
        </w:rPr>
        <w:t>2.1 初步评审标准</w:t>
      </w:r>
    </w:p>
    <w:p w14:paraId="314A48EA">
      <w:pPr>
        <w:spacing w:line="500" w:lineRule="exact"/>
        <w:ind w:firstLine="420" w:firstLineChars="175"/>
        <w:rPr>
          <w:rFonts w:ascii="宋体" w:hAnsi="宋体" w:cs="宋体"/>
          <w:sz w:val="24"/>
          <w:szCs w:val="24"/>
        </w:rPr>
      </w:pPr>
      <w:r>
        <w:rPr>
          <w:rFonts w:hint="eastAsia" w:ascii="宋体" w:hAnsi="宋体" w:cs="宋体"/>
          <w:sz w:val="24"/>
          <w:szCs w:val="24"/>
        </w:rPr>
        <w:t>2.1.1符合性评审标准：见磋商办法前附表。</w:t>
      </w:r>
    </w:p>
    <w:p w14:paraId="1D69EDA8">
      <w:pPr>
        <w:spacing w:line="500" w:lineRule="exact"/>
        <w:ind w:firstLine="420" w:firstLineChars="175"/>
        <w:rPr>
          <w:rFonts w:ascii="宋体" w:hAnsi="宋体" w:cs="宋体"/>
          <w:sz w:val="24"/>
          <w:szCs w:val="24"/>
        </w:rPr>
      </w:pPr>
      <w:r>
        <w:rPr>
          <w:rFonts w:hint="eastAsia" w:ascii="宋体" w:hAnsi="宋体" w:cs="宋体"/>
          <w:sz w:val="24"/>
          <w:szCs w:val="24"/>
        </w:rPr>
        <w:t>2.1.2 资格</w:t>
      </w:r>
      <w:r>
        <w:rPr>
          <w:rFonts w:hint="eastAsia" w:ascii="宋体" w:hAnsi="宋体" w:cs="宋体"/>
          <w:sz w:val="24"/>
          <w:szCs w:val="24"/>
          <w:lang w:eastAsia="zh-CN"/>
        </w:rPr>
        <w:t>性</w:t>
      </w:r>
      <w:r>
        <w:rPr>
          <w:rFonts w:hint="eastAsia" w:ascii="宋体" w:hAnsi="宋体" w:cs="宋体"/>
          <w:sz w:val="24"/>
          <w:szCs w:val="24"/>
        </w:rPr>
        <w:t>评审标准：见磋商办法前附表。</w:t>
      </w:r>
    </w:p>
    <w:p w14:paraId="10D37FAC">
      <w:pPr>
        <w:spacing w:line="500" w:lineRule="exact"/>
        <w:ind w:firstLine="420" w:firstLineChars="175"/>
        <w:rPr>
          <w:rFonts w:ascii="宋体" w:hAnsi="宋体" w:cs="宋体"/>
          <w:sz w:val="24"/>
          <w:szCs w:val="24"/>
        </w:rPr>
      </w:pPr>
      <w:r>
        <w:rPr>
          <w:rFonts w:hint="eastAsia" w:ascii="宋体" w:hAnsi="宋体" w:cs="宋体"/>
          <w:sz w:val="24"/>
          <w:szCs w:val="24"/>
        </w:rPr>
        <w:t>2.1.3 响应性评审标准：见磋商办法前附表。</w:t>
      </w:r>
    </w:p>
    <w:p w14:paraId="68094FC5">
      <w:pPr>
        <w:spacing w:line="500" w:lineRule="exact"/>
        <w:ind w:firstLine="420" w:firstLineChars="175"/>
        <w:rPr>
          <w:rFonts w:hint="default" w:ascii="宋体" w:hAnsi="宋体" w:cs="宋体" w:eastAsiaTheme="minorEastAsia"/>
          <w:sz w:val="24"/>
          <w:szCs w:val="24"/>
          <w:lang w:val="en-US" w:eastAsia="zh-CN"/>
        </w:rPr>
      </w:pPr>
      <w:bookmarkStart w:id="122" w:name="_Toc11804"/>
      <w:bookmarkEnd w:id="122"/>
      <w:bookmarkStart w:id="123" w:name="_Toc179632621"/>
      <w:bookmarkEnd w:id="123"/>
      <w:bookmarkStart w:id="124" w:name="_Toc16603"/>
      <w:bookmarkEnd w:id="124"/>
      <w:bookmarkStart w:id="125" w:name="_Toc607"/>
      <w:bookmarkEnd w:id="125"/>
      <w:r>
        <w:rPr>
          <w:rFonts w:hint="eastAsia" w:ascii="宋体" w:hAnsi="宋体" w:cs="宋体"/>
          <w:sz w:val="24"/>
          <w:szCs w:val="24"/>
        </w:rPr>
        <w:t>2.2 分值构成与评分标准</w:t>
      </w:r>
      <w:r>
        <w:rPr>
          <w:rFonts w:hint="eastAsia" w:ascii="宋体" w:hAnsi="宋体" w:cs="宋体"/>
          <w:sz w:val="24"/>
          <w:szCs w:val="24"/>
          <w:lang w:eastAsia="zh-CN"/>
        </w:rPr>
        <w:t>：</w:t>
      </w:r>
      <w:r>
        <w:rPr>
          <w:rFonts w:hint="eastAsia" w:ascii="宋体" w:hAnsi="宋体" w:cs="宋体"/>
          <w:sz w:val="24"/>
          <w:szCs w:val="24"/>
          <w:lang w:val="en-US" w:eastAsia="zh-CN"/>
        </w:rPr>
        <w:t>见详细评分表。</w:t>
      </w:r>
    </w:p>
    <w:p w14:paraId="003CCFD8">
      <w:pPr>
        <w:spacing w:line="500" w:lineRule="exact"/>
        <w:ind w:firstLine="482" w:firstLineChars="200"/>
        <w:rPr>
          <w:rFonts w:ascii="宋体" w:hAnsi="宋体" w:cs="宋体"/>
          <w:b/>
          <w:bCs/>
          <w:sz w:val="24"/>
          <w:szCs w:val="24"/>
        </w:rPr>
      </w:pPr>
      <w:bookmarkStart w:id="126" w:name="_Toc152042381"/>
      <w:bookmarkEnd w:id="126"/>
      <w:r>
        <w:rPr>
          <w:rFonts w:hint="eastAsia" w:ascii="宋体" w:hAnsi="宋体" w:cs="宋体"/>
          <w:b/>
          <w:bCs/>
          <w:sz w:val="24"/>
          <w:szCs w:val="24"/>
        </w:rPr>
        <w:t>3、磋商程序</w:t>
      </w:r>
    </w:p>
    <w:p w14:paraId="4137BCAD">
      <w:pPr>
        <w:spacing w:line="500" w:lineRule="exact"/>
        <w:ind w:firstLine="480" w:firstLineChars="200"/>
        <w:rPr>
          <w:rFonts w:ascii="宋体" w:hAnsi="宋体" w:cs="宋体"/>
          <w:sz w:val="24"/>
          <w:szCs w:val="24"/>
        </w:rPr>
      </w:pPr>
      <w:bookmarkStart w:id="127" w:name="_Toc179632623"/>
      <w:bookmarkEnd w:id="127"/>
      <w:bookmarkStart w:id="128" w:name="_Toc152042382"/>
      <w:bookmarkEnd w:id="128"/>
      <w:bookmarkStart w:id="129" w:name="_Toc144974572"/>
      <w:bookmarkEnd w:id="129"/>
      <w:bookmarkStart w:id="130" w:name="_Toc30372"/>
      <w:bookmarkEnd w:id="130"/>
      <w:bookmarkStart w:id="131" w:name="_Toc152045605"/>
      <w:bookmarkEnd w:id="131"/>
      <w:bookmarkStart w:id="132" w:name="_Toc8644"/>
      <w:bookmarkEnd w:id="132"/>
      <w:bookmarkStart w:id="133" w:name="_Toc31010"/>
      <w:bookmarkEnd w:id="133"/>
      <w:r>
        <w:rPr>
          <w:rFonts w:hint="eastAsia" w:ascii="宋体" w:hAnsi="宋体" w:cs="宋体"/>
          <w:sz w:val="24"/>
          <w:szCs w:val="24"/>
        </w:rPr>
        <w:t>3.1 初步评审</w:t>
      </w:r>
    </w:p>
    <w:p w14:paraId="23CB99A6">
      <w:pPr>
        <w:spacing w:line="500" w:lineRule="exact"/>
        <w:ind w:firstLine="480" w:firstLineChars="200"/>
        <w:rPr>
          <w:rFonts w:ascii="宋体" w:hAnsi="宋体" w:cs="宋体"/>
          <w:sz w:val="24"/>
          <w:szCs w:val="24"/>
        </w:rPr>
      </w:pPr>
      <w:r>
        <w:rPr>
          <w:rFonts w:hint="eastAsia" w:ascii="宋体" w:hAnsi="宋体" w:cs="宋体"/>
          <w:sz w:val="24"/>
          <w:szCs w:val="24"/>
        </w:rPr>
        <w:t>3.1.1 资格审查以响应文件为准，其上传资料真实性由</w:t>
      </w:r>
      <w:r>
        <w:rPr>
          <w:rFonts w:hint="eastAsia" w:ascii="宋体" w:hAnsi="宋体" w:cs="宋体"/>
          <w:sz w:val="24"/>
          <w:szCs w:val="24"/>
          <w:lang w:eastAsia="zh-CN"/>
        </w:rPr>
        <w:t>供应商</w:t>
      </w:r>
      <w:r>
        <w:rPr>
          <w:rFonts w:hint="eastAsia" w:ascii="宋体" w:hAnsi="宋体" w:cs="宋体"/>
          <w:sz w:val="24"/>
          <w:szCs w:val="24"/>
        </w:rPr>
        <w:t>自行承担。磋商小组依据本章规定的标准对响应文件进行初步评审。有一项不符合评审标准的，其磋商将被否决。</w:t>
      </w:r>
    </w:p>
    <w:p w14:paraId="7E674AEF">
      <w:pPr>
        <w:spacing w:line="500" w:lineRule="exact"/>
        <w:ind w:firstLine="480" w:firstLineChars="200"/>
        <w:rPr>
          <w:rFonts w:ascii="宋体" w:hAnsi="宋体" w:cs="宋体"/>
          <w:sz w:val="24"/>
          <w:szCs w:val="24"/>
        </w:rPr>
      </w:pPr>
      <w:r>
        <w:rPr>
          <w:rFonts w:hint="eastAsia" w:ascii="宋体" w:hAnsi="宋体" w:cs="宋体"/>
          <w:sz w:val="24"/>
          <w:szCs w:val="24"/>
        </w:rPr>
        <w:t>3.1.2磋商小组依据</w:t>
      </w:r>
      <w:r>
        <w:rPr>
          <w:rFonts w:hint="eastAsia" w:ascii="宋体" w:hAnsi="宋体" w:cs="宋体"/>
          <w:sz w:val="24"/>
          <w:szCs w:val="24"/>
          <w:lang w:val="en-US" w:eastAsia="zh-CN"/>
        </w:rPr>
        <w:t>磋商文件</w:t>
      </w:r>
      <w:r>
        <w:rPr>
          <w:rFonts w:hint="eastAsia" w:ascii="宋体" w:hAnsi="宋体" w:cs="宋体"/>
          <w:sz w:val="24"/>
          <w:szCs w:val="24"/>
        </w:rPr>
        <w:t>规定的评审标准对响应文件进行初步评审。有一项不符合评审标准的，其磋商将被否决。</w:t>
      </w:r>
    </w:p>
    <w:p w14:paraId="2AA8F5FE">
      <w:pPr>
        <w:spacing w:line="500" w:lineRule="exact"/>
        <w:ind w:firstLine="480" w:firstLineChars="200"/>
        <w:rPr>
          <w:rFonts w:ascii="宋体" w:hAnsi="宋体" w:cs="宋体"/>
          <w:sz w:val="24"/>
          <w:szCs w:val="24"/>
        </w:rPr>
      </w:pPr>
      <w:r>
        <w:rPr>
          <w:rFonts w:hint="eastAsia" w:ascii="宋体" w:hAnsi="宋体" w:cs="宋体"/>
          <w:sz w:val="24"/>
          <w:szCs w:val="24"/>
        </w:rPr>
        <w:t>3.1.3</w:t>
      </w:r>
      <w:r>
        <w:rPr>
          <w:rFonts w:hint="eastAsia" w:ascii="宋体" w:hAnsi="宋体" w:cs="宋体"/>
          <w:sz w:val="24"/>
          <w:szCs w:val="24"/>
          <w:lang w:eastAsia="zh-CN"/>
        </w:rPr>
        <w:t>供应商</w:t>
      </w:r>
      <w:r>
        <w:rPr>
          <w:rFonts w:hint="eastAsia" w:ascii="宋体" w:hAnsi="宋体" w:cs="宋体"/>
          <w:sz w:val="24"/>
          <w:szCs w:val="24"/>
        </w:rPr>
        <w:t>有以下情形之一的，其磋商作无效标处理：</w:t>
      </w:r>
    </w:p>
    <w:p w14:paraId="6FCFF6CD">
      <w:pPr>
        <w:spacing w:line="500" w:lineRule="exact"/>
        <w:ind w:firstLine="480" w:firstLineChars="200"/>
        <w:rPr>
          <w:rFonts w:ascii="宋体" w:hAnsi="宋体" w:cs="宋体"/>
          <w:sz w:val="24"/>
          <w:szCs w:val="24"/>
        </w:rPr>
      </w:pPr>
      <w:r>
        <w:rPr>
          <w:rFonts w:hint="eastAsia" w:ascii="宋体" w:hAnsi="宋体" w:cs="宋体"/>
          <w:sz w:val="24"/>
          <w:szCs w:val="24"/>
        </w:rPr>
        <w:t>（1）串通磋商或弄虚作假或有其他违法行为的；</w:t>
      </w:r>
    </w:p>
    <w:p w14:paraId="547F79C0">
      <w:pPr>
        <w:spacing w:line="500" w:lineRule="exact"/>
        <w:ind w:firstLine="480" w:firstLineChars="200"/>
        <w:rPr>
          <w:rFonts w:ascii="宋体" w:hAnsi="宋体" w:cs="宋体"/>
          <w:sz w:val="24"/>
          <w:szCs w:val="24"/>
        </w:rPr>
      </w:pPr>
      <w:r>
        <w:rPr>
          <w:rFonts w:hint="eastAsia" w:ascii="宋体" w:hAnsi="宋体" w:cs="宋体"/>
          <w:sz w:val="24"/>
          <w:szCs w:val="24"/>
        </w:rPr>
        <w:t>（2）不按磋商小组要求澄清、说明或补正的。</w:t>
      </w:r>
    </w:p>
    <w:p w14:paraId="4AA4F7BB">
      <w:pPr>
        <w:spacing w:line="500" w:lineRule="exact"/>
        <w:ind w:firstLine="480" w:firstLineChars="200"/>
        <w:rPr>
          <w:rFonts w:ascii="宋体" w:hAnsi="宋体" w:cs="宋体"/>
          <w:sz w:val="24"/>
          <w:szCs w:val="24"/>
        </w:rPr>
      </w:pPr>
      <w:r>
        <w:rPr>
          <w:rFonts w:hint="eastAsia" w:ascii="宋体" w:hAnsi="宋体" w:cs="宋体"/>
          <w:sz w:val="24"/>
          <w:szCs w:val="24"/>
        </w:rPr>
        <w:t>3.1.4磋商报价有算术错误的，磋商小组按以下原则对磋商报价进行修正，修正的价格经</w:t>
      </w:r>
      <w:r>
        <w:rPr>
          <w:rFonts w:hint="eastAsia" w:ascii="宋体" w:hAnsi="宋体" w:cs="宋体"/>
          <w:sz w:val="24"/>
          <w:szCs w:val="24"/>
          <w:lang w:eastAsia="zh-CN"/>
        </w:rPr>
        <w:t>供应商</w:t>
      </w:r>
      <w:r>
        <w:rPr>
          <w:rFonts w:hint="eastAsia" w:ascii="宋体" w:hAnsi="宋体" w:cs="宋体"/>
          <w:sz w:val="24"/>
          <w:szCs w:val="24"/>
        </w:rPr>
        <w:t>书面确认后具有约束力。</w:t>
      </w:r>
      <w:r>
        <w:rPr>
          <w:rFonts w:hint="eastAsia" w:ascii="宋体" w:hAnsi="宋体" w:cs="宋体"/>
          <w:sz w:val="24"/>
          <w:szCs w:val="24"/>
          <w:lang w:eastAsia="zh-CN"/>
        </w:rPr>
        <w:t>供应商</w:t>
      </w:r>
      <w:r>
        <w:rPr>
          <w:rFonts w:hint="eastAsia" w:ascii="宋体" w:hAnsi="宋体" w:cs="宋体"/>
          <w:sz w:val="24"/>
          <w:szCs w:val="24"/>
        </w:rPr>
        <w:t>不接受修正价格的，其磋商将被否决。</w:t>
      </w:r>
    </w:p>
    <w:p w14:paraId="7B91ABD9">
      <w:pPr>
        <w:spacing w:line="500" w:lineRule="exact"/>
        <w:ind w:firstLine="480" w:firstLineChars="200"/>
        <w:rPr>
          <w:rFonts w:ascii="宋体" w:hAnsi="宋体" w:cs="宋体"/>
          <w:sz w:val="24"/>
          <w:szCs w:val="24"/>
        </w:rPr>
      </w:pPr>
      <w:bookmarkStart w:id="134" w:name="_Toc152042383"/>
      <w:bookmarkEnd w:id="134"/>
      <w:r>
        <w:rPr>
          <w:rFonts w:hint="eastAsia" w:ascii="宋体" w:hAnsi="宋体" w:cs="宋体"/>
          <w:sz w:val="24"/>
          <w:szCs w:val="24"/>
        </w:rPr>
        <w:t>（1）响应文件中的大写金额与小写金额不一致的，以大写金额为准；</w:t>
      </w:r>
    </w:p>
    <w:p w14:paraId="0FFE0233">
      <w:pPr>
        <w:spacing w:line="500" w:lineRule="exact"/>
        <w:ind w:firstLine="480" w:firstLineChars="200"/>
        <w:rPr>
          <w:rFonts w:ascii="宋体" w:hAnsi="宋体" w:cs="宋体"/>
          <w:sz w:val="24"/>
          <w:szCs w:val="24"/>
        </w:rPr>
      </w:pPr>
      <w:r>
        <w:rPr>
          <w:rFonts w:hint="eastAsia" w:ascii="宋体" w:hAnsi="宋体" w:cs="宋体"/>
          <w:sz w:val="24"/>
          <w:szCs w:val="24"/>
        </w:rPr>
        <w:t>（2）总价金额与依据单价计算出的结果不一致的，以单价金额为准修正总价，但单价金额小数点有明显错误的除外。</w:t>
      </w:r>
    </w:p>
    <w:p w14:paraId="1435BD12">
      <w:pPr>
        <w:spacing w:line="500" w:lineRule="exact"/>
        <w:ind w:firstLine="480" w:firstLineChars="200"/>
        <w:rPr>
          <w:rFonts w:ascii="宋体" w:hAnsi="宋体" w:cs="宋体"/>
          <w:sz w:val="24"/>
          <w:szCs w:val="24"/>
        </w:rPr>
      </w:pPr>
      <w:bookmarkStart w:id="135" w:name="_Toc152042384"/>
      <w:bookmarkEnd w:id="135"/>
      <w:bookmarkStart w:id="136" w:name="_Toc152045606"/>
      <w:bookmarkEnd w:id="136"/>
      <w:bookmarkStart w:id="137" w:name="_Toc179632624"/>
      <w:bookmarkEnd w:id="137"/>
      <w:bookmarkStart w:id="138" w:name="_Toc144974573"/>
      <w:bookmarkEnd w:id="138"/>
      <w:r>
        <w:rPr>
          <w:rFonts w:hint="eastAsia" w:ascii="宋体" w:hAnsi="宋体" w:cs="宋体"/>
          <w:sz w:val="24"/>
          <w:szCs w:val="24"/>
        </w:rPr>
        <w:t>3.2 详细评审</w:t>
      </w:r>
    </w:p>
    <w:p w14:paraId="6472B06A">
      <w:pPr>
        <w:spacing w:line="500" w:lineRule="exact"/>
        <w:ind w:firstLine="480" w:firstLineChars="200"/>
        <w:rPr>
          <w:rFonts w:ascii="宋体" w:hAnsi="宋体" w:cs="宋体"/>
          <w:sz w:val="24"/>
          <w:szCs w:val="24"/>
        </w:rPr>
      </w:pPr>
      <w:r>
        <w:rPr>
          <w:rFonts w:hint="eastAsia" w:ascii="宋体" w:hAnsi="宋体" w:cs="宋体"/>
          <w:sz w:val="24"/>
          <w:szCs w:val="24"/>
        </w:rPr>
        <w:t>3.2.1 磋商小组按本章详细评审规定的量化因素和分值进行打分，并计算出综合评估得分。</w:t>
      </w:r>
    </w:p>
    <w:p w14:paraId="478E6625">
      <w:pPr>
        <w:spacing w:line="500" w:lineRule="exact"/>
        <w:ind w:firstLine="480" w:firstLineChars="200"/>
        <w:rPr>
          <w:rFonts w:ascii="宋体" w:hAnsi="宋体" w:cs="宋体"/>
          <w:sz w:val="24"/>
          <w:szCs w:val="24"/>
        </w:rPr>
      </w:pPr>
      <w:r>
        <w:rPr>
          <w:rFonts w:hint="eastAsia" w:ascii="宋体" w:hAnsi="宋体" w:cs="宋体"/>
          <w:sz w:val="24"/>
          <w:szCs w:val="24"/>
        </w:rPr>
        <w:t>3.2.2 磋商小组发现</w:t>
      </w:r>
      <w:r>
        <w:rPr>
          <w:rFonts w:hint="eastAsia" w:ascii="宋体" w:hAnsi="宋体" w:cs="宋体"/>
          <w:sz w:val="24"/>
          <w:szCs w:val="24"/>
          <w:lang w:eastAsia="zh-CN"/>
        </w:rPr>
        <w:t>供应商</w:t>
      </w:r>
      <w:r>
        <w:rPr>
          <w:rFonts w:hint="eastAsia" w:ascii="宋体" w:hAnsi="宋体" w:cs="宋体"/>
          <w:sz w:val="24"/>
          <w:szCs w:val="24"/>
        </w:rPr>
        <w:t>最终提交的报价明显低于其他磋商报价，或者在设有磋商控制价时明显低于磋商控制价，使得其磋商报价可能低于其个别成本的，应当要求该</w:t>
      </w:r>
      <w:r>
        <w:rPr>
          <w:rFonts w:hint="eastAsia" w:ascii="宋体" w:hAnsi="宋体" w:cs="宋体"/>
          <w:sz w:val="24"/>
          <w:szCs w:val="24"/>
          <w:lang w:eastAsia="zh-CN"/>
        </w:rPr>
        <w:t>供应商</w:t>
      </w:r>
      <w:r>
        <w:rPr>
          <w:rFonts w:hint="eastAsia" w:ascii="宋体" w:hAnsi="宋体" w:cs="宋体"/>
          <w:sz w:val="24"/>
          <w:szCs w:val="24"/>
        </w:rPr>
        <w:t>作出书面说明并提供相应的证明材料。</w:t>
      </w:r>
      <w:r>
        <w:rPr>
          <w:rFonts w:hint="eastAsia" w:ascii="宋体" w:hAnsi="宋体" w:cs="宋体"/>
          <w:sz w:val="24"/>
          <w:szCs w:val="24"/>
          <w:lang w:eastAsia="zh-CN"/>
        </w:rPr>
        <w:t>供应商</w:t>
      </w:r>
      <w:r>
        <w:rPr>
          <w:rFonts w:hint="eastAsia" w:ascii="宋体" w:hAnsi="宋体" w:cs="宋体"/>
          <w:sz w:val="24"/>
          <w:szCs w:val="24"/>
        </w:rPr>
        <w:t>不能合理说明或者不能提供相应证明材料的，由磋商小组认定该</w:t>
      </w:r>
      <w:r>
        <w:rPr>
          <w:rFonts w:hint="eastAsia" w:ascii="宋体" w:hAnsi="宋体" w:cs="宋体"/>
          <w:sz w:val="24"/>
          <w:szCs w:val="24"/>
          <w:lang w:eastAsia="zh-CN"/>
        </w:rPr>
        <w:t>供应商</w:t>
      </w:r>
      <w:r>
        <w:rPr>
          <w:rFonts w:hint="eastAsia" w:ascii="宋体" w:hAnsi="宋体" w:cs="宋体"/>
          <w:sz w:val="24"/>
          <w:szCs w:val="24"/>
        </w:rPr>
        <w:t>以低于成本报价竞标，其磋商作无效标处理。</w:t>
      </w:r>
    </w:p>
    <w:p w14:paraId="6F5CFE2B">
      <w:pPr>
        <w:pStyle w:val="32"/>
        <w:spacing w:line="480" w:lineRule="exact"/>
        <w:ind w:firstLine="480" w:firstLineChars="200"/>
        <w:rPr>
          <w:color w:val="auto"/>
        </w:rPr>
      </w:pPr>
      <w:r>
        <w:rPr>
          <w:rFonts w:hint="eastAsia"/>
          <w:color w:val="auto"/>
        </w:rPr>
        <w:t>3.2.3、在磋商过程中，评审得分相同的，首先以报价最低的</w:t>
      </w:r>
      <w:r>
        <w:rPr>
          <w:rFonts w:hint="eastAsia"/>
          <w:color w:val="auto"/>
          <w:lang w:eastAsia="zh-CN"/>
        </w:rPr>
        <w:t>供应商</w:t>
      </w:r>
      <w:r>
        <w:rPr>
          <w:rFonts w:hint="eastAsia"/>
          <w:color w:val="auto"/>
        </w:rPr>
        <w:t>获得成交</w:t>
      </w:r>
      <w:r>
        <w:rPr>
          <w:rFonts w:hint="eastAsia"/>
          <w:color w:val="auto"/>
          <w:lang w:eastAsia="zh-CN"/>
        </w:rPr>
        <w:t>供应商</w:t>
      </w:r>
      <w:r>
        <w:rPr>
          <w:rFonts w:hint="eastAsia"/>
          <w:color w:val="auto"/>
        </w:rPr>
        <w:t>推荐资格；若报价相同的，以服务承诺得分最高的</w:t>
      </w:r>
      <w:r>
        <w:rPr>
          <w:rFonts w:hint="eastAsia"/>
          <w:color w:val="auto"/>
          <w:lang w:eastAsia="zh-CN"/>
        </w:rPr>
        <w:t>供应商</w:t>
      </w:r>
      <w:r>
        <w:rPr>
          <w:rFonts w:hint="eastAsia"/>
          <w:color w:val="auto"/>
        </w:rPr>
        <w:t>获得成交</w:t>
      </w:r>
      <w:r>
        <w:rPr>
          <w:rFonts w:hint="eastAsia"/>
          <w:color w:val="auto"/>
          <w:lang w:eastAsia="zh-CN"/>
        </w:rPr>
        <w:t>供应商</w:t>
      </w:r>
      <w:r>
        <w:rPr>
          <w:rFonts w:hint="eastAsia"/>
          <w:color w:val="auto"/>
        </w:rPr>
        <w:t>推荐资格。</w:t>
      </w:r>
    </w:p>
    <w:p w14:paraId="3648CEA0">
      <w:pPr>
        <w:spacing w:line="500" w:lineRule="exact"/>
        <w:ind w:firstLine="480" w:firstLineChars="200"/>
        <w:rPr>
          <w:rFonts w:ascii="宋体" w:hAnsi="宋体" w:cs="宋体"/>
          <w:sz w:val="24"/>
          <w:szCs w:val="24"/>
        </w:rPr>
      </w:pPr>
      <w:bookmarkStart w:id="139" w:name="_Toc152042385"/>
      <w:bookmarkEnd w:id="139"/>
      <w:bookmarkStart w:id="140" w:name="_Toc389384087"/>
      <w:bookmarkEnd w:id="140"/>
      <w:bookmarkStart w:id="141" w:name="_Toc418605429"/>
      <w:bookmarkEnd w:id="141"/>
      <w:bookmarkStart w:id="142" w:name="_Toc423358132"/>
      <w:bookmarkEnd w:id="142"/>
      <w:bookmarkStart w:id="143" w:name="_Toc418608950"/>
      <w:bookmarkEnd w:id="143"/>
      <w:bookmarkStart w:id="144" w:name="_Toc387498748"/>
      <w:bookmarkEnd w:id="144"/>
      <w:bookmarkStart w:id="145" w:name="_Toc466566711"/>
      <w:bookmarkEnd w:id="145"/>
      <w:bookmarkStart w:id="146" w:name="_Toc401512224"/>
      <w:bookmarkEnd w:id="146"/>
      <w:bookmarkStart w:id="147" w:name="_Toc466566800"/>
      <w:bookmarkEnd w:id="147"/>
      <w:bookmarkStart w:id="148" w:name="_Toc401926485"/>
      <w:bookmarkEnd w:id="148"/>
      <w:bookmarkStart w:id="149" w:name="_Toc421698384"/>
      <w:bookmarkEnd w:id="149"/>
      <w:bookmarkStart w:id="150" w:name="_Toc179632625"/>
      <w:bookmarkEnd w:id="150"/>
      <w:bookmarkStart w:id="151" w:name="_Toc421805017"/>
      <w:bookmarkEnd w:id="151"/>
      <w:bookmarkStart w:id="152" w:name="_Toc152045607"/>
      <w:bookmarkEnd w:id="152"/>
      <w:bookmarkStart w:id="153" w:name="_Toc144974575"/>
      <w:bookmarkEnd w:id="153"/>
      <w:r>
        <w:rPr>
          <w:rFonts w:hint="eastAsia" w:ascii="宋体" w:hAnsi="宋体" w:cs="宋体"/>
          <w:sz w:val="24"/>
          <w:szCs w:val="24"/>
        </w:rPr>
        <w:t>3.3 响应文件的澄清和补正</w:t>
      </w:r>
    </w:p>
    <w:p w14:paraId="314D271F">
      <w:pPr>
        <w:spacing w:line="500" w:lineRule="exact"/>
        <w:ind w:firstLine="480" w:firstLineChars="200"/>
        <w:rPr>
          <w:rFonts w:ascii="宋体" w:hAnsi="宋体" w:cs="宋体"/>
          <w:sz w:val="24"/>
          <w:szCs w:val="24"/>
        </w:rPr>
      </w:pPr>
      <w:r>
        <w:rPr>
          <w:rFonts w:hint="eastAsia" w:ascii="宋体" w:hAnsi="宋体" w:cs="宋体"/>
          <w:sz w:val="24"/>
          <w:szCs w:val="24"/>
        </w:rPr>
        <w:t>3.3.1在磋商过程中，磋商小组可以书面形式要求</w:t>
      </w:r>
      <w:r>
        <w:rPr>
          <w:rFonts w:hint="eastAsia" w:ascii="宋体" w:hAnsi="宋体" w:cs="宋体"/>
          <w:sz w:val="24"/>
          <w:szCs w:val="24"/>
          <w:lang w:eastAsia="zh-CN"/>
        </w:rPr>
        <w:t>供应商</w:t>
      </w:r>
      <w:r>
        <w:rPr>
          <w:rFonts w:hint="eastAsia" w:ascii="宋体" w:hAnsi="宋体" w:cs="宋体"/>
          <w:sz w:val="24"/>
          <w:szCs w:val="24"/>
        </w:rPr>
        <w:t>对所提交响应文件中不明确的内容进行书面澄清或说明，或者对细微偏差进行补正。磋商小组不接受</w:t>
      </w:r>
      <w:r>
        <w:rPr>
          <w:rFonts w:hint="eastAsia" w:ascii="宋体" w:hAnsi="宋体" w:cs="宋体"/>
          <w:sz w:val="24"/>
          <w:szCs w:val="24"/>
          <w:lang w:eastAsia="zh-CN"/>
        </w:rPr>
        <w:t>供应商</w:t>
      </w:r>
      <w:r>
        <w:rPr>
          <w:rFonts w:hint="eastAsia" w:ascii="宋体" w:hAnsi="宋体" w:cs="宋体"/>
          <w:sz w:val="24"/>
          <w:szCs w:val="24"/>
        </w:rPr>
        <w:t>主动提出的澄清、说明或补正。</w:t>
      </w:r>
    </w:p>
    <w:p w14:paraId="20A4C32B">
      <w:pPr>
        <w:spacing w:line="500" w:lineRule="exact"/>
        <w:ind w:firstLine="480" w:firstLineChars="200"/>
        <w:rPr>
          <w:rFonts w:ascii="宋体" w:hAnsi="宋体" w:cs="宋体"/>
          <w:sz w:val="24"/>
          <w:szCs w:val="24"/>
        </w:rPr>
      </w:pPr>
      <w:r>
        <w:rPr>
          <w:rFonts w:hint="eastAsia" w:ascii="宋体" w:hAnsi="宋体" w:cs="宋体"/>
          <w:sz w:val="24"/>
          <w:szCs w:val="24"/>
        </w:rPr>
        <w:t>3.3.2 澄清、说明和补正不得改变响应文件的实质性内容（算术性错误修正的除外）。</w:t>
      </w:r>
      <w:r>
        <w:rPr>
          <w:rFonts w:hint="eastAsia" w:ascii="宋体" w:hAnsi="宋体" w:cs="宋体"/>
          <w:sz w:val="24"/>
          <w:szCs w:val="24"/>
          <w:lang w:eastAsia="zh-CN"/>
        </w:rPr>
        <w:t>供应商</w:t>
      </w:r>
      <w:r>
        <w:rPr>
          <w:rFonts w:hint="eastAsia" w:ascii="宋体" w:hAnsi="宋体" w:cs="宋体"/>
          <w:sz w:val="24"/>
          <w:szCs w:val="24"/>
        </w:rPr>
        <w:t>的书面澄清、说明和补正属于响应文件的组成部分。</w:t>
      </w:r>
    </w:p>
    <w:p w14:paraId="6E2FC458">
      <w:pPr>
        <w:spacing w:line="500" w:lineRule="exact"/>
        <w:ind w:firstLine="480" w:firstLineChars="200"/>
        <w:rPr>
          <w:rFonts w:ascii="宋体" w:hAnsi="宋体" w:cs="宋体"/>
          <w:sz w:val="24"/>
          <w:szCs w:val="24"/>
        </w:rPr>
      </w:pPr>
      <w:r>
        <w:rPr>
          <w:rFonts w:hint="eastAsia" w:ascii="宋体" w:hAnsi="宋体" w:cs="宋体"/>
          <w:sz w:val="24"/>
          <w:szCs w:val="24"/>
        </w:rPr>
        <w:t>3.3.3 磋商小组对</w:t>
      </w:r>
      <w:r>
        <w:rPr>
          <w:rFonts w:hint="eastAsia" w:ascii="宋体" w:hAnsi="宋体" w:cs="宋体"/>
          <w:sz w:val="24"/>
          <w:szCs w:val="24"/>
          <w:lang w:eastAsia="zh-CN"/>
        </w:rPr>
        <w:t>供应商</w:t>
      </w:r>
      <w:r>
        <w:rPr>
          <w:rFonts w:hint="eastAsia" w:ascii="宋体" w:hAnsi="宋体" w:cs="宋体"/>
          <w:sz w:val="24"/>
          <w:szCs w:val="24"/>
        </w:rPr>
        <w:t>提交的澄清、说明或补正有疑问的，可以要求</w:t>
      </w:r>
      <w:r>
        <w:rPr>
          <w:rFonts w:hint="eastAsia" w:ascii="宋体" w:hAnsi="宋体" w:cs="宋体"/>
          <w:sz w:val="24"/>
          <w:szCs w:val="24"/>
          <w:lang w:eastAsia="zh-CN"/>
        </w:rPr>
        <w:t>供应商</w:t>
      </w:r>
      <w:r>
        <w:rPr>
          <w:rFonts w:hint="eastAsia" w:ascii="宋体" w:hAnsi="宋体" w:cs="宋体"/>
          <w:sz w:val="24"/>
          <w:szCs w:val="24"/>
        </w:rPr>
        <w:t>进一步澄清、说明或补正，直至满足磋商小组的要求。</w:t>
      </w:r>
    </w:p>
    <w:p w14:paraId="79FE041B">
      <w:pPr>
        <w:spacing w:line="500" w:lineRule="exact"/>
        <w:ind w:firstLine="480" w:firstLineChars="200"/>
        <w:rPr>
          <w:rFonts w:ascii="宋体" w:hAnsi="宋体" w:cs="宋体"/>
          <w:sz w:val="24"/>
          <w:szCs w:val="24"/>
        </w:rPr>
      </w:pPr>
      <w:bookmarkStart w:id="154" w:name="_Toc152042386"/>
      <w:bookmarkEnd w:id="154"/>
      <w:bookmarkStart w:id="155" w:name="_Toc179632626"/>
      <w:bookmarkEnd w:id="155"/>
      <w:bookmarkStart w:id="156" w:name="_Toc389384088"/>
      <w:bookmarkEnd w:id="156"/>
      <w:bookmarkStart w:id="157" w:name="_Toc401512225"/>
      <w:bookmarkEnd w:id="157"/>
      <w:bookmarkStart w:id="158" w:name="_Toc421698385"/>
      <w:bookmarkEnd w:id="158"/>
      <w:bookmarkStart w:id="159" w:name="_Toc423358133"/>
      <w:bookmarkEnd w:id="159"/>
      <w:bookmarkStart w:id="160" w:name="_Toc466566712"/>
      <w:bookmarkEnd w:id="160"/>
      <w:bookmarkStart w:id="161" w:name="_Toc144974576"/>
      <w:bookmarkEnd w:id="161"/>
      <w:bookmarkStart w:id="162" w:name="_Toc421805018"/>
      <w:bookmarkEnd w:id="162"/>
      <w:bookmarkStart w:id="163" w:name="_Toc387498749"/>
      <w:bookmarkEnd w:id="163"/>
      <w:bookmarkStart w:id="164" w:name="_Toc466566801"/>
      <w:bookmarkEnd w:id="164"/>
      <w:bookmarkStart w:id="165" w:name="_Toc401926486"/>
      <w:bookmarkEnd w:id="165"/>
      <w:bookmarkStart w:id="166" w:name="_Toc152045608"/>
      <w:bookmarkEnd w:id="166"/>
      <w:bookmarkStart w:id="167" w:name="_Toc418605430"/>
      <w:bookmarkEnd w:id="167"/>
      <w:bookmarkStart w:id="168" w:name="_Toc418608951"/>
      <w:bookmarkEnd w:id="168"/>
      <w:r>
        <w:rPr>
          <w:rFonts w:hint="eastAsia" w:ascii="宋体" w:hAnsi="宋体" w:cs="宋体"/>
          <w:sz w:val="24"/>
          <w:szCs w:val="24"/>
        </w:rPr>
        <w:t>3.4</w:t>
      </w:r>
      <w:r>
        <w:rPr>
          <w:rFonts w:hint="eastAsia" w:ascii="宋体" w:hAnsi="宋体" w:cs="宋体"/>
          <w:sz w:val="24"/>
          <w:szCs w:val="24"/>
          <w:lang w:eastAsia="zh-CN"/>
        </w:rPr>
        <w:t>供应商</w:t>
      </w:r>
      <w:r>
        <w:rPr>
          <w:rFonts w:hint="eastAsia" w:ascii="宋体" w:hAnsi="宋体" w:cs="宋体"/>
          <w:sz w:val="24"/>
          <w:szCs w:val="24"/>
        </w:rPr>
        <w:t>的最终得分</w:t>
      </w:r>
    </w:p>
    <w:p w14:paraId="4A1987F5">
      <w:pPr>
        <w:spacing w:line="500" w:lineRule="exact"/>
        <w:ind w:firstLine="480" w:firstLineChars="200"/>
        <w:rPr>
          <w:rFonts w:ascii="宋体" w:hAnsi="宋体" w:cs="宋体"/>
          <w:sz w:val="24"/>
          <w:szCs w:val="24"/>
        </w:rPr>
      </w:pPr>
      <w:r>
        <w:rPr>
          <w:rFonts w:hint="eastAsia" w:ascii="宋体" w:hAnsi="宋体" w:cs="宋体"/>
          <w:sz w:val="24"/>
          <w:szCs w:val="24"/>
        </w:rPr>
        <w:t>（1）磋商小组完成对最终磋商报价、技术部分和商务部分的汇总后，取平均值作为该</w:t>
      </w:r>
      <w:r>
        <w:rPr>
          <w:rFonts w:hint="eastAsia" w:ascii="宋体" w:hAnsi="宋体" w:cs="宋体"/>
          <w:sz w:val="24"/>
          <w:szCs w:val="24"/>
          <w:lang w:eastAsia="zh-CN"/>
        </w:rPr>
        <w:t>供应商</w:t>
      </w:r>
      <w:r>
        <w:rPr>
          <w:rFonts w:hint="eastAsia" w:ascii="宋体" w:hAnsi="宋体" w:cs="宋体"/>
          <w:sz w:val="24"/>
          <w:szCs w:val="24"/>
        </w:rPr>
        <w:t>的最终得分。</w:t>
      </w:r>
    </w:p>
    <w:p w14:paraId="7F0182F0">
      <w:pPr>
        <w:spacing w:line="500" w:lineRule="exact"/>
        <w:ind w:firstLine="480" w:firstLineChars="200"/>
        <w:rPr>
          <w:rFonts w:hint="eastAsia" w:ascii="宋体" w:hAnsi="宋体" w:cs="宋体"/>
          <w:sz w:val="24"/>
          <w:szCs w:val="24"/>
        </w:rPr>
      </w:pPr>
      <w:r>
        <w:rPr>
          <w:rFonts w:hint="eastAsia" w:ascii="宋体" w:hAnsi="宋体" w:cs="宋体"/>
          <w:sz w:val="24"/>
          <w:szCs w:val="24"/>
        </w:rPr>
        <w:t>（2）计算分值均保留两位小数。</w:t>
      </w:r>
    </w:p>
    <w:p w14:paraId="6359E057">
      <w:pPr>
        <w:spacing w:line="500" w:lineRule="exact"/>
        <w:ind w:firstLine="480" w:firstLineChars="200"/>
        <w:rPr>
          <w:rFonts w:hint="eastAsia" w:ascii="宋体" w:hAnsi="宋体" w:cs="宋体"/>
          <w:sz w:val="24"/>
          <w:szCs w:val="24"/>
        </w:rPr>
      </w:pPr>
      <w:r>
        <w:rPr>
          <w:rFonts w:hint="eastAsia" w:ascii="宋体" w:hAnsi="宋体" w:cs="宋体"/>
          <w:sz w:val="24"/>
          <w:szCs w:val="24"/>
        </w:rPr>
        <w:t>3.5磋商结果</w:t>
      </w:r>
    </w:p>
    <w:p w14:paraId="1B430A43">
      <w:pPr>
        <w:spacing w:line="500" w:lineRule="exact"/>
        <w:ind w:firstLine="480" w:firstLineChars="200"/>
        <w:rPr>
          <w:rFonts w:hint="eastAsia" w:ascii="宋体" w:hAnsi="宋体" w:cs="宋体"/>
          <w:sz w:val="24"/>
          <w:szCs w:val="24"/>
        </w:rPr>
      </w:pPr>
      <w:r>
        <w:rPr>
          <w:rFonts w:hint="eastAsia" w:ascii="宋体" w:hAnsi="宋体" w:cs="宋体"/>
          <w:sz w:val="24"/>
          <w:szCs w:val="24"/>
        </w:rPr>
        <w:t>3.5.1磋商小组按照得分由高到低的顺序推荐成交候选人。</w:t>
      </w:r>
    </w:p>
    <w:p w14:paraId="732D1736">
      <w:pPr>
        <w:spacing w:line="500" w:lineRule="exact"/>
        <w:ind w:firstLine="480" w:firstLineChars="200"/>
        <w:rPr>
          <w:rFonts w:hint="eastAsia" w:ascii="宋体" w:hAnsi="宋体" w:cs="宋体"/>
          <w:sz w:val="24"/>
          <w:szCs w:val="24"/>
        </w:rPr>
      </w:pPr>
      <w:r>
        <w:rPr>
          <w:rFonts w:hint="eastAsia" w:ascii="宋体" w:hAnsi="宋体" w:cs="宋体"/>
          <w:sz w:val="24"/>
          <w:szCs w:val="24"/>
        </w:rPr>
        <w:t>3.5.2 磋商小组完成磋商后，应当向采购人提交书面评标报告。</w:t>
      </w:r>
    </w:p>
    <w:p w14:paraId="6E66E624">
      <w:pPr>
        <w:rPr>
          <w:rFonts w:hint="default"/>
          <w:lang w:val="en-US" w:eastAsia="zh-CN"/>
        </w:rPr>
      </w:pPr>
    </w:p>
    <w:p w14:paraId="44B804CE">
      <w:pPr>
        <w:pStyle w:val="16"/>
        <w:rPr>
          <w:rFonts w:hint="default"/>
          <w:lang w:val="en-US" w:eastAsia="zh-CN"/>
        </w:rPr>
      </w:pPr>
    </w:p>
    <w:p w14:paraId="44D56C01">
      <w:pPr>
        <w:rPr>
          <w:rFonts w:hint="default"/>
          <w:lang w:val="en-US" w:eastAsia="zh-CN"/>
        </w:rPr>
      </w:pPr>
    </w:p>
    <w:p w14:paraId="7957A87B">
      <w:pPr>
        <w:pStyle w:val="16"/>
        <w:rPr>
          <w:rFonts w:hint="default"/>
          <w:lang w:val="en-US" w:eastAsia="zh-CN"/>
        </w:rPr>
      </w:pPr>
    </w:p>
    <w:p w14:paraId="21B6976A">
      <w:pPr>
        <w:rPr>
          <w:rFonts w:hint="default"/>
          <w:lang w:val="en-US" w:eastAsia="zh-CN"/>
        </w:rPr>
      </w:pPr>
    </w:p>
    <w:p w14:paraId="32A1B5D2">
      <w:pPr>
        <w:pStyle w:val="2"/>
        <w:numPr>
          <w:ilvl w:val="0"/>
          <w:numId w:val="3"/>
        </w:numPr>
        <w:bidi w:val="0"/>
        <w:ind w:left="0" w:leftChars="0" w:firstLine="0" w:firstLineChars="0"/>
        <w:jc w:val="center"/>
        <w:rPr>
          <w:rFonts w:hint="eastAsia"/>
          <w:sz w:val="36"/>
          <w:szCs w:val="21"/>
          <w:lang w:val="en-US" w:eastAsia="zh-CN"/>
        </w:rPr>
      </w:pPr>
      <w:r>
        <w:rPr>
          <w:rFonts w:hint="eastAsia"/>
          <w:sz w:val="36"/>
          <w:szCs w:val="21"/>
          <w:lang w:val="en-US" w:eastAsia="zh-CN"/>
        </w:rPr>
        <w:t xml:space="preserve"> </w:t>
      </w:r>
      <w:bookmarkStart w:id="169" w:name="_Toc18453"/>
      <w:r>
        <w:rPr>
          <w:rFonts w:hint="eastAsia"/>
          <w:sz w:val="36"/>
          <w:szCs w:val="21"/>
          <w:lang w:val="en-US" w:eastAsia="zh-CN"/>
        </w:rPr>
        <w:t>采购需求</w:t>
      </w:r>
      <w:bookmarkEnd w:id="169"/>
    </w:p>
    <w:p w14:paraId="1A6DA69C">
      <w:pPr>
        <w:numPr>
          <w:ilvl w:val="0"/>
          <w:numId w:val="0"/>
        </w:num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一、项目概况</w:t>
      </w:r>
    </w:p>
    <w:p w14:paraId="2EFC9EE0">
      <w:pPr>
        <w:spacing w:line="360" w:lineRule="auto"/>
        <w:ind w:firstLine="56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河南黄河湿地国家级自然保护区三门峡事务中心《河南黄河湿地国家级自然保护区总体规划（2026-2035年）》编制项目，项目实施范围：新一轮编制的《河南黄河湿地国家级自然保护区总体规划（2026-2035年）》涵盖了保护区三门峡、洛阳（孟津、吉利）、济源、焦作四个片区，总面积68000公顷。</w:t>
      </w:r>
    </w:p>
    <w:p w14:paraId="25834DF1">
      <w:pPr>
        <w:numPr>
          <w:ilvl w:val="0"/>
          <w:numId w:val="0"/>
        </w:numPr>
        <w:spacing w:line="360" w:lineRule="auto"/>
        <w:ind w:leftChars="0"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二、本项目规划编制内容</w:t>
      </w:r>
    </w:p>
    <w:p w14:paraId="7CCAA65B">
      <w:pPr>
        <w:numPr>
          <w:ilvl w:val="0"/>
          <w:numId w:val="0"/>
        </w:numPr>
        <w:spacing w:line="360" w:lineRule="auto"/>
        <w:ind w:leftChars="0" w:firstLine="480" w:firstLineChars="200"/>
        <w:rPr>
          <w:rFonts w:hint="eastAsia" w:ascii="宋体" w:hAnsi="宋体" w:eastAsia="宋体" w:cs="宋体"/>
          <w:bCs/>
          <w:sz w:val="24"/>
          <w:szCs w:val="24"/>
        </w:rPr>
      </w:pPr>
      <w:r>
        <w:rPr>
          <w:rFonts w:hint="eastAsia" w:ascii="宋体" w:hAnsi="宋体" w:eastAsia="宋体" w:cs="宋体"/>
          <w:bCs/>
          <w:sz w:val="24"/>
          <w:szCs w:val="24"/>
        </w:rPr>
        <w:t>严格按照《自然保护区总体规划技术规程》（GB/T20399）、《自然保护区工程项目建设标准（建标195-2018》和《湿地保护工程项目建设标准》（建标196-2018）编制《河南黄河湿地国家级自然保护区总体规划（2026-2035年）》，围绕黄河流域生态保护和高质量发展的总体目标，梳理河南黄河湿地国家级自然保护区在生物多样性保护、湿地保护修复等方面的实践进展成效，总结凝练保护区保护管理工作中仍然存在的问题并提出方法对策，编制具有科学性及前瞻性的总体规划。</w:t>
      </w:r>
    </w:p>
    <w:p w14:paraId="2B8BCCE7">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除资料收集、现场调研、数据分析、专家咨询、座谈交流、征求意见等常规业务工作之外，总体规划的内容框架内容见表1。</w:t>
      </w:r>
    </w:p>
    <w:p w14:paraId="45131A37">
      <w:pPr>
        <w:spacing w:line="480" w:lineRule="exact"/>
        <w:jc w:val="center"/>
        <w:rPr>
          <w:rFonts w:ascii="Times New Roman" w:hAnsi="Times New Roman" w:eastAsia="宋体"/>
          <w:b/>
          <w:sz w:val="24"/>
          <w:szCs w:val="24"/>
        </w:rPr>
      </w:pPr>
      <w:r>
        <w:rPr>
          <w:rFonts w:ascii="Times New Roman" w:hAnsi="Times New Roman" w:eastAsia="宋体"/>
          <w:b/>
          <w:sz w:val="24"/>
          <w:szCs w:val="24"/>
        </w:rPr>
        <w:t>表1 河南黄河湿地国家级自然保护区总体规划内容框架</w:t>
      </w:r>
    </w:p>
    <w:tbl>
      <w:tblPr>
        <w:tblStyle w:val="17"/>
        <w:tblW w:w="8647" w:type="dxa"/>
        <w:jc w:val="center"/>
        <w:tblLayout w:type="fixed"/>
        <w:tblCellMar>
          <w:top w:w="0" w:type="dxa"/>
          <w:left w:w="108" w:type="dxa"/>
          <w:bottom w:w="0" w:type="dxa"/>
          <w:right w:w="108" w:type="dxa"/>
        </w:tblCellMar>
      </w:tblPr>
      <w:tblGrid>
        <w:gridCol w:w="1144"/>
        <w:gridCol w:w="705"/>
        <w:gridCol w:w="1080"/>
        <w:gridCol w:w="5718"/>
      </w:tblGrid>
      <w:tr w14:paraId="3E57A4DC">
        <w:tblPrEx>
          <w:tblCellMar>
            <w:top w:w="0" w:type="dxa"/>
            <w:left w:w="108" w:type="dxa"/>
            <w:bottom w:w="0" w:type="dxa"/>
            <w:right w:w="108" w:type="dxa"/>
          </w:tblCellMar>
        </w:tblPrEx>
        <w:trPr>
          <w:trHeight w:val="20" w:hRule="atLeast"/>
          <w:tblHeader/>
          <w:jc w:val="center"/>
        </w:trPr>
        <w:tc>
          <w:tcPr>
            <w:tcW w:w="1144" w:type="dxa"/>
            <w:tcBorders>
              <w:top w:val="single" w:color="auto" w:sz="8" w:space="0"/>
              <w:left w:val="single" w:color="auto" w:sz="8" w:space="0"/>
              <w:bottom w:val="single" w:color="auto" w:sz="8" w:space="0"/>
              <w:right w:val="single" w:color="auto" w:sz="8" w:space="0"/>
            </w:tcBorders>
            <w:noWrap/>
            <w:vAlign w:val="center"/>
          </w:tcPr>
          <w:p w14:paraId="5A03BADC">
            <w:pPr>
              <w:widowControl/>
              <w:jc w:val="center"/>
              <w:rPr>
                <w:rFonts w:ascii="Times New Roman" w:hAnsi="Times New Roman" w:eastAsia="宋体"/>
                <w:b/>
                <w:kern w:val="0"/>
                <w:szCs w:val="21"/>
              </w:rPr>
            </w:pPr>
            <w:r>
              <w:rPr>
                <w:rFonts w:ascii="Times New Roman" w:hAnsi="Times New Roman" w:eastAsia="宋体"/>
                <w:b/>
                <w:kern w:val="0"/>
                <w:szCs w:val="21"/>
              </w:rPr>
              <w:t>工作类别</w:t>
            </w:r>
          </w:p>
        </w:tc>
        <w:tc>
          <w:tcPr>
            <w:tcW w:w="705" w:type="dxa"/>
            <w:tcBorders>
              <w:top w:val="single" w:color="auto" w:sz="8" w:space="0"/>
              <w:left w:val="single" w:color="auto" w:sz="8" w:space="0"/>
              <w:bottom w:val="single" w:color="auto" w:sz="8" w:space="0"/>
              <w:right w:val="single" w:color="auto" w:sz="8" w:space="0"/>
            </w:tcBorders>
            <w:noWrap w:val="0"/>
            <w:vAlign w:val="center"/>
          </w:tcPr>
          <w:p w14:paraId="6E58F839">
            <w:pPr>
              <w:widowControl/>
              <w:jc w:val="center"/>
              <w:rPr>
                <w:rFonts w:ascii="Times New Roman" w:hAnsi="Times New Roman" w:eastAsia="宋体"/>
                <w:b/>
                <w:color w:val="000000"/>
                <w:kern w:val="0"/>
                <w:szCs w:val="21"/>
              </w:rPr>
            </w:pPr>
            <w:r>
              <w:rPr>
                <w:rFonts w:ascii="Times New Roman" w:hAnsi="Times New Roman" w:eastAsia="宋体"/>
                <w:b/>
                <w:color w:val="000000"/>
                <w:kern w:val="0"/>
                <w:szCs w:val="21"/>
              </w:rPr>
              <w:t>序号</w:t>
            </w:r>
          </w:p>
        </w:tc>
        <w:tc>
          <w:tcPr>
            <w:tcW w:w="1080" w:type="dxa"/>
            <w:tcBorders>
              <w:top w:val="single" w:color="auto" w:sz="8" w:space="0"/>
              <w:left w:val="single" w:color="auto" w:sz="8" w:space="0"/>
              <w:bottom w:val="single" w:color="auto" w:sz="8" w:space="0"/>
              <w:right w:val="single" w:color="auto" w:sz="8" w:space="0"/>
            </w:tcBorders>
            <w:noWrap w:val="0"/>
            <w:vAlign w:val="center"/>
          </w:tcPr>
          <w:p w14:paraId="65D6C8DD">
            <w:pPr>
              <w:widowControl/>
              <w:jc w:val="center"/>
              <w:rPr>
                <w:rFonts w:ascii="Times New Roman" w:hAnsi="Times New Roman" w:eastAsia="宋体"/>
                <w:b/>
                <w:color w:val="000000"/>
                <w:kern w:val="0"/>
                <w:szCs w:val="21"/>
              </w:rPr>
            </w:pPr>
            <w:r>
              <w:rPr>
                <w:rFonts w:ascii="Times New Roman" w:hAnsi="Times New Roman" w:eastAsia="宋体"/>
                <w:b/>
                <w:color w:val="000000"/>
                <w:kern w:val="0"/>
                <w:szCs w:val="21"/>
              </w:rPr>
              <w:t>章节</w:t>
            </w:r>
          </w:p>
        </w:tc>
        <w:tc>
          <w:tcPr>
            <w:tcW w:w="5718" w:type="dxa"/>
            <w:tcBorders>
              <w:top w:val="single" w:color="auto" w:sz="8" w:space="0"/>
              <w:left w:val="nil"/>
              <w:bottom w:val="single" w:color="auto" w:sz="8" w:space="0"/>
              <w:right w:val="single" w:color="auto" w:sz="8" w:space="0"/>
            </w:tcBorders>
            <w:noWrap w:val="0"/>
            <w:vAlign w:val="center"/>
          </w:tcPr>
          <w:p w14:paraId="7EE3FF7C">
            <w:pPr>
              <w:widowControl/>
              <w:jc w:val="center"/>
              <w:rPr>
                <w:rFonts w:ascii="Times New Roman" w:hAnsi="Times New Roman" w:eastAsia="宋体"/>
                <w:b/>
                <w:color w:val="000000"/>
                <w:kern w:val="0"/>
                <w:szCs w:val="21"/>
              </w:rPr>
            </w:pPr>
            <w:r>
              <w:rPr>
                <w:rFonts w:ascii="Times New Roman" w:hAnsi="Times New Roman" w:eastAsia="宋体"/>
                <w:b/>
                <w:color w:val="000000"/>
                <w:kern w:val="0"/>
                <w:szCs w:val="21"/>
              </w:rPr>
              <w:t>章节内容</w:t>
            </w:r>
          </w:p>
        </w:tc>
      </w:tr>
      <w:tr w14:paraId="77F42743">
        <w:tblPrEx>
          <w:tblCellMar>
            <w:top w:w="0" w:type="dxa"/>
            <w:left w:w="108" w:type="dxa"/>
            <w:bottom w:w="0" w:type="dxa"/>
            <w:right w:w="108" w:type="dxa"/>
          </w:tblCellMar>
        </w:tblPrEx>
        <w:trPr>
          <w:trHeight w:val="20" w:hRule="atLeast"/>
          <w:jc w:val="center"/>
        </w:trPr>
        <w:tc>
          <w:tcPr>
            <w:tcW w:w="1144" w:type="dxa"/>
            <w:vMerge w:val="restart"/>
            <w:tcBorders>
              <w:top w:val="single" w:color="auto" w:sz="8" w:space="0"/>
              <w:left w:val="single" w:color="auto" w:sz="8" w:space="0"/>
              <w:bottom w:val="single" w:color="auto" w:sz="8" w:space="0"/>
              <w:right w:val="single" w:color="auto" w:sz="8" w:space="0"/>
            </w:tcBorders>
            <w:noWrap/>
            <w:vAlign w:val="center"/>
          </w:tcPr>
          <w:p w14:paraId="457594A3">
            <w:pPr>
              <w:widowControl/>
              <w:spacing w:line="480" w:lineRule="exact"/>
              <w:jc w:val="center"/>
              <w:rPr>
                <w:rFonts w:ascii="Times New Roman" w:hAnsi="Times New Roman" w:eastAsia="宋体"/>
                <w:kern w:val="0"/>
                <w:szCs w:val="21"/>
              </w:rPr>
            </w:pPr>
            <w:r>
              <w:rPr>
                <w:rFonts w:ascii="Times New Roman" w:hAnsi="Times New Roman" w:eastAsia="宋体"/>
                <w:kern w:val="0"/>
                <w:szCs w:val="21"/>
              </w:rPr>
              <w:t>总体规划内容框架</w:t>
            </w:r>
          </w:p>
        </w:tc>
        <w:tc>
          <w:tcPr>
            <w:tcW w:w="705" w:type="dxa"/>
            <w:tcBorders>
              <w:top w:val="single" w:color="auto" w:sz="8" w:space="0"/>
              <w:left w:val="single" w:color="auto" w:sz="8" w:space="0"/>
              <w:bottom w:val="single" w:color="auto" w:sz="8" w:space="0"/>
              <w:right w:val="single" w:color="auto" w:sz="8" w:space="0"/>
            </w:tcBorders>
            <w:noWrap w:val="0"/>
            <w:vAlign w:val="center"/>
          </w:tcPr>
          <w:p w14:paraId="15F1329C">
            <w:pPr>
              <w:widowControl/>
              <w:spacing w:line="480" w:lineRule="exact"/>
              <w:jc w:val="center"/>
              <w:rPr>
                <w:rFonts w:ascii="Times New Roman" w:hAnsi="Times New Roman" w:eastAsia="宋体"/>
                <w:color w:val="000000"/>
                <w:kern w:val="0"/>
                <w:szCs w:val="21"/>
              </w:rPr>
            </w:pPr>
            <w:r>
              <w:rPr>
                <w:rFonts w:ascii="Times New Roman" w:hAnsi="Times New Roman" w:eastAsia="宋体"/>
                <w:color w:val="000000"/>
                <w:kern w:val="0"/>
                <w:szCs w:val="21"/>
              </w:rPr>
              <w:t>1</w:t>
            </w:r>
          </w:p>
        </w:tc>
        <w:tc>
          <w:tcPr>
            <w:tcW w:w="1080" w:type="dxa"/>
            <w:tcBorders>
              <w:top w:val="single" w:color="auto" w:sz="8" w:space="0"/>
              <w:left w:val="single" w:color="auto" w:sz="8" w:space="0"/>
              <w:bottom w:val="single" w:color="auto" w:sz="8" w:space="0"/>
              <w:right w:val="single" w:color="auto" w:sz="8" w:space="0"/>
            </w:tcBorders>
            <w:noWrap w:val="0"/>
            <w:vAlign w:val="center"/>
          </w:tcPr>
          <w:p w14:paraId="5DDCCFD2">
            <w:pPr>
              <w:widowControl/>
              <w:spacing w:line="480" w:lineRule="exact"/>
              <w:jc w:val="center"/>
              <w:rPr>
                <w:rFonts w:ascii="Times New Roman" w:hAnsi="Times New Roman" w:eastAsia="宋体"/>
                <w:color w:val="000000"/>
                <w:kern w:val="0"/>
                <w:szCs w:val="21"/>
              </w:rPr>
            </w:pPr>
            <w:r>
              <w:rPr>
                <w:rFonts w:ascii="Times New Roman" w:hAnsi="Times New Roman" w:eastAsia="宋体"/>
                <w:color w:val="000000"/>
                <w:kern w:val="0"/>
                <w:szCs w:val="21"/>
              </w:rPr>
              <w:t>规划总则</w:t>
            </w:r>
          </w:p>
        </w:tc>
        <w:tc>
          <w:tcPr>
            <w:tcW w:w="5718" w:type="dxa"/>
            <w:tcBorders>
              <w:top w:val="single" w:color="auto" w:sz="8" w:space="0"/>
              <w:left w:val="nil"/>
              <w:bottom w:val="single" w:color="auto" w:sz="6" w:space="0"/>
              <w:right w:val="single" w:color="auto" w:sz="8" w:space="0"/>
            </w:tcBorders>
            <w:noWrap w:val="0"/>
            <w:vAlign w:val="center"/>
          </w:tcPr>
          <w:p w14:paraId="55E79272">
            <w:pPr>
              <w:widowControl/>
              <w:spacing w:line="480" w:lineRule="exact"/>
              <w:jc w:val="center"/>
              <w:rPr>
                <w:rFonts w:ascii="Times New Roman" w:hAnsi="Times New Roman" w:eastAsia="宋体"/>
                <w:color w:val="000000"/>
                <w:kern w:val="0"/>
                <w:szCs w:val="21"/>
              </w:rPr>
            </w:pPr>
            <w:r>
              <w:rPr>
                <w:rFonts w:ascii="Times New Roman" w:hAnsi="Times New Roman" w:eastAsia="宋体"/>
                <w:color w:val="000000"/>
                <w:kern w:val="0"/>
                <w:szCs w:val="21"/>
              </w:rPr>
              <w:t>概述规划背景、规划依据、规划主要内容、投资估算。</w:t>
            </w:r>
          </w:p>
        </w:tc>
      </w:tr>
      <w:tr w14:paraId="19497939">
        <w:tblPrEx>
          <w:tblCellMar>
            <w:top w:w="0" w:type="dxa"/>
            <w:left w:w="108" w:type="dxa"/>
            <w:bottom w:w="0" w:type="dxa"/>
            <w:right w:w="108" w:type="dxa"/>
          </w:tblCellMar>
        </w:tblPrEx>
        <w:trPr>
          <w:trHeight w:val="20" w:hRule="atLeast"/>
          <w:jc w:val="center"/>
        </w:trPr>
        <w:tc>
          <w:tcPr>
            <w:tcW w:w="1144" w:type="dxa"/>
            <w:vMerge w:val="continue"/>
            <w:tcBorders>
              <w:top w:val="single" w:color="auto" w:sz="8" w:space="0"/>
              <w:left w:val="single" w:color="auto" w:sz="8" w:space="0"/>
              <w:bottom w:val="single" w:color="auto" w:sz="8" w:space="0"/>
              <w:right w:val="single" w:color="auto" w:sz="8" w:space="0"/>
            </w:tcBorders>
            <w:noWrap/>
            <w:vAlign w:val="center"/>
          </w:tcPr>
          <w:p w14:paraId="42E6F258">
            <w:pPr>
              <w:spacing w:line="480" w:lineRule="exact"/>
              <w:jc w:val="center"/>
              <w:rPr>
                <w:rFonts w:ascii="Times New Roman" w:hAnsi="Times New Roman" w:eastAsia="宋体"/>
                <w:kern w:val="0"/>
                <w:szCs w:val="21"/>
              </w:rPr>
            </w:pPr>
          </w:p>
        </w:tc>
        <w:tc>
          <w:tcPr>
            <w:tcW w:w="705" w:type="dxa"/>
            <w:vMerge w:val="restart"/>
            <w:tcBorders>
              <w:top w:val="single" w:color="auto" w:sz="8" w:space="0"/>
              <w:left w:val="single" w:color="auto" w:sz="8" w:space="0"/>
              <w:right w:val="single" w:color="auto" w:sz="8" w:space="0"/>
            </w:tcBorders>
            <w:noWrap w:val="0"/>
            <w:vAlign w:val="center"/>
          </w:tcPr>
          <w:p w14:paraId="15153756">
            <w:pPr>
              <w:widowControl/>
              <w:spacing w:line="480" w:lineRule="exact"/>
              <w:jc w:val="center"/>
              <w:rPr>
                <w:rFonts w:ascii="Times New Roman" w:hAnsi="Times New Roman" w:eastAsia="宋体"/>
                <w:color w:val="000000"/>
                <w:kern w:val="0"/>
                <w:szCs w:val="21"/>
              </w:rPr>
            </w:pPr>
            <w:r>
              <w:rPr>
                <w:rFonts w:ascii="Times New Roman" w:hAnsi="Times New Roman" w:eastAsia="宋体"/>
                <w:color w:val="000000"/>
                <w:kern w:val="0"/>
                <w:szCs w:val="21"/>
              </w:rPr>
              <w:t>2</w:t>
            </w:r>
          </w:p>
        </w:tc>
        <w:tc>
          <w:tcPr>
            <w:tcW w:w="1080" w:type="dxa"/>
            <w:vMerge w:val="restart"/>
            <w:tcBorders>
              <w:top w:val="single" w:color="auto" w:sz="8" w:space="0"/>
              <w:left w:val="single" w:color="auto" w:sz="8" w:space="0"/>
              <w:right w:val="single" w:color="auto" w:sz="8" w:space="0"/>
            </w:tcBorders>
            <w:noWrap w:val="0"/>
            <w:vAlign w:val="center"/>
          </w:tcPr>
          <w:p w14:paraId="1D1B4086">
            <w:pPr>
              <w:widowControl/>
              <w:spacing w:line="480" w:lineRule="exact"/>
              <w:jc w:val="center"/>
              <w:rPr>
                <w:rFonts w:ascii="Times New Roman" w:hAnsi="Times New Roman" w:eastAsia="宋体"/>
                <w:color w:val="000000"/>
                <w:kern w:val="0"/>
                <w:szCs w:val="21"/>
              </w:rPr>
            </w:pPr>
            <w:r>
              <w:rPr>
                <w:rFonts w:ascii="Times New Roman" w:hAnsi="Times New Roman" w:eastAsia="宋体"/>
                <w:color w:val="000000"/>
                <w:kern w:val="0"/>
                <w:szCs w:val="21"/>
              </w:rPr>
              <w:t>区域基本概况</w:t>
            </w:r>
          </w:p>
        </w:tc>
        <w:tc>
          <w:tcPr>
            <w:tcW w:w="5718" w:type="dxa"/>
            <w:tcBorders>
              <w:top w:val="single" w:color="auto" w:sz="8" w:space="0"/>
              <w:left w:val="nil"/>
              <w:bottom w:val="single" w:color="auto" w:sz="6" w:space="0"/>
              <w:right w:val="single" w:color="auto" w:sz="8" w:space="0"/>
            </w:tcBorders>
            <w:noWrap w:val="0"/>
            <w:vAlign w:val="center"/>
          </w:tcPr>
          <w:p w14:paraId="074E1093">
            <w:pPr>
              <w:widowControl/>
              <w:spacing w:line="480" w:lineRule="exact"/>
              <w:jc w:val="both"/>
              <w:rPr>
                <w:rFonts w:ascii="Times New Roman" w:hAnsi="Times New Roman" w:eastAsia="宋体"/>
                <w:color w:val="000000"/>
                <w:kern w:val="0"/>
                <w:szCs w:val="21"/>
              </w:rPr>
            </w:pPr>
            <w:r>
              <w:rPr>
                <w:rFonts w:ascii="Times New Roman" w:hAnsi="Times New Roman" w:eastAsia="宋体"/>
                <w:color w:val="000000"/>
                <w:kern w:val="0"/>
                <w:szCs w:val="21"/>
              </w:rPr>
              <w:t>1、保护区地理位置、水文特征、气候条件、地形地貌、土壤状况、植被状况等自然条件。</w:t>
            </w:r>
          </w:p>
        </w:tc>
      </w:tr>
      <w:tr w14:paraId="79278F93">
        <w:tblPrEx>
          <w:tblCellMar>
            <w:top w:w="0" w:type="dxa"/>
            <w:left w:w="108" w:type="dxa"/>
            <w:bottom w:w="0" w:type="dxa"/>
            <w:right w:w="108" w:type="dxa"/>
          </w:tblCellMar>
        </w:tblPrEx>
        <w:trPr>
          <w:trHeight w:val="20" w:hRule="atLeast"/>
          <w:jc w:val="center"/>
        </w:trPr>
        <w:tc>
          <w:tcPr>
            <w:tcW w:w="1144" w:type="dxa"/>
            <w:vMerge w:val="continue"/>
            <w:tcBorders>
              <w:top w:val="single" w:color="auto" w:sz="8" w:space="0"/>
              <w:left w:val="single" w:color="auto" w:sz="8" w:space="0"/>
              <w:bottom w:val="single" w:color="auto" w:sz="8" w:space="0"/>
              <w:right w:val="single" w:color="auto" w:sz="8" w:space="0"/>
            </w:tcBorders>
            <w:noWrap/>
            <w:vAlign w:val="center"/>
          </w:tcPr>
          <w:p w14:paraId="37E70C44">
            <w:pPr>
              <w:spacing w:line="480" w:lineRule="exact"/>
              <w:jc w:val="center"/>
              <w:rPr>
                <w:rFonts w:ascii="Times New Roman" w:hAnsi="Times New Roman" w:eastAsia="宋体"/>
                <w:kern w:val="0"/>
                <w:szCs w:val="21"/>
              </w:rPr>
            </w:pPr>
          </w:p>
        </w:tc>
        <w:tc>
          <w:tcPr>
            <w:tcW w:w="705" w:type="dxa"/>
            <w:vMerge w:val="continue"/>
            <w:tcBorders>
              <w:left w:val="single" w:color="auto" w:sz="8" w:space="0"/>
              <w:right w:val="single" w:color="auto" w:sz="8" w:space="0"/>
            </w:tcBorders>
            <w:noWrap w:val="0"/>
            <w:vAlign w:val="center"/>
          </w:tcPr>
          <w:p w14:paraId="702A59E6">
            <w:pPr>
              <w:spacing w:line="480" w:lineRule="exact"/>
              <w:jc w:val="center"/>
              <w:rPr>
                <w:rFonts w:ascii="Times New Roman" w:hAnsi="Times New Roman" w:eastAsia="宋体"/>
                <w:color w:val="000000"/>
                <w:kern w:val="0"/>
                <w:szCs w:val="21"/>
              </w:rPr>
            </w:pPr>
          </w:p>
        </w:tc>
        <w:tc>
          <w:tcPr>
            <w:tcW w:w="1080" w:type="dxa"/>
            <w:vMerge w:val="continue"/>
            <w:tcBorders>
              <w:left w:val="single" w:color="auto" w:sz="8" w:space="0"/>
              <w:right w:val="single" w:color="auto" w:sz="8" w:space="0"/>
            </w:tcBorders>
            <w:noWrap w:val="0"/>
            <w:vAlign w:val="center"/>
          </w:tcPr>
          <w:p w14:paraId="0B7DA179">
            <w:pPr>
              <w:widowControl/>
              <w:spacing w:line="480" w:lineRule="exact"/>
              <w:jc w:val="center"/>
              <w:rPr>
                <w:rFonts w:ascii="Times New Roman" w:hAnsi="Times New Roman" w:eastAsia="宋体"/>
                <w:color w:val="000000"/>
                <w:kern w:val="0"/>
                <w:szCs w:val="21"/>
              </w:rPr>
            </w:pPr>
          </w:p>
        </w:tc>
        <w:tc>
          <w:tcPr>
            <w:tcW w:w="5718" w:type="dxa"/>
            <w:tcBorders>
              <w:top w:val="single" w:color="auto" w:sz="6" w:space="0"/>
              <w:left w:val="nil"/>
              <w:bottom w:val="single" w:color="auto" w:sz="6" w:space="0"/>
              <w:right w:val="single" w:color="auto" w:sz="8" w:space="0"/>
            </w:tcBorders>
            <w:noWrap w:val="0"/>
            <w:vAlign w:val="center"/>
          </w:tcPr>
          <w:p w14:paraId="45AD9A20">
            <w:pPr>
              <w:widowControl/>
              <w:spacing w:line="480" w:lineRule="exact"/>
              <w:jc w:val="both"/>
              <w:rPr>
                <w:rFonts w:ascii="Times New Roman" w:hAnsi="Times New Roman" w:eastAsia="宋体"/>
                <w:color w:val="000000"/>
                <w:kern w:val="0"/>
                <w:szCs w:val="21"/>
              </w:rPr>
            </w:pPr>
            <w:r>
              <w:rPr>
                <w:rFonts w:ascii="Times New Roman" w:hAnsi="Times New Roman" w:eastAsia="宋体"/>
                <w:color w:val="000000"/>
                <w:kern w:val="0"/>
                <w:szCs w:val="21"/>
              </w:rPr>
              <w:t>2、简述行政区划与人口、人为活动情况、社会发展状况、交通条件及基础设施条件。</w:t>
            </w:r>
          </w:p>
        </w:tc>
      </w:tr>
      <w:tr w14:paraId="073743DC">
        <w:tblPrEx>
          <w:tblCellMar>
            <w:top w:w="0" w:type="dxa"/>
            <w:left w:w="108" w:type="dxa"/>
            <w:bottom w:w="0" w:type="dxa"/>
            <w:right w:w="108" w:type="dxa"/>
          </w:tblCellMar>
        </w:tblPrEx>
        <w:trPr>
          <w:trHeight w:val="20" w:hRule="atLeast"/>
          <w:jc w:val="center"/>
        </w:trPr>
        <w:tc>
          <w:tcPr>
            <w:tcW w:w="1144" w:type="dxa"/>
            <w:vMerge w:val="continue"/>
            <w:tcBorders>
              <w:top w:val="single" w:color="auto" w:sz="8" w:space="0"/>
              <w:left w:val="single" w:color="auto" w:sz="8" w:space="0"/>
              <w:bottom w:val="single" w:color="auto" w:sz="8" w:space="0"/>
              <w:right w:val="single" w:color="auto" w:sz="8" w:space="0"/>
            </w:tcBorders>
            <w:noWrap/>
            <w:vAlign w:val="center"/>
          </w:tcPr>
          <w:p w14:paraId="7A78115A">
            <w:pPr>
              <w:spacing w:line="480" w:lineRule="exact"/>
              <w:jc w:val="center"/>
              <w:rPr>
                <w:rFonts w:ascii="Times New Roman" w:hAnsi="Times New Roman" w:eastAsia="宋体"/>
                <w:kern w:val="0"/>
                <w:szCs w:val="21"/>
              </w:rPr>
            </w:pPr>
          </w:p>
        </w:tc>
        <w:tc>
          <w:tcPr>
            <w:tcW w:w="705" w:type="dxa"/>
            <w:vMerge w:val="continue"/>
            <w:tcBorders>
              <w:left w:val="single" w:color="auto" w:sz="8" w:space="0"/>
              <w:right w:val="single" w:color="auto" w:sz="8" w:space="0"/>
            </w:tcBorders>
            <w:noWrap w:val="0"/>
            <w:vAlign w:val="center"/>
          </w:tcPr>
          <w:p w14:paraId="720FE292">
            <w:pPr>
              <w:spacing w:line="480" w:lineRule="exact"/>
              <w:jc w:val="center"/>
              <w:rPr>
                <w:rFonts w:ascii="Times New Roman" w:hAnsi="Times New Roman" w:eastAsia="宋体"/>
                <w:color w:val="000000"/>
                <w:kern w:val="0"/>
                <w:szCs w:val="21"/>
              </w:rPr>
            </w:pPr>
          </w:p>
        </w:tc>
        <w:tc>
          <w:tcPr>
            <w:tcW w:w="1080" w:type="dxa"/>
            <w:vMerge w:val="continue"/>
            <w:tcBorders>
              <w:left w:val="single" w:color="auto" w:sz="8" w:space="0"/>
              <w:right w:val="single" w:color="auto" w:sz="8" w:space="0"/>
            </w:tcBorders>
            <w:noWrap w:val="0"/>
            <w:vAlign w:val="center"/>
          </w:tcPr>
          <w:p w14:paraId="2F4D792C">
            <w:pPr>
              <w:widowControl/>
              <w:spacing w:line="480" w:lineRule="exact"/>
              <w:jc w:val="center"/>
              <w:rPr>
                <w:rFonts w:ascii="Times New Roman" w:hAnsi="Times New Roman" w:eastAsia="宋体"/>
                <w:color w:val="000000"/>
                <w:kern w:val="0"/>
                <w:szCs w:val="21"/>
              </w:rPr>
            </w:pPr>
          </w:p>
        </w:tc>
        <w:tc>
          <w:tcPr>
            <w:tcW w:w="5718" w:type="dxa"/>
            <w:tcBorders>
              <w:top w:val="single" w:color="auto" w:sz="6" w:space="0"/>
              <w:left w:val="nil"/>
              <w:bottom w:val="single" w:color="auto" w:sz="6" w:space="0"/>
              <w:right w:val="single" w:color="auto" w:sz="8" w:space="0"/>
            </w:tcBorders>
            <w:noWrap w:val="0"/>
            <w:vAlign w:val="center"/>
          </w:tcPr>
          <w:p w14:paraId="078E2D5C">
            <w:pPr>
              <w:widowControl/>
              <w:spacing w:line="480" w:lineRule="exact"/>
              <w:jc w:val="both"/>
              <w:rPr>
                <w:rFonts w:ascii="Times New Roman" w:hAnsi="Times New Roman" w:eastAsia="宋体"/>
                <w:color w:val="000000"/>
                <w:kern w:val="0"/>
                <w:szCs w:val="21"/>
              </w:rPr>
            </w:pPr>
            <w:r>
              <w:rPr>
                <w:rFonts w:ascii="Times New Roman" w:hAnsi="Times New Roman" w:eastAsia="宋体"/>
                <w:color w:val="000000"/>
                <w:kern w:val="0"/>
                <w:szCs w:val="21"/>
              </w:rPr>
              <w:t>3、简述历史沿革及法律地位。</w:t>
            </w:r>
          </w:p>
        </w:tc>
      </w:tr>
      <w:tr w14:paraId="5B06D589">
        <w:tblPrEx>
          <w:tblCellMar>
            <w:top w:w="0" w:type="dxa"/>
            <w:left w:w="108" w:type="dxa"/>
            <w:bottom w:w="0" w:type="dxa"/>
            <w:right w:w="108" w:type="dxa"/>
          </w:tblCellMar>
        </w:tblPrEx>
        <w:trPr>
          <w:trHeight w:val="20" w:hRule="atLeast"/>
          <w:jc w:val="center"/>
        </w:trPr>
        <w:tc>
          <w:tcPr>
            <w:tcW w:w="1144" w:type="dxa"/>
            <w:vMerge w:val="continue"/>
            <w:tcBorders>
              <w:top w:val="single" w:color="auto" w:sz="8" w:space="0"/>
              <w:left w:val="single" w:color="auto" w:sz="8" w:space="0"/>
              <w:bottom w:val="single" w:color="auto" w:sz="8" w:space="0"/>
              <w:right w:val="single" w:color="auto" w:sz="8" w:space="0"/>
            </w:tcBorders>
            <w:noWrap/>
            <w:vAlign w:val="center"/>
          </w:tcPr>
          <w:p w14:paraId="0A4377C7">
            <w:pPr>
              <w:spacing w:line="480" w:lineRule="exact"/>
              <w:jc w:val="center"/>
              <w:rPr>
                <w:rFonts w:ascii="Times New Roman" w:hAnsi="Times New Roman" w:eastAsia="宋体"/>
                <w:kern w:val="0"/>
                <w:szCs w:val="21"/>
              </w:rPr>
            </w:pPr>
          </w:p>
        </w:tc>
        <w:tc>
          <w:tcPr>
            <w:tcW w:w="705" w:type="dxa"/>
            <w:vMerge w:val="continue"/>
            <w:tcBorders>
              <w:left w:val="single" w:color="auto" w:sz="8" w:space="0"/>
              <w:right w:val="single" w:color="auto" w:sz="8" w:space="0"/>
            </w:tcBorders>
            <w:noWrap w:val="0"/>
            <w:vAlign w:val="center"/>
          </w:tcPr>
          <w:p w14:paraId="061F5FD4">
            <w:pPr>
              <w:widowControl/>
              <w:spacing w:line="480" w:lineRule="exact"/>
              <w:jc w:val="center"/>
              <w:rPr>
                <w:rFonts w:ascii="Times New Roman" w:hAnsi="Times New Roman" w:eastAsia="宋体"/>
                <w:color w:val="000000"/>
                <w:kern w:val="0"/>
                <w:szCs w:val="21"/>
              </w:rPr>
            </w:pPr>
          </w:p>
        </w:tc>
        <w:tc>
          <w:tcPr>
            <w:tcW w:w="1080" w:type="dxa"/>
            <w:vMerge w:val="continue"/>
            <w:tcBorders>
              <w:left w:val="single" w:color="auto" w:sz="8" w:space="0"/>
              <w:right w:val="single" w:color="auto" w:sz="8" w:space="0"/>
            </w:tcBorders>
            <w:noWrap w:val="0"/>
            <w:vAlign w:val="center"/>
          </w:tcPr>
          <w:p w14:paraId="10BB1A3D">
            <w:pPr>
              <w:widowControl/>
              <w:spacing w:line="480" w:lineRule="exact"/>
              <w:jc w:val="center"/>
              <w:rPr>
                <w:rFonts w:ascii="Times New Roman" w:hAnsi="Times New Roman" w:eastAsia="宋体"/>
                <w:color w:val="000000"/>
                <w:kern w:val="0"/>
                <w:szCs w:val="21"/>
              </w:rPr>
            </w:pPr>
          </w:p>
        </w:tc>
        <w:tc>
          <w:tcPr>
            <w:tcW w:w="5718" w:type="dxa"/>
            <w:tcBorders>
              <w:top w:val="single" w:color="auto" w:sz="6" w:space="0"/>
              <w:left w:val="nil"/>
              <w:bottom w:val="single" w:color="auto" w:sz="8" w:space="0"/>
              <w:right w:val="single" w:color="auto" w:sz="8" w:space="0"/>
            </w:tcBorders>
            <w:noWrap w:val="0"/>
            <w:vAlign w:val="center"/>
          </w:tcPr>
          <w:p w14:paraId="21C4C69B">
            <w:pPr>
              <w:widowControl/>
              <w:spacing w:line="480" w:lineRule="exact"/>
              <w:jc w:val="both"/>
              <w:rPr>
                <w:rFonts w:ascii="Times New Roman" w:hAnsi="Times New Roman" w:eastAsia="宋体"/>
                <w:color w:val="000000"/>
                <w:kern w:val="0"/>
                <w:szCs w:val="21"/>
              </w:rPr>
            </w:pPr>
            <w:r>
              <w:rPr>
                <w:rFonts w:ascii="Times New Roman" w:hAnsi="Times New Roman" w:eastAsia="宋体"/>
                <w:color w:val="000000"/>
                <w:kern w:val="0"/>
                <w:szCs w:val="21"/>
              </w:rPr>
              <w:t>4、根据2023年《国土空间调查、规划、用途管制用地用海分类指南》简述保护区范围内土地利用现状</w:t>
            </w:r>
          </w:p>
        </w:tc>
      </w:tr>
      <w:tr w14:paraId="2E40828C">
        <w:tblPrEx>
          <w:tblCellMar>
            <w:top w:w="0" w:type="dxa"/>
            <w:left w:w="108" w:type="dxa"/>
            <w:bottom w:w="0" w:type="dxa"/>
            <w:right w:w="108" w:type="dxa"/>
          </w:tblCellMar>
        </w:tblPrEx>
        <w:trPr>
          <w:trHeight w:val="20" w:hRule="atLeast"/>
          <w:jc w:val="center"/>
        </w:trPr>
        <w:tc>
          <w:tcPr>
            <w:tcW w:w="1144" w:type="dxa"/>
            <w:vMerge w:val="continue"/>
            <w:tcBorders>
              <w:top w:val="single" w:color="auto" w:sz="8" w:space="0"/>
              <w:left w:val="single" w:color="auto" w:sz="8" w:space="0"/>
              <w:bottom w:val="single" w:color="auto" w:sz="8" w:space="0"/>
              <w:right w:val="single" w:color="auto" w:sz="8" w:space="0"/>
            </w:tcBorders>
            <w:noWrap/>
            <w:vAlign w:val="center"/>
          </w:tcPr>
          <w:p w14:paraId="051BE504">
            <w:pPr>
              <w:spacing w:line="480" w:lineRule="exact"/>
              <w:jc w:val="center"/>
              <w:rPr>
                <w:rFonts w:ascii="Times New Roman" w:hAnsi="Times New Roman" w:eastAsia="宋体"/>
                <w:kern w:val="0"/>
                <w:szCs w:val="21"/>
              </w:rPr>
            </w:pPr>
          </w:p>
        </w:tc>
        <w:tc>
          <w:tcPr>
            <w:tcW w:w="705" w:type="dxa"/>
            <w:vMerge w:val="continue"/>
            <w:tcBorders>
              <w:left w:val="single" w:color="auto" w:sz="8" w:space="0"/>
              <w:bottom w:val="single" w:color="auto" w:sz="8" w:space="0"/>
              <w:right w:val="single" w:color="auto" w:sz="8" w:space="0"/>
            </w:tcBorders>
            <w:noWrap w:val="0"/>
            <w:vAlign w:val="center"/>
          </w:tcPr>
          <w:p w14:paraId="101403CB">
            <w:pPr>
              <w:widowControl/>
              <w:spacing w:line="480" w:lineRule="exact"/>
              <w:jc w:val="center"/>
              <w:rPr>
                <w:rFonts w:ascii="Times New Roman" w:hAnsi="Times New Roman" w:eastAsia="宋体"/>
                <w:color w:val="000000"/>
                <w:kern w:val="0"/>
                <w:szCs w:val="21"/>
              </w:rPr>
            </w:pPr>
          </w:p>
        </w:tc>
        <w:tc>
          <w:tcPr>
            <w:tcW w:w="1080" w:type="dxa"/>
            <w:vMerge w:val="continue"/>
            <w:tcBorders>
              <w:left w:val="single" w:color="auto" w:sz="8" w:space="0"/>
              <w:right w:val="single" w:color="auto" w:sz="8" w:space="0"/>
            </w:tcBorders>
            <w:noWrap w:val="0"/>
            <w:vAlign w:val="center"/>
          </w:tcPr>
          <w:p w14:paraId="6BEC5727">
            <w:pPr>
              <w:widowControl/>
              <w:spacing w:line="480" w:lineRule="exact"/>
              <w:jc w:val="center"/>
              <w:rPr>
                <w:rFonts w:ascii="Times New Roman" w:hAnsi="Times New Roman" w:eastAsia="宋体"/>
                <w:color w:val="000000"/>
                <w:kern w:val="0"/>
                <w:szCs w:val="21"/>
              </w:rPr>
            </w:pPr>
          </w:p>
        </w:tc>
        <w:tc>
          <w:tcPr>
            <w:tcW w:w="5718" w:type="dxa"/>
            <w:tcBorders>
              <w:top w:val="single" w:color="auto" w:sz="6" w:space="0"/>
              <w:left w:val="nil"/>
              <w:bottom w:val="single" w:color="auto" w:sz="8" w:space="0"/>
              <w:right w:val="single" w:color="auto" w:sz="8" w:space="0"/>
            </w:tcBorders>
            <w:noWrap w:val="0"/>
            <w:vAlign w:val="center"/>
          </w:tcPr>
          <w:p w14:paraId="6F6CE0C6">
            <w:pPr>
              <w:widowControl/>
              <w:spacing w:line="480" w:lineRule="exact"/>
              <w:jc w:val="both"/>
              <w:rPr>
                <w:rFonts w:ascii="Times New Roman" w:hAnsi="Times New Roman" w:eastAsia="宋体"/>
                <w:color w:val="000000"/>
                <w:kern w:val="0"/>
                <w:szCs w:val="21"/>
              </w:rPr>
            </w:pPr>
            <w:r>
              <w:rPr>
                <w:rFonts w:ascii="Times New Roman" w:hAnsi="Times New Roman" w:eastAsia="宋体"/>
                <w:color w:val="000000"/>
                <w:kern w:val="0"/>
                <w:szCs w:val="21"/>
              </w:rPr>
              <w:t>5、简述保护区土地权属以及基础设施现状。</w:t>
            </w:r>
          </w:p>
        </w:tc>
      </w:tr>
      <w:tr w14:paraId="6B2F0F44">
        <w:tblPrEx>
          <w:tblCellMar>
            <w:top w:w="0" w:type="dxa"/>
            <w:left w:w="108" w:type="dxa"/>
            <w:bottom w:w="0" w:type="dxa"/>
            <w:right w:w="108" w:type="dxa"/>
          </w:tblCellMar>
        </w:tblPrEx>
        <w:trPr>
          <w:trHeight w:val="20" w:hRule="atLeast"/>
          <w:jc w:val="center"/>
        </w:trPr>
        <w:tc>
          <w:tcPr>
            <w:tcW w:w="1144" w:type="dxa"/>
            <w:vMerge w:val="continue"/>
            <w:tcBorders>
              <w:top w:val="single" w:color="auto" w:sz="8" w:space="0"/>
              <w:left w:val="single" w:color="auto" w:sz="8" w:space="0"/>
              <w:bottom w:val="single" w:color="auto" w:sz="8" w:space="0"/>
              <w:right w:val="single" w:color="auto" w:sz="8" w:space="0"/>
            </w:tcBorders>
            <w:noWrap/>
            <w:vAlign w:val="center"/>
          </w:tcPr>
          <w:p w14:paraId="0549AC27">
            <w:pPr>
              <w:spacing w:line="480" w:lineRule="exact"/>
              <w:jc w:val="center"/>
              <w:rPr>
                <w:rFonts w:ascii="Times New Roman" w:hAnsi="Times New Roman" w:eastAsia="宋体"/>
                <w:kern w:val="0"/>
                <w:szCs w:val="21"/>
              </w:rPr>
            </w:pPr>
          </w:p>
        </w:tc>
        <w:tc>
          <w:tcPr>
            <w:tcW w:w="705" w:type="dxa"/>
            <w:vMerge w:val="restart"/>
            <w:tcBorders>
              <w:top w:val="single" w:color="auto" w:sz="8" w:space="0"/>
              <w:left w:val="single" w:color="auto" w:sz="8" w:space="0"/>
              <w:right w:val="single" w:color="auto" w:sz="8" w:space="0"/>
            </w:tcBorders>
            <w:noWrap w:val="0"/>
            <w:vAlign w:val="center"/>
          </w:tcPr>
          <w:p w14:paraId="5E3C2B49">
            <w:pPr>
              <w:widowControl/>
              <w:spacing w:line="480" w:lineRule="exact"/>
              <w:jc w:val="center"/>
              <w:rPr>
                <w:rFonts w:ascii="Times New Roman" w:hAnsi="Times New Roman" w:eastAsia="宋体"/>
                <w:color w:val="000000"/>
                <w:kern w:val="0"/>
                <w:szCs w:val="21"/>
              </w:rPr>
            </w:pPr>
            <w:r>
              <w:rPr>
                <w:rFonts w:ascii="Times New Roman" w:hAnsi="Times New Roman" w:eastAsia="宋体"/>
                <w:color w:val="000000"/>
                <w:kern w:val="0"/>
                <w:szCs w:val="21"/>
              </w:rPr>
              <w:t>3</w:t>
            </w:r>
          </w:p>
        </w:tc>
        <w:tc>
          <w:tcPr>
            <w:tcW w:w="1080" w:type="dxa"/>
            <w:vMerge w:val="restart"/>
            <w:tcBorders>
              <w:top w:val="single" w:color="auto" w:sz="8" w:space="0"/>
              <w:left w:val="single" w:color="auto" w:sz="8" w:space="0"/>
              <w:right w:val="single" w:color="auto" w:sz="8" w:space="0"/>
            </w:tcBorders>
            <w:noWrap w:val="0"/>
            <w:vAlign w:val="center"/>
          </w:tcPr>
          <w:p w14:paraId="515810C8">
            <w:pPr>
              <w:widowControl/>
              <w:spacing w:line="480" w:lineRule="exact"/>
              <w:jc w:val="center"/>
              <w:rPr>
                <w:rFonts w:ascii="Times New Roman" w:hAnsi="Times New Roman" w:eastAsia="宋体"/>
                <w:color w:val="000000"/>
                <w:kern w:val="0"/>
                <w:szCs w:val="21"/>
              </w:rPr>
            </w:pPr>
            <w:r>
              <w:rPr>
                <w:rFonts w:ascii="Times New Roman" w:hAnsi="Times New Roman" w:eastAsia="宋体"/>
                <w:color w:val="000000"/>
                <w:kern w:val="0"/>
                <w:szCs w:val="21"/>
              </w:rPr>
              <w:t>现状与评价</w:t>
            </w:r>
          </w:p>
        </w:tc>
        <w:tc>
          <w:tcPr>
            <w:tcW w:w="5718" w:type="dxa"/>
            <w:tcBorders>
              <w:top w:val="single" w:color="auto" w:sz="6" w:space="0"/>
              <w:left w:val="nil"/>
              <w:bottom w:val="single" w:color="auto" w:sz="8" w:space="0"/>
              <w:right w:val="single" w:color="auto" w:sz="8" w:space="0"/>
            </w:tcBorders>
            <w:noWrap w:val="0"/>
            <w:vAlign w:val="center"/>
          </w:tcPr>
          <w:p w14:paraId="665DBF4A">
            <w:pPr>
              <w:widowControl/>
              <w:spacing w:line="480" w:lineRule="exact"/>
              <w:jc w:val="both"/>
              <w:rPr>
                <w:rFonts w:ascii="Times New Roman" w:hAnsi="Times New Roman" w:eastAsia="宋体"/>
                <w:bCs/>
                <w:color w:val="000000"/>
                <w:kern w:val="0"/>
                <w:szCs w:val="21"/>
              </w:rPr>
            </w:pPr>
            <w:r>
              <w:rPr>
                <w:rFonts w:ascii="Times New Roman" w:hAnsi="Times New Roman" w:eastAsia="宋体"/>
                <w:color w:val="000000"/>
                <w:kern w:val="0"/>
                <w:szCs w:val="21"/>
              </w:rPr>
              <w:t>1、保护区</w:t>
            </w:r>
            <w:r>
              <w:rPr>
                <w:rFonts w:ascii="Times New Roman" w:hAnsi="Times New Roman" w:eastAsia="宋体"/>
                <w:bCs/>
                <w:color w:val="000000"/>
                <w:kern w:val="0"/>
                <w:szCs w:val="21"/>
              </w:rPr>
              <w:t>建设现状及评价</w:t>
            </w:r>
          </w:p>
        </w:tc>
      </w:tr>
      <w:tr w14:paraId="4FB1F164">
        <w:tblPrEx>
          <w:tblCellMar>
            <w:top w:w="0" w:type="dxa"/>
            <w:left w:w="108" w:type="dxa"/>
            <w:bottom w:w="0" w:type="dxa"/>
            <w:right w:w="108" w:type="dxa"/>
          </w:tblCellMar>
        </w:tblPrEx>
        <w:trPr>
          <w:trHeight w:val="20" w:hRule="atLeast"/>
          <w:jc w:val="center"/>
        </w:trPr>
        <w:tc>
          <w:tcPr>
            <w:tcW w:w="1144" w:type="dxa"/>
            <w:vMerge w:val="continue"/>
            <w:tcBorders>
              <w:top w:val="single" w:color="auto" w:sz="8" w:space="0"/>
              <w:left w:val="single" w:color="auto" w:sz="8" w:space="0"/>
              <w:bottom w:val="single" w:color="auto" w:sz="8" w:space="0"/>
              <w:right w:val="single" w:color="auto" w:sz="8" w:space="0"/>
            </w:tcBorders>
            <w:noWrap/>
            <w:vAlign w:val="center"/>
          </w:tcPr>
          <w:p w14:paraId="05FE626C">
            <w:pPr>
              <w:spacing w:line="480" w:lineRule="exact"/>
              <w:jc w:val="center"/>
              <w:rPr>
                <w:rFonts w:ascii="Times New Roman" w:hAnsi="Times New Roman" w:eastAsia="宋体"/>
                <w:kern w:val="0"/>
                <w:szCs w:val="21"/>
              </w:rPr>
            </w:pPr>
          </w:p>
        </w:tc>
        <w:tc>
          <w:tcPr>
            <w:tcW w:w="705" w:type="dxa"/>
            <w:vMerge w:val="continue"/>
            <w:tcBorders>
              <w:left w:val="single" w:color="auto" w:sz="8" w:space="0"/>
              <w:right w:val="single" w:color="auto" w:sz="8" w:space="0"/>
            </w:tcBorders>
            <w:noWrap w:val="0"/>
            <w:vAlign w:val="center"/>
          </w:tcPr>
          <w:p w14:paraId="5ECDC7EC">
            <w:pPr>
              <w:widowControl/>
              <w:spacing w:line="480" w:lineRule="exact"/>
              <w:jc w:val="center"/>
              <w:rPr>
                <w:rFonts w:ascii="Times New Roman" w:hAnsi="Times New Roman" w:eastAsia="宋体"/>
                <w:color w:val="000000"/>
                <w:kern w:val="0"/>
                <w:szCs w:val="21"/>
              </w:rPr>
            </w:pPr>
          </w:p>
        </w:tc>
        <w:tc>
          <w:tcPr>
            <w:tcW w:w="1080" w:type="dxa"/>
            <w:vMerge w:val="continue"/>
            <w:tcBorders>
              <w:left w:val="single" w:color="auto" w:sz="8" w:space="0"/>
              <w:right w:val="single" w:color="auto" w:sz="8" w:space="0"/>
            </w:tcBorders>
            <w:noWrap w:val="0"/>
            <w:vAlign w:val="center"/>
          </w:tcPr>
          <w:p w14:paraId="2BFBB00F">
            <w:pPr>
              <w:spacing w:line="480" w:lineRule="exact"/>
              <w:jc w:val="center"/>
              <w:rPr>
                <w:rFonts w:ascii="Times New Roman" w:hAnsi="Times New Roman" w:eastAsia="宋体"/>
                <w:color w:val="000000"/>
                <w:kern w:val="0"/>
                <w:szCs w:val="21"/>
              </w:rPr>
            </w:pPr>
          </w:p>
        </w:tc>
        <w:tc>
          <w:tcPr>
            <w:tcW w:w="5718" w:type="dxa"/>
            <w:tcBorders>
              <w:top w:val="single" w:color="auto" w:sz="6" w:space="0"/>
              <w:left w:val="nil"/>
              <w:bottom w:val="single" w:color="auto" w:sz="8" w:space="0"/>
              <w:right w:val="single" w:color="auto" w:sz="8" w:space="0"/>
            </w:tcBorders>
            <w:noWrap w:val="0"/>
            <w:vAlign w:val="center"/>
          </w:tcPr>
          <w:p w14:paraId="1AE80872">
            <w:pPr>
              <w:widowControl/>
              <w:spacing w:line="480" w:lineRule="exact"/>
              <w:jc w:val="both"/>
              <w:rPr>
                <w:rFonts w:ascii="Times New Roman" w:hAnsi="Times New Roman" w:eastAsia="宋体"/>
                <w:b/>
                <w:color w:val="000000"/>
                <w:kern w:val="0"/>
                <w:szCs w:val="21"/>
              </w:rPr>
            </w:pPr>
            <w:r>
              <w:rPr>
                <w:rFonts w:ascii="Times New Roman" w:hAnsi="Times New Roman" w:eastAsia="宋体"/>
                <w:color w:val="000000"/>
                <w:kern w:val="0"/>
                <w:szCs w:val="21"/>
              </w:rPr>
              <w:t>2、保护区</w:t>
            </w:r>
            <w:r>
              <w:rPr>
                <w:rFonts w:ascii="Times New Roman" w:hAnsi="Times New Roman" w:eastAsia="宋体"/>
                <w:bCs/>
                <w:color w:val="000000"/>
                <w:kern w:val="0"/>
                <w:szCs w:val="21"/>
              </w:rPr>
              <w:t>资源现状及评价</w:t>
            </w:r>
          </w:p>
        </w:tc>
      </w:tr>
      <w:tr w14:paraId="78A8BFA8">
        <w:tblPrEx>
          <w:tblCellMar>
            <w:top w:w="0" w:type="dxa"/>
            <w:left w:w="108" w:type="dxa"/>
            <w:bottom w:w="0" w:type="dxa"/>
            <w:right w:w="108" w:type="dxa"/>
          </w:tblCellMar>
        </w:tblPrEx>
        <w:trPr>
          <w:trHeight w:val="20" w:hRule="atLeast"/>
          <w:jc w:val="center"/>
        </w:trPr>
        <w:tc>
          <w:tcPr>
            <w:tcW w:w="1144" w:type="dxa"/>
            <w:vMerge w:val="continue"/>
            <w:tcBorders>
              <w:top w:val="single" w:color="auto" w:sz="8" w:space="0"/>
              <w:left w:val="single" w:color="auto" w:sz="8" w:space="0"/>
              <w:bottom w:val="single" w:color="auto" w:sz="8" w:space="0"/>
              <w:right w:val="single" w:color="auto" w:sz="8" w:space="0"/>
            </w:tcBorders>
            <w:noWrap/>
            <w:vAlign w:val="center"/>
          </w:tcPr>
          <w:p w14:paraId="148DD890">
            <w:pPr>
              <w:spacing w:line="480" w:lineRule="exact"/>
              <w:jc w:val="center"/>
              <w:rPr>
                <w:rFonts w:ascii="Times New Roman" w:hAnsi="Times New Roman" w:eastAsia="宋体"/>
                <w:kern w:val="0"/>
                <w:szCs w:val="21"/>
              </w:rPr>
            </w:pPr>
          </w:p>
        </w:tc>
        <w:tc>
          <w:tcPr>
            <w:tcW w:w="705" w:type="dxa"/>
            <w:vMerge w:val="continue"/>
            <w:tcBorders>
              <w:left w:val="single" w:color="auto" w:sz="8" w:space="0"/>
              <w:bottom w:val="single" w:color="auto" w:sz="8" w:space="0"/>
              <w:right w:val="single" w:color="auto" w:sz="8" w:space="0"/>
            </w:tcBorders>
            <w:noWrap w:val="0"/>
            <w:vAlign w:val="center"/>
          </w:tcPr>
          <w:p w14:paraId="6F1BD3BC">
            <w:pPr>
              <w:widowControl/>
              <w:spacing w:line="480" w:lineRule="exact"/>
              <w:jc w:val="center"/>
              <w:rPr>
                <w:rFonts w:ascii="Times New Roman" w:hAnsi="Times New Roman" w:eastAsia="宋体"/>
                <w:color w:val="000000"/>
                <w:kern w:val="0"/>
                <w:szCs w:val="21"/>
              </w:rPr>
            </w:pPr>
          </w:p>
        </w:tc>
        <w:tc>
          <w:tcPr>
            <w:tcW w:w="1080" w:type="dxa"/>
            <w:vMerge w:val="continue"/>
            <w:tcBorders>
              <w:left w:val="single" w:color="auto" w:sz="8" w:space="0"/>
              <w:bottom w:val="single" w:color="auto" w:sz="8" w:space="0"/>
              <w:right w:val="single" w:color="auto" w:sz="8" w:space="0"/>
            </w:tcBorders>
            <w:noWrap w:val="0"/>
            <w:vAlign w:val="center"/>
          </w:tcPr>
          <w:p w14:paraId="55E8C5EB">
            <w:pPr>
              <w:widowControl/>
              <w:spacing w:line="480" w:lineRule="exact"/>
              <w:jc w:val="center"/>
              <w:rPr>
                <w:rFonts w:ascii="Times New Roman" w:hAnsi="Times New Roman" w:eastAsia="宋体"/>
                <w:color w:val="000000"/>
                <w:kern w:val="0"/>
                <w:szCs w:val="21"/>
              </w:rPr>
            </w:pPr>
          </w:p>
        </w:tc>
        <w:tc>
          <w:tcPr>
            <w:tcW w:w="5718" w:type="dxa"/>
            <w:tcBorders>
              <w:top w:val="single" w:color="auto" w:sz="8" w:space="0"/>
              <w:left w:val="nil"/>
              <w:bottom w:val="single" w:color="auto" w:sz="6" w:space="0"/>
              <w:right w:val="single" w:color="auto" w:sz="8" w:space="0"/>
            </w:tcBorders>
            <w:noWrap w:val="0"/>
            <w:vAlign w:val="center"/>
          </w:tcPr>
          <w:p w14:paraId="2D89BF4A">
            <w:pPr>
              <w:widowControl/>
              <w:spacing w:line="480" w:lineRule="exact"/>
              <w:jc w:val="both"/>
              <w:rPr>
                <w:rFonts w:ascii="Times New Roman" w:hAnsi="Times New Roman" w:eastAsia="宋体"/>
                <w:bCs/>
                <w:color w:val="000000"/>
                <w:kern w:val="0"/>
                <w:szCs w:val="21"/>
              </w:rPr>
            </w:pPr>
            <w:r>
              <w:rPr>
                <w:rFonts w:ascii="Times New Roman" w:hAnsi="Times New Roman" w:eastAsia="宋体"/>
                <w:color w:val="000000"/>
                <w:kern w:val="0"/>
                <w:szCs w:val="21"/>
              </w:rPr>
              <w:t>3、保护区</w:t>
            </w:r>
            <w:r>
              <w:rPr>
                <w:rFonts w:ascii="Times New Roman" w:hAnsi="Times New Roman" w:eastAsia="宋体"/>
                <w:bCs/>
                <w:color w:val="000000"/>
                <w:kern w:val="0"/>
                <w:szCs w:val="21"/>
              </w:rPr>
              <w:t>有效管理评价</w:t>
            </w:r>
          </w:p>
        </w:tc>
      </w:tr>
      <w:tr w14:paraId="3EB17115">
        <w:tblPrEx>
          <w:tblCellMar>
            <w:top w:w="0" w:type="dxa"/>
            <w:left w:w="108" w:type="dxa"/>
            <w:bottom w:w="0" w:type="dxa"/>
            <w:right w:w="108" w:type="dxa"/>
          </w:tblCellMar>
        </w:tblPrEx>
        <w:trPr>
          <w:trHeight w:val="20" w:hRule="atLeast"/>
          <w:jc w:val="center"/>
        </w:trPr>
        <w:tc>
          <w:tcPr>
            <w:tcW w:w="1144" w:type="dxa"/>
            <w:vMerge w:val="continue"/>
            <w:tcBorders>
              <w:top w:val="single" w:color="auto" w:sz="8" w:space="0"/>
              <w:left w:val="single" w:color="auto" w:sz="8" w:space="0"/>
              <w:bottom w:val="single" w:color="auto" w:sz="8" w:space="0"/>
              <w:right w:val="single" w:color="auto" w:sz="8" w:space="0"/>
            </w:tcBorders>
            <w:noWrap/>
            <w:vAlign w:val="center"/>
          </w:tcPr>
          <w:p w14:paraId="70A7216D">
            <w:pPr>
              <w:spacing w:line="480" w:lineRule="exact"/>
              <w:jc w:val="center"/>
              <w:rPr>
                <w:rFonts w:ascii="Times New Roman" w:hAnsi="Times New Roman" w:eastAsia="宋体"/>
                <w:kern w:val="0"/>
                <w:szCs w:val="21"/>
              </w:rPr>
            </w:pPr>
          </w:p>
        </w:tc>
        <w:tc>
          <w:tcPr>
            <w:tcW w:w="705" w:type="dxa"/>
            <w:vMerge w:val="restart"/>
            <w:tcBorders>
              <w:top w:val="single" w:color="auto" w:sz="8" w:space="0"/>
              <w:left w:val="single" w:color="auto" w:sz="8" w:space="0"/>
              <w:right w:val="single" w:color="auto" w:sz="8" w:space="0"/>
            </w:tcBorders>
            <w:noWrap w:val="0"/>
            <w:vAlign w:val="center"/>
          </w:tcPr>
          <w:p w14:paraId="153A9A27">
            <w:pPr>
              <w:widowControl/>
              <w:spacing w:line="480" w:lineRule="exact"/>
              <w:jc w:val="center"/>
              <w:rPr>
                <w:rFonts w:ascii="Times New Roman" w:hAnsi="Times New Roman" w:eastAsia="宋体"/>
                <w:color w:val="000000"/>
                <w:kern w:val="0"/>
                <w:szCs w:val="21"/>
              </w:rPr>
            </w:pPr>
            <w:r>
              <w:rPr>
                <w:rFonts w:ascii="Times New Roman" w:hAnsi="Times New Roman" w:eastAsia="宋体"/>
                <w:color w:val="000000"/>
                <w:kern w:val="0"/>
                <w:szCs w:val="21"/>
              </w:rPr>
              <w:t>4</w:t>
            </w:r>
          </w:p>
        </w:tc>
        <w:tc>
          <w:tcPr>
            <w:tcW w:w="1080" w:type="dxa"/>
            <w:vMerge w:val="restart"/>
            <w:tcBorders>
              <w:top w:val="single" w:color="auto" w:sz="8" w:space="0"/>
              <w:left w:val="single" w:color="auto" w:sz="8" w:space="0"/>
              <w:right w:val="single" w:color="auto" w:sz="8" w:space="0"/>
            </w:tcBorders>
            <w:noWrap w:val="0"/>
            <w:vAlign w:val="center"/>
          </w:tcPr>
          <w:p w14:paraId="678EA54A">
            <w:pPr>
              <w:widowControl/>
              <w:spacing w:line="480" w:lineRule="exact"/>
              <w:jc w:val="center"/>
              <w:rPr>
                <w:rFonts w:ascii="Times New Roman" w:hAnsi="Times New Roman" w:eastAsia="宋体"/>
                <w:color w:val="000000"/>
                <w:kern w:val="0"/>
                <w:szCs w:val="21"/>
              </w:rPr>
            </w:pPr>
            <w:r>
              <w:rPr>
                <w:rFonts w:ascii="Times New Roman" w:hAnsi="Times New Roman" w:eastAsia="宋体"/>
                <w:color w:val="000000"/>
                <w:kern w:val="0"/>
                <w:szCs w:val="21"/>
              </w:rPr>
              <w:t>指导思想、原则、目标及总体布局</w:t>
            </w:r>
          </w:p>
        </w:tc>
        <w:tc>
          <w:tcPr>
            <w:tcW w:w="5718" w:type="dxa"/>
            <w:tcBorders>
              <w:top w:val="single" w:color="auto" w:sz="6" w:space="0"/>
              <w:left w:val="nil"/>
              <w:bottom w:val="single" w:color="auto" w:sz="8" w:space="0"/>
              <w:right w:val="single" w:color="auto" w:sz="8" w:space="0"/>
            </w:tcBorders>
            <w:noWrap w:val="0"/>
            <w:vAlign w:val="center"/>
          </w:tcPr>
          <w:p w14:paraId="59F55426">
            <w:pPr>
              <w:widowControl/>
              <w:spacing w:line="480" w:lineRule="exact"/>
              <w:jc w:val="both"/>
              <w:rPr>
                <w:rFonts w:ascii="Times New Roman" w:hAnsi="Times New Roman" w:eastAsia="宋体"/>
                <w:color w:val="000000"/>
                <w:kern w:val="0"/>
                <w:szCs w:val="21"/>
              </w:rPr>
            </w:pPr>
            <w:r>
              <w:rPr>
                <w:rFonts w:ascii="Times New Roman" w:hAnsi="Times New Roman" w:eastAsia="宋体"/>
                <w:color w:val="000000"/>
                <w:kern w:val="0"/>
                <w:szCs w:val="21"/>
              </w:rPr>
              <w:t>1、规划指导思想</w:t>
            </w:r>
          </w:p>
        </w:tc>
      </w:tr>
      <w:tr w14:paraId="3CA25A72">
        <w:tblPrEx>
          <w:tblCellMar>
            <w:top w:w="0" w:type="dxa"/>
            <w:left w:w="108" w:type="dxa"/>
            <w:bottom w:w="0" w:type="dxa"/>
            <w:right w:w="108" w:type="dxa"/>
          </w:tblCellMar>
        </w:tblPrEx>
        <w:trPr>
          <w:trHeight w:val="20" w:hRule="atLeast"/>
          <w:jc w:val="center"/>
        </w:trPr>
        <w:tc>
          <w:tcPr>
            <w:tcW w:w="1144" w:type="dxa"/>
            <w:vMerge w:val="continue"/>
            <w:tcBorders>
              <w:top w:val="single" w:color="auto" w:sz="8" w:space="0"/>
              <w:left w:val="single" w:color="auto" w:sz="8" w:space="0"/>
              <w:bottom w:val="single" w:color="auto" w:sz="8" w:space="0"/>
              <w:right w:val="single" w:color="auto" w:sz="8" w:space="0"/>
            </w:tcBorders>
            <w:noWrap/>
            <w:vAlign w:val="center"/>
          </w:tcPr>
          <w:p w14:paraId="68BDAA46">
            <w:pPr>
              <w:spacing w:line="480" w:lineRule="exact"/>
              <w:jc w:val="center"/>
              <w:rPr>
                <w:rFonts w:ascii="Times New Roman" w:hAnsi="Times New Roman" w:eastAsia="宋体"/>
                <w:kern w:val="0"/>
                <w:szCs w:val="21"/>
              </w:rPr>
            </w:pPr>
          </w:p>
        </w:tc>
        <w:tc>
          <w:tcPr>
            <w:tcW w:w="705" w:type="dxa"/>
            <w:vMerge w:val="continue"/>
            <w:tcBorders>
              <w:left w:val="single" w:color="auto" w:sz="8" w:space="0"/>
              <w:right w:val="single" w:color="auto" w:sz="8" w:space="0"/>
            </w:tcBorders>
            <w:noWrap w:val="0"/>
            <w:vAlign w:val="center"/>
          </w:tcPr>
          <w:p w14:paraId="318E9015">
            <w:pPr>
              <w:widowControl/>
              <w:spacing w:line="480" w:lineRule="exact"/>
              <w:jc w:val="center"/>
              <w:rPr>
                <w:rFonts w:ascii="Times New Roman" w:hAnsi="Times New Roman" w:eastAsia="宋体"/>
                <w:color w:val="000000"/>
                <w:kern w:val="0"/>
                <w:szCs w:val="21"/>
              </w:rPr>
            </w:pPr>
          </w:p>
        </w:tc>
        <w:tc>
          <w:tcPr>
            <w:tcW w:w="1080" w:type="dxa"/>
            <w:vMerge w:val="continue"/>
            <w:tcBorders>
              <w:left w:val="single" w:color="auto" w:sz="8" w:space="0"/>
              <w:right w:val="single" w:color="auto" w:sz="8" w:space="0"/>
            </w:tcBorders>
            <w:noWrap w:val="0"/>
            <w:vAlign w:val="center"/>
          </w:tcPr>
          <w:p w14:paraId="62976440">
            <w:pPr>
              <w:widowControl/>
              <w:spacing w:line="480" w:lineRule="exact"/>
              <w:jc w:val="center"/>
              <w:rPr>
                <w:rFonts w:ascii="Times New Roman" w:hAnsi="Times New Roman" w:eastAsia="宋体"/>
                <w:color w:val="000000"/>
                <w:kern w:val="0"/>
                <w:szCs w:val="21"/>
              </w:rPr>
            </w:pPr>
          </w:p>
        </w:tc>
        <w:tc>
          <w:tcPr>
            <w:tcW w:w="5718" w:type="dxa"/>
            <w:tcBorders>
              <w:top w:val="single" w:color="auto" w:sz="8" w:space="0"/>
              <w:left w:val="nil"/>
              <w:bottom w:val="single" w:color="auto" w:sz="6" w:space="0"/>
              <w:right w:val="single" w:color="auto" w:sz="8" w:space="0"/>
            </w:tcBorders>
            <w:noWrap w:val="0"/>
            <w:vAlign w:val="center"/>
          </w:tcPr>
          <w:p w14:paraId="091553CC">
            <w:pPr>
              <w:widowControl/>
              <w:spacing w:line="480" w:lineRule="exact"/>
              <w:jc w:val="both"/>
              <w:rPr>
                <w:rFonts w:ascii="Times New Roman" w:hAnsi="Times New Roman" w:eastAsia="宋体"/>
                <w:color w:val="000000"/>
                <w:kern w:val="0"/>
                <w:szCs w:val="21"/>
              </w:rPr>
            </w:pPr>
            <w:r>
              <w:rPr>
                <w:rFonts w:ascii="Times New Roman" w:hAnsi="Times New Roman" w:eastAsia="宋体"/>
                <w:color w:val="000000"/>
                <w:kern w:val="0"/>
                <w:szCs w:val="21"/>
              </w:rPr>
              <w:t>2、规划原则</w:t>
            </w:r>
          </w:p>
        </w:tc>
      </w:tr>
      <w:tr w14:paraId="6B4F9116">
        <w:tblPrEx>
          <w:tblCellMar>
            <w:top w:w="0" w:type="dxa"/>
            <w:left w:w="108" w:type="dxa"/>
            <w:bottom w:w="0" w:type="dxa"/>
            <w:right w:w="108" w:type="dxa"/>
          </w:tblCellMar>
        </w:tblPrEx>
        <w:trPr>
          <w:trHeight w:val="20" w:hRule="atLeast"/>
          <w:jc w:val="center"/>
        </w:trPr>
        <w:tc>
          <w:tcPr>
            <w:tcW w:w="1144" w:type="dxa"/>
            <w:vMerge w:val="continue"/>
            <w:tcBorders>
              <w:top w:val="single" w:color="auto" w:sz="8" w:space="0"/>
              <w:left w:val="single" w:color="auto" w:sz="8" w:space="0"/>
              <w:bottom w:val="single" w:color="auto" w:sz="8" w:space="0"/>
              <w:right w:val="single" w:color="auto" w:sz="8" w:space="0"/>
            </w:tcBorders>
            <w:noWrap/>
            <w:vAlign w:val="center"/>
          </w:tcPr>
          <w:p w14:paraId="4180BE18">
            <w:pPr>
              <w:spacing w:line="480" w:lineRule="exact"/>
              <w:jc w:val="center"/>
              <w:rPr>
                <w:rFonts w:ascii="Times New Roman" w:hAnsi="Times New Roman" w:eastAsia="宋体"/>
                <w:kern w:val="0"/>
                <w:szCs w:val="21"/>
              </w:rPr>
            </w:pPr>
          </w:p>
        </w:tc>
        <w:tc>
          <w:tcPr>
            <w:tcW w:w="705" w:type="dxa"/>
            <w:vMerge w:val="continue"/>
            <w:tcBorders>
              <w:left w:val="single" w:color="auto" w:sz="8" w:space="0"/>
              <w:right w:val="single" w:color="auto" w:sz="8" w:space="0"/>
            </w:tcBorders>
            <w:noWrap w:val="0"/>
            <w:vAlign w:val="center"/>
          </w:tcPr>
          <w:p w14:paraId="1CA4FD5B">
            <w:pPr>
              <w:widowControl/>
              <w:spacing w:line="480" w:lineRule="exact"/>
              <w:jc w:val="center"/>
              <w:rPr>
                <w:rFonts w:ascii="Times New Roman" w:hAnsi="Times New Roman" w:eastAsia="宋体"/>
                <w:color w:val="000000"/>
                <w:kern w:val="0"/>
                <w:szCs w:val="21"/>
              </w:rPr>
            </w:pPr>
          </w:p>
        </w:tc>
        <w:tc>
          <w:tcPr>
            <w:tcW w:w="1080" w:type="dxa"/>
            <w:vMerge w:val="continue"/>
            <w:tcBorders>
              <w:left w:val="single" w:color="auto" w:sz="8" w:space="0"/>
              <w:right w:val="single" w:color="auto" w:sz="8" w:space="0"/>
            </w:tcBorders>
            <w:noWrap w:val="0"/>
            <w:vAlign w:val="center"/>
          </w:tcPr>
          <w:p w14:paraId="49835C12">
            <w:pPr>
              <w:widowControl/>
              <w:spacing w:line="480" w:lineRule="exact"/>
              <w:jc w:val="center"/>
              <w:rPr>
                <w:rFonts w:ascii="Times New Roman" w:hAnsi="Times New Roman" w:eastAsia="宋体"/>
                <w:color w:val="000000"/>
                <w:kern w:val="0"/>
                <w:szCs w:val="21"/>
              </w:rPr>
            </w:pPr>
          </w:p>
        </w:tc>
        <w:tc>
          <w:tcPr>
            <w:tcW w:w="5718" w:type="dxa"/>
            <w:tcBorders>
              <w:top w:val="single" w:color="auto" w:sz="6" w:space="0"/>
              <w:left w:val="nil"/>
              <w:bottom w:val="single" w:color="auto" w:sz="6" w:space="0"/>
              <w:right w:val="single" w:color="auto" w:sz="8" w:space="0"/>
            </w:tcBorders>
            <w:noWrap w:val="0"/>
            <w:vAlign w:val="center"/>
          </w:tcPr>
          <w:p w14:paraId="69B72D6A">
            <w:pPr>
              <w:widowControl/>
              <w:spacing w:line="480" w:lineRule="exact"/>
              <w:jc w:val="both"/>
              <w:rPr>
                <w:rFonts w:ascii="Times New Roman" w:hAnsi="Times New Roman" w:eastAsia="宋体"/>
                <w:color w:val="000000"/>
                <w:kern w:val="0"/>
                <w:szCs w:val="21"/>
              </w:rPr>
            </w:pPr>
            <w:r>
              <w:rPr>
                <w:rFonts w:ascii="Times New Roman" w:hAnsi="Times New Roman" w:eastAsia="宋体"/>
                <w:color w:val="000000"/>
                <w:kern w:val="0"/>
                <w:szCs w:val="21"/>
              </w:rPr>
              <w:t>3、规划期限及目标</w:t>
            </w:r>
          </w:p>
        </w:tc>
      </w:tr>
      <w:tr w14:paraId="74209A2B">
        <w:tblPrEx>
          <w:tblCellMar>
            <w:top w:w="0" w:type="dxa"/>
            <w:left w:w="108" w:type="dxa"/>
            <w:bottom w:w="0" w:type="dxa"/>
            <w:right w:w="108" w:type="dxa"/>
          </w:tblCellMar>
        </w:tblPrEx>
        <w:trPr>
          <w:trHeight w:val="20" w:hRule="atLeast"/>
          <w:jc w:val="center"/>
        </w:trPr>
        <w:tc>
          <w:tcPr>
            <w:tcW w:w="1144" w:type="dxa"/>
            <w:vMerge w:val="continue"/>
            <w:tcBorders>
              <w:top w:val="single" w:color="auto" w:sz="8" w:space="0"/>
              <w:left w:val="single" w:color="auto" w:sz="8" w:space="0"/>
              <w:bottom w:val="single" w:color="auto" w:sz="8" w:space="0"/>
              <w:right w:val="single" w:color="auto" w:sz="8" w:space="0"/>
            </w:tcBorders>
            <w:noWrap/>
            <w:vAlign w:val="center"/>
          </w:tcPr>
          <w:p w14:paraId="7D939EB2">
            <w:pPr>
              <w:spacing w:line="480" w:lineRule="exact"/>
              <w:jc w:val="center"/>
              <w:rPr>
                <w:rFonts w:ascii="Times New Roman" w:hAnsi="Times New Roman" w:eastAsia="宋体"/>
                <w:kern w:val="0"/>
                <w:szCs w:val="21"/>
              </w:rPr>
            </w:pPr>
          </w:p>
        </w:tc>
        <w:tc>
          <w:tcPr>
            <w:tcW w:w="705" w:type="dxa"/>
            <w:vMerge w:val="continue"/>
            <w:tcBorders>
              <w:left w:val="single" w:color="auto" w:sz="8" w:space="0"/>
              <w:right w:val="single" w:color="auto" w:sz="8" w:space="0"/>
            </w:tcBorders>
            <w:noWrap w:val="0"/>
            <w:vAlign w:val="center"/>
          </w:tcPr>
          <w:p w14:paraId="708951EE">
            <w:pPr>
              <w:widowControl/>
              <w:spacing w:line="480" w:lineRule="exact"/>
              <w:jc w:val="center"/>
              <w:rPr>
                <w:rFonts w:ascii="Times New Roman" w:hAnsi="Times New Roman" w:eastAsia="宋体"/>
                <w:color w:val="000000"/>
                <w:kern w:val="0"/>
                <w:szCs w:val="21"/>
              </w:rPr>
            </w:pPr>
          </w:p>
        </w:tc>
        <w:tc>
          <w:tcPr>
            <w:tcW w:w="1080" w:type="dxa"/>
            <w:vMerge w:val="continue"/>
            <w:tcBorders>
              <w:left w:val="single" w:color="auto" w:sz="8" w:space="0"/>
              <w:right w:val="single" w:color="auto" w:sz="8" w:space="0"/>
            </w:tcBorders>
            <w:noWrap w:val="0"/>
            <w:vAlign w:val="center"/>
          </w:tcPr>
          <w:p w14:paraId="0F9FE0EA">
            <w:pPr>
              <w:widowControl/>
              <w:spacing w:line="480" w:lineRule="exact"/>
              <w:jc w:val="center"/>
              <w:rPr>
                <w:rFonts w:ascii="Times New Roman" w:hAnsi="Times New Roman" w:eastAsia="宋体"/>
                <w:color w:val="000000"/>
                <w:kern w:val="0"/>
                <w:szCs w:val="21"/>
              </w:rPr>
            </w:pPr>
          </w:p>
        </w:tc>
        <w:tc>
          <w:tcPr>
            <w:tcW w:w="5718" w:type="dxa"/>
            <w:tcBorders>
              <w:top w:val="single" w:color="auto" w:sz="6" w:space="0"/>
              <w:left w:val="nil"/>
              <w:bottom w:val="single" w:color="auto" w:sz="6" w:space="0"/>
              <w:right w:val="single" w:color="auto" w:sz="8" w:space="0"/>
            </w:tcBorders>
            <w:noWrap w:val="0"/>
            <w:vAlign w:val="center"/>
          </w:tcPr>
          <w:p w14:paraId="15009D39">
            <w:pPr>
              <w:widowControl/>
              <w:spacing w:line="480" w:lineRule="exact"/>
              <w:jc w:val="both"/>
              <w:rPr>
                <w:rFonts w:ascii="Times New Roman" w:hAnsi="Times New Roman" w:eastAsia="宋体"/>
                <w:color w:val="000000"/>
                <w:kern w:val="0"/>
                <w:szCs w:val="21"/>
              </w:rPr>
            </w:pPr>
            <w:r>
              <w:rPr>
                <w:rFonts w:ascii="Times New Roman" w:hAnsi="Times New Roman" w:eastAsia="宋体"/>
                <w:color w:val="000000"/>
                <w:kern w:val="0"/>
                <w:szCs w:val="21"/>
              </w:rPr>
              <w:t>4、保护区功能区划</w:t>
            </w:r>
          </w:p>
        </w:tc>
      </w:tr>
      <w:tr w14:paraId="40597C8E">
        <w:tblPrEx>
          <w:tblCellMar>
            <w:top w:w="0" w:type="dxa"/>
            <w:left w:w="108" w:type="dxa"/>
            <w:bottom w:w="0" w:type="dxa"/>
            <w:right w:w="108" w:type="dxa"/>
          </w:tblCellMar>
        </w:tblPrEx>
        <w:trPr>
          <w:trHeight w:val="20" w:hRule="atLeast"/>
          <w:jc w:val="center"/>
        </w:trPr>
        <w:tc>
          <w:tcPr>
            <w:tcW w:w="1144" w:type="dxa"/>
            <w:vMerge w:val="continue"/>
            <w:tcBorders>
              <w:top w:val="single" w:color="auto" w:sz="8" w:space="0"/>
              <w:left w:val="single" w:color="auto" w:sz="8" w:space="0"/>
              <w:bottom w:val="single" w:color="auto" w:sz="8" w:space="0"/>
              <w:right w:val="single" w:color="auto" w:sz="8" w:space="0"/>
            </w:tcBorders>
            <w:noWrap/>
            <w:vAlign w:val="center"/>
          </w:tcPr>
          <w:p w14:paraId="6F7BDECF">
            <w:pPr>
              <w:spacing w:line="480" w:lineRule="exact"/>
              <w:jc w:val="center"/>
              <w:rPr>
                <w:rFonts w:ascii="Times New Roman" w:hAnsi="Times New Roman" w:eastAsia="宋体"/>
                <w:kern w:val="0"/>
                <w:szCs w:val="21"/>
              </w:rPr>
            </w:pPr>
          </w:p>
        </w:tc>
        <w:tc>
          <w:tcPr>
            <w:tcW w:w="705" w:type="dxa"/>
            <w:vMerge w:val="continue"/>
            <w:tcBorders>
              <w:left w:val="single" w:color="auto" w:sz="8" w:space="0"/>
              <w:bottom w:val="single" w:color="auto" w:sz="8" w:space="0"/>
              <w:right w:val="single" w:color="auto" w:sz="8" w:space="0"/>
            </w:tcBorders>
            <w:noWrap w:val="0"/>
            <w:vAlign w:val="center"/>
          </w:tcPr>
          <w:p w14:paraId="22FC2A1D">
            <w:pPr>
              <w:widowControl/>
              <w:spacing w:line="480" w:lineRule="exact"/>
              <w:jc w:val="center"/>
              <w:rPr>
                <w:rFonts w:ascii="Times New Roman" w:hAnsi="Times New Roman" w:eastAsia="宋体"/>
                <w:color w:val="000000"/>
                <w:kern w:val="0"/>
                <w:szCs w:val="21"/>
              </w:rPr>
            </w:pPr>
          </w:p>
        </w:tc>
        <w:tc>
          <w:tcPr>
            <w:tcW w:w="1080" w:type="dxa"/>
            <w:vMerge w:val="continue"/>
            <w:tcBorders>
              <w:left w:val="single" w:color="auto" w:sz="8" w:space="0"/>
              <w:bottom w:val="single" w:color="auto" w:sz="8" w:space="0"/>
              <w:right w:val="single" w:color="auto" w:sz="8" w:space="0"/>
            </w:tcBorders>
            <w:noWrap w:val="0"/>
            <w:vAlign w:val="center"/>
          </w:tcPr>
          <w:p w14:paraId="7B6D84A7">
            <w:pPr>
              <w:widowControl/>
              <w:spacing w:line="480" w:lineRule="exact"/>
              <w:jc w:val="center"/>
              <w:rPr>
                <w:rFonts w:ascii="Times New Roman" w:hAnsi="Times New Roman" w:eastAsia="宋体"/>
                <w:color w:val="000000"/>
                <w:kern w:val="0"/>
                <w:szCs w:val="21"/>
              </w:rPr>
            </w:pPr>
          </w:p>
        </w:tc>
        <w:tc>
          <w:tcPr>
            <w:tcW w:w="5718" w:type="dxa"/>
            <w:tcBorders>
              <w:top w:val="single" w:color="auto" w:sz="6" w:space="0"/>
              <w:left w:val="nil"/>
              <w:bottom w:val="single" w:color="auto" w:sz="6" w:space="0"/>
              <w:right w:val="single" w:color="auto" w:sz="8" w:space="0"/>
            </w:tcBorders>
            <w:noWrap w:val="0"/>
            <w:vAlign w:val="center"/>
          </w:tcPr>
          <w:p w14:paraId="2648E6EC">
            <w:pPr>
              <w:widowControl/>
              <w:spacing w:line="480" w:lineRule="exact"/>
              <w:jc w:val="both"/>
              <w:rPr>
                <w:rFonts w:ascii="Times New Roman" w:hAnsi="Times New Roman" w:eastAsia="宋体"/>
                <w:color w:val="000000"/>
                <w:kern w:val="0"/>
                <w:szCs w:val="21"/>
              </w:rPr>
            </w:pPr>
            <w:r>
              <w:rPr>
                <w:rFonts w:ascii="Times New Roman" w:hAnsi="Times New Roman" w:eastAsia="宋体"/>
                <w:color w:val="000000"/>
                <w:kern w:val="0"/>
                <w:szCs w:val="21"/>
              </w:rPr>
              <w:t>5、保护区总体布局</w:t>
            </w:r>
          </w:p>
        </w:tc>
      </w:tr>
      <w:tr w14:paraId="1C679552">
        <w:tblPrEx>
          <w:tblCellMar>
            <w:top w:w="0" w:type="dxa"/>
            <w:left w:w="108" w:type="dxa"/>
            <w:bottom w:w="0" w:type="dxa"/>
            <w:right w:w="108" w:type="dxa"/>
          </w:tblCellMar>
        </w:tblPrEx>
        <w:trPr>
          <w:trHeight w:val="20" w:hRule="atLeast"/>
          <w:jc w:val="center"/>
        </w:trPr>
        <w:tc>
          <w:tcPr>
            <w:tcW w:w="1144" w:type="dxa"/>
            <w:vMerge w:val="continue"/>
            <w:tcBorders>
              <w:top w:val="single" w:color="auto" w:sz="8" w:space="0"/>
              <w:left w:val="single" w:color="auto" w:sz="8" w:space="0"/>
              <w:bottom w:val="single" w:color="auto" w:sz="8" w:space="0"/>
              <w:right w:val="single" w:color="auto" w:sz="8" w:space="0"/>
            </w:tcBorders>
            <w:noWrap/>
            <w:vAlign w:val="center"/>
          </w:tcPr>
          <w:p w14:paraId="2C649C38">
            <w:pPr>
              <w:spacing w:line="480" w:lineRule="exact"/>
              <w:jc w:val="center"/>
              <w:rPr>
                <w:rFonts w:ascii="Times New Roman" w:hAnsi="Times New Roman" w:eastAsia="宋体"/>
                <w:kern w:val="0"/>
                <w:szCs w:val="21"/>
              </w:rPr>
            </w:pPr>
          </w:p>
        </w:tc>
        <w:tc>
          <w:tcPr>
            <w:tcW w:w="705" w:type="dxa"/>
            <w:vMerge w:val="restart"/>
            <w:tcBorders>
              <w:top w:val="single" w:color="auto" w:sz="8" w:space="0"/>
              <w:left w:val="single" w:color="auto" w:sz="8" w:space="0"/>
              <w:right w:val="single" w:color="auto" w:sz="8" w:space="0"/>
            </w:tcBorders>
            <w:noWrap w:val="0"/>
            <w:vAlign w:val="center"/>
          </w:tcPr>
          <w:p w14:paraId="477B53BE">
            <w:pPr>
              <w:widowControl/>
              <w:spacing w:line="480" w:lineRule="exact"/>
              <w:jc w:val="center"/>
              <w:rPr>
                <w:rFonts w:ascii="Times New Roman" w:hAnsi="Times New Roman" w:eastAsia="宋体"/>
                <w:color w:val="000000"/>
                <w:kern w:val="0"/>
                <w:szCs w:val="21"/>
              </w:rPr>
            </w:pPr>
            <w:r>
              <w:rPr>
                <w:rFonts w:ascii="Times New Roman" w:hAnsi="Times New Roman" w:eastAsia="宋体"/>
                <w:color w:val="000000"/>
                <w:kern w:val="0"/>
                <w:szCs w:val="21"/>
              </w:rPr>
              <w:t>5</w:t>
            </w:r>
          </w:p>
        </w:tc>
        <w:tc>
          <w:tcPr>
            <w:tcW w:w="1080" w:type="dxa"/>
            <w:vMerge w:val="restart"/>
            <w:tcBorders>
              <w:top w:val="single" w:color="auto" w:sz="8" w:space="0"/>
              <w:left w:val="single" w:color="auto" w:sz="8" w:space="0"/>
              <w:right w:val="single" w:color="auto" w:sz="8" w:space="0"/>
            </w:tcBorders>
            <w:noWrap w:val="0"/>
            <w:vAlign w:val="center"/>
          </w:tcPr>
          <w:p w14:paraId="62599E1A">
            <w:pPr>
              <w:widowControl/>
              <w:spacing w:line="480" w:lineRule="exact"/>
              <w:jc w:val="center"/>
              <w:rPr>
                <w:rFonts w:ascii="Times New Roman" w:hAnsi="Times New Roman" w:eastAsia="宋体"/>
                <w:color w:val="000000"/>
                <w:kern w:val="0"/>
                <w:szCs w:val="21"/>
              </w:rPr>
            </w:pPr>
            <w:r>
              <w:rPr>
                <w:rFonts w:ascii="Times New Roman" w:hAnsi="Times New Roman" w:eastAsia="宋体"/>
                <w:color w:val="000000"/>
                <w:kern w:val="0"/>
                <w:szCs w:val="21"/>
              </w:rPr>
              <w:t>规划建设内容</w:t>
            </w:r>
          </w:p>
        </w:tc>
        <w:tc>
          <w:tcPr>
            <w:tcW w:w="5718" w:type="dxa"/>
            <w:tcBorders>
              <w:top w:val="single" w:color="auto" w:sz="6" w:space="0"/>
              <w:left w:val="nil"/>
              <w:bottom w:val="single" w:color="auto" w:sz="8" w:space="0"/>
              <w:right w:val="single" w:color="auto" w:sz="8" w:space="0"/>
            </w:tcBorders>
            <w:noWrap w:val="0"/>
            <w:vAlign w:val="center"/>
          </w:tcPr>
          <w:p w14:paraId="3822E298">
            <w:pPr>
              <w:widowControl/>
              <w:spacing w:line="480" w:lineRule="exact"/>
              <w:jc w:val="both"/>
              <w:rPr>
                <w:rFonts w:ascii="Times New Roman" w:hAnsi="Times New Roman" w:eastAsia="宋体"/>
                <w:color w:val="000000"/>
                <w:kern w:val="0"/>
                <w:szCs w:val="21"/>
              </w:rPr>
            </w:pPr>
            <w:r>
              <w:rPr>
                <w:rFonts w:ascii="Times New Roman" w:hAnsi="Times New Roman" w:eastAsia="宋体"/>
                <w:color w:val="000000"/>
                <w:kern w:val="0"/>
                <w:szCs w:val="21"/>
              </w:rPr>
              <w:t>1、保护管理</w:t>
            </w:r>
          </w:p>
        </w:tc>
      </w:tr>
      <w:tr w14:paraId="7270566E">
        <w:tblPrEx>
          <w:tblCellMar>
            <w:top w:w="0" w:type="dxa"/>
            <w:left w:w="108" w:type="dxa"/>
            <w:bottom w:w="0" w:type="dxa"/>
            <w:right w:w="108" w:type="dxa"/>
          </w:tblCellMar>
        </w:tblPrEx>
        <w:trPr>
          <w:trHeight w:val="20" w:hRule="atLeast"/>
          <w:jc w:val="center"/>
        </w:trPr>
        <w:tc>
          <w:tcPr>
            <w:tcW w:w="1144" w:type="dxa"/>
            <w:vMerge w:val="continue"/>
            <w:tcBorders>
              <w:top w:val="single" w:color="auto" w:sz="8" w:space="0"/>
              <w:left w:val="single" w:color="auto" w:sz="8" w:space="0"/>
              <w:bottom w:val="single" w:color="auto" w:sz="8" w:space="0"/>
              <w:right w:val="single" w:color="auto" w:sz="8" w:space="0"/>
            </w:tcBorders>
            <w:noWrap/>
            <w:vAlign w:val="center"/>
          </w:tcPr>
          <w:p w14:paraId="1D7FF034">
            <w:pPr>
              <w:spacing w:line="480" w:lineRule="exact"/>
              <w:jc w:val="center"/>
              <w:rPr>
                <w:rFonts w:ascii="Times New Roman" w:hAnsi="Times New Roman" w:eastAsia="宋体"/>
                <w:kern w:val="0"/>
                <w:szCs w:val="21"/>
              </w:rPr>
            </w:pPr>
          </w:p>
        </w:tc>
        <w:tc>
          <w:tcPr>
            <w:tcW w:w="705" w:type="dxa"/>
            <w:vMerge w:val="continue"/>
            <w:tcBorders>
              <w:left w:val="single" w:color="auto" w:sz="8" w:space="0"/>
              <w:right w:val="single" w:color="auto" w:sz="8" w:space="0"/>
            </w:tcBorders>
            <w:noWrap w:val="0"/>
            <w:vAlign w:val="center"/>
          </w:tcPr>
          <w:p w14:paraId="366DE886">
            <w:pPr>
              <w:widowControl/>
              <w:spacing w:line="480" w:lineRule="exact"/>
              <w:jc w:val="center"/>
              <w:rPr>
                <w:rFonts w:ascii="Times New Roman" w:hAnsi="Times New Roman" w:eastAsia="宋体"/>
                <w:color w:val="000000"/>
                <w:kern w:val="0"/>
                <w:szCs w:val="21"/>
              </w:rPr>
            </w:pPr>
          </w:p>
        </w:tc>
        <w:tc>
          <w:tcPr>
            <w:tcW w:w="1080" w:type="dxa"/>
            <w:vMerge w:val="continue"/>
            <w:tcBorders>
              <w:left w:val="single" w:color="auto" w:sz="8" w:space="0"/>
              <w:right w:val="single" w:color="auto" w:sz="8" w:space="0"/>
            </w:tcBorders>
            <w:noWrap w:val="0"/>
            <w:vAlign w:val="center"/>
          </w:tcPr>
          <w:p w14:paraId="11B404AB">
            <w:pPr>
              <w:widowControl/>
              <w:spacing w:line="480" w:lineRule="exact"/>
              <w:jc w:val="center"/>
              <w:rPr>
                <w:rFonts w:ascii="Times New Roman" w:hAnsi="Times New Roman" w:eastAsia="宋体"/>
                <w:color w:val="000000"/>
                <w:kern w:val="0"/>
                <w:szCs w:val="21"/>
              </w:rPr>
            </w:pPr>
          </w:p>
        </w:tc>
        <w:tc>
          <w:tcPr>
            <w:tcW w:w="5718" w:type="dxa"/>
            <w:tcBorders>
              <w:top w:val="single" w:color="auto" w:sz="8" w:space="0"/>
              <w:left w:val="nil"/>
              <w:bottom w:val="single" w:color="auto" w:sz="6" w:space="0"/>
              <w:right w:val="single" w:color="auto" w:sz="8" w:space="0"/>
            </w:tcBorders>
            <w:noWrap w:val="0"/>
            <w:vAlign w:val="center"/>
          </w:tcPr>
          <w:p w14:paraId="0B0AC71B">
            <w:pPr>
              <w:widowControl/>
              <w:spacing w:line="480" w:lineRule="exact"/>
              <w:jc w:val="both"/>
              <w:rPr>
                <w:rFonts w:ascii="Times New Roman" w:hAnsi="Times New Roman" w:eastAsia="宋体"/>
                <w:color w:val="000000"/>
                <w:kern w:val="0"/>
                <w:szCs w:val="21"/>
              </w:rPr>
            </w:pPr>
            <w:r>
              <w:rPr>
                <w:rFonts w:ascii="Times New Roman" w:hAnsi="Times New Roman" w:eastAsia="宋体"/>
                <w:color w:val="000000"/>
                <w:kern w:val="0"/>
                <w:szCs w:val="21"/>
              </w:rPr>
              <w:t>2、生态修复</w:t>
            </w:r>
          </w:p>
        </w:tc>
      </w:tr>
      <w:tr w14:paraId="0AB73207">
        <w:tblPrEx>
          <w:tblCellMar>
            <w:top w:w="0" w:type="dxa"/>
            <w:left w:w="108" w:type="dxa"/>
            <w:bottom w:w="0" w:type="dxa"/>
            <w:right w:w="108" w:type="dxa"/>
          </w:tblCellMar>
        </w:tblPrEx>
        <w:trPr>
          <w:trHeight w:val="20" w:hRule="atLeast"/>
          <w:jc w:val="center"/>
        </w:trPr>
        <w:tc>
          <w:tcPr>
            <w:tcW w:w="1144" w:type="dxa"/>
            <w:vMerge w:val="continue"/>
            <w:tcBorders>
              <w:top w:val="single" w:color="auto" w:sz="8" w:space="0"/>
              <w:left w:val="single" w:color="auto" w:sz="8" w:space="0"/>
              <w:bottom w:val="single" w:color="auto" w:sz="8" w:space="0"/>
              <w:right w:val="single" w:color="auto" w:sz="8" w:space="0"/>
            </w:tcBorders>
            <w:noWrap/>
            <w:vAlign w:val="center"/>
          </w:tcPr>
          <w:p w14:paraId="14C473E0">
            <w:pPr>
              <w:spacing w:line="480" w:lineRule="exact"/>
              <w:jc w:val="center"/>
              <w:rPr>
                <w:rFonts w:ascii="Times New Roman" w:hAnsi="Times New Roman" w:eastAsia="宋体"/>
                <w:kern w:val="0"/>
                <w:szCs w:val="21"/>
              </w:rPr>
            </w:pPr>
          </w:p>
        </w:tc>
        <w:tc>
          <w:tcPr>
            <w:tcW w:w="705" w:type="dxa"/>
            <w:vMerge w:val="continue"/>
            <w:tcBorders>
              <w:left w:val="single" w:color="auto" w:sz="8" w:space="0"/>
              <w:right w:val="single" w:color="auto" w:sz="8" w:space="0"/>
            </w:tcBorders>
            <w:noWrap w:val="0"/>
            <w:vAlign w:val="center"/>
          </w:tcPr>
          <w:p w14:paraId="38AC2D14">
            <w:pPr>
              <w:widowControl/>
              <w:spacing w:line="480" w:lineRule="exact"/>
              <w:jc w:val="center"/>
              <w:rPr>
                <w:rFonts w:ascii="Times New Roman" w:hAnsi="Times New Roman" w:eastAsia="宋体"/>
                <w:color w:val="000000"/>
                <w:kern w:val="0"/>
                <w:szCs w:val="21"/>
              </w:rPr>
            </w:pPr>
          </w:p>
        </w:tc>
        <w:tc>
          <w:tcPr>
            <w:tcW w:w="1080" w:type="dxa"/>
            <w:vMerge w:val="continue"/>
            <w:tcBorders>
              <w:left w:val="single" w:color="auto" w:sz="8" w:space="0"/>
              <w:right w:val="single" w:color="auto" w:sz="8" w:space="0"/>
            </w:tcBorders>
            <w:noWrap w:val="0"/>
            <w:vAlign w:val="center"/>
          </w:tcPr>
          <w:p w14:paraId="11DEC035">
            <w:pPr>
              <w:widowControl/>
              <w:spacing w:line="480" w:lineRule="exact"/>
              <w:jc w:val="center"/>
              <w:rPr>
                <w:rFonts w:ascii="Times New Roman" w:hAnsi="Times New Roman" w:eastAsia="宋体"/>
                <w:color w:val="000000"/>
                <w:kern w:val="0"/>
                <w:szCs w:val="21"/>
              </w:rPr>
            </w:pPr>
          </w:p>
        </w:tc>
        <w:tc>
          <w:tcPr>
            <w:tcW w:w="5718" w:type="dxa"/>
            <w:tcBorders>
              <w:top w:val="single" w:color="auto" w:sz="6" w:space="0"/>
              <w:left w:val="nil"/>
              <w:bottom w:val="single" w:color="auto" w:sz="6" w:space="0"/>
              <w:right w:val="single" w:color="auto" w:sz="8" w:space="0"/>
            </w:tcBorders>
            <w:noWrap w:val="0"/>
            <w:vAlign w:val="center"/>
          </w:tcPr>
          <w:p w14:paraId="122B43AC">
            <w:pPr>
              <w:widowControl/>
              <w:spacing w:line="480" w:lineRule="exact"/>
              <w:jc w:val="both"/>
              <w:rPr>
                <w:rFonts w:ascii="Times New Roman" w:hAnsi="Times New Roman" w:eastAsia="宋体"/>
                <w:color w:val="000000"/>
                <w:kern w:val="0"/>
                <w:szCs w:val="21"/>
              </w:rPr>
            </w:pPr>
            <w:r>
              <w:rPr>
                <w:rFonts w:ascii="Times New Roman" w:hAnsi="Times New Roman" w:eastAsia="宋体"/>
                <w:color w:val="000000"/>
                <w:kern w:val="0"/>
                <w:szCs w:val="21"/>
              </w:rPr>
              <w:t>3、科研监测</w:t>
            </w:r>
          </w:p>
        </w:tc>
      </w:tr>
      <w:tr w14:paraId="1A5762F6">
        <w:tblPrEx>
          <w:tblCellMar>
            <w:top w:w="0" w:type="dxa"/>
            <w:left w:w="108" w:type="dxa"/>
            <w:bottom w:w="0" w:type="dxa"/>
            <w:right w:w="108" w:type="dxa"/>
          </w:tblCellMar>
        </w:tblPrEx>
        <w:trPr>
          <w:trHeight w:val="20" w:hRule="atLeast"/>
          <w:jc w:val="center"/>
        </w:trPr>
        <w:tc>
          <w:tcPr>
            <w:tcW w:w="1144" w:type="dxa"/>
            <w:vMerge w:val="continue"/>
            <w:tcBorders>
              <w:top w:val="single" w:color="auto" w:sz="8" w:space="0"/>
              <w:left w:val="single" w:color="auto" w:sz="8" w:space="0"/>
              <w:bottom w:val="single" w:color="auto" w:sz="8" w:space="0"/>
              <w:right w:val="single" w:color="auto" w:sz="8" w:space="0"/>
            </w:tcBorders>
            <w:noWrap/>
            <w:vAlign w:val="center"/>
          </w:tcPr>
          <w:p w14:paraId="768F2B41">
            <w:pPr>
              <w:spacing w:line="480" w:lineRule="exact"/>
              <w:jc w:val="center"/>
              <w:rPr>
                <w:rFonts w:ascii="Times New Roman" w:hAnsi="Times New Roman" w:eastAsia="宋体"/>
                <w:kern w:val="0"/>
                <w:szCs w:val="21"/>
              </w:rPr>
            </w:pPr>
          </w:p>
        </w:tc>
        <w:tc>
          <w:tcPr>
            <w:tcW w:w="705" w:type="dxa"/>
            <w:vMerge w:val="continue"/>
            <w:tcBorders>
              <w:left w:val="single" w:color="auto" w:sz="8" w:space="0"/>
              <w:right w:val="single" w:color="auto" w:sz="8" w:space="0"/>
            </w:tcBorders>
            <w:noWrap w:val="0"/>
            <w:vAlign w:val="center"/>
          </w:tcPr>
          <w:p w14:paraId="73BD5110">
            <w:pPr>
              <w:widowControl/>
              <w:spacing w:line="480" w:lineRule="exact"/>
              <w:jc w:val="center"/>
              <w:rPr>
                <w:rFonts w:ascii="Times New Roman" w:hAnsi="Times New Roman" w:eastAsia="宋体"/>
                <w:color w:val="000000"/>
                <w:kern w:val="0"/>
                <w:szCs w:val="21"/>
              </w:rPr>
            </w:pPr>
          </w:p>
        </w:tc>
        <w:tc>
          <w:tcPr>
            <w:tcW w:w="1080" w:type="dxa"/>
            <w:vMerge w:val="continue"/>
            <w:tcBorders>
              <w:left w:val="single" w:color="auto" w:sz="8" w:space="0"/>
              <w:right w:val="single" w:color="auto" w:sz="8" w:space="0"/>
            </w:tcBorders>
            <w:noWrap w:val="0"/>
            <w:vAlign w:val="center"/>
          </w:tcPr>
          <w:p w14:paraId="39F7E455">
            <w:pPr>
              <w:widowControl/>
              <w:spacing w:line="480" w:lineRule="exact"/>
              <w:jc w:val="center"/>
              <w:rPr>
                <w:rFonts w:ascii="Times New Roman" w:hAnsi="Times New Roman" w:eastAsia="宋体"/>
                <w:color w:val="000000"/>
                <w:kern w:val="0"/>
                <w:szCs w:val="21"/>
              </w:rPr>
            </w:pPr>
          </w:p>
        </w:tc>
        <w:tc>
          <w:tcPr>
            <w:tcW w:w="5718" w:type="dxa"/>
            <w:tcBorders>
              <w:top w:val="single" w:color="auto" w:sz="6" w:space="0"/>
              <w:left w:val="nil"/>
              <w:bottom w:val="single" w:color="auto" w:sz="6" w:space="0"/>
              <w:right w:val="single" w:color="auto" w:sz="8" w:space="0"/>
            </w:tcBorders>
            <w:noWrap w:val="0"/>
            <w:vAlign w:val="center"/>
          </w:tcPr>
          <w:p w14:paraId="59F67616">
            <w:pPr>
              <w:widowControl/>
              <w:spacing w:line="480" w:lineRule="exact"/>
              <w:jc w:val="both"/>
              <w:rPr>
                <w:rFonts w:ascii="Times New Roman" w:hAnsi="Times New Roman" w:eastAsia="宋体"/>
                <w:color w:val="000000"/>
                <w:kern w:val="0"/>
                <w:szCs w:val="21"/>
              </w:rPr>
            </w:pPr>
            <w:r>
              <w:rPr>
                <w:rFonts w:ascii="Times New Roman" w:hAnsi="Times New Roman" w:eastAsia="宋体"/>
                <w:color w:val="000000"/>
                <w:kern w:val="0"/>
                <w:szCs w:val="21"/>
              </w:rPr>
              <w:t>4、保护区智慧化建设</w:t>
            </w:r>
          </w:p>
        </w:tc>
      </w:tr>
      <w:tr w14:paraId="6525D76F">
        <w:tblPrEx>
          <w:tblCellMar>
            <w:top w:w="0" w:type="dxa"/>
            <w:left w:w="108" w:type="dxa"/>
            <w:bottom w:w="0" w:type="dxa"/>
            <w:right w:w="108" w:type="dxa"/>
          </w:tblCellMar>
        </w:tblPrEx>
        <w:trPr>
          <w:trHeight w:val="20" w:hRule="atLeast"/>
          <w:jc w:val="center"/>
        </w:trPr>
        <w:tc>
          <w:tcPr>
            <w:tcW w:w="1144" w:type="dxa"/>
            <w:vMerge w:val="continue"/>
            <w:tcBorders>
              <w:top w:val="single" w:color="auto" w:sz="8" w:space="0"/>
              <w:left w:val="single" w:color="auto" w:sz="8" w:space="0"/>
              <w:bottom w:val="single" w:color="auto" w:sz="8" w:space="0"/>
              <w:right w:val="single" w:color="auto" w:sz="8" w:space="0"/>
            </w:tcBorders>
            <w:noWrap/>
            <w:vAlign w:val="center"/>
          </w:tcPr>
          <w:p w14:paraId="6AB03221">
            <w:pPr>
              <w:spacing w:line="480" w:lineRule="exact"/>
              <w:jc w:val="center"/>
              <w:rPr>
                <w:rFonts w:ascii="Times New Roman" w:hAnsi="Times New Roman" w:eastAsia="宋体"/>
                <w:kern w:val="0"/>
                <w:szCs w:val="21"/>
              </w:rPr>
            </w:pPr>
          </w:p>
        </w:tc>
        <w:tc>
          <w:tcPr>
            <w:tcW w:w="705" w:type="dxa"/>
            <w:vMerge w:val="continue"/>
            <w:tcBorders>
              <w:left w:val="single" w:color="auto" w:sz="8" w:space="0"/>
              <w:right w:val="single" w:color="auto" w:sz="8" w:space="0"/>
            </w:tcBorders>
            <w:noWrap w:val="0"/>
            <w:vAlign w:val="center"/>
          </w:tcPr>
          <w:p w14:paraId="0D66DDD4">
            <w:pPr>
              <w:widowControl/>
              <w:spacing w:line="480" w:lineRule="exact"/>
              <w:jc w:val="center"/>
              <w:rPr>
                <w:rFonts w:ascii="Times New Roman" w:hAnsi="Times New Roman" w:eastAsia="宋体"/>
                <w:color w:val="000000"/>
                <w:kern w:val="0"/>
                <w:szCs w:val="21"/>
              </w:rPr>
            </w:pPr>
          </w:p>
        </w:tc>
        <w:tc>
          <w:tcPr>
            <w:tcW w:w="1080" w:type="dxa"/>
            <w:vMerge w:val="continue"/>
            <w:tcBorders>
              <w:left w:val="single" w:color="auto" w:sz="8" w:space="0"/>
              <w:right w:val="single" w:color="auto" w:sz="8" w:space="0"/>
            </w:tcBorders>
            <w:noWrap w:val="0"/>
            <w:vAlign w:val="center"/>
          </w:tcPr>
          <w:p w14:paraId="325C33B8">
            <w:pPr>
              <w:widowControl/>
              <w:spacing w:line="480" w:lineRule="exact"/>
              <w:jc w:val="center"/>
              <w:rPr>
                <w:rFonts w:ascii="Times New Roman" w:hAnsi="Times New Roman" w:eastAsia="宋体"/>
                <w:color w:val="000000"/>
                <w:kern w:val="0"/>
                <w:szCs w:val="21"/>
              </w:rPr>
            </w:pPr>
          </w:p>
        </w:tc>
        <w:tc>
          <w:tcPr>
            <w:tcW w:w="5718" w:type="dxa"/>
            <w:tcBorders>
              <w:top w:val="single" w:color="auto" w:sz="6" w:space="0"/>
              <w:left w:val="nil"/>
              <w:bottom w:val="single" w:color="auto" w:sz="6" w:space="0"/>
              <w:right w:val="single" w:color="auto" w:sz="8" w:space="0"/>
            </w:tcBorders>
            <w:noWrap w:val="0"/>
            <w:vAlign w:val="center"/>
          </w:tcPr>
          <w:p w14:paraId="44DF3959">
            <w:pPr>
              <w:widowControl/>
              <w:spacing w:line="480" w:lineRule="exact"/>
              <w:jc w:val="both"/>
              <w:rPr>
                <w:rFonts w:ascii="Times New Roman" w:hAnsi="Times New Roman" w:eastAsia="宋体"/>
                <w:color w:val="000000"/>
                <w:kern w:val="0"/>
                <w:szCs w:val="21"/>
              </w:rPr>
            </w:pPr>
            <w:r>
              <w:rPr>
                <w:rFonts w:ascii="Times New Roman" w:hAnsi="Times New Roman" w:eastAsia="宋体"/>
                <w:color w:val="000000"/>
                <w:kern w:val="0"/>
                <w:szCs w:val="21"/>
              </w:rPr>
              <w:t>5、科普宣教</w:t>
            </w:r>
          </w:p>
        </w:tc>
      </w:tr>
      <w:tr w14:paraId="449EAB83">
        <w:tblPrEx>
          <w:tblCellMar>
            <w:top w:w="0" w:type="dxa"/>
            <w:left w:w="108" w:type="dxa"/>
            <w:bottom w:w="0" w:type="dxa"/>
            <w:right w:w="108" w:type="dxa"/>
          </w:tblCellMar>
        </w:tblPrEx>
        <w:trPr>
          <w:trHeight w:val="20" w:hRule="atLeast"/>
          <w:jc w:val="center"/>
        </w:trPr>
        <w:tc>
          <w:tcPr>
            <w:tcW w:w="1144" w:type="dxa"/>
            <w:vMerge w:val="continue"/>
            <w:tcBorders>
              <w:top w:val="single" w:color="auto" w:sz="8" w:space="0"/>
              <w:left w:val="single" w:color="auto" w:sz="8" w:space="0"/>
              <w:bottom w:val="single" w:color="auto" w:sz="8" w:space="0"/>
              <w:right w:val="single" w:color="auto" w:sz="8" w:space="0"/>
            </w:tcBorders>
            <w:noWrap/>
            <w:vAlign w:val="center"/>
          </w:tcPr>
          <w:p w14:paraId="678313B0">
            <w:pPr>
              <w:spacing w:line="480" w:lineRule="exact"/>
              <w:jc w:val="center"/>
              <w:rPr>
                <w:rFonts w:ascii="Times New Roman" w:hAnsi="Times New Roman" w:eastAsia="宋体"/>
                <w:kern w:val="0"/>
                <w:szCs w:val="21"/>
              </w:rPr>
            </w:pPr>
          </w:p>
        </w:tc>
        <w:tc>
          <w:tcPr>
            <w:tcW w:w="705" w:type="dxa"/>
            <w:vMerge w:val="continue"/>
            <w:tcBorders>
              <w:left w:val="single" w:color="auto" w:sz="8" w:space="0"/>
              <w:bottom w:val="single" w:color="auto" w:sz="8" w:space="0"/>
              <w:right w:val="single" w:color="auto" w:sz="8" w:space="0"/>
            </w:tcBorders>
            <w:noWrap w:val="0"/>
            <w:vAlign w:val="center"/>
          </w:tcPr>
          <w:p w14:paraId="0026FAF5">
            <w:pPr>
              <w:widowControl/>
              <w:spacing w:line="480" w:lineRule="exact"/>
              <w:jc w:val="center"/>
              <w:rPr>
                <w:rFonts w:ascii="Times New Roman" w:hAnsi="Times New Roman" w:eastAsia="宋体"/>
                <w:color w:val="000000"/>
                <w:kern w:val="0"/>
                <w:szCs w:val="21"/>
              </w:rPr>
            </w:pPr>
          </w:p>
        </w:tc>
        <w:tc>
          <w:tcPr>
            <w:tcW w:w="1080" w:type="dxa"/>
            <w:vMerge w:val="continue"/>
            <w:tcBorders>
              <w:left w:val="single" w:color="auto" w:sz="8" w:space="0"/>
              <w:bottom w:val="single" w:color="auto" w:sz="8" w:space="0"/>
              <w:right w:val="single" w:color="auto" w:sz="8" w:space="0"/>
            </w:tcBorders>
            <w:noWrap w:val="0"/>
            <w:vAlign w:val="center"/>
          </w:tcPr>
          <w:p w14:paraId="1C1E53D5">
            <w:pPr>
              <w:widowControl/>
              <w:spacing w:line="480" w:lineRule="exact"/>
              <w:jc w:val="center"/>
              <w:rPr>
                <w:rFonts w:ascii="Times New Roman" w:hAnsi="Times New Roman" w:eastAsia="宋体"/>
                <w:color w:val="000000"/>
                <w:kern w:val="0"/>
                <w:szCs w:val="21"/>
              </w:rPr>
            </w:pPr>
          </w:p>
        </w:tc>
        <w:tc>
          <w:tcPr>
            <w:tcW w:w="5718" w:type="dxa"/>
            <w:tcBorders>
              <w:top w:val="single" w:color="auto" w:sz="6" w:space="0"/>
              <w:left w:val="nil"/>
              <w:bottom w:val="single" w:color="auto" w:sz="6" w:space="0"/>
              <w:right w:val="single" w:color="auto" w:sz="8" w:space="0"/>
            </w:tcBorders>
            <w:noWrap w:val="0"/>
            <w:vAlign w:val="center"/>
          </w:tcPr>
          <w:p w14:paraId="7670D478">
            <w:pPr>
              <w:widowControl/>
              <w:spacing w:line="480" w:lineRule="exact"/>
              <w:jc w:val="both"/>
              <w:rPr>
                <w:rFonts w:ascii="Times New Roman" w:hAnsi="Times New Roman" w:eastAsia="宋体"/>
                <w:color w:val="000000"/>
                <w:kern w:val="0"/>
                <w:szCs w:val="21"/>
              </w:rPr>
            </w:pPr>
            <w:r>
              <w:rPr>
                <w:rFonts w:ascii="Times New Roman" w:hAnsi="Times New Roman" w:eastAsia="宋体"/>
                <w:color w:val="000000"/>
                <w:kern w:val="0"/>
                <w:szCs w:val="21"/>
              </w:rPr>
              <w:t>6、可持续的发展</w:t>
            </w:r>
          </w:p>
        </w:tc>
      </w:tr>
      <w:tr w14:paraId="1D7606EF">
        <w:tblPrEx>
          <w:tblCellMar>
            <w:top w:w="0" w:type="dxa"/>
            <w:left w:w="108" w:type="dxa"/>
            <w:bottom w:w="0" w:type="dxa"/>
            <w:right w:w="108" w:type="dxa"/>
          </w:tblCellMar>
        </w:tblPrEx>
        <w:trPr>
          <w:trHeight w:val="20" w:hRule="atLeast"/>
          <w:jc w:val="center"/>
        </w:trPr>
        <w:tc>
          <w:tcPr>
            <w:tcW w:w="1144" w:type="dxa"/>
            <w:vMerge w:val="continue"/>
            <w:tcBorders>
              <w:top w:val="single" w:color="auto" w:sz="8" w:space="0"/>
              <w:left w:val="single" w:color="auto" w:sz="8" w:space="0"/>
              <w:bottom w:val="single" w:color="auto" w:sz="8" w:space="0"/>
              <w:right w:val="single" w:color="auto" w:sz="8" w:space="0"/>
            </w:tcBorders>
            <w:noWrap/>
            <w:vAlign w:val="center"/>
          </w:tcPr>
          <w:p w14:paraId="372C369C">
            <w:pPr>
              <w:spacing w:line="480" w:lineRule="exact"/>
              <w:jc w:val="center"/>
              <w:rPr>
                <w:rFonts w:ascii="Times New Roman" w:hAnsi="Times New Roman" w:eastAsia="宋体"/>
                <w:kern w:val="0"/>
                <w:szCs w:val="21"/>
              </w:rPr>
            </w:pPr>
          </w:p>
        </w:tc>
        <w:tc>
          <w:tcPr>
            <w:tcW w:w="1785" w:type="dxa"/>
            <w:gridSpan w:val="2"/>
            <w:tcBorders>
              <w:top w:val="single" w:color="auto" w:sz="8" w:space="0"/>
              <w:left w:val="single" w:color="auto" w:sz="8" w:space="0"/>
              <w:bottom w:val="single" w:color="auto" w:sz="8" w:space="0"/>
              <w:right w:val="single" w:color="auto" w:sz="8" w:space="0"/>
            </w:tcBorders>
            <w:noWrap w:val="0"/>
            <w:vAlign w:val="center"/>
          </w:tcPr>
          <w:p w14:paraId="5862CA69">
            <w:pPr>
              <w:widowControl/>
              <w:spacing w:line="480" w:lineRule="exact"/>
              <w:jc w:val="center"/>
              <w:rPr>
                <w:rFonts w:ascii="Times New Roman" w:hAnsi="Times New Roman" w:eastAsia="宋体"/>
                <w:color w:val="000000"/>
                <w:kern w:val="0"/>
                <w:szCs w:val="21"/>
              </w:rPr>
            </w:pPr>
          </w:p>
        </w:tc>
        <w:tc>
          <w:tcPr>
            <w:tcW w:w="5718" w:type="dxa"/>
            <w:tcBorders>
              <w:top w:val="single" w:color="auto" w:sz="6" w:space="0"/>
              <w:left w:val="nil"/>
              <w:bottom w:val="single" w:color="auto" w:sz="6" w:space="0"/>
              <w:right w:val="single" w:color="auto" w:sz="8" w:space="0"/>
            </w:tcBorders>
            <w:noWrap w:val="0"/>
            <w:vAlign w:val="center"/>
          </w:tcPr>
          <w:p w14:paraId="30A87D5E">
            <w:pPr>
              <w:widowControl/>
              <w:spacing w:line="480" w:lineRule="exact"/>
              <w:jc w:val="both"/>
              <w:rPr>
                <w:rFonts w:ascii="Times New Roman" w:hAnsi="Times New Roman" w:eastAsia="宋体"/>
                <w:color w:val="000000"/>
                <w:kern w:val="0"/>
                <w:szCs w:val="21"/>
              </w:rPr>
            </w:pPr>
            <w:r>
              <w:rPr>
                <w:rFonts w:ascii="Times New Roman" w:hAnsi="Times New Roman" w:eastAsia="宋体"/>
                <w:color w:val="000000"/>
                <w:kern w:val="0"/>
                <w:szCs w:val="21"/>
              </w:rPr>
              <w:t>7、配套极其他基础设施建设</w:t>
            </w:r>
          </w:p>
        </w:tc>
      </w:tr>
      <w:tr w14:paraId="4A8F427D">
        <w:tblPrEx>
          <w:tblCellMar>
            <w:top w:w="0" w:type="dxa"/>
            <w:left w:w="108" w:type="dxa"/>
            <w:bottom w:w="0" w:type="dxa"/>
            <w:right w:w="108" w:type="dxa"/>
          </w:tblCellMar>
        </w:tblPrEx>
        <w:trPr>
          <w:trHeight w:val="20" w:hRule="atLeast"/>
          <w:jc w:val="center"/>
        </w:trPr>
        <w:tc>
          <w:tcPr>
            <w:tcW w:w="1144" w:type="dxa"/>
            <w:vMerge w:val="continue"/>
            <w:tcBorders>
              <w:top w:val="single" w:color="auto" w:sz="8" w:space="0"/>
              <w:left w:val="single" w:color="auto" w:sz="8" w:space="0"/>
              <w:bottom w:val="single" w:color="auto" w:sz="8" w:space="0"/>
              <w:right w:val="single" w:color="auto" w:sz="8" w:space="0"/>
            </w:tcBorders>
            <w:noWrap/>
            <w:vAlign w:val="center"/>
          </w:tcPr>
          <w:p w14:paraId="60F79024">
            <w:pPr>
              <w:spacing w:line="480" w:lineRule="exact"/>
              <w:jc w:val="center"/>
              <w:rPr>
                <w:rFonts w:ascii="Times New Roman" w:hAnsi="Times New Roman" w:eastAsia="宋体"/>
                <w:kern w:val="0"/>
                <w:szCs w:val="21"/>
              </w:rPr>
            </w:pPr>
          </w:p>
        </w:tc>
        <w:tc>
          <w:tcPr>
            <w:tcW w:w="705" w:type="dxa"/>
            <w:vMerge w:val="restart"/>
            <w:tcBorders>
              <w:top w:val="single" w:color="auto" w:sz="8" w:space="0"/>
              <w:left w:val="single" w:color="auto" w:sz="8" w:space="0"/>
              <w:right w:val="single" w:color="auto" w:sz="8" w:space="0"/>
            </w:tcBorders>
            <w:noWrap w:val="0"/>
            <w:vAlign w:val="center"/>
          </w:tcPr>
          <w:p w14:paraId="3CE8B87B">
            <w:pPr>
              <w:widowControl/>
              <w:spacing w:line="480" w:lineRule="exact"/>
              <w:jc w:val="center"/>
              <w:rPr>
                <w:rFonts w:ascii="Times New Roman" w:hAnsi="Times New Roman" w:eastAsia="宋体"/>
                <w:color w:val="000000"/>
                <w:kern w:val="0"/>
                <w:szCs w:val="21"/>
              </w:rPr>
            </w:pPr>
            <w:r>
              <w:rPr>
                <w:rFonts w:ascii="Times New Roman" w:hAnsi="Times New Roman" w:eastAsia="宋体"/>
                <w:color w:val="000000"/>
                <w:kern w:val="0"/>
                <w:szCs w:val="21"/>
              </w:rPr>
              <w:t>6</w:t>
            </w:r>
          </w:p>
        </w:tc>
        <w:tc>
          <w:tcPr>
            <w:tcW w:w="1080" w:type="dxa"/>
            <w:vMerge w:val="restart"/>
            <w:tcBorders>
              <w:top w:val="single" w:color="auto" w:sz="8" w:space="0"/>
              <w:left w:val="single" w:color="auto" w:sz="8" w:space="0"/>
              <w:right w:val="single" w:color="auto" w:sz="8" w:space="0"/>
            </w:tcBorders>
            <w:noWrap w:val="0"/>
            <w:vAlign w:val="center"/>
          </w:tcPr>
          <w:p w14:paraId="148CE263">
            <w:pPr>
              <w:widowControl/>
              <w:spacing w:line="480" w:lineRule="exact"/>
              <w:jc w:val="center"/>
              <w:rPr>
                <w:rFonts w:ascii="Times New Roman" w:hAnsi="Times New Roman" w:eastAsia="宋体"/>
                <w:color w:val="000000"/>
                <w:kern w:val="0"/>
                <w:szCs w:val="21"/>
              </w:rPr>
            </w:pPr>
            <w:r>
              <w:rPr>
                <w:rFonts w:ascii="Times New Roman" w:hAnsi="Times New Roman" w:eastAsia="宋体"/>
                <w:color w:val="000000"/>
                <w:kern w:val="0"/>
                <w:szCs w:val="21"/>
              </w:rPr>
              <w:t>重点建设工程</w:t>
            </w:r>
          </w:p>
        </w:tc>
        <w:tc>
          <w:tcPr>
            <w:tcW w:w="5718" w:type="dxa"/>
            <w:tcBorders>
              <w:top w:val="single" w:color="auto" w:sz="6" w:space="0"/>
              <w:left w:val="nil"/>
              <w:bottom w:val="single" w:color="auto" w:sz="6" w:space="0"/>
              <w:right w:val="single" w:color="auto" w:sz="8" w:space="0"/>
            </w:tcBorders>
            <w:noWrap w:val="0"/>
            <w:vAlign w:val="center"/>
          </w:tcPr>
          <w:p w14:paraId="0302C501">
            <w:pPr>
              <w:widowControl/>
              <w:spacing w:line="480" w:lineRule="exact"/>
              <w:jc w:val="both"/>
              <w:rPr>
                <w:rFonts w:ascii="Times New Roman" w:hAnsi="Times New Roman" w:eastAsia="宋体"/>
                <w:color w:val="000000"/>
                <w:kern w:val="0"/>
                <w:szCs w:val="21"/>
              </w:rPr>
            </w:pPr>
            <w:r>
              <w:rPr>
                <w:rFonts w:ascii="Times New Roman" w:hAnsi="Times New Roman" w:eastAsia="宋体"/>
                <w:color w:val="000000"/>
                <w:kern w:val="0"/>
                <w:szCs w:val="21"/>
              </w:rPr>
              <w:t>1、保护管理体系设施、资源保护设施设备等</w:t>
            </w:r>
          </w:p>
        </w:tc>
      </w:tr>
      <w:tr w14:paraId="58D69359">
        <w:tblPrEx>
          <w:tblCellMar>
            <w:top w:w="0" w:type="dxa"/>
            <w:left w:w="108" w:type="dxa"/>
            <w:bottom w:w="0" w:type="dxa"/>
            <w:right w:w="108" w:type="dxa"/>
          </w:tblCellMar>
        </w:tblPrEx>
        <w:trPr>
          <w:trHeight w:val="20" w:hRule="atLeast"/>
          <w:jc w:val="center"/>
        </w:trPr>
        <w:tc>
          <w:tcPr>
            <w:tcW w:w="1144" w:type="dxa"/>
            <w:vMerge w:val="continue"/>
            <w:tcBorders>
              <w:top w:val="single" w:color="auto" w:sz="8" w:space="0"/>
              <w:left w:val="single" w:color="auto" w:sz="8" w:space="0"/>
              <w:bottom w:val="single" w:color="auto" w:sz="8" w:space="0"/>
              <w:right w:val="single" w:color="auto" w:sz="8" w:space="0"/>
            </w:tcBorders>
            <w:noWrap/>
            <w:vAlign w:val="center"/>
          </w:tcPr>
          <w:p w14:paraId="0CE6F44C">
            <w:pPr>
              <w:spacing w:line="480" w:lineRule="exact"/>
              <w:jc w:val="center"/>
              <w:rPr>
                <w:rFonts w:ascii="Times New Roman" w:hAnsi="Times New Roman" w:eastAsia="宋体"/>
                <w:kern w:val="0"/>
                <w:szCs w:val="21"/>
              </w:rPr>
            </w:pPr>
          </w:p>
        </w:tc>
        <w:tc>
          <w:tcPr>
            <w:tcW w:w="705" w:type="dxa"/>
            <w:vMerge w:val="continue"/>
            <w:tcBorders>
              <w:left w:val="single" w:color="auto" w:sz="8" w:space="0"/>
              <w:right w:val="single" w:color="auto" w:sz="8" w:space="0"/>
            </w:tcBorders>
            <w:noWrap w:val="0"/>
            <w:vAlign w:val="center"/>
          </w:tcPr>
          <w:p w14:paraId="1B3E0812">
            <w:pPr>
              <w:widowControl/>
              <w:spacing w:line="480" w:lineRule="exact"/>
              <w:jc w:val="center"/>
              <w:rPr>
                <w:rFonts w:ascii="Times New Roman" w:hAnsi="Times New Roman" w:eastAsia="宋体"/>
                <w:color w:val="000000"/>
                <w:kern w:val="0"/>
                <w:szCs w:val="21"/>
              </w:rPr>
            </w:pPr>
          </w:p>
        </w:tc>
        <w:tc>
          <w:tcPr>
            <w:tcW w:w="1080" w:type="dxa"/>
            <w:vMerge w:val="continue"/>
            <w:tcBorders>
              <w:left w:val="single" w:color="auto" w:sz="8" w:space="0"/>
              <w:right w:val="single" w:color="auto" w:sz="8" w:space="0"/>
            </w:tcBorders>
            <w:noWrap w:val="0"/>
            <w:vAlign w:val="center"/>
          </w:tcPr>
          <w:p w14:paraId="30F916D9">
            <w:pPr>
              <w:widowControl/>
              <w:spacing w:line="480" w:lineRule="exact"/>
              <w:jc w:val="center"/>
              <w:rPr>
                <w:rFonts w:ascii="Times New Roman" w:hAnsi="Times New Roman" w:eastAsia="宋体"/>
                <w:color w:val="000000"/>
                <w:kern w:val="0"/>
                <w:szCs w:val="21"/>
              </w:rPr>
            </w:pPr>
          </w:p>
        </w:tc>
        <w:tc>
          <w:tcPr>
            <w:tcW w:w="5718" w:type="dxa"/>
            <w:tcBorders>
              <w:top w:val="single" w:color="auto" w:sz="6" w:space="0"/>
              <w:left w:val="nil"/>
              <w:bottom w:val="single" w:color="auto" w:sz="8" w:space="0"/>
              <w:right w:val="single" w:color="auto" w:sz="8" w:space="0"/>
            </w:tcBorders>
            <w:noWrap w:val="0"/>
            <w:vAlign w:val="center"/>
          </w:tcPr>
          <w:p w14:paraId="43CB3F50">
            <w:pPr>
              <w:widowControl/>
              <w:spacing w:line="480" w:lineRule="exact"/>
              <w:ind w:firstLine="210" w:firstLineChars="100"/>
              <w:jc w:val="both"/>
              <w:rPr>
                <w:rFonts w:ascii="Times New Roman" w:hAnsi="Times New Roman" w:eastAsia="宋体"/>
                <w:color w:val="000000"/>
                <w:kern w:val="0"/>
                <w:szCs w:val="21"/>
              </w:rPr>
            </w:pPr>
            <w:r>
              <w:rPr>
                <w:rFonts w:ascii="Times New Roman" w:hAnsi="Times New Roman" w:eastAsia="宋体"/>
                <w:color w:val="000000"/>
                <w:kern w:val="0"/>
                <w:szCs w:val="21"/>
              </w:rPr>
              <w:t>2、重点要实施和布局的生态修复工程</w:t>
            </w:r>
          </w:p>
        </w:tc>
      </w:tr>
      <w:tr w14:paraId="37CEB1CC">
        <w:tblPrEx>
          <w:tblCellMar>
            <w:top w:w="0" w:type="dxa"/>
            <w:left w:w="108" w:type="dxa"/>
            <w:bottom w:w="0" w:type="dxa"/>
            <w:right w:w="108" w:type="dxa"/>
          </w:tblCellMar>
        </w:tblPrEx>
        <w:trPr>
          <w:trHeight w:val="20" w:hRule="atLeast"/>
          <w:jc w:val="center"/>
        </w:trPr>
        <w:tc>
          <w:tcPr>
            <w:tcW w:w="1144" w:type="dxa"/>
            <w:vMerge w:val="continue"/>
            <w:tcBorders>
              <w:top w:val="single" w:color="auto" w:sz="8" w:space="0"/>
              <w:left w:val="single" w:color="auto" w:sz="8" w:space="0"/>
              <w:bottom w:val="single" w:color="auto" w:sz="8" w:space="0"/>
              <w:right w:val="single" w:color="auto" w:sz="8" w:space="0"/>
            </w:tcBorders>
            <w:noWrap/>
            <w:vAlign w:val="center"/>
          </w:tcPr>
          <w:p w14:paraId="2471027A">
            <w:pPr>
              <w:spacing w:line="480" w:lineRule="exact"/>
              <w:jc w:val="center"/>
              <w:rPr>
                <w:rFonts w:ascii="Times New Roman" w:hAnsi="Times New Roman" w:eastAsia="宋体"/>
                <w:kern w:val="0"/>
                <w:szCs w:val="21"/>
              </w:rPr>
            </w:pPr>
          </w:p>
        </w:tc>
        <w:tc>
          <w:tcPr>
            <w:tcW w:w="705" w:type="dxa"/>
            <w:vMerge w:val="continue"/>
            <w:tcBorders>
              <w:left w:val="single" w:color="auto" w:sz="8" w:space="0"/>
              <w:right w:val="single" w:color="auto" w:sz="8" w:space="0"/>
            </w:tcBorders>
            <w:noWrap w:val="0"/>
            <w:vAlign w:val="center"/>
          </w:tcPr>
          <w:p w14:paraId="6205523C">
            <w:pPr>
              <w:widowControl/>
              <w:spacing w:line="480" w:lineRule="exact"/>
              <w:jc w:val="center"/>
              <w:rPr>
                <w:rFonts w:ascii="Times New Roman" w:hAnsi="Times New Roman" w:eastAsia="宋体"/>
                <w:color w:val="000000"/>
                <w:kern w:val="0"/>
                <w:szCs w:val="21"/>
              </w:rPr>
            </w:pPr>
          </w:p>
        </w:tc>
        <w:tc>
          <w:tcPr>
            <w:tcW w:w="1080" w:type="dxa"/>
            <w:vMerge w:val="continue"/>
            <w:tcBorders>
              <w:left w:val="single" w:color="auto" w:sz="8" w:space="0"/>
              <w:right w:val="single" w:color="auto" w:sz="8" w:space="0"/>
            </w:tcBorders>
            <w:noWrap w:val="0"/>
            <w:vAlign w:val="center"/>
          </w:tcPr>
          <w:p w14:paraId="40F838E2">
            <w:pPr>
              <w:widowControl/>
              <w:spacing w:line="480" w:lineRule="exact"/>
              <w:jc w:val="center"/>
              <w:rPr>
                <w:rFonts w:ascii="Times New Roman" w:hAnsi="Times New Roman" w:eastAsia="宋体"/>
                <w:color w:val="000000"/>
                <w:kern w:val="0"/>
                <w:szCs w:val="21"/>
              </w:rPr>
            </w:pPr>
          </w:p>
        </w:tc>
        <w:tc>
          <w:tcPr>
            <w:tcW w:w="5718" w:type="dxa"/>
            <w:tcBorders>
              <w:top w:val="single" w:color="auto" w:sz="6" w:space="0"/>
              <w:left w:val="nil"/>
              <w:bottom w:val="single" w:color="auto" w:sz="8" w:space="0"/>
              <w:right w:val="single" w:color="auto" w:sz="8" w:space="0"/>
            </w:tcBorders>
            <w:noWrap w:val="0"/>
            <w:vAlign w:val="center"/>
          </w:tcPr>
          <w:p w14:paraId="7CC471F7">
            <w:pPr>
              <w:widowControl/>
              <w:spacing w:line="480" w:lineRule="exact"/>
              <w:jc w:val="both"/>
              <w:rPr>
                <w:rFonts w:ascii="Times New Roman" w:hAnsi="Times New Roman" w:eastAsia="宋体"/>
                <w:color w:val="000000"/>
                <w:kern w:val="0"/>
                <w:szCs w:val="21"/>
              </w:rPr>
            </w:pPr>
            <w:r>
              <w:rPr>
                <w:rFonts w:ascii="Times New Roman" w:hAnsi="Times New Roman" w:eastAsia="宋体"/>
                <w:color w:val="000000"/>
                <w:kern w:val="0"/>
                <w:szCs w:val="21"/>
              </w:rPr>
              <w:t>3、重点要建设的科研监测工作站、鸟类环志设备、气象水文监测站、植物固定监测样地、动物监测样线、</w:t>
            </w:r>
          </w:p>
        </w:tc>
      </w:tr>
      <w:tr w14:paraId="0BFD42A0">
        <w:tblPrEx>
          <w:tblCellMar>
            <w:top w:w="0" w:type="dxa"/>
            <w:left w:w="108" w:type="dxa"/>
            <w:bottom w:w="0" w:type="dxa"/>
            <w:right w:w="108" w:type="dxa"/>
          </w:tblCellMar>
        </w:tblPrEx>
        <w:trPr>
          <w:trHeight w:val="20" w:hRule="atLeast"/>
          <w:jc w:val="center"/>
        </w:trPr>
        <w:tc>
          <w:tcPr>
            <w:tcW w:w="1144" w:type="dxa"/>
            <w:vMerge w:val="continue"/>
            <w:tcBorders>
              <w:top w:val="single" w:color="auto" w:sz="8" w:space="0"/>
              <w:left w:val="single" w:color="auto" w:sz="8" w:space="0"/>
              <w:bottom w:val="single" w:color="auto" w:sz="8" w:space="0"/>
              <w:right w:val="single" w:color="auto" w:sz="8" w:space="0"/>
            </w:tcBorders>
            <w:noWrap/>
            <w:vAlign w:val="center"/>
          </w:tcPr>
          <w:p w14:paraId="20BF9788">
            <w:pPr>
              <w:spacing w:line="480" w:lineRule="exact"/>
              <w:jc w:val="center"/>
              <w:rPr>
                <w:rFonts w:ascii="Times New Roman" w:hAnsi="Times New Roman" w:eastAsia="宋体"/>
                <w:kern w:val="0"/>
                <w:szCs w:val="21"/>
              </w:rPr>
            </w:pPr>
          </w:p>
        </w:tc>
        <w:tc>
          <w:tcPr>
            <w:tcW w:w="705" w:type="dxa"/>
            <w:vMerge w:val="continue"/>
            <w:tcBorders>
              <w:left w:val="single" w:color="auto" w:sz="8" w:space="0"/>
              <w:right w:val="single" w:color="auto" w:sz="8" w:space="0"/>
            </w:tcBorders>
            <w:noWrap w:val="0"/>
            <w:vAlign w:val="center"/>
          </w:tcPr>
          <w:p w14:paraId="2BE51AE7">
            <w:pPr>
              <w:widowControl/>
              <w:spacing w:line="480" w:lineRule="exact"/>
              <w:jc w:val="center"/>
              <w:rPr>
                <w:rFonts w:ascii="Times New Roman" w:hAnsi="Times New Roman" w:eastAsia="宋体"/>
                <w:color w:val="000000"/>
                <w:kern w:val="0"/>
                <w:szCs w:val="21"/>
              </w:rPr>
            </w:pPr>
          </w:p>
        </w:tc>
        <w:tc>
          <w:tcPr>
            <w:tcW w:w="1080" w:type="dxa"/>
            <w:vMerge w:val="continue"/>
            <w:tcBorders>
              <w:left w:val="single" w:color="auto" w:sz="8" w:space="0"/>
              <w:right w:val="single" w:color="auto" w:sz="8" w:space="0"/>
            </w:tcBorders>
            <w:noWrap w:val="0"/>
            <w:vAlign w:val="center"/>
          </w:tcPr>
          <w:p w14:paraId="423BEC0D">
            <w:pPr>
              <w:widowControl/>
              <w:spacing w:line="480" w:lineRule="exact"/>
              <w:jc w:val="center"/>
              <w:rPr>
                <w:rFonts w:ascii="Times New Roman" w:hAnsi="Times New Roman" w:eastAsia="宋体"/>
                <w:color w:val="000000"/>
                <w:kern w:val="0"/>
                <w:szCs w:val="21"/>
              </w:rPr>
            </w:pPr>
          </w:p>
        </w:tc>
        <w:tc>
          <w:tcPr>
            <w:tcW w:w="5718" w:type="dxa"/>
            <w:tcBorders>
              <w:top w:val="single" w:color="auto" w:sz="6" w:space="0"/>
              <w:left w:val="nil"/>
              <w:bottom w:val="single" w:color="auto" w:sz="8" w:space="0"/>
              <w:right w:val="single" w:color="auto" w:sz="8" w:space="0"/>
            </w:tcBorders>
            <w:noWrap w:val="0"/>
            <w:vAlign w:val="center"/>
          </w:tcPr>
          <w:p w14:paraId="3741E1BE">
            <w:pPr>
              <w:widowControl/>
              <w:spacing w:line="480" w:lineRule="exact"/>
              <w:jc w:val="both"/>
              <w:rPr>
                <w:rFonts w:ascii="Times New Roman" w:hAnsi="Times New Roman" w:eastAsia="宋体"/>
                <w:color w:val="000000"/>
                <w:kern w:val="0"/>
                <w:szCs w:val="21"/>
              </w:rPr>
            </w:pPr>
            <w:r>
              <w:rPr>
                <w:rFonts w:ascii="Times New Roman" w:hAnsi="Times New Roman" w:eastAsia="宋体"/>
                <w:color w:val="000000"/>
                <w:kern w:val="0"/>
                <w:szCs w:val="21"/>
              </w:rPr>
              <w:t>4、保护区“空、天、地”一体化建设体系及软件设备</w:t>
            </w:r>
          </w:p>
        </w:tc>
      </w:tr>
      <w:tr w14:paraId="1FEDBED5">
        <w:tblPrEx>
          <w:tblCellMar>
            <w:top w:w="0" w:type="dxa"/>
            <w:left w:w="108" w:type="dxa"/>
            <w:bottom w:w="0" w:type="dxa"/>
            <w:right w:w="108" w:type="dxa"/>
          </w:tblCellMar>
        </w:tblPrEx>
        <w:trPr>
          <w:trHeight w:val="20" w:hRule="atLeast"/>
          <w:jc w:val="center"/>
        </w:trPr>
        <w:tc>
          <w:tcPr>
            <w:tcW w:w="1144" w:type="dxa"/>
            <w:vMerge w:val="continue"/>
            <w:tcBorders>
              <w:top w:val="single" w:color="auto" w:sz="8" w:space="0"/>
              <w:left w:val="single" w:color="auto" w:sz="8" w:space="0"/>
              <w:bottom w:val="single" w:color="auto" w:sz="8" w:space="0"/>
              <w:right w:val="single" w:color="auto" w:sz="8" w:space="0"/>
            </w:tcBorders>
            <w:noWrap/>
            <w:vAlign w:val="center"/>
          </w:tcPr>
          <w:p w14:paraId="26B1A110">
            <w:pPr>
              <w:spacing w:line="480" w:lineRule="exact"/>
              <w:jc w:val="center"/>
              <w:rPr>
                <w:rFonts w:ascii="Times New Roman" w:hAnsi="Times New Roman" w:eastAsia="宋体"/>
                <w:kern w:val="0"/>
                <w:szCs w:val="21"/>
              </w:rPr>
            </w:pPr>
          </w:p>
        </w:tc>
        <w:tc>
          <w:tcPr>
            <w:tcW w:w="705" w:type="dxa"/>
            <w:vMerge w:val="continue"/>
            <w:tcBorders>
              <w:left w:val="single" w:color="auto" w:sz="8" w:space="0"/>
              <w:right w:val="single" w:color="auto" w:sz="8" w:space="0"/>
            </w:tcBorders>
            <w:noWrap w:val="0"/>
            <w:vAlign w:val="center"/>
          </w:tcPr>
          <w:p w14:paraId="2891DC1A">
            <w:pPr>
              <w:widowControl/>
              <w:spacing w:line="480" w:lineRule="exact"/>
              <w:jc w:val="center"/>
              <w:rPr>
                <w:rFonts w:ascii="Times New Roman" w:hAnsi="Times New Roman" w:eastAsia="宋体"/>
                <w:color w:val="000000"/>
                <w:kern w:val="0"/>
                <w:szCs w:val="21"/>
              </w:rPr>
            </w:pPr>
          </w:p>
        </w:tc>
        <w:tc>
          <w:tcPr>
            <w:tcW w:w="1080" w:type="dxa"/>
            <w:vMerge w:val="continue"/>
            <w:tcBorders>
              <w:left w:val="single" w:color="auto" w:sz="8" w:space="0"/>
              <w:right w:val="single" w:color="auto" w:sz="8" w:space="0"/>
            </w:tcBorders>
            <w:noWrap w:val="0"/>
            <w:vAlign w:val="center"/>
          </w:tcPr>
          <w:p w14:paraId="5271D0BA">
            <w:pPr>
              <w:widowControl/>
              <w:spacing w:line="480" w:lineRule="exact"/>
              <w:jc w:val="center"/>
              <w:rPr>
                <w:rFonts w:ascii="Times New Roman" w:hAnsi="Times New Roman" w:eastAsia="宋体"/>
                <w:color w:val="000000"/>
                <w:kern w:val="0"/>
                <w:szCs w:val="21"/>
              </w:rPr>
            </w:pPr>
          </w:p>
        </w:tc>
        <w:tc>
          <w:tcPr>
            <w:tcW w:w="5718" w:type="dxa"/>
            <w:tcBorders>
              <w:top w:val="single" w:color="auto" w:sz="6" w:space="0"/>
              <w:left w:val="nil"/>
              <w:bottom w:val="single" w:color="auto" w:sz="8" w:space="0"/>
              <w:right w:val="single" w:color="auto" w:sz="8" w:space="0"/>
            </w:tcBorders>
            <w:noWrap w:val="0"/>
            <w:vAlign w:val="center"/>
          </w:tcPr>
          <w:p w14:paraId="35840072">
            <w:pPr>
              <w:widowControl/>
              <w:spacing w:line="480" w:lineRule="exact"/>
              <w:jc w:val="both"/>
              <w:rPr>
                <w:rFonts w:ascii="Times New Roman" w:hAnsi="Times New Roman" w:eastAsia="宋体"/>
                <w:color w:val="000000"/>
                <w:kern w:val="0"/>
                <w:szCs w:val="21"/>
              </w:rPr>
            </w:pPr>
            <w:r>
              <w:rPr>
                <w:rFonts w:ascii="Times New Roman" w:hAnsi="Times New Roman" w:eastAsia="宋体"/>
                <w:color w:val="000000"/>
                <w:kern w:val="0"/>
                <w:szCs w:val="21"/>
              </w:rPr>
              <w:t>5、保护区自然教育设施、科普宣传活动、自然教育基地建设等</w:t>
            </w:r>
          </w:p>
        </w:tc>
      </w:tr>
      <w:tr w14:paraId="7829E375">
        <w:tblPrEx>
          <w:tblCellMar>
            <w:top w:w="0" w:type="dxa"/>
            <w:left w:w="108" w:type="dxa"/>
            <w:bottom w:w="0" w:type="dxa"/>
            <w:right w:w="108" w:type="dxa"/>
          </w:tblCellMar>
        </w:tblPrEx>
        <w:trPr>
          <w:trHeight w:val="20" w:hRule="atLeast"/>
          <w:jc w:val="center"/>
        </w:trPr>
        <w:tc>
          <w:tcPr>
            <w:tcW w:w="1144" w:type="dxa"/>
            <w:vMerge w:val="continue"/>
            <w:tcBorders>
              <w:top w:val="single" w:color="auto" w:sz="8" w:space="0"/>
              <w:left w:val="single" w:color="auto" w:sz="8" w:space="0"/>
              <w:bottom w:val="single" w:color="auto" w:sz="8" w:space="0"/>
              <w:right w:val="single" w:color="auto" w:sz="8" w:space="0"/>
            </w:tcBorders>
            <w:noWrap/>
            <w:vAlign w:val="center"/>
          </w:tcPr>
          <w:p w14:paraId="4E39D865">
            <w:pPr>
              <w:spacing w:line="480" w:lineRule="exact"/>
              <w:jc w:val="center"/>
              <w:rPr>
                <w:rFonts w:ascii="Times New Roman" w:hAnsi="Times New Roman" w:eastAsia="宋体"/>
                <w:kern w:val="0"/>
                <w:szCs w:val="21"/>
              </w:rPr>
            </w:pPr>
          </w:p>
        </w:tc>
        <w:tc>
          <w:tcPr>
            <w:tcW w:w="705" w:type="dxa"/>
            <w:vMerge w:val="continue"/>
            <w:tcBorders>
              <w:left w:val="single" w:color="auto" w:sz="8" w:space="0"/>
              <w:right w:val="single" w:color="auto" w:sz="8" w:space="0"/>
            </w:tcBorders>
            <w:noWrap w:val="0"/>
            <w:vAlign w:val="center"/>
          </w:tcPr>
          <w:p w14:paraId="7E4195FC">
            <w:pPr>
              <w:widowControl/>
              <w:spacing w:line="480" w:lineRule="exact"/>
              <w:jc w:val="center"/>
              <w:rPr>
                <w:rFonts w:ascii="Times New Roman" w:hAnsi="Times New Roman" w:eastAsia="宋体"/>
                <w:color w:val="000000"/>
                <w:kern w:val="0"/>
                <w:szCs w:val="21"/>
              </w:rPr>
            </w:pPr>
          </w:p>
        </w:tc>
        <w:tc>
          <w:tcPr>
            <w:tcW w:w="1080" w:type="dxa"/>
            <w:vMerge w:val="continue"/>
            <w:tcBorders>
              <w:left w:val="single" w:color="auto" w:sz="8" w:space="0"/>
              <w:right w:val="single" w:color="auto" w:sz="8" w:space="0"/>
            </w:tcBorders>
            <w:noWrap w:val="0"/>
            <w:vAlign w:val="center"/>
          </w:tcPr>
          <w:p w14:paraId="0800CD20">
            <w:pPr>
              <w:widowControl/>
              <w:spacing w:line="480" w:lineRule="exact"/>
              <w:jc w:val="center"/>
              <w:rPr>
                <w:rFonts w:ascii="Times New Roman" w:hAnsi="Times New Roman" w:eastAsia="宋体"/>
                <w:color w:val="000000"/>
                <w:kern w:val="0"/>
                <w:szCs w:val="21"/>
              </w:rPr>
            </w:pPr>
          </w:p>
        </w:tc>
        <w:tc>
          <w:tcPr>
            <w:tcW w:w="5718" w:type="dxa"/>
            <w:tcBorders>
              <w:top w:val="single" w:color="auto" w:sz="6" w:space="0"/>
              <w:left w:val="nil"/>
              <w:bottom w:val="single" w:color="auto" w:sz="8" w:space="0"/>
              <w:right w:val="single" w:color="auto" w:sz="8" w:space="0"/>
            </w:tcBorders>
            <w:noWrap w:val="0"/>
            <w:vAlign w:val="center"/>
          </w:tcPr>
          <w:p w14:paraId="74D7413D">
            <w:pPr>
              <w:widowControl/>
              <w:spacing w:line="480" w:lineRule="exact"/>
              <w:jc w:val="both"/>
              <w:rPr>
                <w:rFonts w:ascii="Times New Roman" w:hAnsi="Times New Roman" w:eastAsia="宋体"/>
                <w:color w:val="000000"/>
                <w:kern w:val="0"/>
                <w:szCs w:val="21"/>
              </w:rPr>
            </w:pPr>
            <w:r>
              <w:rPr>
                <w:rFonts w:ascii="Times New Roman" w:hAnsi="Times New Roman" w:eastAsia="宋体"/>
                <w:color w:val="000000"/>
                <w:kern w:val="0"/>
                <w:szCs w:val="21"/>
              </w:rPr>
              <w:t>6、生态体验服务设施等</w:t>
            </w:r>
          </w:p>
        </w:tc>
      </w:tr>
      <w:tr w14:paraId="504F63A9">
        <w:tblPrEx>
          <w:tblCellMar>
            <w:top w:w="0" w:type="dxa"/>
            <w:left w:w="108" w:type="dxa"/>
            <w:bottom w:w="0" w:type="dxa"/>
            <w:right w:w="108" w:type="dxa"/>
          </w:tblCellMar>
        </w:tblPrEx>
        <w:trPr>
          <w:trHeight w:val="20" w:hRule="atLeast"/>
          <w:jc w:val="center"/>
        </w:trPr>
        <w:tc>
          <w:tcPr>
            <w:tcW w:w="1144" w:type="dxa"/>
            <w:vMerge w:val="continue"/>
            <w:tcBorders>
              <w:top w:val="single" w:color="auto" w:sz="8" w:space="0"/>
              <w:left w:val="single" w:color="auto" w:sz="8" w:space="0"/>
              <w:bottom w:val="single" w:color="auto" w:sz="8" w:space="0"/>
              <w:right w:val="single" w:color="auto" w:sz="8" w:space="0"/>
            </w:tcBorders>
            <w:noWrap/>
            <w:vAlign w:val="center"/>
          </w:tcPr>
          <w:p w14:paraId="2B19CC01">
            <w:pPr>
              <w:spacing w:line="480" w:lineRule="exact"/>
              <w:jc w:val="center"/>
              <w:rPr>
                <w:rFonts w:ascii="Times New Roman" w:hAnsi="Times New Roman" w:eastAsia="宋体"/>
                <w:kern w:val="0"/>
                <w:szCs w:val="21"/>
              </w:rPr>
            </w:pPr>
          </w:p>
        </w:tc>
        <w:tc>
          <w:tcPr>
            <w:tcW w:w="705" w:type="dxa"/>
            <w:vMerge w:val="continue"/>
            <w:tcBorders>
              <w:left w:val="single" w:color="auto" w:sz="8" w:space="0"/>
              <w:bottom w:val="single" w:color="auto" w:sz="8" w:space="0"/>
              <w:right w:val="single" w:color="auto" w:sz="8" w:space="0"/>
            </w:tcBorders>
            <w:noWrap w:val="0"/>
            <w:vAlign w:val="center"/>
          </w:tcPr>
          <w:p w14:paraId="4BC7A4BC">
            <w:pPr>
              <w:widowControl/>
              <w:spacing w:line="480" w:lineRule="exact"/>
              <w:jc w:val="center"/>
              <w:rPr>
                <w:rFonts w:ascii="Times New Roman" w:hAnsi="Times New Roman" w:eastAsia="宋体"/>
                <w:color w:val="000000"/>
                <w:kern w:val="0"/>
                <w:szCs w:val="21"/>
              </w:rPr>
            </w:pPr>
          </w:p>
        </w:tc>
        <w:tc>
          <w:tcPr>
            <w:tcW w:w="1080" w:type="dxa"/>
            <w:vMerge w:val="continue"/>
            <w:tcBorders>
              <w:left w:val="single" w:color="auto" w:sz="8" w:space="0"/>
              <w:bottom w:val="single" w:color="auto" w:sz="8" w:space="0"/>
              <w:right w:val="single" w:color="auto" w:sz="8" w:space="0"/>
            </w:tcBorders>
            <w:noWrap w:val="0"/>
            <w:vAlign w:val="center"/>
          </w:tcPr>
          <w:p w14:paraId="5B6B51E7">
            <w:pPr>
              <w:widowControl/>
              <w:spacing w:line="480" w:lineRule="exact"/>
              <w:jc w:val="center"/>
              <w:rPr>
                <w:rFonts w:ascii="Times New Roman" w:hAnsi="Times New Roman" w:eastAsia="宋体"/>
                <w:color w:val="000000"/>
                <w:kern w:val="0"/>
                <w:szCs w:val="21"/>
              </w:rPr>
            </w:pPr>
          </w:p>
        </w:tc>
        <w:tc>
          <w:tcPr>
            <w:tcW w:w="5718" w:type="dxa"/>
            <w:tcBorders>
              <w:top w:val="single" w:color="auto" w:sz="8" w:space="0"/>
              <w:left w:val="nil"/>
              <w:bottom w:val="single" w:color="auto" w:sz="6" w:space="0"/>
              <w:right w:val="single" w:color="auto" w:sz="8" w:space="0"/>
            </w:tcBorders>
            <w:noWrap w:val="0"/>
            <w:vAlign w:val="center"/>
          </w:tcPr>
          <w:p w14:paraId="3586D880">
            <w:pPr>
              <w:widowControl/>
              <w:spacing w:line="480" w:lineRule="exact"/>
              <w:jc w:val="both"/>
              <w:rPr>
                <w:rFonts w:ascii="Times New Roman" w:hAnsi="Times New Roman" w:eastAsia="宋体"/>
                <w:color w:val="000000"/>
                <w:kern w:val="0"/>
                <w:szCs w:val="21"/>
              </w:rPr>
            </w:pPr>
            <w:r>
              <w:rPr>
                <w:rFonts w:ascii="Times New Roman" w:hAnsi="Times New Roman" w:eastAsia="宋体"/>
                <w:color w:val="000000"/>
                <w:kern w:val="0"/>
                <w:szCs w:val="21"/>
              </w:rPr>
              <w:t>7、配套建设的道路、交通车辆、通信设施等</w:t>
            </w:r>
          </w:p>
        </w:tc>
      </w:tr>
      <w:tr w14:paraId="3A59278A">
        <w:tblPrEx>
          <w:tblCellMar>
            <w:top w:w="0" w:type="dxa"/>
            <w:left w:w="108" w:type="dxa"/>
            <w:bottom w:w="0" w:type="dxa"/>
            <w:right w:w="108" w:type="dxa"/>
          </w:tblCellMar>
        </w:tblPrEx>
        <w:trPr>
          <w:trHeight w:val="20" w:hRule="atLeast"/>
          <w:jc w:val="center"/>
        </w:trPr>
        <w:tc>
          <w:tcPr>
            <w:tcW w:w="1144" w:type="dxa"/>
            <w:vMerge w:val="continue"/>
            <w:tcBorders>
              <w:top w:val="single" w:color="auto" w:sz="8" w:space="0"/>
              <w:left w:val="single" w:color="auto" w:sz="8" w:space="0"/>
              <w:bottom w:val="single" w:color="auto" w:sz="8" w:space="0"/>
              <w:right w:val="single" w:color="auto" w:sz="8" w:space="0"/>
            </w:tcBorders>
            <w:noWrap/>
            <w:vAlign w:val="center"/>
          </w:tcPr>
          <w:p w14:paraId="17FE748D">
            <w:pPr>
              <w:spacing w:line="480" w:lineRule="exact"/>
              <w:jc w:val="center"/>
              <w:rPr>
                <w:rFonts w:ascii="Times New Roman" w:hAnsi="Times New Roman" w:eastAsia="宋体"/>
                <w:kern w:val="0"/>
                <w:szCs w:val="21"/>
              </w:rPr>
            </w:pPr>
          </w:p>
        </w:tc>
        <w:tc>
          <w:tcPr>
            <w:tcW w:w="705" w:type="dxa"/>
            <w:tcBorders>
              <w:top w:val="single" w:color="auto" w:sz="8" w:space="0"/>
              <w:left w:val="single" w:color="auto" w:sz="8" w:space="0"/>
              <w:bottom w:val="single" w:color="auto" w:sz="8" w:space="0"/>
              <w:right w:val="single" w:color="auto" w:sz="8" w:space="0"/>
            </w:tcBorders>
            <w:noWrap w:val="0"/>
            <w:vAlign w:val="center"/>
          </w:tcPr>
          <w:p w14:paraId="1508A457">
            <w:pPr>
              <w:widowControl/>
              <w:spacing w:line="480" w:lineRule="exact"/>
              <w:jc w:val="center"/>
              <w:rPr>
                <w:rFonts w:ascii="Times New Roman" w:hAnsi="Times New Roman" w:eastAsia="宋体"/>
                <w:color w:val="000000"/>
                <w:kern w:val="0"/>
                <w:szCs w:val="21"/>
              </w:rPr>
            </w:pPr>
            <w:r>
              <w:rPr>
                <w:rFonts w:ascii="Times New Roman" w:hAnsi="Times New Roman" w:eastAsia="宋体"/>
                <w:color w:val="000000"/>
                <w:kern w:val="0"/>
                <w:szCs w:val="21"/>
              </w:rPr>
              <w:t>7</w:t>
            </w:r>
          </w:p>
        </w:tc>
        <w:tc>
          <w:tcPr>
            <w:tcW w:w="1080" w:type="dxa"/>
            <w:tcBorders>
              <w:top w:val="single" w:color="auto" w:sz="8" w:space="0"/>
              <w:left w:val="single" w:color="auto" w:sz="8" w:space="0"/>
              <w:bottom w:val="single" w:color="auto" w:sz="8" w:space="0"/>
              <w:right w:val="single" w:color="auto" w:sz="8" w:space="0"/>
            </w:tcBorders>
            <w:noWrap w:val="0"/>
            <w:vAlign w:val="center"/>
          </w:tcPr>
          <w:p w14:paraId="2432783D">
            <w:pPr>
              <w:widowControl/>
              <w:spacing w:line="480" w:lineRule="exact"/>
              <w:jc w:val="center"/>
              <w:rPr>
                <w:rFonts w:ascii="Times New Roman" w:hAnsi="Times New Roman" w:eastAsia="宋体"/>
                <w:color w:val="000000"/>
                <w:kern w:val="0"/>
                <w:szCs w:val="21"/>
              </w:rPr>
            </w:pPr>
            <w:r>
              <w:rPr>
                <w:rFonts w:ascii="Times New Roman" w:hAnsi="Times New Roman" w:eastAsia="宋体"/>
                <w:color w:val="000000"/>
                <w:kern w:val="0"/>
                <w:szCs w:val="21"/>
              </w:rPr>
              <w:t>管理机构与能力建设</w:t>
            </w:r>
          </w:p>
        </w:tc>
        <w:tc>
          <w:tcPr>
            <w:tcW w:w="5718" w:type="dxa"/>
            <w:tcBorders>
              <w:top w:val="single" w:color="auto" w:sz="6" w:space="0"/>
              <w:left w:val="nil"/>
              <w:bottom w:val="single" w:color="auto" w:sz="6" w:space="0"/>
              <w:right w:val="single" w:color="auto" w:sz="8" w:space="0"/>
            </w:tcBorders>
            <w:noWrap w:val="0"/>
            <w:vAlign w:val="center"/>
          </w:tcPr>
          <w:p w14:paraId="16BA5F51">
            <w:pPr>
              <w:widowControl/>
              <w:spacing w:line="480" w:lineRule="exact"/>
              <w:jc w:val="both"/>
              <w:rPr>
                <w:rFonts w:ascii="Times New Roman" w:hAnsi="Times New Roman" w:eastAsia="宋体"/>
                <w:color w:val="000000"/>
                <w:kern w:val="0"/>
                <w:szCs w:val="21"/>
              </w:rPr>
            </w:pPr>
            <w:r>
              <w:rPr>
                <w:rFonts w:ascii="Times New Roman" w:hAnsi="Times New Roman" w:eastAsia="宋体"/>
                <w:color w:val="000000"/>
                <w:kern w:val="0"/>
                <w:szCs w:val="21"/>
              </w:rPr>
              <w:t>保护区组织机构、人员编制规划、能力提升建设等</w:t>
            </w:r>
          </w:p>
        </w:tc>
      </w:tr>
      <w:tr w14:paraId="7BAD729A">
        <w:tblPrEx>
          <w:tblCellMar>
            <w:top w:w="0" w:type="dxa"/>
            <w:left w:w="108" w:type="dxa"/>
            <w:bottom w:w="0" w:type="dxa"/>
            <w:right w:w="108" w:type="dxa"/>
          </w:tblCellMar>
        </w:tblPrEx>
        <w:trPr>
          <w:trHeight w:val="20" w:hRule="atLeast"/>
          <w:jc w:val="center"/>
        </w:trPr>
        <w:tc>
          <w:tcPr>
            <w:tcW w:w="1144" w:type="dxa"/>
            <w:vMerge w:val="continue"/>
            <w:tcBorders>
              <w:top w:val="single" w:color="auto" w:sz="8" w:space="0"/>
              <w:left w:val="single" w:color="auto" w:sz="8" w:space="0"/>
              <w:bottom w:val="single" w:color="auto" w:sz="8" w:space="0"/>
              <w:right w:val="single" w:color="auto" w:sz="8" w:space="0"/>
            </w:tcBorders>
            <w:noWrap/>
            <w:vAlign w:val="center"/>
          </w:tcPr>
          <w:p w14:paraId="754270F3">
            <w:pPr>
              <w:spacing w:line="480" w:lineRule="exact"/>
              <w:jc w:val="center"/>
              <w:rPr>
                <w:rFonts w:ascii="Times New Roman" w:hAnsi="Times New Roman" w:eastAsia="宋体"/>
                <w:kern w:val="0"/>
                <w:szCs w:val="21"/>
              </w:rPr>
            </w:pPr>
          </w:p>
        </w:tc>
        <w:tc>
          <w:tcPr>
            <w:tcW w:w="705" w:type="dxa"/>
            <w:tcBorders>
              <w:top w:val="single" w:color="auto" w:sz="8" w:space="0"/>
              <w:left w:val="single" w:color="auto" w:sz="8" w:space="0"/>
              <w:bottom w:val="single" w:color="auto" w:sz="8" w:space="0"/>
              <w:right w:val="single" w:color="auto" w:sz="8" w:space="0"/>
            </w:tcBorders>
            <w:noWrap w:val="0"/>
            <w:vAlign w:val="center"/>
          </w:tcPr>
          <w:p w14:paraId="7E5F2A23">
            <w:pPr>
              <w:widowControl/>
              <w:spacing w:line="480" w:lineRule="exact"/>
              <w:jc w:val="center"/>
              <w:rPr>
                <w:rFonts w:ascii="Times New Roman" w:hAnsi="Times New Roman" w:eastAsia="宋体"/>
                <w:color w:val="000000"/>
                <w:kern w:val="0"/>
                <w:szCs w:val="21"/>
              </w:rPr>
            </w:pPr>
            <w:r>
              <w:rPr>
                <w:rFonts w:ascii="Times New Roman" w:hAnsi="Times New Roman" w:eastAsia="宋体"/>
                <w:color w:val="000000"/>
                <w:kern w:val="0"/>
                <w:szCs w:val="21"/>
              </w:rPr>
              <w:t>8</w:t>
            </w:r>
          </w:p>
        </w:tc>
        <w:tc>
          <w:tcPr>
            <w:tcW w:w="1080" w:type="dxa"/>
            <w:tcBorders>
              <w:top w:val="single" w:color="auto" w:sz="8" w:space="0"/>
              <w:left w:val="single" w:color="auto" w:sz="8" w:space="0"/>
              <w:bottom w:val="single" w:color="auto" w:sz="8" w:space="0"/>
              <w:right w:val="single" w:color="auto" w:sz="8" w:space="0"/>
            </w:tcBorders>
            <w:noWrap w:val="0"/>
            <w:vAlign w:val="center"/>
          </w:tcPr>
          <w:p w14:paraId="67171500">
            <w:pPr>
              <w:widowControl/>
              <w:spacing w:line="480" w:lineRule="exact"/>
              <w:jc w:val="center"/>
              <w:rPr>
                <w:rFonts w:ascii="Times New Roman" w:hAnsi="Times New Roman" w:eastAsia="宋体"/>
                <w:color w:val="000000"/>
                <w:kern w:val="0"/>
                <w:szCs w:val="21"/>
              </w:rPr>
            </w:pPr>
            <w:r>
              <w:rPr>
                <w:rFonts w:ascii="Times New Roman" w:hAnsi="Times New Roman" w:eastAsia="宋体"/>
                <w:color w:val="000000"/>
                <w:kern w:val="0"/>
                <w:szCs w:val="21"/>
              </w:rPr>
              <w:t>投资估算</w:t>
            </w:r>
          </w:p>
        </w:tc>
        <w:tc>
          <w:tcPr>
            <w:tcW w:w="5718" w:type="dxa"/>
            <w:tcBorders>
              <w:top w:val="single" w:color="auto" w:sz="6" w:space="0"/>
              <w:left w:val="nil"/>
              <w:bottom w:val="single" w:color="auto" w:sz="6" w:space="0"/>
              <w:right w:val="single" w:color="auto" w:sz="8" w:space="0"/>
            </w:tcBorders>
            <w:noWrap w:val="0"/>
            <w:vAlign w:val="center"/>
          </w:tcPr>
          <w:p w14:paraId="59671CBA">
            <w:pPr>
              <w:widowControl/>
              <w:spacing w:line="480" w:lineRule="exact"/>
              <w:jc w:val="both"/>
              <w:rPr>
                <w:rFonts w:ascii="Times New Roman" w:hAnsi="Times New Roman" w:eastAsia="宋体"/>
                <w:color w:val="000000"/>
                <w:kern w:val="0"/>
                <w:szCs w:val="21"/>
              </w:rPr>
            </w:pPr>
            <w:r>
              <w:rPr>
                <w:rFonts w:ascii="Times New Roman" w:hAnsi="Times New Roman" w:eastAsia="宋体"/>
                <w:color w:val="000000"/>
                <w:kern w:val="0"/>
                <w:szCs w:val="21"/>
              </w:rPr>
              <w:t>工程费估算依据和其他费用估算依据；事业费估算等；分别费用类别和建设内容陈述项目建设投资估算；明确建设项目的资金用途计划及来源渠道。</w:t>
            </w:r>
          </w:p>
        </w:tc>
      </w:tr>
      <w:tr w14:paraId="587D3DB7">
        <w:tblPrEx>
          <w:tblCellMar>
            <w:top w:w="0" w:type="dxa"/>
            <w:left w:w="108" w:type="dxa"/>
            <w:bottom w:w="0" w:type="dxa"/>
            <w:right w:w="108" w:type="dxa"/>
          </w:tblCellMar>
        </w:tblPrEx>
        <w:trPr>
          <w:trHeight w:val="20" w:hRule="atLeast"/>
          <w:jc w:val="center"/>
        </w:trPr>
        <w:tc>
          <w:tcPr>
            <w:tcW w:w="1144" w:type="dxa"/>
            <w:vMerge w:val="continue"/>
            <w:tcBorders>
              <w:top w:val="single" w:color="auto" w:sz="8" w:space="0"/>
              <w:left w:val="single" w:color="auto" w:sz="8" w:space="0"/>
              <w:bottom w:val="single" w:color="auto" w:sz="8" w:space="0"/>
              <w:right w:val="single" w:color="auto" w:sz="8" w:space="0"/>
            </w:tcBorders>
            <w:noWrap/>
            <w:vAlign w:val="center"/>
          </w:tcPr>
          <w:p w14:paraId="1EB9F08E">
            <w:pPr>
              <w:spacing w:line="480" w:lineRule="exact"/>
              <w:jc w:val="center"/>
              <w:rPr>
                <w:rFonts w:ascii="Times New Roman" w:hAnsi="Times New Roman" w:eastAsia="宋体"/>
                <w:kern w:val="0"/>
                <w:szCs w:val="21"/>
              </w:rPr>
            </w:pPr>
          </w:p>
        </w:tc>
        <w:tc>
          <w:tcPr>
            <w:tcW w:w="705" w:type="dxa"/>
            <w:tcBorders>
              <w:top w:val="single" w:color="auto" w:sz="8" w:space="0"/>
              <w:left w:val="single" w:color="auto" w:sz="8" w:space="0"/>
              <w:bottom w:val="single" w:color="auto" w:sz="8" w:space="0"/>
              <w:right w:val="single" w:color="auto" w:sz="8" w:space="0"/>
            </w:tcBorders>
            <w:noWrap w:val="0"/>
            <w:vAlign w:val="center"/>
          </w:tcPr>
          <w:p w14:paraId="7F0CBFA1">
            <w:pPr>
              <w:widowControl/>
              <w:spacing w:line="480" w:lineRule="exact"/>
              <w:jc w:val="center"/>
              <w:rPr>
                <w:rFonts w:ascii="Times New Roman" w:hAnsi="Times New Roman" w:eastAsia="宋体"/>
                <w:color w:val="000000"/>
                <w:kern w:val="0"/>
                <w:szCs w:val="21"/>
              </w:rPr>
            </w:pPr>
            <w:r>
              <w:rPr>
                <w:rFonts w:ascii="Times New Roman" w:hAnsi="Times New Roman" w:eastAsia="宋体"/>
                <w:color w:val="000000"/>
                <w:kern w:val="0"/>
                <w:szCs w:val="21"/>
              </w:rPr>
              <w:t>9</w:t>
            </w:r>
          </w:p>
        </w:tc>
        <w:tc>
          <w:tcPr>
            <w:tcW w:w="1080" w:type="dxa"/>
            <w:tcBorders>
              <w:top w:val="single" w:color="auto" w:sz="8" w:space="0"/>
              <w:left w:val="single" w:color="auto" w:sz="8" w:space="0"/>
              <w:bottom w:val="single" w:color="auto" w:sz="8" w:space="0"/>
              <w:right w:val="single" w:color="auto" w:sz="8" w:space="0"/>
            </w:tcBorders>
            <w:noWrap w:val="0"/>
            <w:vAlign w:val="center"/>
          </w:tcPr>
          <w:p w14:paraId="5EFAFA04">
            <w:pPr>
              <w:widowControl/>
              <w:spacing w:line="480" w:lineRule="exact"/>
              <w:jc w:val="center"/>
              <w:rPr>
                <w:rFonts w:ascii="Times New Roman" w:hAnsi="Times New Roman" w:eastAsia="宋体"/>
                <w:color w:val="000000"/>
                <w:kern w:val="0"/>
                <w:szCs w:val="21"/>
              </w:rPr>
            </w:pPr>
            <w:r>
              <w:rPr>
                <w:rFonts w:ascii="Times New Roman" w:hAnsi="Times New Roman" w:eastAsia="宋体"/>
                <w:color w:val="000000"/>
                <w:kern w:val="0"/>
                <w:szCs w:val="21"/>
              </w:rPr>
              <w:t>保障措施</w:t>
            </w:r>
          </w:p>
        </w:tc>
        <w:tc>
          <w:tcPr>
            <w:tcW w:w="5718" w:type="dxa"/>
            <w:tcBorders>
              <w:top w:val="single" w:color="auto" w:sz="6" w:space="0"/>
              <w:left w:val="nil"/>
              <w:bottom w:val="single" w:color="auto" w:sz="8" w:space="0"/>
              <w:right w:val="single" w:color="auto" w:sz="8" w:space="0"/>
            </w:tcBorders>
            <w:noWrap w:val="0"/>
            <w:vAlign w:val="center"/>
          </w:tcPr>
          <w:p w14:paraId="2FC99F63">
            <w:pPr>
              <w:widowControl/>
              <w:spacing w:line="480" w:lineRule="exact"/>
              <w:jc w:val="both"/>
              <w:rPr>
                <w:rFonts w:ascii="Times New Roman" w:hAnsi="Times New Roman" w:eastAsia="宋体"/>
                <w:color w:val="000000"/>
                <w:kern w:val="0"/>
                <w:szCs w:val="21"/>
              </w:rPr>
            </w:pPr>
            <w:r>
              <w:rPr>
                <w:rFonts w:ascii="Times New Roman" w:hAnsi="Times New Roman" w:eastAsia="宋体"/>
                <w:color w:val="000000"/>
                <w:kern w:val="0"/>
                <w:szCs w:val="21"/>
              </w:rPr>
              <w:t>政策保障、组织保障、资金保障、科技保障、管理保障等</w:t>
            </w:r>
          </w:p>
        </w:tc>
      </w:tr>
      <w:tr w14:paraId="2AA5F3D3">
        <w:tblPrEx>
          <w:tblCellMar>
            <w:top w:w="0" w:type="dxa"/>
            <w:left w:w="108" w:type="dxa"/>
            <w:bottom w:w="0" w:type="dxa"/>
            <w:right w:w="108" w:type="dxa"/>
          </w:tblCellMar>
        </w:tblPrEx>
        <w:trPr>
          <w:trHeight w:val="20" w:hRule="atLeast"/>
          <w:jc w:val="center"/>
        </w:trPr>
        <w:tc>
          <w:tcPr>
            <w:tcW w:w="1144" w:type="dxa"/>
            <w:vMerge w:val="continue"/>
            <w:tcBorders>
              <w:top w:val="single" w:color="auto" w:sz="8" w:space="0"/>
              <w:left w:val="single" w:color="auto" w:sz="8" w:space="0"/>
              <w:bottom w:val="single" w:color="auto" w:sz="8" w:space="0"/>
              <w:right w:val="single" w:color="auto" w:sz="8" w:space="0"/>
            </w:tcBorders>
            <w:noWrap/>
            <w:vAlign w:val="center"/>
          </w:tcPr>
          <w:p w14:paraId="2B59FED9">
            <w:pPr>
              <w:spacing w:line="480" w:lineRule="exact"/>
              <w:jc w:val="center"/>
              <w:rPr>
                <w:rFonts w:ascii="Times New Roman" w:hAnsi="Times New Roman" w:eastAsia="宋体"/>
                <w:kern w:val="0"/>
                <w:szCs w:val="21"/>
              </w:rPr>
            </w:pPr>
          </w:p>
        </w:tc>
        <w:tc>
          <w:tcPr>
            <w:tcW w:w="705" w:type="dxa"/>
            <w:vMerge w:val="restart"/>
            <w:tcBorders>
              <w:top w:val="single" w:color="auto" w:sz="8" w:space="0"/>
              <w:left w:val="single" w:color="auto" w:sz="8" w:space="0"/>
              <w:right w:val="single" w:color="auto" w:sz="8" w:space="0"/>
            </w:tcBorders>
            <w:noWrap w:val="0"/>
            <w:vAlign w:val="center"/>
          </w:tcPr>
          <w:p w14:paraId="14791856">
            <w:pPr>
              <w:widowControl/>
              <w:spacing w:line="480" w:lineRule="exact"/>
              <w:jc w:val="center"/>
              <w:rPr>
                <w:rFonts w:ascii="Times New Roman" w:hAnsi="Times New Roman" w:eastAsia="宋体"/>
                <w:color w:val="000000"/>
                <w:kern w:val="0"/>
                <w:szCs w:val="21"/>
              </w:rPr>
            </w:pPr>
            <w:r>
              <w:rPr>
                <w:rFonts w:ascii="Times New Roman" w:hAnsi="Times New Roman" w:eastAsia="宋体"/>
                <w:color w:val="000000"/>
                <w:kern w:val="0"/>
                <w:szCs w:val="21"/>
              </w:rPr>
              <w:t>10</w:t>
            </w:r>
          </w:p>
        </w:tc>
        <w:tc>
          <w:tcPr>
            <w:tcW w:w="1080" w:type="dxa"/>
            <w:vMerge w:val="restart"/>
            <w:tcBorders>
              <w:top w:val="single" w:color="auto" w:sz="8" w:space="0"/>
              <w:left w:val="single" w:color="auto" w:sz="8" w:space="0"/>
              <w:right w:val="single" w:color="auto" w:sz="8" w:space="0"/>
            </w:tcBorders>
            <w:noWrap w:val="0"/>
            <w:vAlign w:val="center"/>
          </w:tcPr>
          <w:p w14:paraId="17CA7B4C">
            <w:pPr>
              <w:widowControl/>
              <w:spacing w:line="480" w:lineRule="exact"/>
              <w:jc w:val="center"/>
              <w:rPr>
                <w:rFonts w:ascii="Times New Roman" w:hAnsi="Times New Roman" w:eastAsia="宋体"/>
                <w:color w:val="000000"/>
                <w:kern w:val="0"/>
                <w:szCs w:val="21"/>
              </w:rPr>
            </w:pPr>
            <w:r>
              <w:rPr>
                <w:rFonts w:ascii="Times New Roman" w:hAnsi="Times New Roman" w:eastAsia="宋体"/>
                <w:color w:val="000000"/>
                <w:kern w:val="0"/>
                <w:szCs w:val="21"/>
              </w:rPr>
              <w:t>效益评价</w:t>
            </w:r>
          </w:p>
        </w:tc>
        <w:tc>
          <w:tcPr>
            <w:tcW w:w="5718" w:type="dxa"/>
            <w:tcBorders>
              <w:top w:val="single" w:color="auto" w:sz="8" w:space="0"/>
              <w:left w:val="nil"/>
              <w:bottom w:val="single" w:color="auto" w:sz="6" w:space="0"/>
              <w:right w:val="single" w:color="auto" w:sz="8" w:space="0"/>
            </w:tcBorders>
            <w:noWrap w:val="0"/>
            <w:vAlign w:val="center"/>
          </w:tcPr>
          <w:p w14:paraId="3777CDD9">
            <w:pPr>
              <w:widowControl/>
              <w:spacing w:line="480" w:lineRule="exact"/>
              <w:jc w:val="both"/>
              <w:rPr>
                <w:rFonts w:ascii="Times New Roman" w:hAnsi="Times New Roman" w:eastAsia="宋体"/>
                <w:color w:val="000000"/>
                <w:kern w:val="0"/>
                <w:szCs w:val="21"/>
              </w:rPr>
            </w:pPr>
            <w:r>
              <w:rPr>
                <w:rFonts w:ascii="Times New Roman" w:hAnsi="Times New Roman" w:eastAsia="宋体"/>
                <w:color w:val="000000"/>
                <w:kern w:val="0"/>
                <w:szCs w:val="21"/>
              </w:rPr>
              <w:t>1、生态效益从加强珍稀物种保护，维持生物多样性，保持水土、涵养水源、保护环境等几个方面进行阐述。</w:t>
            </w:r>
          </w:p>
        </w:tc>
      </w:tr>
      <w:tr w14:paraId="589B554C">
        <w:tblPrEx>
          <w:tblCellMar>
            <w:top w:w="0" w:type="dxa"/>
            <w:left w:w="108" w:type="dxa"/>
            <w:bottom w:w="0" w:type="dxa"/>
            <w:right w:w="108" w:type="dxa"/>
          </w:tblCellMar>
        </w:tblPrEx>
        <w:trPr>
          <w:trHeight w:val="20" w:hRule="atLeast"/>
          <w:jc w:val="center"/>
        </w:trPr>
        <w:tc>
          <w:tcPr>
            <w:tcW w:w="1144" w:type="dxa"/>
            <w:vMerge w:val="continue"/>
            <w:tcBorders>
              <w:top w:val="single" w:color="auto" w:sz="8" w:space="0"/>
              <w:left w:val="single" w:color="auto" w:sz="8" w:space="0"/>
              <w:bottom w:val="single" w:color="auto" w:sz="8" w:space="0"/>
              <w:right w:val="single" w:color="auto" w:sz="8" w:space="0"/>
            </w:tcBorders>
            <w:noWrap/>
            <w:vAlign w:val="center"/>
          </w:tcPr>
          <w:p w14:paraId="107609C9">
            <w:pPr>
              <w:spacing w:line="480" w:lineRule="exact"/>
              <w:jc w:val="center"/>
              <w:rPr>
                <w:rFonts w:ascii="Times New Roman" w:hAnsi="Times New Roman" w:eastAsia="宋体"/>
                <w:kern w:val="0"/>
                <w:szCs w:val="21"/>
              </w:rPr>
            </w:pPr>
          </w:p>
        </w:tc>
        <w:tc>
          <w:tcPr>
            <w:tcW w:w="705" w:type="dxa"/>
            <w:vMerge w:val="continue"/>
            <w:tcBorders>
              <w:left w:val="single" w:color="auto" w:sz="8" w:space="0"/>
              <w:right w:val="single" w:color="auto" w:sz="8" w:space="0"/>
            </w:tcBorders>
            <w:noWrap w:val="0"/>
            <w:vAlign w:val="center"/>
          </w:tcPr>
          <w:p w14:paraId="371A7A7E">
            <w:pPr>
              <w:widowControl/>
              <w:spacing w:line="480" w:lineRule="exact"/>
              <w:jc w:val="center"/>
              <w:rPr>
                <w:rFonts w:ascii="Times New Roman" w:hAnsi="Times New Roman" w:eastAsia="宋体"/>
                <w:color w:val="000000"/>
                <w:kern w:val="0"/>
                <w:szCs w:val="21"/>
              </w:rPr>
            </w:pPr>
          </w:p>
        </w:tc>
        <w:tc>
          <w:tcPr>
            <w:tcW w:w="1080" w:type="dxa"/>
            <w:vMerge w:val="continue"/>
            <w:tcBorders>
              <w:left w:val="single" w:color="auto" w:sz="8" w:space="0"/>
              <w:right w:val="single" w:color="auto" w:sz="8" w:space="0"/>
            </w:tcBorders>
            <w:noWrap w:val="0"/>
            <w:vAlign w:val="center"/>
          </w:tcPr>
          <w:p w14:paraId="3A15D6E3">
            <w:pPr>
              <w:widowControl/>
              <w:spacing w:line="480" w:lineRule="exact"/>
              <w:jc w:val="center"/>
              <w:rPr>
                <w:rFonts w:ascii="Times New Roman" w:hAnsi="Times New Roman" w:eastAsia="宋体"/>
                <w:color w:val="000000"/>
                <w:kern w:val="0"/>
                <w:szCs w:val="21"/>
              </w:rPr>
            </w:pPr>
          </w:p>
        </w:tc>
        <w:tc>
          <w:tcPr>
            <w:tcW w:w="5718" w:type="dxa"/>
            <w:tcBorders>
              <w:top w:val="single" w:color="auto" w:sz="6" w:space="0"/>
              <w:left w:val="nil"/>
              <w:bottom w:val="single" w:color="auto" w:sz="6" w:space="0"/>
              <w:right w:val="single" w:color="auto" w:sz="8" w:space="0"/>
            </w:tcBorders>
            <w:noWrap w:val="0"/>
            <w:vAlign w:val="center"/>
          </w:tcPr>
          <w:p w14:paraId="25724591">
            <w:pPr>
              <w:widowControl/>
              <w:spacing w:line="480" w:lineRule="exact"/>
              <w:jc w:val="both"/>
              <w:rPr>
                <w:rFonts w:ascii="Times New Roman" w:hAnsi="Times New Roman" w:eastAsia="宋体"/>
                <w:color w:val="000000"/>
                <w:kern w:val="0"/>
                <w:szCs w:val="21"/>
              </w:rPr>
            </w:pPr>
            <w:r>
              <w:rPr>
                <w:rFonts w:ascii="Times New Roman" w:hAnsi="Times New Roman" w:eastAsia="宋体"/>
                <w:color w:val="000000"/>
                <w:kern w:val="0"/>
                <w:szCs w:val="21"/>
              </w:rPr>
              <w:t>2、社会效益从促进区域协调发展，提高保护区保护管理能力，科普教育、提升公众意识，弘扬生态文明，保护地方文化等几个方面进行阐述。</w:t>
            </w:r>
          </w:p>
        </w:tc>
      </w:tr>
      <w:tr w14:paraId="721722CB">
        <w:tblPrEx>
          <w:tblCellMar>
            <w:top w:w="0" w:type="dxa"/>
            <w:left w:w="108" w:type="dxa"/>
            <w:bottom w:w="0" w:type="dxa"/>
            <w:right w:w="108" w:type="dxa"/>
          </w:tblCellMar>
        </w:tblPrEx>
        <w:trPr>
          <w:trHeight w:val="20" w:hRule="atLeast"/>
          <w:jc w:val="center"/>
        </w:trPr>
        <w:tc>
          <w:tcPr>
            <w:tcW w:w="1144" w:type="dxa"/>
            <w:vMerge w:val="continue"/>
            <w:tcBorders>
              <w:top w:val="single" w:color="auto" w:sz="8" w:space="0"/>
              <w:left w:val="single" w:color="auto" w:sz="8" w:space="0"/>
              <w:bottom w:val="single" w:color="auto" w:sz="8" w:space="0"/>
              <w:right w:val="single" w:color="auto" w:sz="8" w:space="0"/>
            </w:tcBorders>
            <w:noWrap/>
            <w:vAlign w:val="center"/>
          </w:tcPr>
          <w:p w14:paraId="20706AAB">
            <w:pPr>
              <w:spacing w:line="480" w:lineRule="exact"/>
              <w:jc w:val="center"/>
              <w:rPr>
                <w:rFonts w:ascii="Times New Roman" w:hAnsi="Times New Roman" w:eastAsia="宋体"/>
                <w:kern w:val="0"/>
                <w:szCs w:val="21"/>
              </w:rPr>
            </w:pPr>
          </w:p>
        </w:tc>
        <w:tc>
          <w:tcPr>
            <w:tcW w:w="705" w:type="dxa"/>
            <w:vMerge w:val="continue"/>
            <w:tcBorders>
              <w:left w:val="single" w:color="auto" w:sz="8" w:space="0"/>
              <w:bottom w:val="single" w:color="auto" w:sz="8" w:space="0"/>
              <w:right w:val="single" w:color="auto" w:sz="8" w:space="0"/>
            </w:tcBorders>
            <w:noWrap w:val="0"/>
            <w:vAlign w:val="center"/>
          </w:tcPr>
          <w:p w14:paraId="28A168C0">
            <w:pPr>
              <w:widowControl/>
              <w:spacing w:line="480" w:lineRule="exact"/>
              <w:jc w:val="center"/>
              <w:rPr>
                <w:rFonts w:ascii="Times New Roman" w:hAnsi="Times New Roman" w:eastAsia="宋体"/>
                <w:color w:val="000000"/>
                <w:kern w:val="0"/>
                <w:szCs w:val="21"/>
              </w:rPr>
            </w:pPr>
          </w:p>
        </w:tc>
        <w:tc>
          <w:tcPr>
            <w:tcW w:w="1080" w:type="dxa"/>
            <w:vMerge w:val="continue"/>
            <w:tcBorders>
              <w:left w:val="single" w:color="auto" w:sz="8" w:space="0"/>
              <w:bottom w:val="single" w:color="auto" w:sz="8" w:space="0"/>
              <w:right w:val="single" w:color="auto" w:sz="8" w:space="0"/>
            </w:tcBorders>
            <w:noWrap w:val="0"/>
            <w:vAlign w:val="center"/>
          </w:tcPr>
          <w:p w14:paraId="3C9BBE41">
            <w:pPr>
              <w:widowControl/>
              <w:spacing w:line="480" w:lineRule="exact"/>
              <w:jc w:val="center"/>
              <w:rPr>
                <w:rFonts w:ascii="Times New Roman" w:hAnsi="Times New Roman" w:eastAsia="宋体"/>
                <w:color w:val="000000"/>
                <w:kern w:val="0"/>
                <w:szCs w:val="21"/>
              </w:rPr>
            </w:pPr>
          </w:p>
        </w:tc>
        <w:tc>
          <w:tcPr>
            <w:tcW w:w="5718" w:type="dxa"/>
            <w:tcBorders>
              <w:top w:val="single" w:color="auto" w:sz="6" w:space="0"/>
              <w:left w:val="nil"/>
              <w:bottom w:val="single" w:color="auto" w:sz="6" w:space="0"/>
              <w:right w:val="single" w:color="auto" w:sz="8" w:space="0"/>
            </w:tcBorders>
            <w:noWrap w:val="0"/>
            <w:vAlign w:val="center"/>
          </w:tcPr>
          <w:p w14:paraId="5E2202C1">
            <w:pPr>
              <w:widowControl/>
              <w:numPr>
                <w:ilvl w:val="0"/>
                <w:numId w:val="11"/>
              </w:numPr>
              <w:spacing w:line="480" w:lineRule="exact"/>
              <w:jc w:val="both"/>
              <w:rPr>
                <w:rFonts w:ascii="Times New Roman" w:hAnsi="Times New Roman" w:eastAsia="宋体"/>
                <w:color w:val="000000"/>
                <w:kern w:val="0"/>
                <w:szCs w:val="21"/>
              </w:rPr>
            </w:pPr>
            <w:r>
              <w:rPr>
                <w:rFonts w:ascii="Times New Roman" w:hAnsi="Times New Roman" w:eastAsia="宋体"/>
                <w:color w:val="000000"/>
                <w:kern w:val="0"/>
                <w:szCs w:val="21"/>
              </w:rPr>
              <w:t>经济效益从可持续发展的角度进行阐述</w:t>
            </w:r>
          </w:p>
        </w:tc>
      </w:tr>
    </w:tbl>
    <w:p w14:paraId="2827560E">
      <w:pPr>
        <w:numPr>
          <w:ilvl w:val="0"/>
          <w:numId w:val="0"/>
        </w:numPr>
        <w:spacing w:line="360" w:lineRule="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三、质量要求</w:t>
      </w:r>
    </w:p>
    <w:p w14:paraId="117D0764">
      <w:pPr>
        <w:keepNext w:val="0"/>
        <w:keepLines w:val="0"/>
        <w:pageBreakBefore w:val="0"/>
        <w:widowControl w:val="0"/>
        <w:numPr>
          <w:ilvl w:val="0"/>
          <w:numId w:val="0"/>
        </w:numPr>
        <w:kinsoku/>
        <w:wordWrap/>
        <w:overflowPunct/>
        <w:topLinePunct w:val="0"/>
        <w:bidi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符合国家、行业及地方现行相关法律法规、规范及技术标准，满足采购人要求。</w:t>
      </w:r>
    </w:p>
    <w:p w14:paraId="0E58B9C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四、服务期限</w:t>
      </w:r>
    </w:p>
    <w:p w14:paraId="1CC8A1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2026年6月底完成。</w:t>
      </w:r>
    </w:p>
    <w:p w14:paraId="10073AA2">
      <w:pPr>
        <w:keepNext w:val="0"/>
        <w:keepLines w:val="0"/>
        <w:pageBreakBefore w:val="0"/>
        <w:widowControl w:val="0"/>
        <w:numPr>
          <w:ilvl w:val="0"/>
          <w:numId w:val="12"/>
        </w:numPr>
        <w:kinsoku/>
        <w:wordWrap/>
        <w:overflowPunct/>
        <w:topLinePunct w:val="0"/>
        <w:autoSpaceDE/>
        <w:autoSpaceDN/>
        <w:bidi w:val="0"/>
        <w:adjustRightInd/>
        <w:snapToGrid/>
        <w:spacing w:line="360" w:lineRule="auto"/>
        <w:textAlignment w:val="auto"/>
        <w:rPr>
          <w:rFonts w:hint="eastAsia"/>
          <w:b/>
          <w:bCs/>
          <w:sz w:val="24"/>
          <w:szCs w:val="32"/>
          <w:lang w:val="en-US" w:eastAsia="zh-CN"/>
        </w:rPr>
      </w:pPr>
      <w:r>
        <w:rPr>
          <w:rFonts w:hint="eastAsia"/>
          <w:b/>
          <w:bCs/>
          <w:sz w:val="24"/>
          <w:szCs w:val="32"/>
          <w:lang w:val="en-US" w:eastAsia="zh-CN"/>
        </w:rPr>
        <w:t>服务地点</w:t>
      </w:r>
    </w:p>
    <w:p w14:paraId="239F5F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b w:val="0"/>
          <w:bCs w:val="0"/>
          <w:sz w:val="24"/>
          <w:szCs w:val="32"/>
          <w:lang w:val="en-US" w:eastAsia="zh-CN"/>
        </w:rPr>
      </w:pPr>
      <w:r>
        <w:rPr>
          <w:rFonts w:hint="eastAsia"/>
          <w:b w:val="0"/>
          <w:bCs w:val="0"/>
          <w:sz w:val="24"/>
          <w:szCs w:val="32"/>
          <w:lang w:val="en-US" w:eastAsia="zh-CN"/>
        </w:rPr>
        <w:t>采购人指定地点。</w:t>
      </w:r>
    </w:p>
    <w:p w14:paraId="24873A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32"/>
          <w:lang w:val="en-US" w:eastAsia="zh-CN"/>
        </w:rPr>
      </w:pPr>
      <w:r>
        <w:rPr>
          <w:rFonts w:hint="eastAsia"/>
          <w:b/>
          <w:bCs/>
          <w:sz w:val="24"/>
          <w:szCs w:val="32"/>
          <w:lang w:val="en-US" w:eastAsia="zh-CN"/>
        </w:rPr>
        <w:t>六、服务内容</w:t>
      </w:r>
    </w:p>
    <w:p w14:paraId="2E0CC6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根据工作需要，需编制《河南黄河湿地国家级自然保护区总体规划（2026-2035年）》，黄河湿地保护区总体规划编制包括三门峡市、洛阳市、焦作市、济源市等四个地市内容，并通过国家林业和草原局审批。</w:t>
      </w:r>
    </w:p>
    <w:p w14:paraId="26464C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32"/>
        </w:rPr>
      </w:pPr>
      <w:r>
        <w:rPr>
          <w:rFonts w:hint="eastAsia"/>
          <w:b/>
          <w:bCs/>
          <w:sz w:val="24"/>
          <w:szCs w:val="32"/>
          <w:lang w:val="en-US" w:eastAsia="zh-CN"/>
        </w:rPr>
        <w:t>七、编制</w:t>
      </w:r>
      <w:r>
        <w:rPr>
          <w:rFonts w:hint="eastAsia"/>
          <w:b/>
          <w:bCs/>
          <w:sz w:val="24"/>
          <w:szCs w:val="32"/>
        </w:rPr>
        <w:t>依据</w:t>
      </w:r>
    </w:p>
    <w:p w14:paraId="541764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根据《国家级自然保护区总体规划审批管理办法》（林保发【2021】23号）要求，保护区总体规划到期后应编制新一期总体规划，规划期为10年。根据《林业和草原局野生动植物保护与自然保护区管理司关于进一步加强自然保护区总体规划编制工作的通知》（护自函【2018】136号）的要求，国家级自然保护区总体规划是国家级自然保护区科学建设管理的纲领性文件和重要依据。</w:t>
      </w:r>
    </w:p>
    <w:p w14:paraId="1F9102EA">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八、规划编制计划</w:t>
      </w:r>
    </w:p>
    <w:p w14:paraId="53FC5506">
      <w:pPr>
        <w:keepNext w:val="0"/>
        <w:keepLines w:val="0"/>
        <w:pageBreakBefore w:val="0"/>
        <w:widowControl w:val="0"/>
        <w:kinsoku/>
        <w:wordWrap/>
        <w:overflowPunct/>
        <w:topLinePunct w:val="0"/>
        <w:autoSpaceDE w:val="0"/>
        <w:autoSpaceDN w:val="0"/>
        <w:bidi w:val="0"/>
        <w:adjustRightInd w:val="0"/>
        <w:snapToGrid/>
        <w:spacing w:line="360" w:lineRule="auto"/>
        <w:ind w:firstLine="56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规划编制</w:t>
      </w:r>
      <w:r>
        <w:rPr>
          <w:rFonts w:hint="eastAsia" w:ascii="宋体" w:hAnsi="宋体" w:eastAsia="宋体" w:cs="宋体"/>
          <w:bCs/>
          <w:color w:val="auto"/>
          <w:sz w:val="24"/>
          <w:szCs w:val="24"/>
          <w:highlight w:val="none"/>
          <w:lang w:val="en-US" w:eastAsia="zh-CN"/>
        </w:rPr>
        <w:t>服务期限为</w:t>
      </w:r>
      <w:r>
        <w:rPr>
          <w:rFonts w:hint="eastAsia" w:ascii="宋体" w:hAnsi="宋体" w:eastAsia="宋体" w:cs="宋体"/>
          <w:bCs/>
          <w:color w:val="auto"/>
          <w:sz w:val="24"/>
          <w:szCs w:val="24"/>
          <w:highlight w:val="none"/>
          <w:u w:val="none"/>
          <w:lang w:val="en-US" w:eastAsia="zh-CN"/>
        </w:rPr>
        <w:t>：</w:t>
      </w:r>
      <w:r>
        <w:rPr>
          <w:rFonts w:hint="eastAsia" w:ascii="宋体" w:hAnsi="宋体" w:eastAsia="宋体" w:cs="宋体"/>
          <w:bCs/>
          <w:color w:val="auto"/>
          <w:sz w:val="24"/>
          <w:szCs w:val="24"/>
          <w:highlight w:val="none"/>
          <w:u w:val="single"/>
          <w:lang w:val="en-US" w:eastAsia="zh-CN"/>
        </w:rPr>
        <w:t>2026年6月底完成</w:t>
      </w:r>
      <w:r>
        <w:rPr>
          <w:rFonts w:hint="eastAsia" w:ascii="宋体" w:hAnsi="宋体" w:eastAsia="宋体" w:cs="宋体"/>
          <w:bCs/>
          <w:color w:val="auto"/>
          <w:sz w:val="24"/>
          <w:szCs w:val="24"/>
          <w:highlight w:val="none"/>
        </w:rPr>
        <w:t>。按照</w:t>
      </w:r>
      <w:r>
        <w:rPr>
          <w:rFonts w:hint="eastAsia" w:ascii="宋体" w:hAnsi="宋体" w:eastAsia="宋体" w:cs="宋体"/>
          <w:bCs/>
          <w:color w:val="auto"/>
          <w:sz w:val="24"/>
          <w:szCs w:val="24"/>
          <w:highlight w:val="none"/>
          <w:lang w:val="en-US" w:eastAsia="zh-CN"/>
        </w:rPr>
        <w:t>月度</w:t>
      </w:r>
      <w:r>
        <w:rPr>
          <w:rFonts w:hint="eastAsia" w:ascii="宋体" w:hAnsi="宋体" w:eastAsia="宋体" w:cs="宋体"/>
          <w:bCs/>
          <w:color w:val="auto"/>
          <w:sz w:val="24"/>
          <w:szCs w:val="24"/>
          <w:highlight w:val="none"/>
        </w:rPr>
        <w:t>时间节点完成工作方案确定的工作内容：</w:t>
      </w:r>
    </w:p>
    <w:p w14:paraId="08BD8ECD">
      <w:pPr>
        <w:autoSpaceDE w:val="0"/>
        <w:autoSpaceDN w:val="0"/>
        <w:adjustRightInd w:val="0"/>
        <w:spacing w:line="360" w:lineRule="auto"/>
        <w:ind w:firstLine="56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2025年11月-2026年2月</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招标结束双方签订合同后，</w:t>
      </w:r>
      <w:r>
        <w:rPr>
          <w:rFonts w:hint="eastAsia" w:ascii="宋体" w:hAnsi="宋体" w:eastAsia="宋体" w:cs="宋体"/>
          <w:bCs/>
          <w:color w:val="auto"/>
          <w:sz w:val="24"/>
          <w:highlight w:val="none"/>
        </w:rPr>
        <w:t>开展总体规划野外调查工作；</w:t>
      </w:r>
    </w:p>
    <w:p w14:paraId="75570E7F">
      <w:pPr>
        <w:autoSpaceDE w:val="0"/>
        <w:autoSpaceDN w:val="0"/>
        <w:adjustRightInd w:val="0"/>
        <w:spacing w:line="360" w:lineRule="auto"/>
        <w:ind w:firstLine="56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2026年3月底之前</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完成文本编制</w:t>
      </w:r>
      <w:r>
        <w:rPr>
          <w:rFonts w:hint="eastAsia" w:ascii="宋体" w:hAnsi="宋体" w:eastAsia="宋体" w:cs="宋体"/>
          <w:bCs/>
          <w:color w:val="auto"/>
          <w:sz w:val="24"/>
          <w:highlight w:val="none"/>
        </w:rPr>
        <w:t>，形成征求意见稿</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完成省级评审</w:t>
      </w:r>
      <w:r>
        <w:rPr>
          <w:rFonts w:hint="eastAsia" w:ascii="宋体" w:hAnsi="宋体" w:eastAsia="宋体" w:cs="宋体"/>
          <w:bCs/>
          <w:color w:val="auto"/>
          <w:sz w:val="24"/>
          <w:highlight w:val="none"/>
        </w:rPr>
        <w:t>；</w:t>
      </w:r>
    </w:p>
    <w:p w14:paraId="27D40730">
      <w:pPr>
        <w:autoSpaceDE w:val="0"/>
        <w:autoSpaceDN w:val="0"/>
        <w:adjustRightInd w:val="0"/>
        <w:spacing w:line="360" w:lineRule="auto"/>
        <w:ind w:firstLine="56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2026年6月底之前</w:t>
      </w:r>
      <w:r>
        <w:rPr>
          <w:rFonts w:hint="eastAsia" w:ascii="宋体" w:hAnsi="宋体" w:eastAsia="宋体" w:cs="宋体"/>
          <w:bCs/>
          <w:color w:val="auto"/>
          <w:sz w:val="24"/>
          <w:highlight w:val="none"/>
        </w:rPr>
        <w:t>，按程序报请国家林业和草原局</w:t>
      </w:r>
      <w:r>
        <w:rPr>
          <w:rFonts w:hint="eastAsia" w:ascii="宋体" w:hAnsi="宋体" w:eastAsia="宋体" w:cs="宋体"/>
          <w:bCs/>
          <w:color w:val="auto"/>
          <w:sz w:val="24"/>
          <w:highlight w:val="none"/>
          <w:lang w:val="en-US" w:eastAsia="zh-CN"/>
        </w:rPr>
        <w:t>审批</w:t>
      </w:r>
      <w:r>
        <w:rPr>
          <w:rFonts w:hint="eastAsia" w:ascii="宋体" w:hAnsi="宋体" w:eastAsia="宋体" w:cs="宋体"/>
          <w:bCs/>
          <w:color w:val="auto"/>
          <w:sz w:val="24"/>
          <w:highlight w:val="none"/>
        </w:rPr>
        <w:t>，取得国家林业和草原局局文批复。</w:t>
      </w:r>
    </w:p>
    <w:p w14:paraId="0167177A">
      <w:pPr>
        <w:numPr>
          <w:ilvl w:val="0"/>
          <w:numId w:val="0"/>
        </w:numPr>
        <w:spacing w:line="360" w:lineRule="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九、成果要求</w:t>
      </w:r>
    </w:p>
    <w:tbl>
      <w:tblPr>
        <w:tblStyle w:val="17"/>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9"/>
        <w:gridCol w:w="1315"/>
        <w:gridCol w:w="2280"/>
        <w:gridCol w:w="2417"/>
        <w:gridCol w:w="1376"/>
      </w:tblGrid>
      <w:tr w14:paraId="08A29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229" w:type="dxa"/>
            <w:vMerge w:val="restart"/>
            <w:noWrap w:val="0"/>
            <w:vAlign w:val="center"/>
          </w:tcPr>
          <w:p w14:paraId="093D9F7D">
            <w:pPr>
              <w:rPr>
                <w:rFonts w:hint="eastAsia" w:ascii="宋体" w:hAnsi="宋体" w:eastAsia="宋体" w:cs="宋体"/>
                <w:sz w:val="24"/>
                <w:szCs w:val="24"/>
              </w:rPr>
            </w:pPr>
            <w:r>
              <w:rPr>
                <w:rFonts w:hint="eastAsia" w:ascii="宋体" w:hAnsi="宋体" w:eastAsia="宋体" w:cs="宋体"/>
                <w:sz w:val="24"/>
                <w:szCs w:val="24"/>
              </w:rPr>
              <w:t>产出指标</w:t>
            </w:r>
          </w:p>
        </w:tc>
        <w:tc>
          <w:tcPr>
            <w:tcW w:w="1315" w:type="dxa"/>
            <w:vMerge w:val="restart"/>
            <w:noWrap w:val="0"/>
            <w:vAlign w:val="center"/>
          </w:tcPr>
          <w:p w14:paraId="2E15C71F">
            <w:pPr>
              <w:jc w:val="center"/>
              <w:rPr>
                <w:rFonts w:hint="eastAsia" w:ascii="宋体" w:hAnsi="宋体" w:eastAsia="宋体" w:cs="宋体"/>
                <w:sz w:val="24"/>
                <w:szCs w:val="24"/>
              </w:rPr>
            </w:pPr>
            <w:r>
              <w:rPr>
                <w:rFonts w:hint="eastAsia" w:ascii="宋体" w:hAnsi="宋体" w:eastAsia="宋体" w:cs="宋体"/>
                <w:sz w:val="24"/>
                <w:szCs w:val="24"/>
              </w:rPr>
              <w:t>数量指标</w:t>
            </w:r>
          </w:p>
        </w:tc>
        <w:tc>
          <w:tcPr>
            <w:tcW w:w="2280" w:type="dxa"/>
            <w:noWrap w:val="0"/>
            <w:vAlign w:val="center"/>
          </w:tcPr>
          <w:p w14:paraId="5EB75E81">
            <w:pPr>
              <w:jc w:val="center"/>
              <w:rPr>
                <w:rFonts w:hint="eastAsia" w:ascii="宋体" w:hAnsi="宋体" w:eastAsia="宋体" w:cs="宋体"/>
                <w:sz w:val="24"/>
                <w:szCs w:val="24"/>
              </w:rPr>
            </w:pPr>
            <w:r>
              <w:rPr>
                <w:rFonts w:hint="eastAsia" w:ascii="宋体" w:hAnsi="宋体" w:eastAsia="宋体" w:cs="宋体"/>
                <w:sz w:val="24"/>
                <w:szCs w:val="24"/>
              </w:rPr>
              <w:t>河南黄河湿地国家级自然保护区</w:t>
            </w:r>
          </w:p>
        </w:tc>
        <w:tc>
          <w:tcPr>
            <w:tcW w:w="2417" w:type="dxa"/>
            <w:noWrap w:val="0"/>
            <w:vAlign w:val="center"/>
          </w:tcPr>
          <w:p w14:paraId="19118A58">
            <w:pPr>
              <w:jc w:val="center"/>
              <w:rPr>
                <w:rFonts w:hint="eastAsia" w:ascii="宋体" w:hAnsi="宋体" w:eastAsia="宋体" w:cs="宋体"/>
                <w:sz w:val="24"/>
                <w:szCs w:val="24"/>
              </w:rPr>
            </w:pPr>
            <w:r>
              <w:rPr>
                <w:rFonts w:hint="eastAsia" w:ascii="宋体" w:hAnsi="宋体" w:eastAsia="宋体" w:cs="宋体"/>
                <w:sz w:val="24"/>
                <w:szCs w:val="24"/>
              </w:rPr>
              <w:t>68000公顷</w:t>
            </w:r>
          </w:p>
        </w:tc>
        <w:tc>
          <w:tcPr>
            <w:tcW w:w="1376" w:type="dxa"/>
            <w:noWrap w:val="0"/>
            <w:vAlign w:val="center"/>
          </w:tcPr>
          <w:p w14:paraId="375AC21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141AF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229" w:type="dxa"/>
            <w:vMerge w:val="continue"/>
            <w:noWrap w:val="0"/>
            <w:vAlign w:val="center"/>
          </w:tcPr>
          <w:p w14:paraId="37C6BB89">
            <w:pPr>
              <w:ind w:firstLine="480" w:firstLineChars="200"/>
              <w:jc w:val="center"/>
              <w:rPr>
                <w:rFonts w:hint="eastAsia" w:ascii="宋体" w:hAnsi="宋体" w:eastAsia="宋体" w:cs="宋体"/>
                <w:sz w:val="24"/>
                <w:szCs w:val="24"/>
              </w:rPr>
            </w:pPr>
          </w:p>
        </w:tc>
        <w:tc>
          <w:tcPr>
            <w:tcW w:w="1315" w:type="dxa"/>
            <w:vMerge w:val="continue"/>
            <w:noWrap w:val="0"/>
            <w:vAlign w:val="center"/>
          </w:tcPr>
          <w:p w14:paraId="592B59C2">
            <w:pPr>
              <w:jc w:val="center"/>
              <w:rPr>
                <w:rFonts w:hint="eastAsia" w:ascii="宋体" w:hAnsi="宋体" w:eastAsia="宋体" w:cs="宋体"/>
                <w:sz w:val="24"/>
                <w:szCs w:val="24"/>
              </w:rPr>
            </w:pPr>
          </w:p>
        </w:tc>
        <w:tc>
          <w:tcPr>
            <w:tcW w:w="2280" w:type="dxa"/>
            <w:noWrap w:val="0"/>
            <w:vAlign w:val="center"/>
          </w:tcPr>
          <w:p w14:paraId="71C72DE8">
            <w:pPr>
              <w:jc w:val="center"/>
              <w:rPr>
                <w:rFonts w:hint="eastAsia" w:ascii="宋体" w:hAnsi="宋体" w:eastAsia="宋体" w:cs="宋体"/>
                <w:sz w:val="24"/>
                <w:szCs w:val="24"/>
              </w:rPr>
            </w:pPr>
            <w:r>
              <w:rPr>
                <w:rFonts w:hint="eastAsia" w:ascii="宋体" w:hAnsi="宋体" w:eastAsia="宋体" w:cs="宋体"/>
                <w:sz w:val="24"/>
                <w:szCs w:val="24"/>
              </w:rPr>
              <w:t>总体规划文本</w:t>
            </w:r>
          </w:p>
        </w:tc>
        <w:tc>
          <w:tcPr>
            <w:tcW w:w="2417" w:type="dxa"/>
            <w:noWrap w:val="0"/>
            <w:vAlign w:val="center"/>
          </w:tcPr>
          <w:p w14:paraId="039BF419">
            <w:pPr>
              <w:jc w:val="center"/>
              <w:rPr>
                <w:rFonts w:hint="eastAsia" w:ascii="宋体" w:hAnsi="宋体" w:eastAsia="宋体" w:cs="宋体"/>
                <w:sz w:val="24"/>
                <w:szCs w:val="24"/>
              </w:rPr>
            </w:pPr>
            <w:r>
              <w:rPr>
                <w:rFonts w:hint="eastAsia" w:ascii="宋体" w:hAnsi="宋体" w:eastAsia="宋体" w:cs="宋体"/>
                <w:sz w:val="24"/>
                <w:szCs w:val="24"/>
              </w:rPr>
              <w:t>电子版1套；</w:t>
            </w:r>
          </w:p>
          <w:p w14:paraId="5B09772A">
            <w:pPr>
              <w:jc w:val="center"/>
              <w:rPr>
                <w:rFonts w:hint="eastAsia" w:ascii="宋体" w:hAnsi="宋体" w:eastAsia="宋体" w:cs="宋体"/>
                <w:sz w:val="24"/>
                <w:szCs w:val="24"/>
              </w:rPr>
            </w:pPr>
            <w:r>
              <w:rPr>
                <w:rFonts w:hint="eastAsia" w:ascii="宋体" w:hAnsi="宋体" w:eastAsia="宋体" w:cs="宋体"/>
                <w:sz w:val="24"/>
                <w:szCs w:val="24"/>
              </w:rPr>
              <w:t>纸质版</w:t>
            </w:r>
            <w:r>
              <w:rPr>
                <w:rFonts w:hint="eastAsia" w:ascii="宋体" w:hAnsi="宋体" w:eastAsia="宋体" w:cs="宋体"/>
                <w:sz w:val="24"/>
                <w:szCs w:val="24"/>
                <w:lang w:val="en-US" w:eastAsia="zh-CN"/>
              </w:rPr>
              <w:t>10</w:t>
            </w:r>
            <w:r>
              <w:rPr>
                <w:rFonts w:hint="eastAsia" w:ascii="宋体" w:hAnsi="宋体" w:eastAsia="宋体" w:cs="宋体"/>
                <w:sz w:val="24"/>
                <w:szCs w:val="24"/>
              </w:rPr>
              <w:t>本</w:t>
            </w:r>
          </w:p>
        </w:tc>
        <w:tc>
          <w:tcPr>
            <w:tcW w:w="1376" w:type="dxa"/>
            <w:noWrap w:val="0"/>
            <w:vAlign w:val="center"/>
          </w:tcPr>
          <w:p w14:paraId="3EA121FF">
            <w:pPr>
              <w:jc w:val="center"/>
              <w:rPr>
                <w:rFonts w:hint="eastAsia" w:ascii="宋体" w:hAnsi="宋体" w:eastAsia="宋体" w:cs="宋体"/>
                <w:sz w:val="24"/>
                <w:szCs w:val="24"/>
              </w:rPr>
            </w:pPr>
          </w:p>
        </w:tc>
      </w:tr>
      <w:tr w14:paraId="56718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229" w:type="dxa"/>
            <w:vMerge w:val="continue"/>
            <w:noWrap w:val="0"/>
            <w:vAlign w:val="center"/>
          </w:tcPr>
          <w:p w14:paraId="2BA5C4AE">
            <w:pPr>
              <w:ind w:firstLine="480" w:firstLineChars="200"/>
              <w:jc w:val="center"/>
              <w:rPr>
                <w:rFonts w:hint="eastAsia" w:ascii="宋体" w:hAnsi="宋体" w:eastAsia="宋体" w:cs="宋体"/>
                <w:sz w:val="24"/>
                <w:szCs w:val="24"/>
              </w:rPr>
            </w:pPr>
          </w:p>
        </w:tc>
        <w:tc>
          <w:tcPr>
            <w:tcW w:w="1315" w:type="dxa"/>
            <w:vMerge w:val="continue"/>
            <w:noWrap w:val="0"/>
            <w:vAlign w:val="center"/>
          </w:tcPr>
          <w:p w14:paraId="49F52531">
            <w:pPr>
              <w:jc w:val="center"/>
              <w:rPr>
                <w:rFonts w:hint="eastAsia" w:ascii="宋体" w:hAnsi="宋体" w:eastAsia="宋体" w:cs="宋体"/>
                <w:sz w:val="24"/>
                <w:szCs w:val="24"/>
              </w:rPr>
            </w:pPr>
          </w:p>
        </w:tc>
        <w:tc>
          <w:tcPr>
            <w:tcW w:w="2280" w:type="dxa"/>
            <w:noWrap w:val="0"/>
            <w:vAlign w:val="center"/>
          </w:tcPr>
          <w:p w14:paraId="580892AE">
            <w:pPr>
              <w:jc w:val="center"/>
              <w:rPr>
                <w:rFonts w:hint="eastAsia" w:ascii="宋体" w:hAnsi="宋体" w:eastAsia="宋体" w:cs="宋体"/>
                <w:sz w:val="24"/>
                <w:szCs w:val="24"/>
              </w:rPr>
            </w:pPr>
            <w:r>
              <w:rPr>
                <w:rFonts w:hint="eastAsia" w:ascii="宋体" w:hAnsi="宋体" w:eastAsia="宋体" w:cs="宋体"/>
                <w:sz w:val="24"/>
                <w:szCs w:val="24"/>
              </w:rPr>
              <w:t>总体规划矢量数据</w:t>
            </w:r>
          </w:p>
        </w:tc>
        <w:tc>
          <w:tcPr>
            <w:tcW w:w="2417" w:type="dxa"/>
            <w:noWrap w:val="0"/>
            <w:vAlign w:val="center"/>
          </w:tcPr>
          <w:p w14:paraId="42F40E6B">
            <w:pPr>
              <w:jc w:val="center"/>
              <w:rPr>
                <w:rFonts w:hint="eastAsia" w:ascii="宋体" w:hAnsi="宋体" w:eastAsia="宋体" w:cs="宋体"/>
                <w:sz w:val="24"/>
                <w:szCs w:val="24"/>
              </w:rPr>
            </w:pPr>
            <w:r>
              <w:rPr>
                <w:rFonts w:hint="eastAsia" w:ascii="宋体" w:hAnsi="宋体" w:eastAsia="宋体" w:cs="宋体"/>
                <w:sz w:val="24"/>
                <w:szCs w:val="24"/>
              </w:rPr>
              <w:t>1套</w:t>
            </w:r>
          </w:p>
        </w:tc>
        <w:tc>
          <w:tcPr>
            <w:tcW w:w="1376" w:type="dxa"/>
            <w:noWrap w:val="0"/>
            <w:vAlign w:val="center"/>
          </w:tcPr>
          <w:p w14:paraId="42D38E80">
            <w:pPr>
              <w:jc w:val="center"/>
              <w:rPr>
                <w:rFonts w:hint="eastAsia" w:ascii="宋体" w:hAnsi="宋体" w:eastAsia="宋体" w:cs="宋体"/>
                <w:sz w:val="24"/>
                <w:szCs w:val="24"/>
              </w:rPr>
            </w:pPr>
            <w:r>
              <w:rPr>
                <w:rFonts w:hint="eastAsia" w:ascii="宋体" w:hAnsi="宋体" w:eastAsia="宋体" w:cs="宋体"/>
                <w:sz w:val="24"/>
                <w:szCs w:val="24"/>
              </w:rPr>
              <w:t>jpg格式</w:t>
            </w:r>
          </w:p>
        </w:tc>
      </w:tr>
      <w:tr w14:paraId="6F13F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229" w:type="dxa"/>
            <w:vMerge w:val="continue"/>
            <w:noWrap w:val="0"/>
            <w:vAlign w:val="center"/>
          </w:tcPr>
          <w:p w14:paraId="519CD502">
            <w:pPr>
              <w:ind w:firstLine="480" w:firstLineChars="200"/>
              <w:jc w:val="center"/>
              <w:rPr>
                <w:rFonts w:hint="eastAsia" w:ascii="宋体" w:hAnsi="宋体" w:eastAsia="宋体" w:cs="宋体"/>
                <w:sz w:val="24"/>
                <w:szCs w:val="24"/>
              </w:rPr>
            </w:pPr>
          </w:p>
        </w:tc>
        <w:tc>
          <w:tcPr>
            <w:tcW w:w="1315" w:type="dxa"/>
            <w:vMerge w:val="continue"/>
            <w:noWrap w:val="0"/>
            <w:vAlign w:val="center"/>
          </w:tcPr>
          <w:p w14:paraId="591C7B43">
            <w:pPr>
              <w:jc w:val="center"/>
              <w:rPr>
                <w:rFonts w:hint="eastAsia" w:ascii="宋体" w:hAnsi="宋体" w:eastAsia="宋体" w:cs="宋体"/>
                <w:sz w:val="24"/>
                <w:szCs w:val="24"/>
              </w:rPr>
            </w:pPr>
          </w:p>
        </w:tc>
        <w:tc>
          <w:tcPr>
            <w:tcW w:w="2280" w:type="dxa"/>
            <w:noWrap w:val="0"/>
            <w:vAlign w:val="center"/>
          </w:tcPr>
          <w:p w14:paraId="44EC21B0">
            <w:pPr>
              <w:jc w:val="center"/>
              <w:rPr>
                <w:rFonts w:hint="eastAsia" w:ascii="宋体" w:hAnsi="宋体" w:eastAsia="宋体" w:cs="宋体"/>
                <w:sz w:val="24"/>
                <w:szCs w:val="24"/>
              </w:rPr>
            </w:pPr>
            <w:r>
              <w:rPr>
                <w:rFonts w:hint="eastAsia" w:ascii="宋体" w:hAnsi="宋体" w:eastAsia="宋体" w:cs="宋体"/>
                <w:sz w:val="24"/>
                <w:szCs w:val="24"/>
              </w:rPr>
              <w:t>总体规划附图</w:t>
            </w:r>
          </w:p>
        </w:tc>
        <w:tc>
          <w:tcPr>
            <w:tcW w:w="2417" w:type="dxa"/>
            <w:noWrap w:val="0"/>
            <w:vAlign w:val="center"/>
          </w:tcPr>
          <w:p w14:paraId="1E3BFE25">
            <w:pPr>
              <w:jc w:val="center"/>
              <w:rPr>
                <w:rFonts w:hint="eastAsia" w:ascii="宋体" w:hAnsi="宋体" w:eastAsia="宋体" w:cs="宋体"/>
                <w:sz w:val="24"/>
                <w:szCs w:val="24"/>
              </w:rPr>
            </w:pPr>
            <w:r>
              <w:rPr>
                <w:rFonts w:hint="eastAsia" w:ascii="宋体" w:hAnsi="宋体" w:eastAsia="宋体" w:cs="宋体"/>
                <w:sz w:val="24"/>
                <w:szCs w:val="24"/>
              </w:rPr>
              <w:t>1套</w:t>
            </w:r>
          </w:p>
        </w:tc>
        <w:tc>
          <w:tcPr>
            <w:tcW w:w="1376" w:type="dxa"/>
            <w:noWrap w:val="0"/>
            <w:vAlign w:val="center"/>
          </w:tcPr>
          <w:p w14:paraId="1509AF84">
            <w:pPr>
              <w:jc w:val="center"/>
              <w:rPr>
                <w:rFonts w:hint="eastAsia" w:ascii="宋体" w:hAnsi="宋体" w:eastAsia="宋体" w:cs="宋体"/>
                <w:sz w:val="24"/>
                <w:szCs w:val="24"/>
              </w:rPr>
            </w:pPr>
            <w:r>
              <w:rPr>
                <w:rFonts w:hint="eastAsia" w:ascii="宋体" w:hAnsi="宋体" w:eastAsia="宋体" w:cs="宋体"/>
                <w:sz w:val="24"/>
                <w:szCs w:val="24"/>
              </w:rPr>
              <w:t>shp格式</w:t>
            </w:r>
          </w:p>
        </w:tc>
      </w:tr>
      <w:tr w14:paraId="72BC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229" w:type="dxa"/>
            <w:vMerge w:val="continue"/>
            <w:noWrap w:val="0"/>
            <w:vAlign w:val="center"/>
          </w:tcPr>
          <w:p w14:paraId="583A2AD2">
            <w:pPr>
              <w:ind w:firstLine="480" w:firstLineChars="200"/>
              <w:jc w:val="center"/>
              <w:rPr>
                <w:rFonts w:hint="eastAsia" w:ascii="宋体" w:hAnsi="宋体" w:eastAsia="宋体" w:cs="宋体"/>
                <w:sz w:val="24"/>
                <w:szCs w:val="24"/>
              </w:rPr>
            </w:pPr>
          </w:p>
        </w:tc>
        <w:tc>
          <w:tcPr>
            <w:tcW w:w="1315" w:type="dxa"/>
            <w:noWrap w:val="0"/>
            <w:vAlign w:val="center"/>
          </w:tcPr>
          <w:p w14:paraId="66CAE86C">
            <w:pPr>
              <w:jc w:val="center"/>
              <w:rPr>
                <w:rFonts w:hint="eastAsia" w:ascii="宋体" w:hAnsi="宋体" w:eastAsia="宋体" w:cs="宋体"/>
                <w:sz w:val="24"/>
                <w:szCs w:val="24"/>
              </w:rPr>
            </w:pPr>
            <w:r>
              <w:rPr>
                <w:rFonts w:hint="eastAsia" w:ascii="宋体" w:hAnsi="宋体" w:eastAsia="宋体" w:cs="宋体"/>
                <w:sz w:val="24"/>
                <w:szCs w:val="24"/>
              </w:rPr>
              <w:t>质量指标</w:t>
            </w:r>
          </w:p>
        </w:tc>
        <w:tc>
          <w:tcPr>
            <w:tcW w:w="2280" w:type="dxa"/>
            <w:noWrap w:val="0"/>
            <w:vAlign w:val="center"/>
          </w:tcPr>
          <w:p w14:paraId="65C42F9B">
            <w:pPr>
              <w:jc w:val="center"/>
              <w:rPr>
                <w:rFonts w:hint="eastAsia" w:ascii="宋体" w:hAnsi="宋体" w:eastAsia="宋体" w:cs="宋体"/>
                <w:sz w:val="24"/>
                <w:szCs w:val="24"/>
              </w:rPr>
            </w:pPr>
            <w:r>
              <w:rPr>
                <w:rFonts w:hint="eastAsia" w:ascii="宋体" w:hAnsi="宋体" w:eastAsia="宋体" w:cs="宋体"/>
                <w:sz w:val="24"/>
                <w:szCs w:val="24"/>
              </w:rPr>
              <w:t>文本编制质量</w:t>
            </w:r>
          </w:p>
        </w:tc>
        <w:tc>
          <w:tcPr>
            <w:tcW w:w="2417" w:type="dxa"/>
            <w:noWrap w:val="0"/>
            <w:vAlign w:val="center"/>
          </w:tcPr>
          <w:p w14:paraId="73C8E1C8">
            <w:pPr>
              <w:jc w:val="center"/>
              <w:rPr>
                <w:rFonts w:hint="eastAsia" w:ascii="宋体" w:hAnsi="宋体" w:eastAsia="宋体" w:cs="宋体"/>
                <w:sz w:val="24"/>
                <w:szCs w:val="24"/>
              </w:rPr>
            </w:pPr>
            <w:r>
              <w:rPr>
                <w:rFonts w:hint="eastAsia" w:ascii="宋体" w:hAnsi="宋体" w:eastAsia="宋体" w:cs="宋体"/>
                <w:sz w:val="24"/>
                <w:szCs w:val="24"/>
              </w:rPr>
              <w:t>符合相关技术规范</w:t>
            </w:r>
          </w:p>
        </w:tc>
        <w:tc>
          <w:tcPr>
            <w:tcW w:w="1376" w:type="dxa"/>
            <w:noWrap w:val="0"/>
            <w:vAlign w:val="center"/>
          </w:tcPr>
          <w:p w14:paraId="63BCD901">
            <w:pPr>
              <w:jc w:val="center"/>
              <w:rPr>
                <w:rFonts w:hint="eastAsia" w:ascii="宋体" w:hAnsi="宋体" w:eastAsia="宋体" w:cs="宋体"/>
                <w:sz w:val="24"/>
                <w:szCs w:val="24"/>
              </w:rPr>
            </w:pPr>
          </w:p>
        </w:tc>
      </w:tr>
      <w:tr w14:paraId="4A015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229" w:type="dxa"/>
            <w:vMerge w:val="continue"/>
            <w:noWrap w:val="0"/>
            <w:vAlign w:val="center"/>
          </w:tcPr>
          <w:p w14:paraId="0614C069">
            <w:pPr>
              <w:ind w:firstLine="480" w:firstLineChars="200"/>
              <w:jc w:val="center"/>
              <w:rPr>
                <w:rFonts w:hint="eastAsia" w:ascii="宋体" w:hAnsi="宋体" w:eastAsia="宋体" w:cs="宋体"/>
                <w:sz w:val="24"/>
                <w:szCs w:val="24"/>
              </w:rPr>
            </w:pPr>
          </w:p>
        </w:tc>
        <w:tc>
          <w:tcPr>
            <w:tcW w:w="1315" w:type="dxa"/>
            <w:noWrap w:val="0"/>
            <w:vAlign w:val="center"/>
          </w:tcPr>
          <w:p w14:paraId="4C78DBB8">
            <w:pPr>
              <w:jc w:val="center"/>
              <w:rPr>
                <w:rFonts w:hint="eastAsia" w:ascii="宋体" w:hAnsi="宋体" w:eastAsia="宋体" w:cs="宋体"/>
                <w:sz w:val="24"/>
                <w:szCs w:val="24"/>
              </w:rPr>
            </w:pPr>
            <w:r>
              <w:rPr>
                <w:rFonts w:hint="eastAsia" w:ascii="宋体" w:hAnsi="宋体" w:eastAsia="宋体" w:cs="宋体"/>
                <w:sz w:val="24"/>
                <w:szCs w:val="24"/>
              </w:rPr>
              <w:t>时效指标</w:t>
            </w:r>
          </w:p>
        </w:tc>
        <w:tc>
          <w:tcPr>
            <w:tcW w:w="2280" w:type="dxa"/>
            <w:noWrap w:val="0"/>
            <w:vAlign w:val="center"/>
          </w:tcPr>
          <w:p w14:paraId="7BC58938">
            <w:pPr>
              <w:jc w:val="center"/>
              <w:rPr>
                <w:rFonts w:hint="eastAsia" w:ascii="宋体" w:hAnsi="宋体" w:eastAsia="宋体" w:cs="宋体"/>
                <w:sz w:val="24"/>
                <w:szCs w:val="24"/>
              </w:rPr>
            </w:pPr>
            <w:r>
              <w:rPr>
                <w:rFonts w:hint="eastAsia" w:ascii="宋体" w:hAnsi="宋体" w:eastAsia="宋体" w:cs="宋体"/>
                <w:sz w:val="24"/>
                <w:szCs w:val="24"/>
              </w:rPr>
              <w:t>执行时间</w:t>
            </w:r>
          </w:p>
        </w:tc>
        <w:tc>
          <w:tcPr>
            <w:tcW w:w="2417" w:type="dxa"/>
            <w:noWrap w:val="0"/>
            <w:vAlign w:val="center"/>
          </w:tcPr>
          <w:p w14:paraId="6DD3583A">
            <w:pPr>
              <w:jc w:val="center"/>
              <w:rPr>
                <w:rFonts w:hint="eastAsia" w:ascii="宋体" w:hAnsi="宋体" w:eastAsia="宋体" w:cs="宋体"/>
                <w:sz w:val="24"/>
                <w:szCs w:val="24"/>
              </w:rPr>
            </w:pPr>
            <w:r>
              <w:rPr>
                <w:rFonts w:hint="eastAsia" w:ascii="宋体" w:hAnsi="宋体" w:eastAsia="宋体" w:cs="宋体"/>
                <w:sz w:val="24"/>
                <w:szCs w:val="24"/>
                <w:lang w:val="en-US" w:eastAsia="zh-CN"/>
              </w:rPr>
              <w:t>2026年6月底完成</w:t>
            </w:r>
          </w:p>
        </w:tc>
        <w:tc>
          <w:tcPr>
            <w:tcW w:w="1376" w:type="dxa"/>
            <w:noWrap w:val="0"/>
            <w:vAlign w:val="center"/>
          </w:tcPr>
          <w:p w14:paraId="2B990258">
            <w:pPr>
              <w:jc w:val="center"/>
              <w:rPr>
                <w:rFonts w:hint="eastAsia" w:ascii="宋体" w:hAnsi="宋体" w:eastAsia="宋体" w:cs="宋体"/>
                <w:sz w:val="24"/>
                <w:szCs w:val="24"/>
              </w:rPr>
            </w:pPr>
          </w:p>
        </w:tc>
      </w:tr>
    </w:tbl>
    <w:p w14:paraId="06EFDFA9">
      <w:pPr>
        <w:spacing w:line="360" w:lineRule="auto"/>
        <w:ind w:firstLine="480" w:firstLineChars="200"/>
        <w:rPr>
          <w:rFonts w:hint="eastAsia" w:ascii="Times New Roman" w:hAnsi="Times New Roman" w:eastAsia="宋体"/>
          <w:bCs/>
          <w:sz w:val="24"/>
          <w:szCs w:val="24"/>
          <w:lang w:eastAsia="zh-CN"/>
        </w:rPr>
        <w:sectPr>
          <w:footerReference r:id="rId3" w:type="default"/>
          <w:pgSz w:w="11906" w:h="16838"/>
          <w:pgMar w:top="1440" w:right="1800" w:bottom="1440" w:left="1800" w:header="851" w:footer="992" w:gutter="0"/>
          <w:pgNumType w:start="1"/>
          <w:cols w:space="720" w:num="1"/>
          <w:docGrid w:type="lines" w:linePitch="312" w:charSpace="0"/>
        </w:sectPr>
      </w:pPr>
    </w:p>
    <w:p w14:paraId="60407A3B">
      <w:pPr>
        <w:pStyle w:val="2"/>
        <w:numPr>
          <w:ilvl w:val="0"/>
          <w:numId w:val="3"/>
        </w:numPr>
        <w:bidi w:val="0"/>
        <w:spacing w:line="240" w:lineRule="auto"/>
        <w:jc w:val="center"/>
        <w:rPr>
          <w:rFonts w:hint="eastAsia"/>
          <w:sz w:val="40"/>
          <w:szCs w:val="22"/>
          <w:lang w:val="en-US" w:eastAsia="zh-CN"/>
        </w:rPr>
      </w:pPr>
      <w:r>
        <w:rPr>
          <w:rFonts w:hint="eastAsia"/>
          <w:sz w:val="40"/>
          <w:szCs w:val="22"/>
          <w:lang w:val="en-US" w:eastAsia="zh-CN"/>
        </w:rPr>
        <w:t xml:space="preserve"> </w:t>
      </w:r>
      <w:bookmarkStart w:id="170" w:name="_Toc26964"/>
      <w:r>
        <w:rPr>
          <w:rFonts w:hint="eastAsia"/>
          <w:sz w:val="40"/>
          <w:szCs w:val="22"/>
          <w:lang w:val="en-US" w:eastAsia="zh-CN"/>
        </w:rPr>
        <w:t>合同条款</w:t>
      </w:r>
      <w:bookmarkEnd w:id="170"/>
    </w:p>
    <w:p w14:paraId="1FAA75B2">
      <w:pPr>
        <w:autoSpaceDE w:val="0"/>
        <w:autoSpaceDN w:val="0"/>
        <w:spacing w:line="360" w:lineRule="auto"/>
        <w:ind w:firstLine="480" w:firstLineChars="200"/>
        <w:jc w:val="left"/>
        <w:rPr>
          <w:rFonts w:hint="eastAsia" w:cs="仿宋" w:asciiTheme="minorEastAsia" w:hAnsiTheme="minorEastAsia"/>
          <w:kern w:val="0"/>
          <w:sz w:val="24"/>
          <w:szCs w:val="24"/>
          <w:lang w:val="zh-CN"/>
        </w:rPr>
      </w:pPr>
      <w:r>
        <w:rPr>
          <w:rFonts w:hint="eastAsia" w:cs="仿宋" w:asciiTheme="minorEastAsia" w:hAnsiTheme="minorEastAsia"/>
          <w:kern w:val="0"/>
          <w:sz w:val="24"/>
          <w:szCs w:val="24"/>
          <w:lang w:val="zh-CN"/>
        </w:rPr>
        <w:t>按《三门峡市财政局关于市本级政府采购合同备案管理工作的通知》（三</w:t>
      </w:r>
      <w:r>
        <w:rPr>
          <w:rFonts w:hint="eastAsia" w:cs="仿宋" w:asciiTheme="minorEastAsia" w:hAnsiTheme="minorEastAsia"/>
          <w:kern w:val="0"/>
          <w:sz w:val="24"/>
          <w:szCs w:val="24"/>
          <w:lang w:val="en-US" w:eastAsia="zh-CN"/>
        </w:rPr>
        <w:t>陕财预</w:t>
      </w:r>
      <w:r>
        <w:rPr>
          <w:rFonts w:hint="eastAsia" w:cs="仿宋" w:asciiTheme="minorEastAsia" w:hAnsiTheme="minorEastAsia"/>
          <w:kern w:val="0"/>
          <w:sz w:val="24"/>
          <w:szCs w:val="24"/>
          <w:lang w:val="zh-CN"/>
        </w:rPr>
        <w:t>[202</w:t>
      </w:r>
      <w:r>
        <w:rPr>
          <w:rFonts w:hint="eastAsia" w:cs="仿宋" w:asciiTheme="minorEastAsia" w:hAnsiTheme="minorEastAsia"/>
          <w:kern w:val="0"/>
          <w:sz w:val="24"/>
          <w:szCs w:val="24"/>
          <w:lang w:val="en-US" w:eastAsia="zh-CN"/>
        </w:rPr>
        <w:t>4</w:t>
      </w:r>
      <w:r>
        <w:rPr>
          <w:rFonts w:hint="eastAsia" w:cs="仿宋" w:asciiTheme="minorEastAsia" w:hAnsiTheme="minorEastAsia"/>
          <w:kern w:val="0"/>
          <w:sz w:val="24"/>
          <w:szCs w:val="24"/>
          <w:lang w:val="zh-CN"/>
        </w:rPr>
        <w:t>]</w:t>
      </w:r>
      <w:r>
        <w:rPr>
          <w:rFonts w:hint="eastAsia" w:cs="仿宋" w:asciiTheme="minorEastAsia" w:hAnsiTheme="minorEastAsia"/>
          <w:kern w:val="0"/>
          <w:sz w:val="24"/>
          <w:szCs w:val="24"/>
          <w:lang w:val="en-US" w:eastAsia="zh-CN"/>
        </w:rPr>
        <w:t>800</w:t>
      </w:r>
      <w:r>
        <w:rPr>
          <w:rFonts w:hint="eastAsia" w:cs="仿宋" w:asciiTheme="minorEastAsia" w:hAnsiTheme="minorEastAsia"/>
          <w:kern w:val="0"/>
          <w:sz w:val="24"/>
          <w:szCs w:val="24"/>
          <w:lang w:val="zh-CN"/>
        </w:rPr>
        <w:t>号）文要求，集中采购目录以外政府采购项目，原则上自中标通知书发出之日起</w:t>
      </w:r>
      <w:r>
        <w:rPr>
          <w:rFonts w:hint="eastAsia" w:cs="仿宋" w:asciiTheme="minorEastAsia" w:hAnsiTheme="minorEastAsia"/>
          <w:kern w:val="0"/>
          <w:sz w:val="24"/>
          <w:szCs w:val="24"/>
          <w:lang w:val="en-US" w:eastAsia="zh-CN"/>
        </w:rPr>
        <w:t>30日</w:t>
      </w:r>
      <w:r>
        <w:rPr>
          <w:rFonts w:hint="eastAsia" w:cs="仿宋" w:asciiTheme="minorEastAsia" w:hAnsiTheme="minorEastAsia"/>
          <w:kern w:val="0"/>
          <w:sz w:val="24"/>
          <w:szCs w:val="24"/>
          <w:lang w:val="zh-CN"/>
        </w:rPr>
        <w:t>内与中标（成交）人按照采购文件确定的事项与成交人签订政府采购合同。</w:t>
      </w:r>
    </w:p>
    <w:p w14:paraId="34BD5844">
      <w:pPr>
        <w:autoSpaceDE w:val="0"/>
        <w:autoSpaceDN w:val="0"/>
        <w:spacing w:line="360" w:lineRule="auto"/>
        <w:ind w:firstLine="645"/>
        <w:jc w:val="center"/>
        <w:rPr>
          <w:rFonts w:hint="eastAsia" w:cs="仿宋" w:asciiTheme="minorEastAsia" w:hAnsiTheme="minorEastAsia"/>
          <w:b/>
          <w:bCs/>
          <w:kern w:val="0"/>
          <w:sz w:val="24"/>
          <w:szCs w:val="24"/>
          <w:lang w:val="zh-CN"/>
        </w:rPr>
      </w:pPr>
      <w:r>
        <w:rPr>
          <w:rFonts w:hint="eastAsia" w:cs="仿宋" w:asciiTheme="minorEastAsia" w:hAnsiTheme="minorEastAsia"/>
          <w:b/>
          <w:bCs/>
          <w:kern w:val="0"/>
          <w:sz w:val="24"/>
          <w:szCs w:val="24"/>
          <w:lang w:val="zh-CN"/>
        </w:rPr>
        <w:t>（本合同仅供参考 双方可根据实际情况另行商议）</w:t>
      </w:r>
    </w:p>
    <w:p w14:paraId="28E790BA">
      <w:pPr>
        <w:autoSpaceDE w:val="0"/>
        <w:autoSpaceDN w:val="0"/>
        <w:spacing w:line="360" w:lineRule="auto"/>
        <w:ind w:firstLine="480" w:firstLineChars="200"/>
        <w:jc w:val="left"/>
        <w:rPr>
          <w:rFonts w:hint="eastAsia" w:cs="仿宋" w:asciiTheme="minorEastAsia" w:hAnsiTheme="minorEastAsia"/>
          <w:kern w:val="0"/>
          <w:sz w:val="24"/>
          <w:szCs w:val="24"/>
          <w:lang w:val="zh-CN"/>
        </w:rPr>
      </w:pPr>
      <w:bookmarkStart w:id="171" w:name="_Toc113218554"/>
      <w:bookmarkStart w:id="172" w:name="_Toc113218410"/>
      <w:bookmarkStart w:id="173" w:name="_Toc113218506"/>
      <w:bookmarkStart w:id="174" w:name="_Toc113218458"/>
      <w:r>
        <w:rPr>
          <w:rFonts w:hint="eastAsia" w:cs="仿宋" w:asciiTheme="minorEastAsia" w:hAnsiTheme="minorEastAsia"/>
          <w:kern w:val="0"/>
          <w:sz w:val="24"/>
          <w:szCs w:val="24"/>
          <w:lang w:val="zh-CN"/>
        </w:rPr>
        <w:t>合同编号：</w:t>
      </w:r>
      <w:bookmarkEnd w:id="171"/>
      <w:bookmarkEnd w:id="172"/>
      <w:bookmarkEnd w:id="173"/>
      <w:bookmarkEnd w:id="174"/>
      <w:r>
        <w:rPr>
          <w:rFonts w:hint="eastAsia" w:cs="仿宋" w:asciiTheme="minorEastAsia" w:hAnsiTheme="minorEastAsia"/>
          <w:kern w:val="0"/>
          <w:sz w:val="24"/>
          <w:szCs w:val="24"/>
          <w:u w:val="single"/>
          <w:lang w:val="en-US" w:eastAsia="zh-CN"/>
        </w:rPr>
        <w:t xml:space="preserve">                                                       </w:t>
      </w:r>
    </w:p>
    <w:p w14:paraId="2E7D700E">
      <w:pPr>
        <w:autoSpaceDE w:val="0"/>
        <w:autoSpaceDN w:val="0"/>
        <w:spacing w:line="360" w:lineRule="auto"/>
        <w:ind w:firstLine="480" w:firstLineChars="200"/>
        <w:jc w:val="left"/>
        <w:rPr>
          <w:rFonts w:hint="eastAsia" w:cs="仿宋" w:asciiTheme="minorEastAsia" w:hAnsiTheme="minorEastAsia"/>
          <w:kern w:val="0"/>
          <w:sz w:val="24"/>
          <w:szCs w:val="24"/>
          <w:u w:val="single"/>
          <w:lang w:val="zh-CN"/>
        </w:rPr>
      </w:pPr>
      <w:bookmarkStart w:id="175" w:name="_Toc113218555"/>
      <w:bookmarkStart w:id="176" w:name="_Toc113218507"/>
      <w:bookmarkStart w:id="177" w:name="_Toc113218411"/>
      <w:bookmarkStart w:id="178" w:name="_Toc113218459"/>
      <w:r>
        <w:rPr>
          <w:rFonts w:hint="eastAsia" w:cs="仿宋" w:asciiTheme="minorEastAsia" w:hAnsiTheme="minorEastAsia"/>
          <w:kern w:val="0"/>
          <w:sz w:val="24"/>
          <w:szCs w:val="24"/>
          <w:lang w:val="zh-CN"/>
        </w:rPr>
        <w:t>项目名称：</w:t>
      </w:r>
      <w:bookmarkEnd w:id="175"/>
      <w:bookmarkEnd w:id="176"/>
      <w:bookmarkEnd w:id="177"/>
      <w:bookmarkEnd w:id="178"/>
      <w:r>
        <w:rPr>
          <w:rFonts w:hint="eastAsia" w:cs="仿宋" w:asciiTheme="minorEastAsia" w:hAnsiTheme="minorEastAsia"/>
          <w:kern w:val="0"/>
          <w:sz w:val="24"/>
          <w:szCs w:val="24"/>
          <w:u w:val="single"/>
          <w:lang w:val="zh-CN" w:eastAsia="zh-CN"/>
        </w:rPr>
        <w:t>河南黄河湿地国家级自然保护区三门峡事务中心《河南黄河湿地国家级自然保护区总体规划（2026-2035年）》编制项目</w:t>
      </w:r>
    </w:p>
    <w:p w14:paraId="55BE26C5">
      <w:pPr>
        <w:autoSpaceDE w:val="0"/>
        <w:autoSpaceDN w:val="0"/>
        <w:spacing w:line="360" w:lineRule="auto"/>
        <w:ind w:firstLine="480" w:firstLineChars="200"/>
        <w:jc w:val="left"/>
        <w:rPr>
          <w:rFonts w:hint="default" w:cs="仿宋" w:asciiTheme="minorEastAsia" w:hAnsiTheme="minorEastAsia"/>
          <w:kern w:val="0"/>
          <w:sz w:val="24"/>
          <w:szCs w:val="24"/>
          <w:u w:val="single"/>
          <w:lang w:val="en-US" w:eastAsia="zh-CN"/>
        </w:rPr>
      </w:pPr>
      <w:bookmarkStart w:id="179" w:name="_Toc113218460"/>
      <w:bookmarkStart w:id="180" w:name="_Toc113218412"/>
      <w:bookmarkStart w:id="181" w:name="_Toc113218556"/>
      <w:bookmarkStart w:id="182" w:name="_Toc113218508"/>
      <w:r>
        <w:rPr>
          <w:rFonts w:hint="eastAsia" w:cs="仿宋" w:asciiTheme="minorEastAsia" w:hAnsiTheme="minorEastAsia"/>
          <w:kern w:val="0"/>
          <w:sz w:val="24"/>
          <w:szCs w:val="24"/>
          <w:lang w:val="zh-CN"/>
        </w:rPr>
        <w:t>甲方（采购人）：</w:t>
      </w:r>
      <w:bookmarkEnd w:id="179"/>
      <w:bookmarkEnd w:id="180"/>
      <w:bookmarkEnd w:id="181"/>
      <w:bookmarkEnd w:id="182"/>
      <w:bookmarkStart w:id="183" w:name="_Toc113218557"/>
      <w:bookmarkStart w:id="184" w:name="_Toc113218509"/>
      <w:bookmarkStart w:id="185" w:name="_Toc113218413"/>
      <w:bookmarkStart w:id="186" w:name="_Toc113218461"/>
      <w:r>
        <w:rPr>
          <w:rFonts w:hint="eastAsia" w:cs="仿宋" w:asciiTheme="minorEastAsia" w:hAnsiTheme="minorEastAsia"/>
          <w:kern w:val="0"/>
          <w:sz w:val="24"/>
          <w:szCs w:val="24"/>
          <w:u w:val="single"/>
          <w:lang w:val="en-US" w:eastAsia="zh-CN"/>
        </w:rPr>
        <w:t xml:space="preserve"> 河南黄河湿地国家级自然保护区三门峡事务中心 </w:t>
      </w:r>
    </w:p>
    <w:p w14:paraId="2B33B213">
      <w:pPr>
        <w:autoSpaceDE w:val="0"/>
        <w:autoSpaceDN w:val="0"/>
        <w:spacing w:line="360" w:lineRule="auto"/>
        <w:ind w:firstLine="480" w:firstLineChars="200"/>
        <w:jc w:val="left"/>
        <w:rPr>
          <w:rFonts w:hint="eastAsia" w:cs="仿宋" w:asciiTheme="minorEastAsia" w:hAnsiTheme="minorEastAsia"/>
          <w:kern w:val="0"/>
          <w:sz w:val="24"/>
          <w:szCs w:val="24"/>
          <w:lang w:val="zh-CN"/>
        </w:rPr>
      </w:pPr>
      <w:r>
        <w:rPr>
          <w:rFonts w:hint="eastAsia" w:cs="仿宋" w:asciiTheme="minorEastAsia" w:hAnsiTheme="minorEastAsia"/>
          <w:kern w:val="0"/>
          <w:sz w:val="24"/>
          <w:szCs w:val="24"/>
          <w:lang w:val="zh-CN"/>
        </w:rPr>
        <w:t>乙方（服务商）：</w:t>
      </w:r>
      <w:bookmarkEnd w:id="183"/>
      <w:bookmarkEnd w:id="184"/>
      <w:bookmarkEnd w:id="185"/>
      <w:bookmarkEnd w:id="186"/>
      <w:r>
        <w:rPr>
          <w:rFonts w:hint="eastAsia" w:cs="仿宋" w:asciiTheme="minorEastAsia" w:hAnsiTheme="minorEastAsia"/>
          <w:kern w:val="0"/>
          <w:sz w:val="24"/>
          <w:szCs w:val="24"/>
          <w:u w:val="single"/>
          <w:lang w:val="en-US" w:eastAsia="zh-CN"/>
        </w:rPr>
        <w:t xml:space="preserve">                                            </w:t>
      </w:r>
    </w:p>
    <w:p w14:paraId="54C894DA">
      <w:pPr>
        <w:autoSpaceDE w:val="0"/>
        <w:autoSpaceDN w:val="0"/>
        <w:spacing w:line="360" w:lineRule="auto"/>
        <w:ind w:firstLine="645"/>
        <w:jc w:val="left"/>
        <w:rPr>
          <w:rFonts w:hint="eastAsia" w:cs="仿宋" w:asciiTheme="minorEastAsia" w:hAnsiTheme="minorEastAsia"/>
          <w:kern w:val="0"/>
          <w:sz w:val="24"/>
          <w:szCs w:val="24"/>
          <w:lang w:val="zh-CN"/>
        </w:rPr>
      </w:pPr>
      <w:bookmarkStart w:id="187" w:name="_Toc113218558"/>
      <w:bookmarkStart w:id="188" w:name="_Toc113218462"/>
      <w:bookmarkStart w:id="189" w:name="_Toc113218510"/>
      <w:bookmarkStart w:id="190" w:name="_Toc113218414"/>
      <w:r>
        <w:rPr>
          <w:rFonts w:hint="eastAsia" w:cs="仿宋" w:asciiTheme="minorEastAsia" w:hAnsiTheme="minorEastAsia"/>
          <w:kern w:val="0"/>
          <w:sz w:val="24"/>
          <w:szCs w:val="24"/>
          <w:lang w:val="zh-CN"/>
        </w:rPr>
        <w:t>通过采购招标，经评标委员会评定，采购方确认，甲乙双方同意根据《中华人民共和国合同法》 《中华人民共和国政府采购法》及相关规定，按照以下条款和条件，签署本合同。</w:t>
      </w:r>
      <w:bookmarkEnd w:id="187"/>
      <w:bookmarkEnd w:id="188"/>
      <w:bookmarkEnd w:id="189"/>
      <w:bookmarkEnd w:id="190"/>
    </w:p>
    <w:p w14:paraId="5EDAD998">
      <w:pPr>
        <w:autoSpaceDE w:val="0"/>
        <w:autoSpaceDN w:val="0"/>
        <w:spacing w:line="360" w:lineRule="auto"/>
        <w:ind w:firstLine="645"/>
        <w:jc w:val="left"/>
        <w:rPr>
          <w:rFonts w:hint="eastAsia" w:cs="仿宋" w:asciiTheme="minorEastAsia" w:hAnsiTheme="minorEastAsia"/>
          <w:kern w:val="0"/>
          <w:sz w:val="24"/>
          <w:szCs w:val="24"/>
          <w:lang w:val="zh-CN"/>
        </w:rPr>
      </w:pPr>
      <w:bookmarkStart w:id="191" w:name="_Toc113218463"/>
      <w:bookmarkStart w:id="192" w:name="_Toc113218415"/>
      <w:bookmarkStart w:id="193" w:name="_Toc113218511"/>
      <w:bookmarkStart w:id="194" w:name="_Toc113218559"/>
      <w:r>
        <w:rPr>
          <w:rFonts w:hint="eastAsia" w:cs="仿宋" w:asciiTheme="minorEastAsia" w:hAnsiTheme="minorEastAsia"/>
          <w:kern w:val="0"/>
          <w:sz w:val="24"/>
          <w:szCs w:val="24"/>
          <w:lang w:val="zh-CN"/>
        </w:rPr>
        <w:t>一、本合同为甲乙双方就 项目签订的服务协议，合同期限：</w:t>
      </w:r>
      <w:r>
        <w:rPr>
          <w:rFonts w:hint="eastAsia" w:cs="仿宋" w:asciiTheme="minorEastAsia" w:hAnsiTheme="minorEastAsia"/>
          <w:kern w:val="0"/>
          <w:sz w:val="24"/>
          <w:szCs w:val="24"/>
          <w:u w:val="single"/>
          <w:lang w:val="en-US" w:eastAsia="zh-CN"/>
        </w:rPr>
        <w:t xml:space="preserve"> 2026年6月底完成</w:t>
      </w:r>
      <w:r>
        <w:rPr>
          <w:rFonts w:hint="eastAsia" w:cs="仿宋" w:asciiTheme="minorEastAsia" w:hAnsiTheme="minorEastAsia"/>
          <w:kern w:val="0"/>
          <w:sz w:val="24"/>
          <w:szCs w:val="24"/>
          <w:lang w:val="zh-CN"/>
        </w:rPr>
        <w:t>。</w:t>
      </w:r>
      <w:bookmarkEnd w:id="191"/>
      <w:bookmarkEnd w:id="192"/>
      <w:bookmarkEnd w:id="193"/>
      <w:bookmarkEnd w:id="194"/>
    </w:p>
    <w:p w14:paraId="18F85C98">
      <w:pPr>
        <w:autoSpaceDE w:val="0"/>
        <w:autoSpaceDN w:val="0"/>
        <w:spacing w:line="360" w:lineRule="auto"/>
        <w:ind w:firstLine="645"/>
        <w:jc w:val="left"/>
        <w:rPr>
          <w:rFonts w:hint="eastAsia" w:cs="仿宋" w:asciiTheme="minorEastAsia" w:hAnsiTheme="minorEastAsia"/>
          <w:kern w:val="0"/>
          <w:sz w:val="24"/>
          <w:szCs w:val="24"/>
          <w:lang w:val="zh-CN"/>
        </w:rPr>
      </w:pPr>
      <w:bookmarkStart w:id="195" w:name="_Toc113218416"/>
      <w:bookmarkStart w:id="196" w:name="_Toc113218464"/>
      <w:bookmarkStart w:id="197" w:name="_Toc113218560"/>
      <w:bookmarkStart w:id="198" w:name="_Toc113218512"/>
      <w:r>
        <w:rPr>
          <w:rFonts w:hint="eastAsia" w:cs="仿宋" w:asciiTheme="minorEastAsia" w:hAnsiTheme="minorEastAsia"/>
          <w:kern w:val="0"/>
          <w:sz w:val="24"/>
          <w:szCs w:val="24"/>
          <w:lang w:val="zh-CN"/>
        </w:rPr>
        <w:t xml:space="preserve">二、合同文件下列文件均为本合同的组成部分： </w:t>
      </w:r>
    </w:p>
    <w:p w14:paraId="4FA5F0F9">
      <w:pPr>
        <w:autoSpaceDE w:val="0"/>
        <w:autoSpaceDN w:val="0"/>
        <w:spacing w:line="360" w:lineRule="auto"/>
        <w:ind w:firstLine="645"/>
        <w:jc w:val="left"/>
        <w:rPr>
          <w:rFonts w:hint="eastAsia" w:cs="仿宋" w:asciiTheme="minorEastAsia" w:hAnsiTheme="minorEastAsia"/>
          <w:kern w:val="0"/>
          <w:sz w:val="24"/>
          <w:szCs w:val="24"/>
          <w:lang w:val="zh-CN"/>
        </w:rPr>
      </w:pPr>
      <w:r>
        <w:rPr>
          <w:rFonts w:hint="eastAsia" w:cs="仿宋" w:asciiTheme="minorEastAsia" w:hAnsiTheme="minorEastAsia"/>
          <w:kern w:val="0"/>
          <w:sz w:val="24"/>
          <w:szCs w:val="24"/>
          <w:lang w:val="zh-CN"/>
        </w:rPr>
        <w:t>（</w:t>
      </w:r>
      <w:r>
        <w:rPr>
          <w:rFonts w:hint="eastAsia" w:cs="仿宋" w:asciiTheme="minorEastAsia" w:hAnsiTheme="minorEastAsia"/>
          <w:kern w:val="0"/>
          <w:sz w:val="24"/>
          <w:szCs w:val="24"/>
          <w:lang w:val="en-US" w:eastAsia="zh-CN"/>
        </w:rPr>
        <w:t>1</w:t>
      </w:r>
      <w:r>
        <w:rPr>
          <w:rFonts w:hint="eastAsia" w:cs="仿宋" w:asciiTheme="minorEastAsia" w:hAnsiTheme="minorEastAsia"/>
          <w:kern w:val="0"/>
          <w:sz w:val="24"/>
          <w:szCs w:val="24"/>
          <w:lang w:val="zh-CN"/>
        </w:rPr>
        <w:t xml:space="preserve">）本合同协议书 </w:t>
      </w:r>
    </w:p>
    <w:p w14:paraId="0663B2A4">
      <w:pPr>
        <w:autoSpaceDE w:val="0"/>
        <w:autoSpaceDN w:val="0"/>
        <w:spacing w:line="360" w:lineRule="auto"/>
        <w:ind w:firstLine="645"/>
        <w:jc w:val="left"/>
        <w:rPr>
          <w:rFonts w:hint="eastAsia" w:cs="仿宋" w:asciiTheme="minorEastAsia" w:hAnsiTheme="minorEastAsia"/>
          <w:kern w:val="0"/>
          <w:sz w:val="24"/>
          <w:szCs w:val="24"/>
          <w:lang w:val="zh-CN"/>
        </w:rPr>
      </w:pPr>
      <w:r>
        <w:rPr>
          <w:rFonts w:hint="eastAsia" w:cs="仿宋" w:asciiTheme="minorEastAsia" w:hAnsiTheme="minorEastAsia"/>
          <w:kern w:val="0"/>
          <w:sz w:val="24"/>
          <w:szCs w:val="24"/>
          <w:lang w:val="zh-CN"/>
        </w:rPr>
        <w:t>（</w:t>
      </w:r>
      <w:r>
        <w:rPr>
          <w:rFonts w:hint="eastAsia" w:cs="仿宋" w:asciiTheme="minorEastAsia" w:hAnsiTheme="minorEastAsia"/>
          <w:kern w:val="0"/>
          <w:sz w:val="24"/>
          <w:szCs w:val="24"/>
          <w:lang w:val="en-US" w:eastAsia="zh-CN"/>
        </w:rPr>
        <w:t>2</w:t>
      </w:r>
      <w:r>
        <w:rPr>
          <w:rFonts w:hint="eastAsia" w:cs="仿宋" w:asciiTheme="minorEastAsia" w:hAnsiTheme="minorEastAsia"/>
          <w:kern w:val="0"/>
          <w:sz w:val="24"/>
          <w:szCs w:val="24"/>
          <w:lang w:val="zh-CN"/>
        </w:rPr>
        <w:t>）服务商在</w:t>
      </w:r>
      <w:r>
        <w:rPr>
          <w:rFonts w:hint="eastAsia" w:cs="仿宋" w:asciiTheme="minorEastAsia" w:hAnsiTheme="minorEastAsia"/>
          <w:kern w:val="0"/>
          <w:sz w:val="24"/>
          <w:szCs w:val="24"/>
          <w:lang w:val="en-US" w:eastAsia="zh-CN"/>
        </w:rPr>
        <w:t>磋商</w:t>
      </w:r>
      <w:r>
        <w:rPr>
          <w:rFonts w:hint="eastAsia" w:cs="仿宋" w:asciiTheme="minorEastAsia" w:hAnsiTheme="minorEastAsia"/>
          <w:kern w:val="0"/>
          <w:sz w:val="24"/>
          <w:szCs w:val="24"/>
          <w:lang w:val="zh-CN"/>
        </w:rPr>
        <w:t xml:space="preserve">时的报价及书面承诺 </w:t>
      </w:r>
    </w:p>
    <w:p w14:paraId="73DBBBE5">
      <w:pPr>
        <w:autoSpaceDE w:val="0"/>
        <w:autoSpaceDN w:val="0"/>
        <w:spacing w:line="360" w:lineRule="auto"/>
        <w:ind w:firstLine="645"/>
        <w:jc w:val="left"/>
        <w:rPr>
          <w:rFonts w:hint="eastAsia" w:cs="仿宋" w:asciiTheme="minorEastAsia" w:hAnsiTheme="minorEastAsia"/>
          <w:kern w:val="0"/>
          <w:sz w:val="24"/>
          <w:szCs w:val="24"/>
          <w:lang w:val="zh-CN"/>
        </w:rPr>
      </w:pPr>
      <w:r>
        <w:rPr>
          <w:rFonts w:hint="eastAsia" w:cs="仿宋" w:asciiTheme="minorEastAsia" w:hAnsiTheme="minorEastAsia"/>
          <w:kern w:val="0"/>
          <w:sz w:val="24"/>
          <w:szCs w:val="24"/>
          <w:lang w:val="en-US" w:eastAsia="zh-CN"/>
        </w:rPr>
        <w:t>（3）成交</w:t>
      </w:r>
      <w:r>
        <w:rPr>
          <w:rFonts w:hint="eastAsia" w:cs="仿宋" w:asciiTheme="minorEastAsia" w:hAnsiTheme="minorEastAsia"/>
          <w:kern w:val="0"/>
          <w:sz w:val="24"/>
          <w:szCs w:val="24"/>
          <w:lang w:val="zh-CN"/>
        </w:rPr>
        <w:t xml:space="preserve">通知书 </w:t>
      </w:r>
    </w:p>
    <w:p w14:paraId="07A94A86">
      <w:pPr>
        <w:autoSpaceDE w:val="0"/>
        <w:autoSpaceDN w:val="0"/>
        <w:spacing w:line="360" w:lineRule="auto"/>
        <w:ind w:firstLine="645"/>
        <w:jc w:val="left"/>
        <w:rPr>
          <w:rFonts w:hint="eastAsia" w:cs="仿宋" w:asciiTheme="minorEastAsia" w:hAnsiTheme="minorEastAsia"/>
          <w:kern w:val="0"/>
          <w:sz w:val="24"/>
          <w:szCs w:val="24"/>
          <w:lang w:val="zh-CN"/>
        </w:rPr>
      </w:pPr>
      <w:r>
        <w:rPr>
          <w:rFonts w:hint="eastAsia" w:cs="仿宋" w:asciiTheme="minorEastAsia" w:hAnsiTheme="minorEastAsia"/>
          <w:kern w:val="0"/>
          <w:sz w:val="24"/>
          <w:szCs w:val="24"/>
          <w:lang w:val="en-US" w:eastAsia="zh-CN"/>
        </w:rPr>
        <w:t>（4）响应</w:t>
      </w:r>
      <w:r>
        <w:rPr>
          <w:rFonts w:hint="eastAsia" w:cs="仿宋" w:asciiTheme="minorEastAsia" w:hAnsiTheme="minorEastAsia"/>
          <w:kern w:val="0"/>
          <w:sz w:val="24"/>
          <w:szCs w:val="24"/>
          <w:lang w:val="zh-CN"/>
        </w:rPr>
        <w:t xml:space="preserve">文件 </w:t>
      </w:r>
    </w:p>
    <w:p w14:paraId="2A0BB309">
      <w:pPr>
        <w:autoSpaceDE w:val="0"/>
        <w:autoSpaceDN w:val="0"/>
        <w:spacing w:line="360" w:lineRule="auto"/>
        <w:ind w:firstLine="645"/>
        <w:jc w:val="left"/>
        <w:rPr>
          <w:rFonts w:hint="eastAsia" w:cs="仿宋" w:asciiTheme="minorEastAsia" w:hAnsiTheme="minorEastAsia"/>
          <w:kern w:val="0"/>
          <w:sz w:val="24"/>
          <w:szCs w:val="24"/>
          <w:lang w:val="zh-CN"/>
        </w:rPr>
      </w:pPr>
      <w:r>
        <w:rPr>
          <w:rFonts w:hint="eastAsia" w:cs="仿宋" w:asciiTheme="minorEastAsia" w:hAnsiTheme="minorEastAsia"/>
          <w:kern w:val="0"/>
          <w:sz w:val="24"/>
          <w:szCs w:val="24"/>
          <w:lang w:val="en-US" w:eastAsia="zh-CN"/>
        </w:rPr>
        <w:t>（5）竞争性磋商</w:t>
      </w:r>
      <w:r>
        <w:rPr>
          <w:rFonts w:hint="eastAsia" w:cs="仿宋" w:asciiTheme="minorEastAsia" w:hAnsiTheme="minorEastAsia"/>
          <w:kern w:val="0"/>
          <w:sz w:val="24"/>
          <w:szCs w:val="24"/>
          <w:lang w:val="zh-CN"/>
        </w:rPr>
        <w:t xml:space="preserve">文件 </w:t>
      </w:r>
    </w:p>
    <w:p w14:paraId="40C44598">
      <w:pPr>
        <w:autoSpaceDE w:val="0"/>
        <w:autoSpaceDN w:val="0"/>
        <w:spacing w:line="360" w:lineRule="auto"/>
        <w:ind w:firstLine="645"/>
        <w:jc w:val="left"/>
        <w:rPr>
          <w:rFonts w:hint="eastAsia" w:cs="仿宋" w:asciiTheme="minorEastAsia" w:hAnsiTheme="minorEastAsia"/>
          <w:kern w:val="0"/>
          <w:sz w:val="24"/>
          <w:szCs w:val="24"/>
          <w:lang w:val="zh-CN"/>
        </w:rPr>
      </w:pPr>
      <w:r>
        <w:rPr>
          <w:rFonts w:hint="eastAsia" w:cs="仿宋" w:asciiTheme="minorEastAsia" w:hAnsiTheme="minorEastAsia"/>
          <w:kern w:val="0"/>
          <w:sz w:val="24"/>
          <w:szCs w:val="24"/>
          <w:lang w:val="zh-CN"/>
        </w:rPr>
        <w:t>（</w:t>
      </w:r>
      <w:r>
        <w:rPr>
          <w:rFonts w:hint="eastAsia" w:cs="仿宋" w:asciiTheme="minorEastAsia" w:hAnsiTheme="minorEastAsia"/>
          <w:kern w:val="0"/>
          <w:sz w:val="24"/>
          <w:szCs w:val="24"/>
          <w:lang w:val="en-US" w:eastAsia="zh-CN"/>
        </w:rPr>
        <w:t>6</w:t>
      </w:r>
      <w:r>
        <w:rPr>
          <w:rFonts w:hint="eastAsia" w:cs="仿宋" w:asciiTheme="minorEastAsia" w:hAnsiTheme="minorEastAsia"/>
          <w:kern w:val="0"/>
          <w:sz w:val="24"/>
          <w:szCs w:val="24"/>
          <w:lang w:val="zh-CN"/>
        </w:rPr>
        <w:t xml:space="preserve">）合同补充条款或说明 </w:t>
      </w:r>
    </w:p>
    <w:p w14:paraId="0DFF885D">
      <w:pPr>
        <w:autoSpaceDE w:val="0"/>
        <w:autoSpaceDN w:val="0"/>
        <w:spacing w:line="360" w:lineRule="auto"/>
        <w:ind w:firstLine="645"/>
        <w:jc w:val="left"/>
        <w:rPr>
          <w:rFonts w:hint="eastAsia" w:cs="仿宋" w:asciiTheme="minorEastAsia" w:hAnsiTheme="minorEastAsia"/>
          <w:kern w:val="0"/>
          <w:sz w:val="24"/>
          <w:szCs w:val="24"/>
          <w:lang w:val="zh-CN"/>
        </w:rPr>
      </w:pPr>
      <w:r>
        <w:rPr>
          <w:rFonts w:hint="eastAsia" w:cs="仿宋" w:asciiTheme="minorEastAsia" w:hAnsiTheme="minorEastAsia"/>
          <w:kern w:val="0"/>
          <w:sz w:val="24"/>
          <w:szCs w:val="24"/>
          <w:lang w:val="zh-CN"/>
        </w:rPr>
        <w:t>（</w:t>
      </w:r>
      <w:r>
        <w:rPr>
          <w:rFonts w:hint="eastAsia" w:cs="仿宋" w:asciiTheme="minorEastAsia" w:hAnsiTheme="minorEastAsia"/>
          <w:kern w:val="0"/>
          <w:sz w:val="24"/>
          <w:szCs w:val="24"/>
          <w:lang w:val="en-US" w:eastAsia="zh-CN"/>
        </w:rPr>
        <w:t>7</w:t>
      </w:r>
      <w:r>
        <w:rPr>
          <w:rFonts w:hint="eastAsia" w:cs="仿宋" w:asciiTheme="minorEastAsia" w:hAnsiTheme="minorEastAsia"/>
          <w:kern w:val="0"/>
          <w:sz w:val="24"/>
          <w:szCs w:val="24"/>
          <w:lang w:val="zh-CN"/>
        </w:rPr>
        <w:t>）附件</w:t>
      </w:r>
      <w:bookmarkEnd w:id="195"/>
      <w:bookmarkEnd w:id="196"/>
      <w:bookmarkEnd w:id="197"/>
      <w:bookmarkEnd w:id="198"/>
      <w:r>
        <w:rPr>
          <w:rFonts w:hint="eastAsia" w:cs="仿宋" w:asciiTheme="minorEastAsia" w:hAnsiTheme="minorEastAsia"/>
          <w:kern w:val="0"/>
          <w:sz w:val="24"/>
          <w:szCs w:val="24"/>
          <w:lang w:val="zh-CN"/>
        </w:rPr>
        <w:t xml:space="preserve">     </w:t>
      </w:r>
    </w:p>
    <w:p w14:paraId="03E8C302">
      <w:pPr>
        <w:autoSpaceDE w:val="0"/>
        <w:autoSpaceDN w:val="0"/>
        <w:spacing w:line="360" w:lineRule="auto"/>
        <w:ind w:firstLine="480" w:firstLineChars="200"/>
        <w:jc w:val="left"/>
        <w:rPr>
          <w:rFonts w:hint="eastAsia" w:cs="仿宋" w:asciiTheme="minorEastAsia" w:hAnsiTheme="minorEastAsia"/>
          <w:kern w:val="0"/>
          <w:sz w:val="24"/>
          <w:szCs w:val="24"/>
          <w:lang w:val="zh-CN"/>
        </w:rPr>
      </w:pPr>
      <w:bookmarkStart w:id="199" w:name="_Toc113218465"/>
      <w:bookmarkStart w:id="200" w:name="_Toc113218561"/>
      <w:bookmarkStart w:id="201" w:name="_Toc113218513"/>
      <w:bookmarkStart w:id="202" w:name="_Toc113218417"/>
      <w:r>
        <w:rPr>
          <w:rFonts w:hint="eastAsia" w:cs="仿宋" w:asciiTheme="minorEastAsia" w:hAnsiTheme="minorEastAsia"/>
          <w:kern w:val="0"/>
          <w:sz w:val="24"/>
          <w:szCs w:val="24"/>
          <w:lang w:val="zh-CN"/>
        </w:rPr>
        <w:t>三、合同范围和条件本合同的范围和条件应与上述规定的合同文件内容一致。</w:t>
      </w:r>
      <w:bookmarkEnd w:id="199"/>
      <w:bookmarkEnd w:id="200"/>
      <w:bookmarkEnd w:id="201"/>
      <w:bookmarkEnd w:id="202"/>
      <w:r>
        <w:rPr>
          <w:rFonts w:hint="eastAsia" w:cs="仿宋" w:asciiTheme="minorEastAsia" w:hAnsiTheme="minorEastAsia"/>
          <w:kern w:val="0"/>
          <w:sz w:val="24"/>
          <w:szCs w:val="24"/>
          <w:lang w:val="zh-CN"/>
        </w:rPr>
        <w:t xml:space="preserve"> </w:t>
      </w:r>
    </w:p>
    <w:p w14:paraId="1E2C85DE">
      <w:pPr>
        <w:autoSpaceDE w:val="0"/>
        <w:autoSpaceDN w:val="0"/>
        <w:spacing w:line="360" w:lineRule="auto"/>
        <w:ind w:firstLine="480" w:firstLineChars="200"/>
        <w:jc w:val="left"/>
        <w:rPr>
          <w:rFonts w:hint="eastAsia" w:cs="仿宋" w:asciiTheme="minorEastAsia" w:hAnsiTheme="minorEastAsia"/>
          <w:kern w:val="0"/>
          <w:sz w:val="24"/>
          <w:szCs w:val="24"/>
          <w:lang w:val="zh-CN"/>
        </w:rPr>
      </w:pPr>
      <w:bookmarkStart w:id="203" w:name="_Toc113218514"/>
      <w:bookmarkStart w:id="204" w:name="_Toc113218418"/>
      <w:bookmarkStart w:id="205" w:name="_Toc113218466"/>
      <w:bookmarkStart w:id="206" w:name="_Toc113218562"/>
      <w:r>
        <w:rPr>
          <w:rFonts w:hint="eastAsia" w:cs="仿宋" w:asciiTheme="minorEastAsia" w:hAnsiTheme="minorEastAsia"/>
          <w:kern w:val="0"/>
          <w:sz w:val="24"/>
          <w:szCs w:val="24"/>
          <w:lang w:val="zh-CN"/>
        </w:rPr>
        <w:t>四、服务范围与数量：（详见</w:t>
      </w:r>
      <w:r>
        <w:rPr>
          <w:rFonts w:hint="eastAsia" w:cs="仿宋" w:asciiTheme="minorEastAsia" w:hAnsiTheme="minorEastAsia"/>
          <w:kern w:val="0"/>
          <w:sz w:val="24"/>
          <w:szCs w:val="24"/>
          <w:lang w:val="en-US" w:eastAsia="zh-CN"/>
        </w:rPr>
        <w:t>磋商</w:t>
      </w:r>
      <w:r>
        <w:rPr>
          <w:rFonts w:hint="eastAsia" w:cs="仿宋" w:asciiTheme="minorEastAsia" w:hAnsiTheme="minorEastAsia"/>
          <w:kern w:val="0"/>
          <w:sz w:val="24"/>
          <w:szCs w:val="24"/>
          <w:lang w:val="zh-CN"/>
        </w:rPr>
        <w:t>文件）</w:t>
      </w:r>
      <w:bookmarkEnd w:id="203"/>
      <w:bookmarkEnd w:id="204"/>
      <w:bookmarkEnd w:id="205"/>
      <w:bookmarkEnd w:id="206"/>
      <w:r>
        <w:rPr>
          <w:rFonts w:hint="eastAsia" w:cs="仿宋" w:asciiTheme="minorEastAsia" w:hAnsiTheme="minorEastAsia"/>
          <w:kern w:val="0"/>
          <w:sz w:val="24"/>
          <w:szCs w:val="24"/>
          <w:lang w:val="zh-CN"/>
        </w:rPr>
        <w:t xml:space="preserve"> </w:t>
      </w:r>
    </w:p>
    <w:p w14:paraId="106414F9">
      <w:pPr>
        <w:autoSpaceDE w:val="0"/>
        <w:autoSpaceDN w:val="0"/>
        <w:spacing w:line="360" w:lineRule="auto"/>
        <w:ind w:firstLine="480" w:firstLineChars="200"/>
        <w:jc w:val="left"/>
        <w:rPr>
          <w:rFonts w:hint="eastAsia" w:cs="仿宋" w:asciiTheme="minorEastAsia" w:hAnsiTheme="minorEastAsia"/>
          <w:kern w:val="0"/>
          <w:sz w:val="24"/>
          <w:szCs w:val="24"/>
          <w:lang w:val="zh-CN"/>
        </w:rPr>
      </w:pPr>
      <w:bookmarkStart w:id="207" w:name="_Toc113218563"/>
      <w:bookmarkStart w:id="208" w:name="_Toc113218419"/>
      <w:bookmarkStart w:id="209" w:name="_Toc113218515"/>
      <w:bookmarkStart w:id="210" w:name="_Toc113218467"/>
      <w:r>
        <w:rPr>
          <w:rFonts w:hint="eastAsia" w:cs="仿宋" w:asciiTheme="minorEastAsia" w:hAnsiTheme="minorEastAsia"/>
          <w:kern w:val="0"/>
          <w:sz w:val="24"/>
          <w:szCs w:val="24"/>
          <w:lang w:val="zh-CN"/>
        </w:rPr>
        <w:t>五、乙方提交的服务应符合报价文件中所记载的详细要求。</w:t>
      </w:r>
      <w:bookmarkEnd w:id="207"/>
      <w:bookmarkEnd w:id="208"/>
      <w:bookmarkEnd w:id="209"/>
      <w:bookmarkEnd w:id="210"/>
    </w:p>
    <w:p w14:paraId="2E8EF364">
      <w:pPr>
        <w:autoSpaceDE w:val="0"/>
        <w:autoSpaceDN w:val="0"/>
        <w:spacing w:line="360" w:lineRule="auto"/>
        <w:ind w:firstLine="480" w:firstLineChars="200"/>
        <w:jc w:val="left"/>
        <w:rPr>
          <w:rFonts w:hint="default" w:cs="仿宋" w:asciiTheme="minorEastAsia" w:hAnsiTheme="minorEastAsia" w:eastAsiaTheme="minorEastAsia"/>
          <w:kern w:val="0"/>
          <w:sz w:val="24"/>
          <w:szCs w:val="24"/>
          <w:highlight w:val="none"/>
          <w:lang w:val="en-US" w:eastAsia="zh-CN"/>
        </w:rPr>
      </w:pPr>
      <w:bookmarkStart w:id="211" w:name="_Toc113218468"/>
      <w:bookmarkStart w:id="212" w:name="_Toc113218564"/>
      <w:bookmarkStart w:id="213" w:name="_Toc113218516"/>
      <w:bookmarkStart w:id="214" w:name="_Toc113218420"/>
      <w:r>
        <w:rPr>
          <w:rFonts w:hint="eastAsia" w:cs="仿宋" w:asciiTheme="minorEastAsia" w:hAnsiTheme="minorEastAsia"/>
          <w:kern w:val="0"/>
          <w:sz w:val="24"/>
          <w:szCs w:val="24"/>
          <w:highlight w:val="none"/>
          <w:lang w:val="en-US" w:eastAsia="zh-CN"/>
        </w:rPr>
        <w:t>六、合同价格形式：</w:t>
      </w:r>
      <w:r>
        <w:rPr>
          <w:rFonts w:hint="eastAsia" w:cs="仿宋" w:asciiTheme="minorEastAsia" w:hAnsiTheme="minorEastAsia"/>
          <w:kern w:val="0"/>
          <w:sz w:val="24"/>
          <w:szCs w:val="24"/>
          <w:highlight w:val="none"/>
          <w:u w:val="single"/>
          <w:lang w:val="en-US" w:eastAsia="zh-CN"/>
        </w:rPr>
        <w:t xml:space="preserve"> </w:t>
      </w:r>
      <w:r>
        <w:rPr>
          <w:rFonts w:hint="eastAsia" w:cs="仿宋" w:asciiTheme="minorEastAsia" w:hAnsiTheme="minorEastAsia"/>
          <w:kern w:val="0"/>
          <w:sz w:val="24"/>
          <w:szCs w:val="24"/>
          <w:highlight w:val="none"/>
          <w:u w:val="single"/>
          <w:lang w:val="en-US" w:eastAsia="zh-CN"/>
        </w:rPr>
        <w:sym w:font="Wingdings" w:char="00FE"/>
      </w:r>
      <w:r>
        <w:rPr>
          <w:rFonts w:hint="eastAsia" w:cs="仿宋" w:asciiTheme="minorEastAsia" w:hAnsiTheme="minorEastAsia"/>
          <w:kern w:val="0"/>
          <w:sz w:val="24"/>
          <w:szCs w:val="24"/>
          <w:highlight w:val="none"/>
          <w:u w:val="single"/>
          <w:lang w:val="en-US" w:eastAsia="zh-CN"/>
        </w:rPr>
        <w:t xml:space="preserve">总价合同 </w:t>
      </w:r>
      <w:r>
        <w:rPr>
          <w:rFonts w:hint="eastAsia" w:cs="仿宋" w:asciiTheme="minorEastAsia" w:hAnsiTheme="minorEastAsia"/>
          <w:kern w:val="0"/>
          <w:sz w:val="24"/>
          <w:szCs w:val="24"/>
          <w:highlight w:val="none"/>
          <w:u w:val="single"/>
          <w:lang w:val="en-US" w:eastAsia="zh-CN"/>
        </w:rPr>
        <w:sym w:font="Wingdings" w:char="00A8"/>
      </w:r>
      <w:r>
        <w:rPr>
          <w:rFonts w:hint="eastAsia" w:cs="仿宋" w:asciiTheme="minorEastAsia" w:hAnsiTheme="minorEastAsia"/>
          <w:kern w:val="0"/>
          <w:sz w:val="24"/>
          <w:szCs w:val="24"/>
          <w:highlight w:val="none"/>
          <w:u w:val="single"/>
          <w:lang w:val="en-US" w:eastAsia="zh-CN"/>
        </w:rPr>
        <w:t xml:space="preserve">单价合同           </w:t>
      </w:r>
    </w:p>
    <w:p w14:paraId="1207B3F0">
      <w:pPr>
        <w:autoSpaceDE w:val="0"/>
        <w:autoSpaceDN w:val="0"/>
        <w:spacing w:line="360" w:lineRule="auto"/>
        <w:ind w:firstLine="480" w:firstLineChars="200"/>
        <w:jc w:val="left"/>
        <w:rPr>
          <w:rFonts w:hint="eastAsia" w:cs="仿宋" w:asciiTheme="minorEastAsia" w:hAnsiTheme="minorEastAsia"/>
          <w:kern w:val="0"/>
          <w:sz w:val="24"/>
          <w:szCs w:val="24"/>
          <w:lang w:val="zh-CN"/>
        </w:rPr>
      </w:pPr>
      <w:r>
        <w:rPr>
          <w:rFonts w:hint="eastAsia" w:cs="仿宋" w:asciiTheme="minorEastAsia" w:hAnsiTheme="minorEastAsia"/>
          <w:kern w:val="0"/>
          <w:sz w:val="24"/>
          <w:szCs w:val="24"/>
          <w:lang w:val="en-US" w:eastAsia="zh-CN"/>
        </w:rPr>
        <w:t>七</w:t>
      </w:r>
      <w:r>
        <w:rPr>
          <w:rFonts w:hint="eastAsia" w:cs="仿宋" w:asciiTheme="minorEastAsia" w:hAnsiTheme="minorEastAsia"/>
          <w:kern w:val="0"/>
          <w:sz w:val="24"/>
          <w:szCs w:val="24"/>
          <w:lang w:val="zh-CN"/>
        </w:rPr>
        <w:t>、合同总金额：大写:</w:t>
      </w:r>
      <w:r>
        <w:rPr>
          <w:rFonts w:hint="eastAsia" w:cs="仿宋" w:asciiTheme="minorEastAsia" w:hAnsiTheme="minorEastAsia"/>
          <w:kern w:val="0"/>
          <w:sz w:val="24"/>
          <w:szCs w:val="24"/>
          <w:u w:val="single"/>
          <w:lang w:val="zh-CN"/>
        </w:rPr>
        <w:t xml:space="preserve"> </w:t>
      </w:r>
      <w:r>
        <w:rPr>
          <w:rFonts w:hint="eastAsia" w:cs="仿宋" w:asciiTheme="minorEastAsia" w:hAnsiTheme="minorEastAsia"/>
          <w:kern w:val="0"/>
          <w:sz w:val="24"/>
          <w:szCs w:val="24"/>
          <w:u w:val="single"/>
          <w:lang w:val="en-US" w:eastAsia="zh-CN"/>
        </w:rPr>
        <w:t xml:space="preserve">      </w:t>
      </w:r>
      <w:r>
        <w:rPr>
          <w:rFonts w:hint="eastAsia" w:cs="仿宋" w:asciiTheme="minorEastAsia" w:hAnsiTheme="minorEastAsia"/>
          <w:kern w:val="0"/>
          <w:sz w:val="24"/>
          <w:szCs w:val="24"/>
          <w:lang w:val="zh-CN"/>
        </w:rPr>
        <w:t>；小写：</w:t>
      </w:r>
      <w:r>
        <w:rPr>
          <w:rFonts w:hint="eastAsia" w:cs="仿宋" w:asciiTheme="minorEastAsia" w:hAnsiTheme="minorEastAsia"/>
          <w:kern w:val="0"/>
          <w:sz w:val="24"/>
          <w:szCs w:val="24"/>
          <w:u w:val="single"/>
          <w:lang w:val="en-US" w:eastAsia="zh-CN"/>
        </w:rPr>
        <w:t xml:space="preserve">       </w:t>
      </w:r>
      <w:r>
        <w:rPr>
          <w:rFonts w:hint="eastAsia" w:cs="仿宋" w:asciiTheme="minorEastAsia" w:hAnsiTheme="minorEastAsia"/>
          <w:kern w:val="0"/>
          <w:sz w:val="24"/>
          <w:szCs w:val="24"/>
          <w:lang w:val="zh-CN"/>
        </w:rPr>
        <w:t xml:space="preserve"> ；</w:t>
      </w:r>
      <w:bookmarkEnd w:id="211"/>
      <w:bookmarkEnd w:id="212"/>
      <w:bookmarkEnd w:id="213"/>
      <w:bookmarkEnd w:id="214"/>
      <w:r>
        <w:rPr>
          <w:rFonts w:hint="eastAsia" w:cs="仿宋" w:asciiTheme="minorEastAsia" w:hAnsiTheme="minorEastAsia"/>
          <w:kern w:val="0"/>
          <w:sz w:val="24"/>
          <w:szCs w:val="24"/>
          <w:lang w:val="zh-CN"/>
        </w:rPr>
        <w:t xml:space="preserve"> </w:t>
      </w:r>
    </w:p>
    <w:p w14:paraId="30B11707">
      <w:pPr>
        <w:autoSpaceDE w:val="0"/>
        <w:autoSpaceDN w:val="0"/>
        <w:spacing w:line="360" w:lineRule="auto"/>
        <w:ind w:firstLine="480" w:firstLineChars="200"/>
        <w:jc w:val="left"/>
        <w:rPr>
          <w:rFonts w:hint="eastAsia" w:cs="仿宋" w:asciiTheme="minorEastAsia" w:hAnsiTheme="minorEastAsia"/>
          <w:kern w:val="0"/>
          <w:sz w:val="24"/>
          <w:szCs w:val="24"/>
          <w:lang w:val="zh-CN"/>
        </w:rPr>
      </w:pPr>
      <w:bookmarkStart w:id="215" w:name="_Toc113218517"/>
      <w:bookmarkStart w:id="216" w:name="_Toc113218565"/>
      <w:bookmarkStart w:id="217" w:name="_Toc113218421"/>
      <w:bookmarkStart w:id="218" w:name="_Toc113218469"/>
      <w:r>
        <w:rPr>
          <w:rFonts w:hint="eastAsia" w:cs="仿宋" w:asciiTheme="minorEastAsia" w:hAnsiTheme="minorEastAsia"/>
          <w:kern w:val="0"/>
          <w:sz w:val="24"/>
          <w:szCs w:val="24"/>
          <w:lang w:val="en-US" w:eastAsia="zh-CN"/>
        </w:rPr>
        <w:t>八</w:t>
      </w:r>
      <w:r>
        <w:rPr>
          <w:rFonts w:hint="eastAsia" w:cs="仿宋" w:asciiTheme="minorEastAsia" w:hAnsiTheme="minorEastAsia"/>
          <w:kern w:val="0"/>
          <w:sz w:val="24"/>
          <w:szCs w:val="24"/>
          <w:lang w:val="zh-CN"/>
        </w:rPr>
        <w:t>、第一阶段：资料收集、踏勘调研完成后支付编制费总额的</w:t>
      </w:r>
      <w:r>
        <w:rPr>
          <w:rFonts w:hint="eastAsia" w:cs="仿宋" w:asciiTheme="minorEastAsia" w:hAnsiTheme="minorEastAsia"/>
          <w:kern w:val="0"/>
          <w:sz w:val="24"/>
          <w:szCs w:val="24"/>
          <w:u w:val="single"/>
          <w:lang w:val="zh-CN"/>
        </w:rPr>
        <w:t xml:space="preserve">  </w:t>
      </w:r>
      <w:r>
        <w:rPr>
          <w:rFonts w:hint="eastAsia" w:cs="仿宋" w:asciiTheme="minorEastAsia" w:hAnsiTheme="minorEastAsia"/>
          <w:kern w:val="0"/>
          <w:sz w:val="24"/>
          <w:szCs w:val="24"/>
          <w:u w:val="single"/>
          <w:lang w:val="en-US" w:eastAsia="zh-CN"/>
        </w:rPr>
        <w:t xml:space="preserve"> </w:t>
      </w:r>
      <w:r>
        <w:rPr>
          <w:rFonts w:hint="eastAsia" w:cs="仿宋" w:asciiTheme="minorEastAsia" w:hAnsiTheme="minorEastAsia"/>
          <w:kern w:val="0"/>
          <w:sz w:val="24"/>
          <w:szCs w:val="24"/>
          <w:u w:val="single"/>
          <w:lang w:val="zh-CN"/>
        </w:rPr>
        <w:t xml:space="preserve"> </w:t>
      </w:r>
      <w:r>
        <w:rPr>
          <w:rFonts w:hint="eastAsia" w:cs="仿宋" w:asciiTheme="minorEastAsia" w:hAnsiTheme="minorEastAsia"/>
          <w:kern w:val="0"/>
          <w:sz w:val="24"/>
          <w:szCs w:val="24"/>
          <w:lang w:val="zh-CN"/>
        </w:rPr>
        <w:t>％； 第二阶段：国土空间规划初步方案完成后支付到编制费总额的</w:t>
      </w:r>
      <w:r>
        <w:rPr>
          <w:rFonts w:hint="eastAsia" w:cs="仿宋" w:asciiTheme="minorEastAsia" w:hAnsiTheme="minorEastAsia"/>
          <w:kern w:val="0"/>
          <w:sz w:val="24"/>
          <w:szCs w:val="24"/>
          <w:u w:val="single"/>
          <w:lang w:val="zh-CN"/>
        </w:rPr>
        <w:t xml:space="preserve">  </w:t>
      </w:r>
      <w:r>
        <w:rPr>
          <w:rFonts w:hint="eastAsia" w:cs="仿宋" w:asciiTheme="minorEastAsia" w:hAnsiTheme="minorEastAsia"/>
          <w:kern w:val="0"/>
          <w:sz w:val="24"/>
          <w:szCs w:val="24"/>
          <w:u w:val="single"/>
          <w:lang w:val="en-US" w:eastAsia="zh-CN"/>
        </w:rPr>
        <w:t xml:space="preserve">  </w:t>
      </w:r>
      <w:r>
        <w:rPr>
          <w:rFonts w:hint="eastAsia" w:cs="仿宋" w:asciiTheme="minorEastAsia" w:hAnsiTheme="minorEastAsia"/>
          <w:kern w:val="0"/>
          <w:sz w:val="24"/>
          <w:szCs w:val="24"/>
          <w:lang w:val="zh-CN"/>
        </w:rPr>
        <w:t>％； 第三阶段：项目评审完成后支付到编制费总额的</w:t>
      </w:r>
      <w:r>
        <w:rPr>
          <w:rFonts w:hint="eastAsia" w:cs="仿宋" w:asciiTheme="minorEastAsia" w:hAnsiTheme="minorEastAsia"/>
          <w:kern w:val="0"/>
          <w:sz w:val="24"/>
          <w:szCs w:val="24"/>
          <w:u w:val="single"/>
          <w:lang w:val="zh-CN"/>
        </w:rPr>
        <w:t xml:space="preserve">  </w:t>
      </w:r>
      <w:r>
        <w:rPr>
          <w:rFonts w:hint="eastAsia" w:cs="仿宋" w:asciiTheme="minorEastAsia" w:hAnsiTheme="minorEastAsia"/>
          <w:kern w:val="0"/>
          <w:sz w:val="24"/>
          <w:szCs w:val="24"/>
          <w:u w:val="single"/>
          <w:lang w:val="en-US" w:eastAsia="zh-CN"/>
        </w:rPr>
        <w:t xml:space="preserve">  </w:t>
      </w:r>
      <w:r>
        <w:rPr>
          <w:rFonts w:hint="eastAsia" w:cs="仿宋" w:asciiTheme="minorEastAsia" w:hAnsiTheme="minorEastAsia"/>
          <w:kern w:val="0"/>
          <w:sz w:val="24"/>
          <w:szCs w:val="24"/>
          <w:lang w:val="zh-CN"/>
        </w:rPr>
        <w:t>％；第四阶段：提交最终成果通过验收后支付到编制费的</w:t>
      </w:r>
      <w:r>
        <w:rPr>
          <w:rFonts w:hint="eastAsia" w:cs="仿宋" w:asciiTheme="minorEastAsia" w:hAnsiTheme="minorEastAsia"/>
          <w:kern w:val="0"/>
          <w:sz w:val="24"/>
          <w:szCs w:val="24"/>
          <w:u w:val="single"/>
          <w:lang w:val="zh-CN"/>
        </w:rPr>
        <w:t xml:space="preserve">   </w:t>
      </w:r>
      <w:r>
        <w:rPr>
          <w:rFonts w:hint="eastAsia" w:cs="仿宋" w:asciiTheme="minorEastAsia" w:hAnsiTheme="minorEastAsia"/>
          <w:kern w:val="0"/>
          <w:sz w:val="24"/>
          <w:szCs w:val="24"/>
          <w:u w:val="single"/>
          <w:lang w:val="en-US" w:eastAsia="zh-CN"/>
        </w:rPr>
        <w:t xml:space="preserve"> </w:t>
      </w:r>
      <w:r>
        <w:rPr>
          <w:rFonts w:hint="eastAsia" w:cs="仿宋" w:asciiTheme="minorEastAsia" w:hAnsiTheme="minorEastAsia"/>
          <w:kern w:val="0"/>
          <w:sz w:val="24"/>
          <w:szCs w:val="24"/>
          <w:lang w:val="zh-CN"/>
        </w:rPr>
        <w:t>%。</w:t>
      </w:r>
      <w:bookmarkEnd w:id="215"/>
      <w:bookmarkEnd w:id="216"/>
      <w:bookmarkEnd w:id="217"/>
      <w:bookmarkEnd w:id="218"/>
    </w:p>
    <w:p w14:paraId="121FC749">
      <w:pPr>
        <w:autoSpaceDE w:val="0"/>
        <w:autoSpaceDN w:val="0"/>
        <w:spacing w:line="360" w:lineRule="auto"/>
        <w:ind w:firstLine="480" w:firstLineChars="200"/>
        <w:jc w:val="left"/>
        <w:rPr>
          <w:rFonts w:hint="eastAsia" w:cs="仿宋" w:asciiTheme="minorEastAsia" w:hAnsiTheme="minorEastAsia"/>
          <w:kern w:val="0"/>
          <w:sz w:val="24"/>
          <w:szCs w:val="24"/>
          <w:lang w:val="zh-CN"/>
        </w:rPr>
      </w:pPr>
      <w:bookmarkStart w:id="219" w:name="_Toc113218470"/>
      <w:bookmarkStart w:id="220" w:name="_Toc113218566"/>
      <w:bookmarkStart w:id="221" w:name="_Toc113218422"/>
      <w:bookmarkStart w:id="222" w:name="_Toc113218518"/>
      <w:r>
        <w:rPr>
          <w:rFonts w:hint="eastAsia" w:cs="仿宋" w:asciiTheme="minorEastAsia" w:hAnsiTheme="minorEastAsia"/>
          <w:kern w:val="0"/>
          <w:sz w:val="24"/>
          <w:szCs w:val="24"/>
          <w:lang w:val="en-US" w:eastAsia="zh-CN"/>
        </w:rPr>
        <w:t>九</w:t>
      </w:r>
      <w:r>
        <w:rPr>
          <w:rFonts w:hint="eastAsia" w:cs="仿宋" w:asciiTheme="minorEastAsia" w:hAnsiTheme="minorEastAsia"/>
          <w:kern w:val="0"/>
          <w:sz w:val="24"/>
          <w:szCs w:val="24"/>
          <w:lang w:val="zh-CN"/>
        </w:rPr>
        <w:t>、进场时间：</w:t>
      </w:r>
      <w:r>
        <w:rPr>
          <w:rFonts w:hint="eastAsia" w:cs="仿宋" w:asciiTheme="minorEastAsia" w:hAnsiTheme="minorEastAsia"/>
          <w:kern w:val="0"/>
          <w:sz w:val="24"/>
          <w:szCs w:val="24"/>
          <w:u w:val="single"/>
          <w:lang w:val="en-US" w:eastAsia="zh-CN"/>
        </w:rPr>
        <w:t xml:space="preserve">                  </w:t>
      </w:r>
      <w:r>
        <w:rPr>
          <w:rFonts w:hint="eastAsia" w:cs="仿宋" w:asciiTheme="minorEastAsia" w:hAnsiTheme="minorEastAsia"/>
          <w:kern w:val="0"/>
          <w:sz w:val="24"/>
          <w:szCs w:val="24"/>
          <w:lang w:val="zh-CN"/>
        </w:rPr>
        <w:t xml:space="preserve"> ；</w:t>
      </w:r>
      <w:bookmarkEnd w:id="219"/>
      <w:bookmarkEnd w:id="220"/>
      <w:bookmarkEnd w:id="221"/>
      <w:bookmarkEnd w:id="222"/>
      <w:r>
        <w:rPr>
          <w:rFonts w:hint="eastAsia" w:cs="仿宋" w:asciiTheme="minorEastAsia" w:hAnsiTheme="minorEastAsia"/>
          <w:kern w:val="0"/>
          <w:sz w:val="24"/>
          <w:szCs w:val="24"/>
          <w:lang w:val="zh-CN"/>
        </w:rPr>
        <w:t xml:space="preserve"> </w:t>
      </w:r>
    </w:p>
    <w:p w14:paraId="498EAF53">
      <w:pPr>
        <w:autoSpaceDE w:val="0"/>
        <w:autoSpaceDN w:val="0"/>
        <w:spacing w:line="360" w:lineRule="auto"/>
        <w:ind w:firstLine="480" w:firstLineChars="200"/>
        <w:jc w:val="left"/>
        <w:rPr>
          <w:rFonts w:hint="eastAsia" w:cs="仿宋" w:asciiTheme="minorEastAsia" w:hAnsiTheme="minorEastAsia"/>
          <w:kern w:val="0"/>
          <w:sz w:val="24"/>
          <w:szCs w:val="24"/>
          <w:lang w:val="zh-CN"/>
        </w:rPr>
      </w:pPr>
      <w:bookmarkStart w:id="223" w:name="_Toc113218567"/>
      <w:bookmarkStart w:id="224" w:name="_Toc113218423"/>
      <w:bookmarkStart w:id="225" w:name="_Toc113218471"/>
      <w:bookmarkStart w:id="226" w:name="_Toc113218519"/>
      <w:r>
        <w:rPr>
          <w:rFonts w:hint="eastAsia" w:cs="仿宋" w:asciiTheme="minorEastAsia" w:hAnsiTheme="minorEastAsia"/>
          <w:kern w:val="0"/>
          <w:sz w:val="24"/>
          <w:szCs w:val="24"/>
          <w:lang w:val="en-US" w:eastAsia="zh-CN"/>
        </w:rPr>
        <w:t>十</w:t>
      </w:r>
      <w:r>
        <w:rPr>
          <w:rFonts w:hint="eastAsia" w:cs="仿宋" w:asciiTheme="minorEastAsia" w:hAnsiTheme="minorEastAsia"/>
          <w:kern w:val="0"/>
          <w:sz w:val="24"/>
          <w:szCs w:val="24"/>
          <w:lang w:val="zh-CN"/>
        </w:rPr>
        <w:t>、合同的生效</w:t>
      </w:r>
    </w:p>
    <w:p w14:paraId="4B51C30D">
      <w:pPr>
        <w:autoSpaceDE w:val="0"/>
        <w:autoSpaceDN w:val="0"/>
        <w:spacing w:line="360" w:lineRule="auto"/>
        <w:ind w:firstLine="480" w:firstLineChars="200"/>
        <w:jc w:val="left"/>
        <w:rPr>
          <w:rFonts w:hint="eastAsia" w:cs="仿宋" w:asciiTheme="minorEastAsia" w:hAnsiTheme="minorEastAsia"/>
          <w:kern w:val="0"/>
          <w:sz w:val="24"/>
          <w:szCs w:val="24"/>
          <w:lang w:val="zh-CN"/>
        </w:rPr>
      </w:pPr>
      <w:r>
        <w:rPr>
          <w:rFonts w:hint="eastAsia" w:cs="仿宋" w:asciiTheme="minorEastAsia" w:hAnsiTheme="minorEastAsia"/>
          <w:kern w:val="0"/>
          <w:sz w:val="24"/>
          <w:szCs w:val="24"/>
          <w:lang w:val="zh-CN"/>
        </w:rPr>
        <w:t>本合同在甲乙双方授权代表签章后生效。</w:t>
      </w:r>
      <w:bookmarkEnd w:id="223"/>
      <w:bookmarkEnd w:id="224"/>
      <w:bookmarkEnd w:id="225"/>
      <w:bookmarkEnd w:id="226"/>
    </w:p>
    <w:p w14:paraId="42FB24C8">
      <w:pPr>
        <w:numPr>
          <w:ilvl w:val="0"/>
          <w:numId w:val="0"/>
        </w:numPr>
        <w:autoSpaceDE w:val="0"/>
        <w:autoSpaceDN w:val="0"/>
        <w:spacing w:line="360" w:lineRule="auto"/>
        <w:ind w:firstLine="480" w:firstLineChars="200"/>
        <w:jc w:val="left"/>
        <w:rPr>
          <w:rFonts w:hint="eastAsia" w:cs="仿宋" w:asciiTheme="minorEastAsia" w:hAnsiTheme="minorEastAsia"/>
          <w:kern w:val="0"/>
          <w:sz w:val="24"/>
          <w:szCs w:val="24"/>
          <w:lang w:val="zh-CN"/>
        </w:rPr>
      </w:pPr>
      <w:bookmarkStart w:id="227" w:name="_Toc113218568"/>
      <w:bookmarkStart w:id="228" w:name="_Toc113218520"/>
      <w:bookmarkStart w:id="229" w:name="_Toc113218472"/>
      <w:bookmarkStart w:id="230" w:name="_Toc113218424"/>
      <w:r>
        <w:rPr>
          <w:rFonts w:hint="eastAsia" w:cs="仿宋" w:asciiTheme="minorEastAsia" w:hAnsiTheme="minorEastAsia"/>
          <w:kern w:val="0"/>
          <w:sz w:val="24"/>
          <w:szCs w:val="24"/>
          <w:lang w:val="en-US" w:eastAsia="zh-CN"/>
        </w:rPr>
        <w:t>十一、</w:t>
      </w:r>
      <w:r>
        <w:rPr>
          <w:rFonts w:hint="eastAsia" w:cs="仿宋" w:asciiTheme="minorEastAsia" w:hAnsiTheme="minorEastAsia"/>
          <w:kern w:val="0"/>
          <w:sz w:val="24"/>
          <w:szCs w:val="24"/>
          <w:lang w:val="zh-CN"/>
        </w:rPr>
        <w:t>双方的权利与义务</w:t>
      </w:r>
      <w:bookmarkEnd w:id="227"/>
      <w:bookmarkEnd w:id="228"/>
      <w:bookmarkEnd w:id="229"/>
      <w:bookmarkEnd w:id="230"/>
      <w:bookmarkStart w:id="231" w:name="_Toc113218425"/>
      <w:bookmarkStart w:id="232" w:name="_Toc113218521"/>
      <w:bookmarkStart w:id="233" w:name="_Toc113218473"/>
      <w:bookmarkStart w:id="234" w:name="_Toc113218569"/>
    </w:p>
    <w:p w14:paraId="7319920C">
      <w:pPr>
        <w:numPr>
          <w:ilvl w:val="0"/>
          <w:numId w:val="0"/>
        </w:numPr>
        <w:autoSpaceDE w:val="0"/>
        <w:autoSpaceDN w:val="0"/>
        <w:spacing w:line="360" w:lineRule="auto"/>
        <w:ind w:firstLine="480" w:firstLineChars="200"/>
        <w:jc w:val="left"/>
        <w:rPr>
          <w:rFonts w:hint="eastAsia" w:cs="仿宋" w:asciiTheme="minorEastAsia" w:hAnsiTheme="minorEastAsia"/>
          <w:kern w:val="0"/>
          <w:sz w:val="24"/>
          <w:szCs w:val="24"/>
          <w:lang w:val="zh-CN"/>
        </w:rPr>
      </w:pPr>
      <w:r>
        <w:rPr>
          <w:rFonts w:hint="eastAsia" w:cs="仿宋" w:asciiTheme="minorEastAsia" w:hAnsiTheme="minorEastAsia"/>
          <w:kern w:val="0"/>
          <w:sz w:val="24"/>
          <w:szCs w:val="24"/>
          <w:lang w:val="zh-CN"/>
        </w:rPr>
        <w:t>(一)、甲方权利义务：</w:t>
      </w:r>
      <w:r>
        <w:rPr>
          <w:rFonts w:hint="eastAsia" w:cs="仿宋" w:asciiTheme="minorEastAsia" w:hAnsiTheme="minorEastAsia"/>
          <w:kern w:val="0"/>
          <w:sz w:val="24"/>
          <w:szCs w:val="24"/>
          <w:u w:val="single"/>
          <w:lang w:val="en-US" w:eastAsia="zh-CN"/>
        </w:rPr>
        <w:t xml:space="preserve">             </w:t>
      </w:r>
      <w:r>
        <w:rPr>
          <w:rFonts w:hint="eastAsia" w:cs="仿宋" w:asciiTheme="minorEastAsia" w:hAnsiTheme="minorEastAsia"/>
          <w:kern w:val="0"/>
          <w:sz w:val="24"/>
          <w:szCs w:val="24"/>
          <w:lang w:val="zh-CN"/>
        </w:rPr>
        <w:t xml:space="preserve"> ；其他：</w:t>
      </w:r>
      <w:r>
        <w:rPr>
          <w:rFonts w:hint="eastAsia" w:cs="仿宋" w:asciiTheme="minorEastAsia" w:hAnsiTheme="minorEastAsia"/>
          <w:kern w:val="0"/>
          <w:sz w:val="24"/>
          <w:szCs w:val="24"/>
          <w:u w:val="single"/>
          <w:lang w:val="en-US" w:eastAsia="zh-CN"/>
        </w:rPr>
        <w:t xml:space="preserve">            </w:t>
      </w:r>
      <w:r>
        <w:rPr>
          <w:rFonts w:hint="eastAsia" w:cs="仿宋" w:asciiTheme="minorEastAsia" w:hAnsiTheme="minorEastAsia"/>
          <w:kern w:val="0"/>
          <w:sz w:val="24"/>
          <w:szCs w:val="24"/>
          <w:lang w:val="zh-CN"/>
        </w:rPr>
        <w:t xml:space="preserve"> 。</w:t>
      </w:r>
      <w:bookmarkEnd w:id="231"/>
      <w:bookmarkEnd w:id="232"/>
      <w:bookmarkEnd w:id="233"/>
      <w:bookmarkEnd w:id="234"/>
      <w:r>
        <w:rPr>
          <w:rFonts w:hint="eastAsia" w:cs="仿宋" w:asciiTheme="minorEastAsia" w:hAnsiTheme="minorEastAsia"/>
          <w:kern w:val="0"/>
          <w:sz w:val="24"/>
          <w:szCs w:val="24"/>
          <w:lang w:val="zh-CN"/>
        </w:rPr>
        <w:t xml:space="preserve"> </w:t>
      </w:r>
    </w:p>
    <w:p w14:paraId="32FF50F4">
      <w:pPr>
        <w:autoSpaceDE w:val="0"/>
        <w:autoSpaceDN w:val="0"/>
        <w:spacing w:line="360" w:lineRule="auto"/>
        <w:ind w:firstLine="480" w:firstLineChars="200"/>
        <w:jc w:val="left"/>
        <w:rPr>
          <w:rFonts w:hint="eastAsia" w:cs="仿宋" w:asciiTheme="minorEastAsia" w:hAnsiTheme="minorEastAsia"/>
          <w:kern w:val="0"/>
          <w:sz w:val="24"/>
          <w:szCs w:val="24"/>
          <w:lang w:val="zh-CN"/>
        </w:rPr>
      </w:pPr>
      <w:bookmarkStart w:id="235" w:name="_Toc113218426"/>
      <w:bookmarkStart w:id="236" w:name="_Toc113218570"/>
      <w:bookmarkStart w:id="237" w:name="_Toc113218522"/>
      <w:bookmarkStart w:id="238" w:name="_Toc113218474"/>
      <w:r>
        <w:rPr>
          <w:rFonts w:hint="eastAsia" w:cs="仿宋" w:asciiTheme="minorEastAsia" w:hAnsiTheme="minorEastAsia"/>
          <w:kern w:val="0"/>
          <w:sz w:val="24"/>
          <w:szCs w:val="24"/>
          <w:lang w:val="zh-CN"/>
        </w:rPr>
        <w:t>(二)、乙方权利义务：</w:t>
      </w:r>
      <w:r>
        <w:rPr>
          <w:rFonts w:hint="eastAsia" w:cs="仿宋" w:asciiTheme="minorEastAsia" w:hAnsiTheme="minorEastAsia"/>
          <w:kern w:val="0"/>
          <w:sz w:val="24"/>
          <w:szCs w:val="24"/>
          <w:u w:val="single"/>
          <w:lang w:val="en-US" w:eastAsia="zh-CN"/>
        </w:rPr>
        <w:t xml:space="preserve">            </w:t>
      </w:r>
      <w:r>
        <w:rPr>
          <w:rFonts w:hint="eastAsia" w:cs="仿宋" w:asciiTheme="minorEastAsia" w:hAnsiTheme="minorEastAsia"/>
          <w:kern w:val="0"/>
          <w:sz w:val="24"/>
          <w:szCs w:val="24"/>
          <w:lang w:val="zh-CN"/>
        </w:rPr>
        <w:t xml:space="preserve"> ；其他：</w:t>
      </w:r>
      <w:r>
        <w:rPr>
          <w:rFonts w:hint="eastAsia" w:cs="仿宋" w:asciiTheme="minorEastAsia" w:hAnsiTheme="minorEastAsia"/>
          <w:kern w:val="0"/>
          <w:sz w:val="24"/>
          <w:szCs w:val="24"/>
          <w:u w:val="single"/>
          <w:lang w:val="en-US" w:eastAsia="zh-CN"/>
        </w:rPr>
        <w:t xml:space="preserve">             </w:t>
      </w:r>
      <w:r>
        <w:rPr>
          <w:rFonts w:hint="eastAsia" w:cs="仿宋" w:asciiTheme="minorEastAsia" w:hAnsiTheme="minorEastAsia"/>
          <w:kern w:val="0"/>
          <w:sz w:val="24"/>
          <w:szCs w:val="24"/>
          <w:lang w:val="zh-CN"/>
        </w:rPr>
        <w:t>。</w:t>
      </w:r>
      <w:bookmarkEnd w:id="235"/>
      <w:bookmarkEnd w:id="236"/>
      <w:bookmarkEnd w:id="237"/>
      <w:bookmarkEnd w:id="238"/>
      <w:r>
        <w:rPr>
          <w:rFonts w:hint="eastAsia" w:cs="仿宋" w:asciiTheme="minorEastAsia" w:hAnsiTheme="minorEastAsia"/>
          <w:kern w:val="0"/>
          <w:sz w:val="24"/>
          <w:szCs w:val="24"/>
          <w:lang w:val="zh-CN"/>
        </w:rPr>
        <w:t xml:space="preserve"> </w:t>
      </w:r>
    </w:p>
    <w:p w14:paraId="70E5114C">
      <w:pPr>
        <w:autoSpaceDE w:val="0"/>
        <w:autoSpaceDN w:val="0"/>
        <w:spacing w:line="360" w:lineRule="auto"/>
        <w:ind w:firstLine="480" w:firstLineChars="200"/>
        <w:jc w:val="left"/>
        <w:rPr>
          <w:rFonts w:hint="eastAsia" w:cs="仿宋" w:asciiTheme="minorEastAsia" w:hAnsiTheme="minorEastAsia"/>
          <w:kern w:val="0"/>
          <w:sz w:val="24"/>
          <w:szCs w:val="24"/>
          <w:lang w:val="zh-CN"/>
        </w:rPr>
      </w:pPr>
      <w:bookmarkStart w:id="239" w:name="_Toc113218475"/>
      <w:bookmarkStart w:id="240" w:name="_Toc113218523"/>
      <w:bookmarkStart w:id="241" w:name="_Toc113218427"/>
      <w:bookmarkStart w:id="242" w:name="_Toc113218571"/>
      <w:r>
        <w:rPr>
          <w:rFonts w:hint="eastAsia" w:cs="仿宋" w:asciiTheme="minorEastAsia" w:hAnsiTheme="minorEastAsia"/>
          <w:kern w:val="0"/>
          <w:sz w:val="24"/>
          <w:szCs w:val="24"/>
          <w:lang w:val="zh-CN"/>
        </w:rPr>
        <w:t>十</w:t>
      </w:r>
      <w:r>
        <w:rPr>
          <w:rFonts w:hint="eastAsia" w:cs="仿宋" w:asciiTheme="minorEastAsia" w:hAnsiTheme="minorEastAsia"/>
          <w:kern w:val="0"/>
          <w:sz w:val="24"/>
          <w:szCs w:val="24"/>
          <w:lang w:val="en-US" w:eastAsia="zh-CN"/>
        </w:rPr>
        <w:t>二</w:t>
      </w:r>
      <w:r>
        <w:rPr>
          <w:rFonts w:hint="eastAsia" w:cs="仿宋" w:asciiTheme="minorEastAsia" w:hAnsiTheme="minorEastAsia"/>
          <w:kern w:val="0"/>
          <w:sz w:val="24"/>
          <w:szCs w:val="24"/>
          <w:lang w:val="zh-CN"/>
        </w:rPr>
        <w:t>、违约责任</w:t>
      </w:r>
      <w:bookmarkEnd w:id="239"/>
      <w:bookmarkEnd w:id="240"/>
      <w:bookmarkEnd w:id="241"/>
      <w:bookmarkEnd w:id="242"/>
      <w:r>
        <w:rPr>
          <w:rFonts w:hint="eastAsia" w:cs="仿宋" w:asciiTheme="minorEastAsia" w:hAnsiTheme="minorEastAsia"/>
          <w:kern w:val="0"/>
          <w:sz w:val="24"/>
          <w:szCs w:val="24"/>
          <w:lang w:val="zh-CN"/>
        </w:rPr>
        <w:t xml:space="preserve"> </w:t>
      </w:r>
    </w:p>
    <w:p w14:paraId="20D0E723">
      <w:pPr>
        <w:autoSpaceDE w:val="0"/>
        <w:autoSpaceDN w:val="0"/>
        <w:spacing w:line="360" w:lineRule="auto"/>
        <w:ind w:firstLine="480" w:firstLineChars="200"/>
        <w:jc w:val="left"/>
        <w:rPr>
          <w:rFonts w:hint="eastAsia" w:cs="仿宋" w:asciiTheme="minorEastAsia" w:hAnsiTheme="minorEastAsia"/>
          <w:kern w:val="0"/>
          <w:sz w:val="24"/>
          <w:szCs w:val="24"/>
          <w:lang w:val="zh-CN"/>
        </w:rPr>
      </w:pPr>
      <w:bookmarkStart w:id="243" w:name="_Toc113218572"/>
      <w:bookmarkStart w:id="244" w:name="_Toc113218476"/>
      <w:bookmarkStart w:id="245" w:name="_Toc113218428"/>
      <w:bookmarkStart w:id="246" w:name="_Toc113218524"/>
      <w:r>
        <w:rPr>
          <w:rFonts w:hint="eastAsia" w:cs="仿宋" w:asciiTheme="minorEastAsia" w:hAnsiTheme="minorEastAsia"/>
          <w:kern w:val="0"/>
          <w:sz w:val="24"/>
          <w:szCs w:val="24"/>
          <w:lang w:val="zh-CN"/>
        </w:rPr>
        <w:t>（</w:t>
      </w:r>
      <w:r>
        <w:rPr>
          <w:rFonts w:hint="eastAsia" w:cs="仿宋" w:asciiTheme="minorEastAsia" w:hAnsiTheme="minorEastAsia"/>
          <w:kern w:val="0"/>
          <w:sz w:val="24"/>
          <w:szCs w:val="24"/>
          <w:lang w:val="en-US" w:eastAsia="zh-CN"/>
        </w:rPr>
        <w:t>1</w:t>
      </w:r>
      <w:r>
        <w:rPr>
          <w:rFonts w:hint="eastAsia" w:cs="仿宋" w:asciiTheme="minorEastAsia" w:hAnsiTheme="minorEastAsia"/>
          <w:kern w:val="0"/>
          <w:sz w:val="24"/>
          <w:szCs w:val="24"/>
          <w:lang w:val="zh-CN"/>
        </w:rPr>
        <w:t>）因甲方行为违约导致乙方未能完成管理服务内容，乙方有权要求甲方在一定期限内解决，逾 期不解决的，乙方有权终止合同。造成乙方经济损失的，甲方应给予乙方相应经济赔偿。</w:t>
      </w:r>
      <w:bookmarkEnd w:id="243"/>
      <w:bookmarkEnd w:id="244"/>
      <w:bookmarkEnd w:id="245"/>
      <w:bookmarkEnd w:id="246"/>
    </w:p>
    <w:p w14:paraId="1B438515">
      <w:pPr>
        <w:autoSpaceDE w:val="0"/>
        <w:autoSpaceDN w:val="0"/>
        <w:spacing w:line="360" w:lineRule="auto"/>
        <w:ind w:firstLine="480" w:firstLineChars="200"/>
        <w:jc w:val="left"/>
        <w:rPr>
          <w:rFonts w:hint="eastAsia" w:cs="仿宋" w:asciiTheme="minorEastAsia" w:hAnsiTheme="minorEastAsia"/>
          <w:kern w:val="0"/>
          <w:sz w:val="24"/>
          <w:szCs w:val="24"/>
          <w:lang w:val="zh-CN"/>
        </w:rPr>
      </w:pPr>
      <w:bookmarkStart w:id="247" w:name="_Toc113218477"/>
      <w:bookmarkStart w:id="248" w:name="_Toc113218573"/>
      <w:bookmarkStart w:id="249" w:name="_Toc113218525"/>
      <w:bookmarkStart w:id="250" w:name="_Toc113218429"/>
      <w:r>
        <w:rPr>
          <w:rFonts w:hint="eastAsia" w:cs="仿宋" w:asciiTheme="minorEastAsia" w:hAnsiTheme="minorEastAsia"/>
          <w:kern w:val="0"/>
          <w:sz w:val="24"/>
          <w:szCs w:val="24"/>
          <w:lang w:val="zh-CN"/>
        </w:rPr>
        <w:t>（</w:t>
      </w:r>
      <w:r>
        <w:rPr>
          <w:rFonts w:hint="eastAsia" w:cs="仿宋" w:asciiTheme="minorEastAsia" w:hAnsiTheme="minorEastAsia"/>
          <w:kern w:val="0"/>
          <w:sz w:val="24"/>
          <w:szCs w:val="24"/>
          <w:lang w:val="en-US" w:eastAsia="zh-CN"/>
        </w:rPr>
        <w:t>2</w:t>
      </w:r>
      <w:r>
        <w:rPr>
          <w:rFonts w:hint="eastAsia" w:cs="仿宋" w:asciiTheme="minorEastAsia" w:hAnsiTheme="minorEastAsia"/>
          <w:kern w:val="0"/>
          <w:sz w:val="24"/>
          <w:szCs w:val="24"/>
          <w:lang w:val="zh-CN"/>
        </w:rPr>
        <w:t>）乙方在履行合同过程中，存在由迟延履行、不适当履行、履行方法不当、履行地点不当等情 况给甲方造成损失的，甲方从价款中扣除，不足部分乙方必须一次性补齐。</w:t>
      </w:r>
      <w:bookmarkEnd w:id="247"/>
      <w:bookmarkEnd w:id="248"/>
      <w:bookmarkEnd w:id="249"/>
      <w:bookmarkEnd w:id="250"/>
    </w:p>
    <w:p w14:paraId="3566138F">
      <w:pPr>
        <w:autoSpaceDE w:val="0"/>
        <w:autoSpaceDN w:val="0"/>
        <w:spacing w:line="360" w:lineRule="auto"/>
        <w:ind w:firstLine="480" w:firstLineChars="200"/>
        <w:jc w:val="left"/>
        <w:rPr>
          <w:rFonts w:hint="eastAsia" w:cs="仿宋" w:asciiTheme="minorEastAsia" w:hAnsiTheme="minorEastAsia"/>
          <w:kern w:val="0"/>
          <w:sz w:val="24"/>
          <w:szCs w:val="24"/>
          <w:lang w:val="zh-CN"/>
        </w:rPr>
      </w:pPr>
      <w:bookmarkStart w:id="251" w:name="_Toc113218478"/>
      <w:bookmarkStart w:id="252" w:name="_Toc113218526"/>
      <w:bookmarkStart w:id="253" w:name="_Toc113218574"/>
      <w:bookmarkStart w:id="254" w:name="_Toc113218430"/>
      <w:r>
        <w:rPr>
          <w:rFonts w:hint="eastAsia" w:cs="仿宋" w:asciiTheme="minorEastAsia" w:hAnsiTheme="minorEastAsia"/>
          <w:kern w:val="0"/>
          <w:sz w:val="24"/>
          <w:szCs w:val="24"/>
          <w:lang w:val="zh-CN"/>
        </w:rPr>
        <w:t>（</w:t>
      </w:r>
      <w:r>
        <w:rPr>
          <w:rFonts w:hint="eastAsia" w:cs="仿宋" w:asciiTheme="minorEastAsia" w:hAnsiTheme="minorEastAsia"/>
          <w:kern w:val="0"/>
          <w:sz w:val="24"/>
          <w:szCs w:val="24"/>
          <w:lang w:val="en-US" w:eastAsia="zh-CN"/>
        </w:rPr>
        <w:t>3</w:t>
      </w:r>
      <w:r>
        <w:rPr>
          <w:rFonts w:hint="eastAsia" w:cs="仿宋" w:asciiTheme="minorEastAsia" w:hAnsiTheme="minorEastAsia"/>
          <w:kern w:val="0"/>
          <w:sz w:val="24"/>
          <w:szCs w:val="24"/>
          <w:lang w:val="zh-CN"/>
        </w:rPr>
        <w:t>）当事人一方违约后，对方应当采取适当措施防止损失的扩大；没有采取适当措施致使损失扩 大的，不得就扩大的损失要求赔偿;当事人因防止损失扩大支出的合理费用，由违约方承担。</w:t>
      </w:r>
      <w:bookmarkEnd w:id="251"/>
      <w:bookmarkEnd w:id="252"/>
      <w:bookmarkEnd w:id="253"/>
      <w:bookmarkEnd w:id="254"/>
    </w:p>
    <w:p w14:paraId="4835CD46">
      <w:pPr>
        <w:autoSpaceDE w:val="0"/>
        <w:autoSpaceDN w:val="0"/>
        <w:spacing w:line="360" w:lineRule="auto"/>
        <w:ind w:firstLine="480" w:firstLineChars="200"/>
        <w:jc w:val="left"/>
        <w:rPr>
          <w:rFonts w:hint="eastAsia" w:cs="仿宋" w:asciiTheme="minorEastAsia" w:hAnsiTheme="minorEastAsia"/>
          <w:kern w:val="0"/>
          <w:sz w:val="24"/>
          <w:szCs w:val="24"/>
          <w:lang w:val="zh-CN"/>
        </w:rPr>
      </w:pPr>
      <w:bookmarkStart w:id="255" w:name="_Toc113218527"/>
      <w:bookmarkStart w:id="256" w:name="_Toc113218431"/>
      <w:bookmarkStart w:id="257" w:name="_Toc113218479"/>
      <w:bookmarkStart w:id="258" w:name="_Toc113218575"/>
      <w:r>
        <w:rPr>
          <w:rFonts w:hint="eastAsia" w:cs="仿宋" w:asciiTheme="minorEastAsia" w:hAnsiTheme="minorEastAsia"/>
          <w:kern w:val="0"/>
          <w:sz w:val="24"/>
          <w:szCs w:val="24"/>
          <w:lang w:val="zh-CN"/>
        </w:rPr>
        <w:t>（</w:t>
      </w:r>
      <w:r>
        <w:rPr>
          <w:rFonts w:hint="eastAsia" w:cs="仿宋" w:asciiTheme="minorEastAsia" w:hAnsiTheme="minorEastAsia"/>
          <w:kern w:val="0"/>
          <w:sz w:val="24"/>
          <w:szCs w:val="24"/>
          <w:lang w:val="en-US" w:eastAsia="zh-CN"/>
        </w:rPr>
        <w:t>4</w:t>
      </w:r>
      <w:r>
        <w:rPr>
          <w:rFonts w:hint="eastAsia" w:cs="仿宋" w:asciiTheme="minorEastAsia" w:hAnsiTheme="minorEastAsia"/>
          <w:kern w:val="0"/>
          <w:sz w:val="24"/>
          <w:szCs w:val="24"/>
          <w:lang w:val="zh-CN"/>
        </w:rPr>
        <w:t>）乙方因第三人原因造成违约的，应当向甲方承担违约责任，并根据实际损失支付赔偿金。</w:t>
      </w:r>
      <w:bookmarkEnd w:id="255"/>
      <w:bookmarkEnd w:id="256"/>
      <w:bookmarkEnd w:id="257"/>
      <w:bookmarkEnd w:id="258"/>
    </w:p>
    <w:p w14:paraId="6F15874B">
      <w:pPr>
        <w:autoSpaceDE w:val="0"/>
        <w:autoSpaceDN w:val="0"/>
        <w:spacing w:line="360" w:lineRule="auto"/>
        <w:ind w:firstLine="480" w:firstLineChars="200"/>
        <w:jc w:val="left"/>
        <w:rPr>
          <w:rFonts w:hint="eastAsia" w:cs="仿宋" w:asciiTheme="minorEastAsia" w:hAnsiTheme="minorEastAsia"/>
          <w:kern w:val="0"/>
          <w:sz w:val="24"/>
          <w:szCs w:val="24"/>
          <w:lang w:val="zh-CN"/>
        </w:rPr>
      </w:pPr>
      <w:bookmarkStart w:id="259" w:name="_Toc113218432"/>
      <w:bookmarkStart w:id="260" w:name="_Toc113218480"/>
      <w:bookmarkStart w:id="261" w:name="_Toc113218576"/>
      <w:bookmarkStart w:id="262" w:name="_Toc113218528"/>
      <w:r>
        <w:rPr>
          <w:rFonts w:hint="eastAsia" w:cs="仿宋" w:asciiTheme="minorEastAsia" w:hAnsiTheme="minorEastAsia"/>
          <w:kern w:val="0"/>
          <w:sz w:val="24"/>
          <w:szCs w:val="24"/>
          <w:lang w:val="zh-CN"/>
        </w:rPr>
        <w:t>（</w:t>
      </w:r>
      <w:r>
        <w:rPr>
          <w:rFonts w:hint="eastAsia" w:cs="仿宋" w:asciiTheme="minorEastAsia" w:hAnsiTheme="minorEastAsia"/>
          <w:kern w:val="0"/>
          <w:sz w:val="24"/>
          <w:szCs w:val="24"/>
          <w:lang w:val="en-US" w:eastAsia="zh-CN"/>
        </w:rPr>
        <w:t>5</w:t>
      </w:r>
      <w:r>
        <w:rPr>
          <w:rFonts w:hint="eastAsia" w:cs="仿宋" w:asciiTheme="minorEastAsia" w:hAnsiTheme="minorEastAsia"/>
          <w:kern w:val="0"/>
          <w:sz w:val="24"/>
          <w:szCs w:val="24"/>
          <w:lang w:val="zh-CN"/>
        </w:rPr>
        <w:t>）乙方所供服务达不到甲方要求，甲方即可随时终止合同。</w:t>
      </w:r>
      <w:bookmarkEnd w:id="259"/>
      <w:bookmarkEnd w:id="260"/>
      <w:bookmarkEnd w:id="261"/>
      <w:bookmarkEnd w:id="262"/>
    </w:p>
    <w:p w14:paraId="6964B778">
      <w:pPr>
        <w:autoSpaceDE w:val="0"/>
        <w:autoSpaceDN w:val="0"/>
        <w:spacing w:line="360" w:lineRule="auto"/>
        <w:ind w:firstLine="480" w:firstLineChars="200"/>
        <w:jc w:val="left"/>
        <w:rPr>
          <w:rFonts w:hint="eastAsia" w:cs="仿宋" w:asciiTheme="minorEastAsia" w:hAnsiTheme="minorEastAsia"/>
          <w:kern w:val="0"/>
          <w:sz w:val="24"/>
          <w:szCs w:val="24"/>
          <w:lang w:val="zh-CN"/>
        </w:rPr>
      </w:pPr>
      <w:bookmarkStart w:id="263" w:name="_Toc113218529"/>
      <w:bookmarkStart w:id="264" w:name="_Toc113218433"/>
      <w:bookmarkStart w:id="265" w:name="_Toc113218481"/>
      <w:bookmarkStart w:id="266" w:name="_Toc113218577"/>
      <w:r>
        <w:rPr>
          <w:rFonts w:hint="eastAsia" w:cs="仿宋" w:asciiTheme="minorEastAsia" w:hAnsiTheme="minorEastAsia"/>
          <w:kern w:val="0"/>
          <w:sz w:val="24"/>
          <w:szCs w:val="24"/>
          <w:lang w:val="zh-CN"/>
        </w:rPr>
        <w:t>十</w:t>
      </w:r>
      <w:r>
        <w:rPr>
          <w:rFonts w:hint="eastAsia" w:cs="仿宋" w:asciiTheme="minorEastAsia" w:hAnsiTheme="minorEastAsia"/>
          <w:kern w:val="0"/>
          <w:sz w:val="24"/>
          <w:szCs w:val="24"/>
          <w:lang w:val="en-US" w:eastAsia="zh-CN"/>
        </w:rPr>
        <w:t>三</w:t>
      </w:r>
      <w:r>
        <w:rPr>
          <w:rFonts w:hint="eastAsia" w:cs="仿宋" w:asciiTheme="minorEastAsia" w:hAnsiTheme="minorEastAsia"/>
          <w:kern w:val="0"/>
          <w:sz w:val="24"/>
          <w:szCs w:val="24"/>
          <w:lang w:val="zh-CN"/>
        </w:rPr>
        <w:t>、合同的解除 出现下列情况之一时，甲方有权解除合同，合同自通知到达乙方时解除， 所造成的损失应由乙 方承担。</w:t>
      </w:r>
      <w:bookmarkEnd w:id="263"/>
      <w:bookmarkEnd w:id="264"/>
      <w:bookmarkEnd w:id="265"/>
      <w:bookmarkEnd w:id="266"/>
    </w:p>
    <w:p w14:paraId="072C4A84">
      <w:pPr>
        <w:autoSpaceDE w:val="0"/>
        <w:autoSpaceDN w:val="0"/>
        <w:spacing w:line="360" w:lineRule="auto"/>
        <w:ind w:firstLine="480" w:firstLineChars="200"/>
        <w:jc w:val="left"/>
        <w:rPr>
          <w:rFonts w:hint="eastAsia" w:cs="仿宋" w:asciiTheme="minorEastAsia" w:hAnsiTheme="minorEastAsia"/>
          <w:kern w:val="0"/>
          <w:sz w:val="24"/>
          <w:szCs w:val="24"/>
          <w:lang w:val="zh-CN"/>
        </w:rPr>
      </w:pPr>
      <w:bookmarkStart w:id="267" w:name="_Toc113218578"/>
      <w:bookmarkStart w:id="268" w:name="_Toc113218434"/>
      <w:bookmarkStart w:id="269" w:name="_Toc113218530"/>
      <w:bookmarkStart w:id="270" w:name="_Toc113218482"/>
      <w:r>
        <w:rPr>
          <w:rFonts w:hint="eastAsia" w:cs="仿宋" w:asciiTheme="minorEastAsia" w:hAnsiTheme="minorEastAsia"/>
          <w:kern w:val="0"/>
          <w:sz w:val="24"/>
          <w:szCs w:val="24"/>
          <w:lang w:val="zh-CN"/>
        </w:rPr>
        <w:t>（</w:t>
      </w:r>
      <w:r>
        <w:rPr>
          <w:rFonts w:hint="eastAsia" w:cs="仿宋" w:asciiTheme="minorEastAsia" w:hAnsiTheme="minorEastAsia"/>
          <w:kern w:val="0"/>
          <w:sz w:val="24"/>
          <w:szCs w:val="24"/>
          <w:lang w:val="en-US" w:eastAsia="zh-CN"/>
        </w:rPr>
        <w:t>1</w:t>
      </w:r>
      <w:r>
        <w:rPr>
          <w:rFonts w:hint="eastAsia" w:cs="仿宋" w:asciiTheme="minorEastAsia" w:hAnsiTheme="minorEastAsia"/>
          <w:kern w:val="0"/>
          <w:sz w:val="24"/>
          <w:szCs w:val="24"/>
          <w:lang w:val="zh-CN"/>
        </w:rPr>
        <w:t>）乙方未能在合同规定的期限内提供服务。</w:t>
      </w:r>
      <w:bookmarkEnd w:id="267"/>
      <w:bookmarkEnd w:id="268"/>
      <w:bookmarkEnd w:id="269"/>
      <w:bookmarkEnd w:id="270"/>
      <w:r>
        <w:rPr>
          <w:rFonts w:hint="eastAsia" w:cs="仿宋" w:asciiTheme="minorEastAsia" w:hAnsiTheme="minorEastAsia"/>
          <w:kern w:val="0"/>
          <w:sz w:val="24"/>
          <w:szCs w:val="24"/>
          <w:lang w:val="zh-CN"/>
        </w:rPr>
        <w:t xml:space="preserve"> </w:t>
      </w:r>
    </w:p>
    <w:p w14:paraId="0C298324">
      <w:pPr>
        <w:autoSpaceDE w:val="0"/>
        <w:autoSpaceDN w:val="0"/>
        <w:spacing w:line="360" w:lineRule="auto"/>
        <w:ind w:firstLine="480" w:firstLineChars="200"/>
        <w:jc w:val="left"/>
        <w:rPr>
          <w:rFonts w:hint="eastAsia" w:cs="仿宋" w:asciiTheme="minorEastAsia" w:hAnsiTheme="minorEastAsia"/>
          <w:kern w:val="0"/>
          <w:sz w:val="24"/>
          <w:szCs w:val="24"/>
          <w:lang w:val="zh-CN"/>
        </w:rPr>
      </w:pPr>
      <w:bookmarkStart w:id="271" w:name="_Toc113218435"/>
      <w:bookmarkStart w:id="272" w:name="_Toc113218579"/>
      <w:bookmarkStart w:id="273" w:name="_Toc113218531"/>
      <w:bookmarkStart w:id="274" w:name="_Toc113218483"/>
      <w:r>
        <w:rPr>
          <w:rFonts w:hint="eastAsia" w:cs="仿宋" w:asciiTheme="minorEastAsia" w:hAnsiTheme="minorEastAsia"/>
          <w:kern w:val="0"/>
          <w:sz w:val="24"/>
          <w:szCs w:val="24"/>
          <w:lang w:val="zh-CN"/>
        </w:rPr>
        <w:t>（</w:t>
      </w:r>
      <w:r>
        <w:rPr>
          <w:rFonts w:hint="eastAsia" w:cs="仿宋" w:asciiTheme="minorEastAsia" w:hAnsiTheme="minorEastAsia"/>
          <w:kern w:val="0"/>
          <w:sz w:val="24"/>
          <w:szCs w:val="24"/>
          <w:lang w:val="en-US" w:eastAsia="zh-CN"/>
        </w:rPr>
        <w:t>2</w:t>
      </w:r>
      <w:r>
        <w:rPr>
          <w:rFonts w:hint="eastAsia" w:cs="仿宋" w:asciiTheme="minorEastAsia" w:hAnsiTheme="minorEastAsia"/>
          <w:kern w:val="0"/>
          <w:sz w:val="24"/>
          <w:szCs w:val="24"/>
          <w:lang w:val="zh-CN"/>
        </w:rPr>
        <w:t>）乙方未能履行合同规定的其他义务，甲方有权终止合同的全部或部分。</w:t>
      </w:r>
      <w:bookmarkEnd w:id="271"/>
      <w:bookmarkEnd w:id="272"/>
      <w:bookmarkEnd w:id="273"/>
      <w:bookmarkEnd w:id="274"/>
    </w:p>
    <w:p w14:paraId="2AB2DFE1">
      <w:pPr>
        <w:autoSpaceDE w:val="0"/>
        <w:autoSpaceDN w:val="0"/>
        <w:spacing w:line="360" w:lineRule="auto"/>
        <w:ind w:firstLine="480" w:firstLineChars="200"/>
        <w:jc w:val="left"/>
        <w:rPr>
          <w:rFonts w:hint="eastAsia" w:cs="仿宋" w:asciiTheme="minorEastAsia" w:hAnsiTheme="minorEastAsia"/>
          <w:kern w:val="0"/>
          <w:sz w:val="24"/>
          <w:szCs w:val="24"/>
          <w:lang w:val="zh-CN"/>
        </w:rPr>
      </w:pPr>
      <w:bookmarkStart w:id="275" w:name="_Toc113218580"/>
      <w:bookmarkStart w:id="276" w:name="_Toc113218436"/>
      <w:bookmarkStart w:id="277" w:name="_Toc113218532"/>
      <w:bookmarkStart w:id="278" w:name="_Toc113218484"/>
      <w:r>
        <w:rPr>
          <w:rFonts w:hint="eastAsia" w:cs="仿宋" w:asciiTheme="minorEastAsia" w:hAnsiTheme="minorEastAsia"/>
          <w:kern w:val="0"/>
          <w:sz w:val="24"/>
          <w:szCs w:val="24"/>
          <w:lang w:val="zh-CN"/>
        </w:rPr>
        <w:t>（</w:t>
      </w:r>
      <w:r>
        <w:rPr>
          <w:rFonts w:hint="eastAsia" w:cs="仿宋" w:asciiTheme="minorEastAsia" w:hAnsiTheme="minorEastAsia"/>
          <w:kern w:val="0"/>
          <w:sz w:val="24"/>
          <w:szCs w:val="24"/>
          <w:lang w:val="en-US" w:eastAsia="zh-CN"/>
        </w:rPr>
        <w:t>3</w:t>
      </w:r>
      <w:r>
        <w:rPr>
          <w:rFonts w:hint="eastAsia" w:cs="仿宋" w:asciiTheme="minorEastAsia" w:hAnsiTheme="minorEastAsia"/>
          <w:kern w:val="0"/>
          <w:sz w:val="24"/>
          <w:szCs w:val="24"/>
          <w:lang w:val="zh-CN"/>
        </w:rPr>
        <w:t>）未经甲方书面同意，乙方私自转让或分包其应履行的合同义务。</w:t>
      </w:r>
      <w:bookmarkEnd w:id="275"/>
      <w:bookmarkEnd w:id="276"/>
      <w:bookmarkEnd w:id="277"/>
      <w:bookmarkEnd w:id="278"/>
    </w:p>
    <w:p w14:paraId="11FEB8B8">
      <w:pPr>
        <w:autoSpaceDE w:val="0"/>
        <w:autoSpaceDN w:val="0"/>
        <w:spacing w:line="360" w:lineRule="auto"/>
        <w:ind w:firstLine="480" w:firstLineChars="200"/>
        <w:jc w:val="left"/>
        <w:rPr>
          <w:rFonts w:hint="eastAsia" w:cs="仿宋" w:asciiTheme="minorEastAsia" w:hAnsiTheme="minorEastAsia"/>
          <w:kern w:val="0"/>
          <w:sz w:val="24"/>
          <w:szCs w:val="24"/>
          <w:lang w:val="zh-CN"/>
        </w:rPr>
      </w:pPr>
      <w:bookmarkStart w:id="279" w:name="_Toc113218485"/>
      <w:bookmarkStart w:id="280" w:name="_Toc113218533"/>
      <w:bookmarkStart w:id="281" w:name="_Toc113218437"/>
      <w:bookmarkStart w:id="282" w:name="_Toc113218581"/>
      <w:r>
        <w:rPr>
          <w:rFonts w:hint="eastAsia" w:cs="仿宋" w:asciiTheme="minorEastAsia" w:hAnsiTheme="minorEastAsia"/>
          <w:kern w:val="0"/>
          <w:sz w:val="24"/>
          <w:szCs w:val="24"/>
          <w:lang w:val="zh-CN"/>
        </w:rPr>
        <w:t>十</w:t>
      </w:r>
      <w:r>
        <w:rPr>
          <w:rFonts w:hint="eastAsia" w:cs="仿宋" w:asciiTheme="minorEastAsia" w:hAnsiTheme="minorEastAsia"/>
          <w:kern w:val="0"/>
          <w:sz w:val="24"/>
          <w:szCs w:val="24"/>
          <w:lang w:val="en-US" w:eastAsia="zh-CN"/>
        </w:rPr>
        <w:t>四</w:t>
      </w:r>
      <w:r>
        <w:rPr>
          <w:rFonts w:hint="eastAsia" w:cs="仿宋" w:asciiTheme="minorEastAsia" w:hAnsiTheme="minorEastAsia"/>
          <w:kern w:val="0"/>
          <w:sz w:val="24"/>
          <w:szCs w:val="24"/>
          <w:lang w:val="zh-CN"/>
        </w:rPr>
        <w:t>、争议的解决 甲、乙双方应通过友好协商，解决在执行本合同中所发生的或与本合同有关的争议、如协商仍 未解决，任何一方均可提请当地仲裁委员会依照其规则进行仲裁。</w:t>
      </w:r>
      <w:bookmarkEnd w:id="279"/>
      <w:bookmarkEnd w:id="280"/>
      <w:bookmarkEnd w:id="281"/>
      <w:bookmarkEnd w:id="282"/>
      <w:r>
        <w:rPr>
          <w:rFonts w:hint="eastAsia" w:cs="仿宋" w:asciiTheme="minorEastAsia" w:hAnsiTheme="minorEastAsia"/>
          <w:kern w:val="0"/>
          <w:sz w:val="24"/>
          <w:szCs w:val="24"/>
          <w:lang w:val="zh-CN"/>
        </w:rPr>
        <w:t xml:space="preserve"> </w:t>
      </w:r>
    </w:p>
    <w:p w14:paraId="507896D8">
      <w:pPr>
        <w:autoSpaceDE w:val="0"/>
        <w:autoSpaceDN w:val="0"/>
        <w:spacing w:line="360" w:lineRule="auto"/>
        <w:ind w:firstLine="480" w:firstLineChars="200"/>
        <w:jc w:val="left"/>
        <w:rPr>
          <w:rFonts w:hint="eastAsia" w:cs="仿宋" w:asciiTheme="minorEastAsia" w:hAnsiTheme="minorEastAsia"/>
          <w:kern w:val="0"/>
          <w:sz w:val="24"/>
          <w:szCs w:val="24"/>
          <w:lang w:val="zh-CN"/>
        </w:rPr>
      </w:pPr>
      <w:bookmarkStart w:id="283" w:name="_Toc113218438"/>
      <w:bookmarkStart w:id="284" w:name="_Toc113218534"/>
      <w:bookmarkStart w:id="285" w:name="_Toc113218582"/>
      <w:bookmarkStart w:id="286" w:name="_Toc113218486"/>
      <w:r>
        <w:rPr>
          <w:rFonts w:hint="eastAsia" w:cs="仿宋" w:asciiTheme="minorEastAsia" w:hAnsiTheme="minorEastAsia"/>
          <w:kern w:val="0"/>
          <w:sz w:val="24"/>
          <w:szCs w:val="24"/>
          <w:lang w:val="zh-CN"/>
        </w:rPr>
        <w:t>十</w:t>
      </w:r>
      <w:r>
        <w:rPr>
          <w:rFonts w:hint="eastAsia" w:cs="仿宋" w:asciiTheme="minorEastAsia" w:hAnsiTheme="minorEastAsia"/>
          <w:kern w:val="0"/>
          <w:sz w:val="24"/>
          <w:szCs w:val="24"/>
          <w:lang w:val="en-US" w:eastAsia="zh-CN"/>
        </w:rPr>
        <w:t>五</w:t>
      </w:r>
      <w:r>
        <w:rPr>
          <w:rFonts w:hint="eastAsia" w:cs="仿宋" w:asciiTheme="minorEastAsia" w:hAnsiTheme="minorEastAsia"/>
          <w:kern w:val="0"/>
          <w:sz w:val="24"/>
          <w:szCs w:val="24"/>
          <w:lang w:val="zh-CN"/>
        </w:rPr>
        <w:t>、合同的修改 如对本合同进行改动，由双方签订书面的合同修改文书作为本合同的补充协议。</w:t>
      </w:r>
      <w:bookmarkEnd w:id="283"/>
      <w:bookmarkEnd w:id="284"/>
      <w:bookmarkEnd w:id="285"/>
      <w:bookmarkEnd w:id="286"/>
    </w:p>
    <w:p w14:paraId="00F337C4">
      <w:pPr>
        <w:autoSpaceDE w:val="0"/>
        <w:autoSpaceDN w:val="0"/>
        <w:spacing w:line="360" w:lineRule="auto"/>
        <w:ind w:firstLine="480" w:firstLineChars="200"/>
        <w:jc w:val="left"/>
        <w:rPr>
          <w:rFonts w:hint="eastAsia" w:cs="仿宋" w:asciiTheme="minorEastAsia" w:hAnsiTheme="minorEastAsia"/>
          <w:kern w:val="0"/>
          <w:sz w:val="24"/>
          <w:szCs w:val="24"/>
          <w:lang w:val="zh-CN"/>
        </w:rPr>
      </w:pPr>
      <w:bookmarkStart w:id="287" w:name="_Toc113218439"/>
      <w:bookmarkStart w:id="288" w:name="_Toc113218487"/>
      <w:bookmarkStart w:id="289" w:name="_Toc113218535"/>
      <w:bookmarkStart w:id="290" w:name="_Toc113218583"/>
      <w:r>
        <w:rPr>
          <w:rFonts w:hint="eastAsia" w:cs="仿宋" w:asciiTheme="minorEastAsia" w:hAnsiTheme="minorEastAsia"/>
          <w:kern w:val="0"/>
          <w:sz w:val="24"/>
          <w:szCs w:val="24"/>
          <w:lang w:val="zh-CN"/>
        </w:rPr>
        <w:t>十</w:t>
      </w:r>
      <w:r>
        <w:rPr>
          <w:rFonts w:hint="eastAsia" w:cs="仿宋" w:asciiTheme="minorEastAsia" w:hAnsiTheme="minorEastAsia"/>
          <w:kern w:val="0"/>
          <w:sz w:val="24"/>
          <w:szCs w:val="24"/>
          <w:lang w:val="en-US" w:eastAsia="zh-CN"/>
        </w:rPr>
        <w:t>六</w:t>
      </w:r>
      <w:r>
        <w:rPr>
          <w:rFonts w:hint="eastAsia" w:cs="仿宋" w:asciiTheme="minorEastAsia" w:hAnsiTheme="minorEastAsia"/>
          <w:kern w:val="0"/>
          <w:sz w:val="24"/>
          <w:szCs w:val="24"/>
          <w:lang w:val="zh-CN"/>
        </w:rPr>
        <w:t>、本合同作为政府采购合同的参考补充合同，具体执行当地政府采购合同或甲方制定的合同版本。</w:t>
      </w:r>
      <w:bookmarkEnd w:id="287"/>
      <w:bookmarkEnd w:id="288"/>
      <w:bookmarkEnd w:id="289"/>
      <w:bookmarkEnd w:id="290"/>
    </w:p>
    <w:p w14:paraId="3D8DC576">
      <w:pPr>
        <w:autoSpaceDE w:val="0"/>
        <w:autoSpaceDN w:val="0"/>
        <w:spacing w:line="360" w:lineRule="auto"/>
        <w:ind w:firstLine="645"/>
        <w:jc w:val="left"/>
        <w:rPr>
          <w:rFonts w:hint="eastAsia" w:cs="仿宋" w:asciiTheme="minorEastAsia" w:hAnsiTheme="minorEastAsia"/>
          <w:kern w:val="0"/>
          <w:sz w:val="24"/>
          <w:szCs w:val="24"/>
          <w:lang w:val="zh-CN"/>
        </w:rPr>
      </w:pPr>
      <w:bookmarkStart w:id="291" w:name="_Toc113218440"/>
      <w:bookmarkStart w:id="292" w:name="_Toc113218584"/>
      <w:bookmarkStart w:id="293" w:name="_Toc113218536"/>
      <w:bookmarkStart w:id="294" w:name="_Toc113218488"/>
    </w:p>
    <w:p w14:paraId="4082806F">
      <w:pPr>
        <w:autoSpaceDE w:val="0"/>
        <w:autoSpaceDN w:val="0"/>
        <w:spacing w:line="360" w:lineRule="auto"/>
        <w:jc w:val="left"/>
        <w:rPr>
          <w:rFonts w:hint="eastAsia" w:cs="仿宋" w:asciiTheme="minorEastAsia" w:hAnsiTheme="minorEastAsia"/>
          <w:kern w:val="0"/>
          <w:sz w:val="24"/>
          <w:szCs w:val="24"/>
          <w:lang w:val="zh-CN"/>
        </w:rPr>
      </w:pPr>
      <w:r>
        <w:rPr>
          <w:rFonts w:hint="eastAsia" w:cs="仿宋" w:asciiTheme="minorEastAsia" w:hAnsiTheme="minorEastAsia"/>
          <w:kern w:val="0"/>
          <w:sz w:val="24"/>
          <w:szCs w:val="24"/>
          <w:lang w:val="zh-CN"/>
        </w:rPr>
        <w:t>甲方（盖章）：                     乙方（盖章）：</w:t>
      </w:r>
      <w:bookmarkEnd w:id="291"/>
      <w:bookmarkEnd w:id="292"/>
      <w:bookmarkEnd w:id="293"/>
      <w:bookmarkEnd w:id="294"/>
      <w:r>
        <w:rPr>
          <w:rFonts w:hint="eastAsia" w:cs="仿宋" w:asciiTheme="minorEastAsia" w:hAnsiTheme="minorEastAsia"/>
          <w:kern w:val="0"/>
          <w:sz w:val="24"/>
          <w:szCs w:val="24"/>
          <w:lang w:val="zh-CN"/>
        </w:rPr>
        <w:t xml:space="preserve"> </w:t>
      </w:r>
    </w:p>
    <w:p w14:paraId="72C92835">
      <w:pPr>
        <w:autoSpaceDE w:val="0"/>
        <w:autoSpaceDN w:val="0"/>
        <w:spacing w:line="360" w:lineRule="auto"/>
        <w:jc w:val="left"/>
        <w:rPr>
          <w:rFonts w:hint="eastAsia" w:cs="仿宋" w:asciiTheme="minorEastAsia" w:hAnsiTheme="minorEastAsia"/>
          <w:kern w:val="0"/>
          <w:sz w:val="24"/>
          <w:szCs w:val="24"/>
          <w:lang w:val="zh-CN"/>
        </w:rPr>
      </w:pPr>
      <w:bookmarkStart w:id="295" w:name="_Toc113218489"/>
      <w:bookmarkStart w:id="296" w:name="_Toc113218441"/>
      <w:bookmarkStart w:id="297" w:name="_Toc113218537"/>
      <w:bookmarkStart w:id="298" w:name="_Toc113218585"/>
    </w:p>
    <w:p w14:paraId="200FC261">
      <w:pPr>
        <w:autoSpaceDE w:val="0"/>
        <w:autoSpaceDN w:val="0"/>
        <w:spacing w:line="360" w:lineRule="auto"/>
        <w:jc w:val="left"/>
        <w:rPr>
          <w:rFonts w:hint="eastAsia" w:cs="仿宋" w:asciiTheme="minorEastAsia" w:hAnsiTheme="minorEastAsia"/>
          <w:kern w:val="0"/>
          <w:sz w:val="24"/>
          <w:szCs w:val="24"/>
          <w:lang w:val="zh-CN"/>
        </w:rPr>
      </w:pPr>
      <w:r>
        <w:rPr>
          <w:rFonts w:hint="eastAsia" w:cs="仿宋" w:asciiTheme="minorEastAsia" w:hAnsiTheme="minorEastAsia"/>
          <w:kern w:val="0"/>
          <w:sz w:val="24"/>
          <w:szCs w:val="24"/>
          <w:lang w:val="zh-CN"/>
        </w:rPr>
        <w:t>代表（签字）：                     代表（签字）：</w:t>
      </w:r>
      <w:bookmarkEnd w:id="295"/>
      <w:bookmarkEnd w:id="296"/>
      <w:bookmarkEnd w:id="297"/>
      <w:bookmarkEnd w:id="298"/>
    </w:p>
    <w:p w14:paraId="7C78AF16">
      <w:pPr>
        <w:autoSpaceDE w:val="0"/>
        <w:autoSpaceDN w:val="0"/>
        <w:spacing w:line="360" w:lineRule="auto"/>
        <w:jc w:val="left"/>
        <w:rPr>
          <w:rFonts w:hint="eastAsia" w:cs="仿宋" w:asciiTheme="minorEastAsia" w:hAnsiTheme="minorEastAsia"/>
          <w:kern w:val="0"/>
          <w:sz w:val="24"/>
          <w:szCs w:val="24"/>
          <w:lang w:val="zh-CN"/>
        </w:rPr>
      </w:pPr>
      <w:bookmarkStart w:id="299" w:name="_Toc113218490"/>
      <w:bookmarkStart w:id="300" w:name="_Toc113218538"/>
      <w:bookmarkStart w:id="301" w:name="_Toc113218586"/>
      <w:bookmarkStart w:id="302" w:name="_Toc113218442"/>
    </w:p>
    <w:p w14:paraId="0DF1B4A7">
      <w:pPr>
        <w:autoSpaceDE w:val="0"/>
        <w:autoSpaceDN w:val="0"/>
        <w:spacing w:line="360" w:lineRule="auto"/>
        <w:jc w:val="left"/>
        <w:rPr>
          <w:rFonts w:hint="eastAsia" w:cs="仿宋" w:asciiTheme="minorEastAsia" w:hAnsiTheme="minorEastAsia"/>
          <w:kern w:val="0"/>
          <w:sz w:val="24"/>
          <w:szCs w:val="24"/>
          <w:lang w:val="zh-CN"/>
        </w:rPr>
      </w:pPr>
      <w:r>
        <w:rPr>
          <w:rFonts w:hint="eastAsia" w:cs="仿宋" w:asciiTheme="minorEastAsia" w:hAnsiTheme="minorEastAsia"/>
          <w:kern w:val="0"/>
          <w:sz w:val="24"/>
          <w:szCs w:val="24"/>
          <w:lang w:val="zh-CN"/>
        </w:rPr>
        <w:t>签署地点：                         签署日期：</w:t>
      </w:r>
      <w:bookmarkEnd w:id="299"/>
      <w:bookmarkEnd w:id="300"/>
      <w:bookmarkEnd w:id="301"/>
      <w:bookmarkEnd w:id="302"/>
    </w:p>
    <w:p w14:paraId="5C79A76E">
      <w:pPr>
        <w:numPr>
          <w:ilvl w:val="0"/>
          <w:numId w:val="0"/>
        </w:numPr>
        <w:ind w:leftChars="0"/>
        <w:rPr>
          <w:rFonts w:hint="eastAsia"/>
          <w:lang w:val="en-US" w:eastAsia="zh-CN"/>
        </w:rPr>
      </w:pPr>
    </w:p>
    <w:p w14:paraId="5FE0C504">
      <w:pPr>
        <w:numPr>
          <w:ilvl w:val="0"/>
          <w:numId w:val="0"/>
        </w:numPr>
        <w:ind w:leftChars="0"/>
        <w:rPr>
          <w:rFonts w:hint="eastAsia"/>
          <w:lang w:val="en-US" w:eastAsia="zh-CN"/>
        </w:rPr>
      </w:pPr>
    </w:p>
    <w:p w14:paraId="0667BBD5">
      <w:pPr>
        <w:numPr>
          <w:ilvl w:val="0"/>
          <w:numId w:val="0"/>
        </w:numPr>
        <w:ind w:leftChars="0"/>
        <w:rPr>
          <w:rFonts w:hint="eastAsia"/>
          <w:lang w:val="en-US" w:eastAsia="zh-CN"/>
        </w:rPr>
      </w:pPr>
    </w:p>
    <w:p w14:paraId="66144D8C">
      <w:pPr>
        <w:numPr>
          <w:ilvl w:val="0"/>
          <w:numId w:val="0"/>
        </w:numPr>
        <w:ind w:leftChars="0"/>
        <w:rPr>
          <w:rFonts w:hint="eastAsia"/>
          <w:lang w:val="en-US" w:eastAsia="zh-CN"/>
        </w:rPr>
      </w:pPr>
    </w:p>
    <w:p w14:paraId="260A33D9">
      <w:pPr>
        <w:numPr>
          <w:ilvl w:val="0"/>
          <w:numId w:val="0"/>
        </w:numPr>
        <w:ind w:leftChars="0"/>
        <w:rPr>
          <w:rFonts w:hint="eastAsia"/>
          <w:lang w:val="en-US" w:eastAsia="zh-CN"/>
        </w:rPr>
      </w:pPr>
    </w:p>
    <w:p w14:paraId="54028C44">
      <w:pPr>
        <w:numPr>
          <w:ilvl w:val="0"/>
          <w:numId w:val="0"/>
        </w:numPr>
        <w:ind w:leftChars="0"/>
        <w:rPr>
          <w:rFonts w:hint="eastAsia"/>
          <w:lang w:val="en-US" w:eastAsia="zh-CN"/>
        </w:rPr>
      </w:pPr>
    </w:p>
    <w:p w14:paraId="24E1EC73">
      <w:pPr>
        <w:numPr>
          <w:ilvl w:val="0"/>
          <w:numId w:val="0"/>
        </w:numPr>
        <w:ind w:leftChars="0"/>
        <w:rPr>
          <w:rFonts w:hint="eastAsia"/>
          <w:lang w:val="en-US" w:eastAsia="zh-CN"/>
        </w:rPr>
      </w:pPr>
    </w:p>
    <w:p w14:paraId="0A945956">
      <w:pPr>
        <w:numPr>
          <w:ilvl w:val="0"/>
          <w:numId w:val="0"/>
        </w:numPr>
        <w:ind w:leftChars="0"/>
        <w:rPr>
          <w:rFonts w:hint="eastAsia"/>
          <w:lang w:val="en-US" w:eastAsia="zh-CN"/>
        </w:rPr>
      </w:pPr>
    </w:p>
    <w:p w14:paraId="68C24EE4">
      <w:pPr>
        <w:numPr>
          <w:ilvl w:val="0"/>
          <w:numId w:val="0"/>
        </w:numPr>
        <w:ind w:leftChars="0"/>
        <w:rPr>
          <w:rFonts w:hint="eastAsia"/>
          <w:lang w:val="en-US" w:eastAsia="zh-CN"/>
        </w:rPr>
      </w:pPr>
    </w:p>
    <w:p w14:paraId="18690D5D">
      <w:pPr>
        <w:numPr>
          <w:ilvl w:val="0"/>
          <w:numId w:val="0"/>
        </w:numPr>
        <w:ind w:leftChars="0"/>
        <w:rPr>
          <w:rFonts w:hint="eastAsia"/>
          <w:lang w:val="en-US" w:eastAsia="zh-CN"/>
        </w:rPr>
      </w:pPr>
    </w:p>
    <w:p w14:paraId="2B9C2E79">
      <w:pPr>
        <w:numPr>
          <w:ilvl w:val="0"/>
          <w:numId w:val="0"/>
        </w:numPr>
        <w:ind w:leftChars="0"/>
        <w:rPr>
          <w:rFonts w:hint="eastAsia"/>
          <w:lang w:val="en-US" w:eastAsia="zh-CN"/>
        </w:rPr>
      </w:pPr>
    </w:p>
    <w:p w14:paraId="103FF828">
      <w:pPr>
        <w:numPr>
          <w:ilvl w:val="0"/>
          <w:numId w:val="0"/>
        </w:numPr>
        <w:ind w:leftChars="0"/>
        <w:rPr>
          <w:rFonts w:hint="eastAsia"/>
          <w:lang w:val="en-US" w:eastAsia="zh-CN"/>
        </w:rPr>
      </w:pPr>
    </w:p>
    <w:p w14:paraId="7A8066CE">
      <w:pPr>
        <w:numPr>
          <w:ilvl w:val="0"/>
          <w:numId w:val="0"/>
        </w:numPr>
        <w:ind w:leftChars="0"/>
        <w:rPr>
          <w:rFonts w:hint="eastAsia"/>
          <w:lang w:val="en-US" w:eastAsia="zh-CN"/>
        </w:rPr>
      </w:pPr>
    </w:p>
    <w:p w14:paraId="4822082B">
      <w:pPr>
        <w:numPr>
          <w:ilvl w:val="0"/>
          <w:numId w:val="0"/>
        </w:numPr>
        <w:ind w:leftChars="0"/>
        <w:rPr>
          <w:rFonts w:hint="eastAsia"/>
          <w:lang w:val="en-US" w:eastAsia="zh-CN"/>
        </w:rPr>
      </w:pPr>
    </w:p>
    <w:p w14:paraId="6378DD46">
      <w:pPr>
        <w:numPr>
          <w:ilvl w:val="0"/>
          <w:numId w:val="0"/>
        </w:numPr>
        <w:ind w:leftChars="0"/>
        <w:rPr>
          <w:rFonts w:hint="eastAsia"/>
          <w:lang w:val="en-US" w:eastAsia="zh-CN"/>
        </w:rPr>
      </w:pPr>
    </w:p>
    <w:p w14:paraId="5F49A909">
      <w:pPr>
        <w:numPr>
          <w:ilvl w:val="0"/>
          <w:numId w:val="0"/>
        </w:numPr>
        <w:ind w:leftChars="0"/>
        <w:rPr>
          <w:rFonts w:hint="eastAsia"/>
          <w:lang w:val="en-US" w:eastAsia="zh-CN"/>
        </w:rPr>
      </w:pPr>
    </w:p>
    <w:p w14:paraId="333205CF">
      <w:pPr>
        <w:numPr>
          <w:ilvl w:val="0"/>
          <w:numId w:val="0"/>
        </w:numPr>
        <w:ind w:leftChars="0"/>
        <w:rPr>
          <w:rFonts w:hint="eastAsia"/>
          <w:lang w:val="en-US" w:eastAsia="zh-CN"/>
        </w:rPr>
      </w:pPr>
    </w:p>
    <w:p w14:paraId="6C0F2D3F">
      <w:pPr>
        <w:numPr>
          <w:ilvl w:val="0"/>
          <w:numId w:val="0"/>
        </w:numPr>
        <w:ind w:leftChars="0"/>
        <w:rPr>
          <w:rFonts w:hint="eastAsia"/>
          <w:lang w:val="en-US" w:eastAsia="zh-CN"/>
        </w:rPr>
      </w:pPr>
    </w:p>
    <w:p w14:paraId="2DE2AAE7">
      <w:pPr>
        <w:numPr>
          <w:ilvl w:val="0"/>
          <w:numId w:val="0"/>
        </w:numPr>
        <w:ind w:leftChars="0"/>
        <w:rPr>
          <w:rFonts w:hint="eastAsia"/>
          <w:lang w:val="en-US" w:eastAsia="zh-CN"/>
        </w:rPr>
      </w:pPr>
    </w:p>
    <w:p w14:paraId="0389FFE2">
      <w:pPr>
        <w:numPr>
          <w:ilvl w:val="0"/>
          <w:numId w:val="0"/>
        </w:numPr>
        <w:ind w:leftChars="0"/>
        <w:rPr>
          <w:rFonts w:hint="eastAsia"/>
          <w:lang w:val="en-US" w:eastAsia="zh-CN"/>
        </w:rPr>
      </w:pPr>
    </w:p>
    <w:p w14:paraId="2AAB290C">
      <w:pPr>
        <w:numPr>
          <w:ilvl w:val="0"/>
          <w:numId w:val="0"/>
        </w:numPr>
        <w:ind w:leftChars="0"/>
        <w:rPr>
          <w:rFonts w:hint="eastAsia"/>
          <w:lang w:val="en-US" w:eastAsia="zh-CN"/>
        </w:rPr>
      </w:pPr>
    </w:p>
    <w:p w14:paraId="4363CB6C">
      <w:pPr>
        <w:numPr>
          <w:ilvl w:val="0"/>
          <w:numId w:val="0"/>
        </w:numPr>
        <w:ind w:leftChars="0"/>
        <w:rPr>
          <w:rFonts w:hint="eastAsia"/>
          <w:lang w:val="en-US" w:eastAsia="zh-CN"/>
        </w:rPr>
      </w:pPr>
    </w:p>
    <w:p w14:paraId="2AFABBE2">
      <w:pPr>
        <w:numPr>
          <w:ilvl w:val="0"/>
          <w:numId w:val="0"/>
        </w:numPr>
        <w:ind w:leftChars="0"/>
        <w:rPr>
          <w:rFonts w:hint="eastAsia"/>
          <w:lang w:val="en-US" w:eastAsia="zh-CN"/>
        </w:rPr>
      </w:pPr>
    </w:p>
    <w:p w14:paraId="1B369F05">
      <w:pPr>
        <w:pStyle w:val="2"/>
        <w:numPr>
          <w:ilvl w:val="0"/>
          <w:numId w:val="3"/>
        </w:numPr>
        <w:bidi w:val="0"/>
        <w:jc w:val="center"/>
        <w:rPr>
          <w:rFonts w:hint="default"/>
          <w:sz w:val="36"/>
          <w:szCs w:val="21"/>
          <w:lang w:val="en-US" w:eastAsia="zh-CN"/>
        </w:rPr>
      </w:pPr>
      <w:r>
        <w:rPr>
          <w:rFonts w:hint="eastAsia"/>
          <w:sz w:val="36"/>
          <w:szCs w:val="21"/>
          <w:lang w:val="en-US" w:eastAsia="zh-CN"/>
        </w:rPr>
        <w:t xml:space="preserve"> </w:t>
      </w:r>
      <w:bookmarkStart w:id="303" w:name="_Toc20124"/>
      <w:r>
        <w:rPr>
          <w:rFonts w:hint="eastAsia"/>
          <w:sz w:val="36"/>
          <w:szCs w:val="21"/>
          <w:lang w:val="en-US" w:eastAsia="zh-CN"/>
        </w:rPr>
        <w:t>响应文件格式</w:t>
      </w:r>
      <w:bookmarkEnd w:id="303"/>
    </w:p>
    <w:p w14:paraId="3789C889">
      <w:pPr>
        <w:widowControl/>
        <w:kinsoku/>
        <w:overflowPunct/>
        <w:topLinePunct w:val="0"/>
        <w:bidi w:val="0"/>
        <w:jc w:val="center"/>
        <w:textAlignment w:val="auto"/>
        <w:outlineLvl w:val="9"/>
        <w:rPr>
          <w:rFonts w:cs="Times New Roman" w:asciiTheme="minorEastAsia" w:hAnsiTheme="minorEastAsia"/>
          <w:b/>
          <w:bCs/>
          <w:color w:val="auto"/>
          <w:kern w:val="0"/>
          <w:sz w:val="48"/>
          <w:szCs w:val="48"/>
        </w:rPr>
      </w:pPr>
      <w:r>
        <w:rPr>
          <w:rFonts w:hint="eastAsia" w:cs="Times New Roman" w:asciiTheme="minorEastAsia" w:hAnsiTheme="minorEastAsia"/>
          <w:b/>
          <w:bCs/>
          <w:color w:val="auto"/>
          <w:kern w:val="0"/>
          <w:sz w:val="48"/>
          <w:szCs w:val="48"/>
        </w:rPr>
        <w:t>（项目名称）</w:t>
      </w:r>
    </w:p>
    <w:p w14:paraId="3263B740">
      <w:pPr>
        <w:widowControl/>
        <w:kinsoku/>
        <w:overflowPunct/>
        <w:topLinePunct w:val="0"/>
        <w:bidi w:val="0"/>
        <w:jc w:val="both"/>
        <w:textAlignment w:val="auto"/>
        <w:outlineLvl w:val="9"/>
        <w:rPr>
          <w:rFonts w:hint="eastAsia" w:cs="Times New Roman" w:asciiTheme="minorEastAsia" w:hAnsiTheme="minorEastAsia"/>
          <w:b/>
          <w:bCs/>
          <w:color w:val="auto"/>
          <w:kern w:val="0"/>
          <w:sz w:val="84"/>
          <w:szCs w:val="84"/>
        </w:rPr>
      </w:pPr>
    </w:p>
    <w:p w14:paraId="524D24A7">
      <w:pPr>
        <w:widowControl/>
        <w:kinsoku/>
        <w:overflowPunct/>
        <w:topLinePunct w:val="0"/>
        <w:bidi w:val="0"/>
        <w:jc w:val="center"/>
        <w:textAlignment w:val="auto"/>
        <w:outlineLvl w:val="9"/>
        <w:rPr>
          <w:rFonts w:cs="Times New Roman" w:asciiTheme="minorEastAsia" w:hAnsiTheme="minorEastAsia"/>
          <w:color w:val="auto"/>
          <w:kern w:val="0"/>
          <w:sz w:val="84"/>
          <w:szCs w:val="84"/>
        </w:rPr>
      </w:pPr>
      <w:r>
        <w:rPr>
          <w:rFonts w:hint="eastAsia" w:cs="Times New Roman" w:asciiTheme="minorEastAsia" w:hAnsiTheme="minorEastAsia"/>
          <w:b/>
          <w:bCs/>
          <w:color w:val="auto"/>
          <w:kern w:val="0"/>
          <w:sz w:val="84"/>
          <w:szCs w:val="84"/>
        </w:rPr>
        <w:t>响 应 文 件</w:t>
      </w:r>
      <w:bookmarkStart w:id="304" w:name="_Toc169921407"/>
      <w:bookmarkEnd w:id="304"/>
      <w:bookmarkStart w:id="305" w:name="_Toc171073042"/>
      <w:bookmarkEnd w:id="305"/>
      <w:bookmarkStart w:id="306" w:name="_Toc171073207"/>
      <w:bookmarkEnd w:id="306"/>
      <w:bookmarkStart w:id="307" w:name="_Toc223432387"/>
      <w:bookmarkEnd w:id="307"/>
    </w:p>
    <w:p w14:paraId="341ACB32">
      <w:pPr>
        <w:widowControl/>
        <w:kinsoku/>
        <w:overflowPunct/>
        <w:topLinePunct w:val="0"/>
        <w:bidi w:val="0"/>
        <w:jc w:val="both"/>
        <w:textAlignment w:val="auto"/>
        <w:outlineLvl w:val="9"/>
        <w:rPr>
          <w:rFonts w:hint="eastAsia" w:cs="Times New Roman" w:asciiTheme="minorEastAsia" w:hAnsiTheme="minorEastAsia"/>
          <w:b/>
          <w:bCs/>
          <w:color w:val="auto"/>
          <w:kern w:val="0"/>
          <w:sz w:val="30"/>
          <w:szCs w:val="30"/>
        </w:rPr>
      </w:pPr>
    </w:p>
    <w:p w14:paraId="19060835">
      <w:pPr>
        <w:widowControl/>
        <w:kinsoku/>
        <w:overflowPunct/>
        <w:topLinePunct w:val="0"/>
        <w:bidi w:val="0"/>
        <w:jc w:val="center"/>
        <w:textAlignment w:val="auto"/>
        <w:outlineLvl w:val="9"/>
        <w:rPr>
          <w:rFonts w:cs="Times New Roman" w:asciiTheme="minorEastAsia" w:hAnsiTheme="minorEastAsia"/>
          <w:b/>
          <w:bCs/>
          <w:color w:val="auto"/>
          <w:kern w:val="0"/>
          <w:sz w:val="30"/>
          <w:szCs w:val="30"/>
        </w:rPr>
      </w:pPr>
      <w:r>
        <w:rPr>
          <w:rFonts w:hint="eastAsia" w:cs="Times New Roman" w:asciiTheme="minorEastAsia" w:hAnsiTheme="minorEastAsia"/>
          <w:b/>
          <w:bCs/>
          <w:color w:val="auto"/>
          <w:kern w:val="0"/>
          <w:sz w:val="30"/>
          <w:szCs w:val="30"/>
        </w:rPr>
        <w:t>项目编号：</w:t>
      </w:r>
    </w:p>
    <w:p w14:paraId="3A2AC633">
      <w:pPr>
        <w:widowControl/>
        <w:kinsoku/>
        <w:overflowPunct/>
        <w:topLinePunct w:val="0"/>
        <w:bidi w:val="0"/>
        <w:spacing w:line="660" w:lineRule="auto"/>
        <w:ind w:firstLine="602"/>
        <w:textAlignment w:val="auto"/>
        <w:outlineLvl w:val="9"/>
        <w:rPr>
          <w:rFonts w:cs="Times New Roman" w:asciiTheme="minorEastAsia" w:hAnsiTheme="minorEastAsia"/>
          <w:color w:val="auto"/>
          <w:kern w:val="0"/>
          <w:sz w:val="27"/>
          <w:szCs w:val="27"/>
        </w:rPr>
      </w:pPr>
      <w:r>
        <w:rPr>
          <w:rFonts w:hint="eastAsia" w:cs="Times New Roman" w:asciiTheme="minorEastAsia" w:hAnsiTheme="minorEastAsia"/>
          <w:b/>
          <w:bCs/>
          <w:color w:val="auto"/>
          <w:kern w:val="0"/>
          <w:sz w:val="30"/>
          <w:szCs w:val="30"/>
        </w:rPr>
        <w:t> </w:t>
      </w:r>
    </w:p>
    <w:p w14:paraId="54EE80AB">
      <w:pPr>
        <w:widowControl/>
        <w:kinsoku/>
        <w:overflowPunct/>
        <w:topLinePunct w:val="0"/>
        <w:bidi w:val="0"/>
        <w:spacing w:line="480" w:lineRule="auto"/>
        <w:textAlignment w:val="auto"/>
        <w:outlineLvl w:val="9"/>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 </w:t>
      </w:r>
    </w:p>
    <w:p w14:paraId="5074ECFA">
      <w:pPr>
        <w:pStyle w:val="9"/>
        <w:kinsoku/>
        <w:overflowPunct/>
        <w:topLinePunct w:val="0"/>
        <w:bidi w:val="0"/>
        <w:ind w:firstLine="400"/>
        <w:textAlignment w:val="auto"/>
        <w:outlineLvl w:val="9"/>
        <w:rPr>
          <w:color w:val="auto"/>
        </w:rPr>
      </w:pPr>
    </w:p>
    <w:p w14:paraId="57DEC959">
      <w:pPr>
        <w:pStyle w:val="9"/>
        <w:kinsoku/>
        <w:overflowPunct/>
        <w:topLinePunct w:val="0"/>
        <w:bidi w:val="0"/>
        <w:ind w:firstLine="400"/>
        <w:textAlignment w:val="auto"/>
        <w:outlineLvl w:val="9"/>
        <w:rPr>
          <w:color w:val="auto"/>
        </w:rPr>
      </w:pPr>
    </w:p>
    <w:p w14:paraId="626BC4CB">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cs="Times New Roman" w:asciiTheme="minorEastAsia" w:hAnsiTheme="minorEastAsia"/>
          <w:color w:val="auto"/>
          <w:kern w:val="0"/>
          <w:sz w:val="28"/>
          <w:szCs w:val="28"/>
        </w:rPr>
      </w:pPr>
    </w:p>
    <w:p w14:paraId="020151F7">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cs="Times New Roman" w:asciiTheme="minorEastAsia" w:hAnsiTheme="minorEastAsia"/>
          <w:color w:val="auto"/>
          <w:kern w:val="0"/>
          <w:sz w:val="28"/>
          <w:szCs w:val="28"/>
        </w:rPr>
      </w:pPr>
    </w:p>
    <w:p w14:paraId="6FA3579C">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cs="Times New Roman" w:asciiTheme="minorEastAsia" w:hAnsiTheme="minorEastAsia"/>
          <w:color w:val="auto"/>
          <w:kern w:val="0"/>
          <w:sz w:val="28"/>
          <w:szCs w:val="28"/>
        </w:rPr>
      </w:pPr>
    </w:p>
    <w:p w14:paraId="1A672DFC">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供应商名称</w:t>
      </w:r>
      <w:r>
        <w:rPr>
          <w:rFonts w:hint="eastAsia" w:cs="Times New Roman" w:asciiTheme="minorEastAsia" w:hAnsiTheme="minorEastAsia"/>
          <w:color w:val="auto"/>
          <w:kern w:val="0"/>
          <w:sz w:val="28"/>
          <w:szCs w:val="28"/>
          <w:lang w:eastAsia="zh-CN"/>
        </w:rPr>
        <w:t>：</w:t>
      </w:r>
      <w:r>
        <w:rPr>
          <w:rFonts w:hint="eastAsia" w:cs="Times New Roman" w:asciiTheme="minorEastAsia" w:hAnsiTheme="minorEastAsia"/>
          <w:color w:val="auto"/>
          <w:kern w:val="0"/>
          <w:sz w:val="28"/>
          <w:szCs w:val="28"/>
          <w:u w:val="single"/>
          <w:lang w:val="en-US" w:eastAsia="zh-CN"/>
        </w:rPr>
        <w:t xml:space="preserve">                     </w:t>
      </w:r>
      <w:r>
        <w:rPr>
          <w:rFonts w:hint="eastAsia" w:cs="Times New Roman" w:asciiTheme="minorEastAsia" w:hAnsiTheme="minorEastAsia"/>
          <w:color w:val="auto"/>
          <w:kern w:val="0"/>
          <w:sz w:val="28"/>
          <w:szCs w:val="28"/>
        </w:rPr>
        <w:t>（</w:t>
      </w:r>
      <w:r>
        <w:rPr>
          <w:rFonts w:hint="eastAsia" w:cs="Times New Roman" w:asciiTheme="minorEastAsia" w:hAnsiTheme="minorEastAsia"/>
          <w:color w:val="auto"/>
          <w:kern w:val="0"/>
          <w:sz w:val="28"/>
          <w:szCs w:val="28"/>
          <w:lang w:eastAsia="zh-CN"/>
        </w:rPr>
        <w:t>电子签章</w:t>
      </w:r>
      <w:r>
        <w:rPr>
          <w:rFonts w:hint="eastAsia" w:cs="Times New Roman" w:asciiTheme="minorEastAsia" w:hAnsiTheme="minorEastAsia"/>
          <w:color w:val="auto"/>
          <w:kern w:val="0"/>
          <w:sz w:val="28"/>
          <w:szCs w:val="28"/>
        </w:rPr>
        <w:t>）</w:t>
      </w:r>
    </w:p>
    <w:p w14:paraId="23C3076C">
      <w:pPr>
        <w:keepNext w:val="0"/>
        <w:keepLines w:val="0"/>
        <w:pageBreakBefore w:val="0"/>
        <w:kinsoku/>
        <w:wordWrap/>
        <w:overflowPunct/>
        <w:topLinePunct w:val="0"/>
        <w:autoSpaceDE/>
        <w:autoSpaceDN/>
        <w:bidi w:val="0"/>
        <w:adjustRightInd/>
        <w:snapToGrid/>
        <w:spacing w:line="360" w:lineRule="auto"/>
        <w:jc w:val="both"/>
        <w:textAlignment w:val="auto"/>
        <w:outlineLvl w:val="9"/>
        <w:rPr>
          <w:rFonts w:hint="eastAsia" w:cs="Times New Roman" w:asciiTheme="minorEastAsia" w:hAnsiTheme="minorEastAsia"/>
          <w:color w:val="auto"/>
          <w:kern w:val="0"/>
          <w:sz w:val="28"/>
          <w:szCs w:val="28"/>
        </w:rPr>
      </w:pPr>
      <w:r>
        <w:rPr>
          <w:rFonts w:hint="eastAsia" w:cs="Times New Roman" w:asciiTheme="minorEastAsia" w:hAnsiTheme="minorEastAsia"/>
          <w:color w:val="auto"/>
          <w:sz w:val="28"/>
          <w:szCs w:val="28"/>
        </w:rPr>
        <w:t>法定代表人：</w:t>
      </w:r>
      <w:r>
        <w:rPr>
          <w:rFonts w:hint="eastAsia" w:cs="Times New Roman" w:asciiTheme="minorEastAsia" w:hAnsiTheme="minorEastAsia"/>
          <w:color w:val="auto"/>
          <w:kern w:val="0"/>
          <w:sz w:val="28"/>
          <w:szCs w:val="28"/>
          <w:u w:val="single"/>
          <w:lang w:val="en-US" w:eastAsia="zh-CN"/>
        </w:rPr>
        <w:t xml:space="preserve">           </w:t>
      </w:r>
      <w:r>
        <w:rPr>
          <w:rFonts w:hint="eastAsia" w:cs="Times New Roman" w:asciiTheme="minorEastAsia" w:hAnsiTheme="minorEastAsia"/>
          <w:color w:val="auto"/>
          <w:kern w:val="0"/>
          <w:sz w:val="28"/>
          <w:szCs w:val="28"/>
        </w:rPr>
        <w:t>（</w:t>
      </w:r>
      <w:r>
        <w:rPr>
          <w:rFonts w:hint="eastAsia" w:cs="Times New Roman" w:asciiTheme="minorEastAsia" w:hAnsiTheme="minorEastAsia"/>
          <w:color w:val="auto"/>
          <w:kern w:val="0"/>
          <w:sz w:val="28"/>
          <w:szCs w:val="28"/>
          <w:lang w:val="en-US" w:eastAsia="zh-CN"/>
        </w:rPr>
        <w:t>签章</w:t>
      </w:r>
      <w:r>
        <w:rPr>
          <w:rFonts w:hint="eastAsia" w:cs="Times New Roman" w:asciiTheme="minorEastAsia" w:hAnsiTheme="minorEastAsia"/>
          <w:color w:val="auto"/>
          <w:kern w:val="0"/>
          <w:sz w:val="28"/>
          <w:szCs w:val="28"/>
        </w:rPr>
        <w:t>）</w:t>
      </w:r>
    </w:p>
    <w:p w14:paraId="3D970EA3">
      <w:pPr>
        <w:keepNext w:val="0"/>
        <w:keepLines w:val="0"/>
        <w:pageBreakBefore w:val="0"/>
        <w:kinsoku/>
        <w:wordWrap/>
        <w:overflowPunct/>
        <w:topLinePunct w:val="0"/>
        <w:autoSpaceDE/>
        <w:autoSpaceDN/>
        <w:bidi w:val="0"/>
        <w:adjustRightInd/>
        <w:snapToGrid/>
        <w:spacing w:line="360" w:lineRule="auto"/>
        <w:jc w:val="both"/>
        <w:textAlignment w:val="auto"/>
        <w:outlineLvl w:val="9"/>
        <w:rPr>
          <w:rFonts w:hint="default" w:cs="Times New Roman" w:asciiTheme="minorEastAsia" w:hAnsiTheme="minorEastAsia"/>
          <w:color w:val="auto"/>
          <w:lang w:val="en-US"/>
        </w:rPr>
        <w:sectPr>
          <w:footerReference r:id="rId4" w:type="default"/>
          <w:pgSz w:w="11906" w:h="16838"/>
          <w:pgMar w:top="1440" w:right="1800" w:bottom="1440" w:left="1800" w:header="851" w:footer="992" w:gutter="0"/>
          <w:pgNumType w:fmt="decimal"/>
          <w:cols w:space="425" w:num="1"/>
          <w:docGrid w:type="lines" w:linePitch="312" w:charSpace="0"/>
        </w:sectPr>
      </w:pPr>
      <w:r>
        <w:rPr>
          <w:rFonts w:hint="eastAsia" w:cs="Times New Roman" w:asciiTheme="minorEastAsia" w:hAnsiTheme="minorEastAsia"/>
          <w:color w:val="auto"/>
          <w:sz w:val="28"/>
          <w:szCs w:val="28"/>
        </w:rPr>
        <w:t xml:space="preserve">日     </w:t>
      </w:r>
      <w:r>
        <w:rPr>
          <w:rFonts w:hint="eastAsia" w:cs="Times New Roman" w:asciiTheme="minorEastAsia" w:hAnsiTheme="minorEastAsia"/>
          <w:color w:val="auto"/>
          <w:sz w:val="28"/>
          <w:szCs w:val="28"/>
          <w:lang w:val="en-US" w:eastAsia="zh-CN"/>
        </w:rPr>
        <w:t xml:space="preserve"> </w:t>
      </w:r>
      <w:r>
        <w:rPr>
          <w:rFonts w:hint="eastAsia" w:cs="Times New Roman" w:asciiTheme="minorEastAsia" w:hAnsiTheme="minorEastAsia"/>
          <w:color w:val="auto"/>
          <w:sz w:val="28"/>
          <w:szCs w:val="28"/>
        </w:rPr>
        <w:t>期：</w:t>
      </w:r>
      <w:r>
        <w:rPr>
          <w:rFonts w:hint="eastAsia" w:cs="Times New Roman" w:asciiTheme="minorEastAsia" w:hAnsiTheme="minorEastAsia"/>
          <w:color w:val="auto"/>
          <w:kern w:val="0"/>
          <w:sz w:val="28"/>
          <w:szCs w:val="28"/>
          <w:u w:val="single"/>
          <w:lang w:val="en-US" w:eastAsia="zh-CN"/>
        </w:rPr>
        <w:t xml:space="preserve">     </w:t>
      </w:r>
      <w:r>
        <w:rPr>
          <w:rFonts w:hint="eastAsia" w:cs="Times New Roman" w:asciiTheme="minorEastAsia" w:hAnsiTheme="minorEastAsia"/>
          <w:color w:val="auto"/>
          <w:kern w:val="0"/>
          <w:sz w:val="28"/>
          <w:szCs w:val="28"/>
          <w:u w:val="none"/>
          <w:lang w:val="en-US" w:eastAsia="zh-CN"/>
        </w:rPr>
        <w:t>年</w:t>
      </w:r>
      <w:r>
        <w:rPr>
          <w:rFonts w:hint="eastAsia" w:cs="Times New Roman" w:asciiTheme="minorEastAsia" w:hAnsiTheme="minorEastAsia"/>
          <w:color w:val="auto"/>
          <w:kern w:val="0"/>
          <w:sz w:val="28"/>
          <w:szCs w:val="28"/>
          <w:u w:val="single"/>
          <w:lang w:val="en-US" w:eastAsia="zh-CN"/>
        </w:rPr>
        <w:t xml:space="preserve">     </w:t>
      </w:r>
      <w:r>
        <w:rPr>
          <w:rFonts w:hint="eastAsia" w:cs="Times New Roman" w:asciiTheme="minorEastAsia" w:hAnsiTheme="minorEastAsia"/>
          <w:color w:val="auto"/>
          <w:kern w:val="0"/>
          <w:sz w:val="28"/>
          <w:szCs w:val="28"/>
          <w:u w:val="none"/>
          <w:lang w:val="en-US" w:eastAsia="zh-CN"/>
        </w:rPr>
        <w:t>月</w:t>
      </w:r>
      <w:r>
        <w:rPr>
          <w:rFonts w:hint="eastAsia" w:cs="Times New Roman" w:asciiTheme="minorEastAsia" w:hAnsiTheme="minorEastAsia"/>
          <w:color w:val="auto"/>
          <w:kern w:val="0"/>
          <w:sz w:val="28"/>
          <w:szCs w:val="28"/>
          <w:u w:val="single"/>
          <w:lang w:val="en-US" w:eastAsia="zh-CN"/>
        </w:rPr>
        <w:t xml:space="preserve">     </w:t>
      </w:r>
      <w:r>
        <w:rPr>
          <w:rFonts w:hint="eastAsia" w:cs="Times New Roman" w:asciiTheme="minorEastAsia" w:hAnsiTheme="minorEastAsia"/>
          <w:color w:val="auto"/>
          <w:kern w:val="0"/>
          <w:sz w:val="28"/>
          <w:szCs w:val="28"/>
          <w:u w:val="none"/>
          <w:lang w:val="en-US" w:eastAsia="zh-CN"/>
        </w:rPr>
        <w:t>日</w:t>
      </w:r>
    </w:p>
    <w:p w14:paraId="0A416219">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eastAsiaTheme="minorEastAsia"/>
          <w:b/>
          <w:bCs/>
          <w:color w:val="auto"/>
          <w:kern w:val="0"/>
          <w:sz w:val="28"/>
          <w:szCs w:val="28"/>
          <w:lang w:val="en-US" w:eastAsia="zh-CN"/>
        </w:rPr>
      </w:pPr>
      <w:r>
        <w:rPr>
          <w:rFonts w:hint="eastAsia" w:cs="Times New Roman" w:asciiTheme="minorEastAsia" w:hAnsiTheme="minorEastAsia"/>
          <w:b/>
          <w:bCs/>
          <w:color w:val="auto"/>
          <w:kern w:val="0"/>
          <w:sz w:val="28"/>
          <w:szCs w:val="28"/>
          <w:lang w:val="en-US" w:eastAsia="zh-CN"/>
        </w:rPr>
        <w:t>目 录</w:t>
      </w:r>
    </w:p>
    <w:p w14:paraId="1C507760">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eastAsiaTheme="minorEastAsia"/>
          <w:b/>
          <w:bCs/>
          <w:color w:val="auto"/>
          <w:kern w:val="0"/>
          <w:sz w:val="28"/>
          <w:szCs w:val="28"/>
          <w:lang w:val="en-US" w:eastAsia="zh-CN"/>
        </w:rPr>
      </w:pPr>
      <w:r>
        <w:rPr>
          <w:rFonts w:hint="eastAsia" w:cs="Times New Roman" w:asciiTheme="minorEastAsia" w:hAnsiTheme="minorEastAsia"/>
          <w:b w:val="0"/>
          <w:bCs w:val="0"/>
          <w:color w:val="auto"/>
          <w:kern w:val="0"/>
          <w:sz w:val="24"/>
          <w:szCs w:val="24"/>
          <w:lang w:val="en-US" w:eastAsia="zh-CN"/>
        </w:rPr>
        <w:t>格式自拟</w:t>
      </w:r>
    </w:p>
    <w:p w14:paraId="769B93FE">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310B846D">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29FDA60E">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44C04E28">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62BAD516">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2E3CDAD9">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536C9A59">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5D2D9D5B">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69B70C6D">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7E3E232C">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079210AA">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6CB21DFB">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45AB8A01">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1868CFBB">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57B2D076">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422BCD48">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2E05C2F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38731AC5">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1F8534E3">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35050367">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48E94C0F">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r>
        <w:rPr>
          <w:rFonts w:hint="eastAsia" w:ascii="宋体" w:hAnsi="宋体" w:cs="宋体"/>
          <w:b/>
          <w:sz w:val="32"/>
          <w:szCs w:val="32"/>
          <w:lang w:val="en-US" w:eastAsia="zh-CN"/>
        </w:rPr>
        <w:t>一、</w:t>
      </w:r>
      <w:r>
        <w:rPr>
          <w:rFonts w:hint="eastAsia" w:ascii="宋体" w:hAnsi="宋体" w:cs="宋体"/>
          <w:b/>
          <w:sz w:val="32"/>
          <w:szCs w:val="32"/>
          <w:lang w:val="en-US" w:eastAsia="en-US"/>
        </w:rPr>
        <w:t>磋商函</w:t>
      </w:r>
      <w:r>
        <w:rPr>
          <w:rFonts w:hint="eastAsia" w:ascii="宋体" w:hAnsi="宋体" w:cs="宋体"/>
          <w:b/>
          <w:sz w:val="32"/>
          <w:szCs w:val="32"/>
          <w:lang w:val="en-US" w:eastAsia="zh-CN"/>
        </w:rPr>
        <w:t>及磋商报价一览表</w:t>
      </w:r>
    </w:p>
    <w:p w14:paraId="5298065E">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b/>
          <w:bCs/>
          <w:color w:val="auto"/>
          <w:kern w:val="0"/>
          <w:sz w:val="28"/>
          <w:szCs w:val="28"/>
        </w:rPr>
      </w:pPr>
      <w:r>
        <w:rPr>
          <w:rFonts w:hint="eastAsia" w:cs="Times New Roman" w:asciiTheme="minorEastAsia" w:hAnsiTheme="minorEastAsia"/>
          <w:b/>
          <w:bCs/>
          <w:color w:val="auto"/>
          <w:kern w:val="0"/>
          <w:sz w:val="28"/>
          <w:szCs w:val="28"/>
          <w:lang w:eastAsia="zh-CN"/>
        </w:rPr>
        <w:t>（</w:t>
      </w:r>
      <w:r>
        <w:rPr>
          <w:rFonts w:hint="eastAsia" w:cs="Times New Roman" w:asciiTheme="minorEastAsia" w:hAnsiTheme="minorEastAsia"/>
          <w:b/>
          <w:bCs/>
          <w:color w:val="auto"/>
          <w:kern w:val="0"/>
          <w:sz w:val="28"/>
          <w:szCs w:val="28"/>
          <w:lang w:val="en-US" w:eastAsia="zh-CN"/>
        </w:rPr>
        <w:t>一</w:t>
      </w:r>
      <w:r>
        <w:rPr>
          <w:rFonts w:hint="eastAsia" w:cs="Times New Roman" w:asciiTheme="minorEastAsia" w:hAnsiTheme="minorEastAsia"/>
          <w:b/>
          <w:bCs/>
          <w:color w:val="auto"/>
          <w:kern w:val="0"/>
          <w:sz w:val="28"/>
          <w:szCs w:val="28"/>
          <w:lang w:eastAsia="zh-CN"/>
        </w:rPr>
        <w:t>）</w:t>
      </w:r>
      <w:r>
        <w:rPr>
          <w:rFonts w:hint="eastAsia" w:cs="Times New Roman" w:asciiTheme="minorEastAsia" w:hAnsiTheme="minorEastAsia"/>
          <w:b/>
          <w:bCs/>
          <w:color w:val="auto"/>
          <w:kern w:val="0"/>
          <w:sz w:val="28"/>
          <w:szCs w:val="28"/>
        </w:rPr>
        <w:t>磋 商 函</w:t>
      </w:r>
    </w:p>
    <w:p w14:paraId="6BC4EDF7">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kern w:val="0"/>
          <w:sz w:val="24"/>
          <w:szCs w:val="24"/>
        </w:rPr>
      </w:pPr>
      <w:bookmarkStart w:id="308" w:name="OLE_LINK11"/>
      <w:bookmarkEnd w:id="308"/>
      <w:bookmarkStart w:id="309" w:name="OLE_LINK7"/>
      <w:r>
        <w:rPr>
          <w:rFonts w:hint="eastAsia" w:ascii="宋体" w:hAnsi="宋体" w:eastAsia="宋体" w:cs="宋体"/>
          <w:color w:val="auto"/>
          <w:spacing w:val="46"/>
          <w:kern w:val="0"/>
          <w:sz w:val="24"/>
          <w:szCs w:val="24"/>
        </w:rPr>
        <w:t>致</w:t>
      </w:r>
      <w:bookmarkEnd w:id="309"/>
      <w:r>
        <w:rPr>
          <w:rFonts w:hint="eastAsia" w:ascii="宋体" w:hAnsi="宋体" w:eastAsia="宋体" w:cs="宋体"/>
          <w:color w:val="auto"/>
          <w:spacing w:val="46"/>
          <w:kern w:val="0"/>
          <w:sz w:val="24"/>
          <w:szCs w:val="24"/>
          <w:u w:val="single"/>
        </w:rPr>
        <w:t xml:space="preserve"> （采购人） </w:t>
      </w:r>
      <w:r>
        <w:rPr>
          <w:rFonts w:hint="eastAsia" w:ascii="宋体" w:hAnsi="宋体" w:eastAsia="宋体" w:cs="宋体"/>
          <w:color w:val="auto"/>
          <w:spacing w:val="46"/>
          <w:kern w:val="0"/>
          <w:sz w:val="24"/>
          <w:szCs w:val="24"/>
        </w:rPr>
        <w:t>：</w:t>
      </w:r>
    </w:p>
    <w:p w14:paraId="703C2DA5">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我方已仔细研究了</w:t>
      </w:r>
      <w:r>
        <w:rPr>
          <w:rFonts w:hint="eastAsia" w:ascii="宋体" w:hAnsi="宋体" w:eastAsia="宋体" w:cs="宋体"/>
          <w:color w:val="auto"/>
          <w:kern w:val="0"/>
          <w:sz w:val="24"/>
          <w:szCs w:val="24"/>
          <w:u w:val="single"/>
        </w:rPr>
        <w:t xml:space="preserve">         (项目名称)</w:t>
      </w:r>
      <w:r>
        <w:rPr>
          <w:rFonts w:hint="eastAsia" w:ascii="宋体" w:hAnsi="宋体" w:eastAsia="宋体" w:cs="宋体"/>
          <w:color w:val="auto"/>
          <w:kern w:val="0"/>
          <w:sz w:val="24"/>
          <w:szCs w:val="24"/>
        </w:rPr>
        <w:t>，项目编号</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none"/>
          <w:lang w:val="en-US" w:eastAsia="zh-CN"/>
        </w:rPr>
        <w:t>竞争性</w:t>
      </w:r>
      <w:r>
        <w:rPr>
          <w:rFonts w:hint="eastAsia" w:ascii="宋体" w:hAnsi="宋体" w:eastAsia="宋体" w:cs="宋体"/>
          <w:color w:val="auto"/>
          <w:kern w:val="0"/>
          <w:sz w:val="24"/>
          <w:szCs w:val="24"/>
          <w:lang w:val="en-US" w:eastAsia="zh-CN"/>
        </w:rPr>
        <w:t>磋商</w:t>
      </w:r>
      <w:r>
        <w:rPr>
          <w:rFonts w:hint="eastAsia" w:ascii="宋体" w:hAnsi="宋体" w:eastAsia="宋体" w:cs="宋体"/>
          <w:color w:val="auto"/>
          <w:kern w:val="0"/>
          <w:sz w:val="24"/>
          <w:szCs w:val="24"/>
        </w:rPr>
        <w:t>文件的全部内容，遵照《中华人民共和国政府采购法》《政府采购竞争性磋商采购方式暂行办法》等有关规定，经研究上述竞争性磋商文件的</w:t>
      </w:r>
      <w:r>
        <w:rPr>
          <w:rFonts w:hint="eastAsia" w:ascii="宋体" w:hAnsi="宋体" w:eastAsia="宋体" w:cs="宋体"/>
          <w:color w:val="auto"/>
          <w:kern w:val="0"/>
          <w:sz w:val="24"/>
          <w:szCs w:val="24"/>
          <w:lang w:val="en-US" w:eastAsia="zh-CN"/>
        </w:rPr>
        <w:t>供应商</w:t>
      </w:r>
      <w:r>
        <w:rPr>
          <w:rFonts w:hint="eastAsia" w:ascii="宋体" w:hAnsi="宋体" w:eastAsia="宋体" w:cs="宋体"/>
          <w:color w:val="auto"/>
          <w:kern w:val="0"/>
          <w:sz w:val="24"/>
          <w:szCs w:val="24"/>
        </w:rPr>
        <w:t>须知、合同条款、</w:t>
      </w:r>
      <w:r>
        <w:rPr>
          <w:rFonts w:hint="eastAsia" w:ascii="宋体" w:hAnsi="宋体" w:eastAsia="宋体" w:cs="宋体"/>
          <w:color w:val="auto"/>
          <w:kern w:val="0"/>
          <w:sz w:val="24"/>
          <w:szCs w:val="24"/>
          <w:lang w:val="en-US" w:eastAsia="zh-CN"/>
        </w:rPr>
        <w:t>采购需求</w:t>
      </w:r>
      <w:r>
        <w:rPr>
          <w:rFonts w:hint="eastAsia" w:ascii="宋体" w:hAnsi="宋体" w:eastAsia="宋体" w:cs="宋体"/>
          <w:color w:val="auto"/>
          <w:kern w:val="0"/>
          <w:sz w:val="24"/>
          <w:szCs w:val="24"/>
        </w:rPr>
        <w:t>及其他有关文件后</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我方愿意以人民币（大写）</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（小写：</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元）的</w:t>
      </w:r>
      <w:r>
        <w:rPr>
          <w:rFonts w:hint="eastAsia" w:ascii="宋体" w:hAnsi="宋体" w:eastAsia="宋体" w:cs="宋体"/>
          <w:color w:val="auto"/>
          <w:kern w:val="0"/>
          <w:sz w:val="24"/>
          <w:szCs w:val="24"/>
          <w:lang w:val="en-US" w:eastAsia="zh-CN"/>
        </w:rPr>
        <w:t>磋商</w:t>
      </w:r>
      <w:r>
        <w:rPr>
          <w:rFonts w:hint="eastAsia" w:ascii="宋体" w:hAnsi="宋体" w:eastAsia="宋体" w:cs="宋体"/>
          <w:color w:val="auto"/>
          <w:kern w:val="0"/>
          <w:sz w:val="24"/>
          <w:szCs w:val="24"/>
        </w:rPr>
        <w:t>总报价，服务期限：</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服务地点：</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，质量达到：</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承担上述项目的服务内容。</w:t>
      </w:r>
    </w:p>
    <w:p w14:paraId="034254BA">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据此函，签字人兹宣布同意如下：</w:t>
      </w:r>
    </w:p>
    <w:p w14:paraId="68BA7554">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我方已详细审核全部竞争性磋商文件，包括修改文件（如有）及有关附件，已充分理解并掌握了本采购项目的全部有关情况，认为竞争性磋商文件符合法律、法规的要求，充分体现了公开、公平、公正和诚实信用原则，我方对竞争性磋商文件没有任何异议。同意接受竞争性磋商文件的全部内容和条件。</w:t>
      </w:r>
    </w:p>
    <w:p w14:paraId="34B2574E">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2、我方承诺已经具备《中华人民共和国政府采购法》中规定的参加政府采购活动的</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应当具备的条件。一旦我方中标，我方将组建项目组，将派出</w:t>
      </w:r>
      <w:r>
        <w:rPr>
          <w:rFonts w:hint="eastAsia" w:ascii="宋体" w:hAnsi="宋体" w:eastAsia="宋体" w:cs="宋体"/>
          <w:color w:val="auto"/>
          <w:kern w:val="0"/>
          <w:sz w:val="24"/>
          <w:szCs w:val="24"/>
          <w:u w:val="single"/>
        </w:rPr>
        <w:t xml:space="preserve">     （项目负责人）</w:t>
      </w:r>
      <w:r>
        <w:rPr>
          <w:rFonts w:hint="eastAsia" w:ascii="宋体" w:hAnsi="宋体" w:eastAsia="宋体" w:cs="宋体"/>
          <w:color w:val="auto"/>
          <w:kern w:val="0"/>
          <w:sz w:val="24"/>
          <w:szCs w:val="24"/>
        </w:rPr>
        <w:t>作为本项目的项目负责人。保证按合同协议书中规定的服务期限完成规划编制并提供相应的规划编制服务。</w:t>
      </w:r>
    </w:p>
    <w:p w14:paraId="5B8C9E3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如我方成交，我方承诺在收到成交通知书后，在成交通知书规定的期限内，根据竞争性磋商文件、我方的响应文件及有关澄清承诺书的要求，与采购人订立书面合同，并按照合同约定承担完成合同的责任和义务。</w:t>
      </w:r>
    </w:p>
    <w:p w14:paraId="4540BEF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、我方同意所提交的</w:t>
      </w:r>
      <w:r>
        <w:rPr>
          <w:rFonts w:hint="eastAsia" w:ascii="宋体" w:hAnsi="宋体" w:eastAsia="宋体" w:cs="宋体"/>
          <w:color w:val="auto"/>
          <w:kern w:val="0"/>
          <w:sz w:val="24"/>
          <w:szCs w:val="24"/>
          <w:lang w:val="en-US" w:eastAsia="zh-CN"/>
        </w:rPr>
        <w:t>响应</w:t>
      </w:r>
      <w:r>
        <w:rPr>
          <w:rFonts w:hint="eastAsia" w:ascii="宋体" w:hAnsi="宋体" w:eastAsia="宋体" w:cs="宋体"/>
          <w:color w:val="auto"/>
          <w:kern w:val="0"/>
          <w:sz w:val="24"/>
          <w:szCs w:val="24"/>
        </w:rPr>
        <w:t>文件在</w:t>
      </w:r>
      <w:r>
        <w:rPr>
          <w:rFonts w:hint="eastAsia" w:ascii="宋体" w:hAnsi="宋体" w:eastAsia="宋体" w:cs="宋体"/>
          <w:color w:val="auto"/>
          <w:kern w:val="0"/>
          <w:sz w:val="24"/>
          <w:szCs w:val="24"/>
          <w:lang w:val="en-US" w:eastAsia="zh-CN"/>
        </w:rPr>
        <w:t>磋商</w:t>
      </w:r>
      <w:r>
        <w:rPr>
          <w:rFonts w:hint="eastAsia" w:ascii="宋体" w:hAnsi="宋体" w:eastAsia="宋体" w:cs="宋体"/>
          <w:color w:val="auto"/>
          <w:kern w:val="0"/>
          <w:sz w:val="24"/>
          <w:szCs w:val="24"/>
        </w:rPr>
        <w:t>文件规定的</w:t>
      </w:r>
      <w:r>
        <w:rPr>
          <w:rFonts w:hint="eastAsia" w:ascii="宋体" w:hAnsi="宋体" w:eastAsia="宋体" w:cs="宋体"/>
          <w:color w:val="auto"/>
          <w:kern w:val="0"/>
          <w:sz w:val="24"/>
          <w:szCs w:val="24"/>
          <w:lang w:val="en-US" w:eastAsia="zh-CN"/>
        </w:rPr>
        <w:t>磋商</w:t>
      </w:r>
      <w:r>
        <w:rPr>
          <w:rFonts w:hint="eastAsia" w:ascii="宋体" w:hAnsi="宋体" w:eastAsia="宋体" w:cs="宋体"/>
          <w:color w:val="auto"/>
          <w:kern w:val="0"/>
          <w:sz w:val="24"/>
          <w:szCs w:val="24"/>
        </w:rPr>
        <w:t>有效期</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rPr>
        <w:t>内有效，在此期间内如果中标，我方将受此约束</w:t>
      </w:r>
      <w:r>
        <w:rPr>
          <w:rFonts w:hint="eastAsia" w:ascii="宋体" w:hAnsi="宋体" w:eastAsia="宋体" w:cs="宋体"/>
          <w:color w:val="auto"/>
          <w:kern w:val="0"/>
          <w:sz w:val="24"/>
          <w:szCs w:val="24"/>
          <w:lang w:eastAsia="zh-CN"/>
        </w:rPr>
        <w:t>，</w:t>
      </w:r>
      <w:r>
        <w:rPr>
          <w:rFonts w:hint="eastAsia" w:ascii="宋体" w:hAnsi="宋体" w:eastAsia="宋体" w:cs="宋体"/>
          <w:color w:val="000000"/>
          <w:kern w:val="0"/>
          <w:sz w:val="24"/>
          <w:szCs w:val="24"/>
        </w:rPr>
        <w:t>并承诺在磋商有效期内不修改、撤销响应文件</w:t>
      </w:r>
      <w:r>
        <w:rPr>
          <w:rFonts w:hint="eastAsia" w:ascii="宋体" w:hAnsi="宋体" w:eastAsia="宋体" w:cs="宋体"/>
          <w:color w:val="auto"/>
          <w:kern w:val="0"/>
          <w:sz w:val="24"/>
          <w:szCs w:val="24"/>
        </w:rPr>
        <w:t>。</w:t>
      </w:r>
    </w:p>
    <w:p w14:paraId="006DD23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、我方在此声明，所递交的响应文件及有关资料内容完整、真实和准确。若有违反，我方愿意承担一切后果。</w:t>
      </w:r>
    </w:p>
    <w:p w14:paraId="35F6362F">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、除非另外达成协议并生效，你方的中标通知书和本</w:t>
      </w:r>
      <w:r>
        <w:rPr>
          <w:rFonts w:hint="eastAsia" w:ascii="宋体" w:hAnsi="宋体" w:eastAsia="宋体" w:cs="宋体"/>
          <w:color w:val="auto"/>
          <w:kern w:val="0"/>
          <w:sz w:val="24"/>
          <w:szCs w:val="24"/>
          <w:lang w:val="en-US" w:eastAsia="zh-CN"/>
        </w:rPr>
        <w:t>响应</w:t>
      </w:r>
      <w:r>
        <w:rPr>
          <w:rFonts w:hint="eastAsia" w:ascii="宋体" w:hAnsi="宋体" w:eastAsia="宋体" w:cs="宋体"/>
          <w:color w:val="auto"/>
          <w:kern w:val="0"/>
          <w:sz w:val="24"/>
          <w:szCs w:val="24"/>
        </w:rPr>
        <w:t>文件将成为约束双方的合同文件的组成部分。</w:t>
      </w:r>
    </w:p>
    <w:p w14:paraId="682C220D">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w:t>
      </w:r>
      <w:r>
        <w:rPr>
          <w:rFonts w:hint="eastAsia" w:ascii="宋体" w:hAnsi="宋体" w:eastAsia="宋体" w:cs="宋体"/>
          <w:color w:val="auto"/>
          <w:sz w:val="24"/>
          <w:szCs w:val="24"/>
        </w:rPr>
        <w:t>我方承诺在收到中标通知书后，在中标通知书规定的期限内与你方签订合同。</w:t>
      </w:r>
    </w:p>
    <w:p w14:paraId="52B2F8F4">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8</w:t>
      </w:r>
      <w:r>
        <w:rPr>
          <w:rFonts w:hint="eastAsia" w:ascii="宋体" w:hAnsi="宋体" w:eastAsia="宋体" w:cs="宋体"/>
          <w:color w:val="auto"/>
          <w:kern w:val="0"/>
          <w:sz w:val="24"/>
          <w:szCs w:val="24"/>
        </w:rPr>
        <w:t>、</w:t>
      </w:r>
      <w:r>
        <w:rPr>
          <w:rFonts w:hint="eastAsia" w:ascii="宋体" w:hAnsi="宋体" w:eastAsia="宋体" w:cs="宋体"/>
          <w:color w:val="auto"/>
          <w:sz w:val="24"/>
          <w:szCs w:val="24"/>
        </w:rPr>
        <w:t>我方承诺在合同约定的期限内完成并移交全部工作内容</w:t>
      </w:r>
      <w:r>
        <w:rPr>
          <w:rFonts w:hint="eastAsia" w:ascii="宋体" w:hAnsi="宋体" w:eastAsia="宋体" w:cs="宋体"/>
          <w:color w:val="auto"/>
          <w:kern w:val="0"/>
          <w:sz w:val="24"/>
          <w:szCs w:val="24"/>
        </w:rPr>
        <w:t>。</w:t>
      </w:r>
    </w:p>
    <w:p w14:paraId="217E1704">
      <w:pPr>
        <w:widowControl/>
        <w:adjustRightInd w:val="0"/>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auto"/>
          <w:kern w:val="0"/>
          <w:sz w:val="24"/>
          <w:szCs w:val="24"/>
          <w:lang w:val="en-US" w:eastAsia="zh-CN"/>
        </w:rPr>
        <w:t>9、</w:t>
      </w:r>
      <w:r>
        <w:rPr>
          <w:rFonts w:hint="eastAsia" w:ascii="宋体" w:hAnsi="宋体" w:eastAsia="宋体" w:cs="宋体"/>
          <w:color w:val="000000"/>
          <w:kern w:val="0"/>
          <w:sz w:val="24"/>
          <w:szCs w:val="24"/>
          <w:lang w:val="en-US" w:eastAsia="zh-CN"/>
        </w:rPr>
        <w:t>磋商代理服务收费参照豫招协[2023]002号河南省招标投标协会关于印发《河南省招标代理服务收费指导意见》规定的收费标准向成交单位收取。招标代理服务费由成交供应商在领取成交通知书时，以现金或转账的方式一次性向缴纳。</w:t>
      </w:r>
    </w:p>
    <w:p w14:paraId="4C426A78">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u w:val="none"/>
          <w:lang w:val="en-US" w:eastAsia="zh-CN"/>
        </w:rPr>
        <w:t>10、</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lang w:val="en-US" w:eastAsia="zh-CN"/>
        </w:rPr>
        <w:t>（其他补充说明）。</w:t>
      </w:r>
    </w:p>
    <w:p w14:paraId="1FA66DA6">
      <w:pPr>
        <w:keepNext w:val="0"/>
        <w:keepLines w:val="0"/>
        <w:pageBreakBefore w:val="0"/>
        <w:widowControl/>
        <w:kinsoku/>
        <w:wordWrap/>
        <w:overflowPunct/>
        <w:topLinePunct w:val="0"/>
        <w:autoSpaceDE/>
        <w:autoSpaceDN/>
        <w:bidi w:val="0"/>
        <w:adjustRightInd/>
        <w:snapToGrid/>
        <w:spacing w:line="360" w:lineRule="auto"/>
        <w:ind w:firstLine="744"/>
        <w:jc w:val="left"/>
        <w:textAlignment w:val="auto"/>
        <w:outlineLvl w:val="9"/>
        <w:rPr>
          <w:rFonts w:cs="Times New Roman" w:asciiTheme="minorEastAsia" w:hAnsiTheme="minorEastAsia"/>
          <w:color w:val="auto"/>
          <w:spacing w:val="46"/>
          <w:kern w:val="0"/>
          <w:sz w:val="24"/>
          <w:szCs w:val="24"/>
        </w:rPr>
      </w:pPr>
    </w:p>
    <w:p w14:paraId="2C86B66E">
      <w:pPr>
        <w:keepNext w:val="0"/>
        <w:keepLines w:val="0"/>
        <w:pageBreakBefore w:val="0"/>
        <w:widowControl/>
        <w:kinsoku/>
        <w:wordWrap/>
        <w:overflowPunct/>
        <w:topLinePunct w:val="0"/>
        <w:autoSpaceDE/>
        <w:autoSpaceDN/>
        <w:bidi w:val="0"/>
        <w:adjustRightInd/>
        <w:snapToGrid/>
        <w:spacing w:line="360" w:lineRule="auto"/>
        <w:ind w:firstLine="744"/>
        <w:jc w:val="left"/>
        <w:textAlignment w:val="auto"/>
        <w:outlineLvl w:val="9"/>
        <w:rPr>
          <w:rFonts w:cs="Times New Roman" w:asciiTheme="minorEastAsia" w:hAnsiTheme="minorEastAsia"/>
          <w:color w:val="auto"/>
          <w:spacing w:val="46"/>
          <w:kern w:val="0"/>
          <w:sz w:val="24"/>
          <w:szCs w:val="24"/>
        </w:rPr>
      </w:pPr>
    </w:p>
    <w:p w14:paraId="210BC077">
      <w:pPr>
        <w:keepNext w:val="0"/>
        <w:keepLines w:val="0"/>
        <w:pageBreakBefore w:val="0"/>
        <w:widowControl/>
        <w:kinsoku/>
        <w:wordWrap/>
        <w:overflowPunct/>
        <w:topLinePunct w:val="0"/>
        <w:autoSpaceDE/>
        <w:autoSpaceDN/>
        <w:bidi w:val="0"/>
        <w:adjustRightInd/>
        <w:snapToGrid/>
        <w:spacing w:line="360" w:lineRule="auto"/>
        <w:ind w:firstLine="744"/>
        <w:jc w:val="left"/>
        <w:textAlignment w:val="auto"/>
        <w:outlineLvl w:val="9"/>
        <w:rPr>
          <w:rFonts w:cs="Times New Roman" w:asciiTheme="minorEastAsia" w:hAnsiTheme="minorEastAsia"/>
          <w:color w:val="auto"/>
          <w:spacing w:val="46"/>
          <w:kern w:val="0"/>
          <w:sz w:val="24"/>
          <w:szCs w:val="24"/>
        </w:rPr>
      </w:pPr>
    </w:p>
    <w:p w14:paraId="39A96921">
      <w:pPr>
        <w:tabs>
          <w:tab w:val="left" w:pos="6827"/>
        </w:tabs>
        <w:autoSpaceDE w:val="0"/>
        <w:autoSpaceDN w:val="0"/>
        <w:spacing w:before="43" w:line="360" w:lineRule="auto"/>
        <w:ind w:firstLine="484" w:firstLineChars="202"/>
        <w:jc w:val="left"/>
        <w:rPr>
          <w:rFonts w:ascii="宋体" w:hAnsi="宋体" w:eastAsia="宋体" w:cs="宋体"/>
          <w:kern w:val="0"/>
          <w:sz w:val="24"/>
          <w:szCs w:val="28"/>
        </w:rPr>
      </w:pPr>
      <w:r>
        <w:rPr>
          <w:rFonts w:hint="eastAsia" w:ascii="宋体" w:hAnsi="宋体" w:eastAsia="宋体" w:cs="宋体"/>
          <w:kern w:val="0"/>
          <w:sz w:val="24"/>
          <w:szCs w:val="28"/>
          <w:lang w:val="en-US" w:eastAsia="zh-CN"/>
        </w:rPr>
        <w:t>供应商</w:t>
      </w:r>
      <w:r>
        <w:rPr>
          <w:rFonts w:hint="eastAsia" w:ascii="宋体" w:hAnsi="宋体" w:eastAsia="宋体" w:cs="宋体"/>
          <w:kern w:val="0"/>
          <w:sz w:val="24"/>
          <w:szCs w:val="28"/>
          <w:lang w:eastAsia="zh-CN"/>
        </w:rPr>
        <w:t>（电子签章）</w:t>
      </w:r>
      <w:r>
        <w:rPr>
          <w:rFonts w:hint="eastAsia" w:ascii="宋体" w:hAnsi="宋体" w:eastAsia="宋体" w:cs="宋体"/>
          <w:kern w:val="0"/>
          <w:sz w:val="24"/>
          <w:szCs w:val="28"/>
        </w:rPr>
        <w:t>：</w:t>
      </w:r>
      <w:r>
        <w:rPr>
          <w:rFonts w:hint="eastAsia" w:ascii="宋体" w:hAnsi="宋体" w:eastAsia="宋体" w:cs="宋体"/>
          <w:kern w:val="0"/>
          <w:sz w:val="24"/>
          <w:szCs w:val="28"/>
          <w:u w:val="single"/>
        </w:rPr>
        <w:t xml:space="preserve">                          </w:t>
      </w:r>
    </w:p>
    <w:p w14:paraId="0D6FE12B">
      <w:pPr>
        <w:tabs>
          <w:tab w:val="left" w:pos="6827"/>
        </w:tabs>
        <w:autoSpaceDE w:val="0"/>
        <w:autoSpaceDN w:val="0"/>
        <w:spacing w:before="43" w:line="360" w:lineRule="auto"/>
        <w:ind w:firstLine="484" w:firstLineChars="202"/>
        <w:jc w:val="left"/>
        <w:rPr>
          <w:rFonts w:hint="eastAsia" w:ascii="宋体" w:hAnsi="宋体" w:eastAsia="宋体" w:cs="宋体"/>
          <w:kern w:val="0"/>
          <w:sz w:val="24"/>
          <w:szCs w:val="28"/>
        </w:rPr>
      </w:pPr>
      <w:r>
        <w:rPr>
          <w:rFonts w:hint="eastAsia" w:ascii="宋体" w:hAnsi="宋体" w:eastAsia="宋体" w:cs="宋体"/>
          <w:kern w:val="0"/>
          <w:sz w:val="24"/>
          <w:szCs w:val="28"/>
        </w:rPr>
        <w:t>法定代表人（</w:t>
      </w:r>
      <w:r>
        <w:rPr>
          <w:rFonts w:hint="eastAsia" w:ascii="宋体" w:hAnsi="宋体" w:eastAsia="宋体" w:cs="宋体"/>
          <w:kern w:val="0"/>
          <w:sz w:val="24"/>
          <w:szCs w:val="28"/>
          <w:lang w:val="en-US" w:eastAsia="zh-CN"/>
        </w:rPr>
        <w:t>签</w:t>
      </w:r>
      <w:r>
        <w:rPr>
          <w:rFonts w:hint="eastAsia" w:ascii="宋体" w:hAnsi="宋体" w:eastAsia="宋体" w:cs="宋体"/>
          <w:kern w:val="0"/>
          <w:sz w:val="24"/>
          <w:szCs w:val="28"/>
        </w:rPr>
        <w:t>章）：</w:t>
      </w:r>
      <w:r>
        <w:rPr>
          <w:rFonts w:hint="eastAsia" w:ascii="宋体" w:hAnsi="宋体" w:eastAsia="宋体" w:cs="宋体"/>
          <w:kern w:val="0"/>
          <w:sz w:val="24"/>
          <w:szCs w:val="28"/>
          <w:u w:val="single"/>
        </w:rPr>
        <w:t xml:space="preserve">                          </w:t>
      </w:r>
    </w:p>
    <w:p w14:paraId="7C86A9BD">
      <w:pPr>
        <w:tabs>
          <w:tab w:val="left" w:pos="6827"/>
        </w:tabs>
        <w:autoSpaceDE w:val="0"/>
        <w:autoSpaceDN w:val="0"/>
        <w:spacing w:before="43" w:line="360" w:lineRule="auto"/>
        <w:ind w:firstLine="484" w:firstLineChars="202"/>
        <w:jc w:val="left"/>
        <w:rPr>
          <w:rFonts w:ascii="宋体" w:hAnsi="宋体" w:eastAsia="宋体" w:cs="宋体"/>
          <w:kern w:val="0"/>
          <w:sz w:val="24"/>
          <w:szCs w:val="28"/>
          <w:u w:val="single"/>
        </w:rPr>
      </w:pPr>
      <w:r>
        <w:rPr>
          <w:rFonts w:hint="eastAsia" w:ascii="宋体" w:hAnsi="宋体" w:eastAsia="宋体" w:cs="宋体"/>
          <w:kern w:val="0"/>
          <w:sz w:val="24"/>
          <w:szCs w:val="28"/>
        </w:rPr>
        <w:t>地 址：</w:t>
      </w:r>
      <w:r>
        <w:rPr>
          <w:rFonts w:hint="eastAsia" w:ascii="宋体" w:hAnsi="宋体" w:eastAsia="宋体" w:cs="宋体"/>
          <w:kern w:val="0"/>
          <w:sz w:val="24"/>
          <w:szCs w:val="28"/>
          <w:u w:val="single"/>
        </w:rPr>
        <w:t xml:space="preserve">                                     </w:t>
      </w:r>
    </w:p>
    <w:p w14:paraId="3CAA85D7">
      <w:pPr>
        <w:tabs>
          <w:tab w:val="left" w:pos="6827"/>
        </w:tabs>
        <w:autoSpaceDE w:val="0"/>
        <w:autoSpaceDN w:val="0"/>
        <w:spacing w:before="43" w:line="360" w:lineRule="auto"/>
        <w:ind w:firstLine="484" w:firstLineChars="202"/>
        <w:jc w:val="left"/>
        <w:rPr>
          <w:rFonts w:ascii="宋体" w:hAnsi="宋体" w:eastAsia="宋体" w:cs="宋体"/>
          <w:kern w:val="0"/>
          <w:sz w:val="24"/>
          <w:szCs w:val="28"/>
          <w:u w:val="single"/>
        </w:rPr>
      </w:pPr>
      <w:r>
        <w:rPr>
          <w:rFonts w:hint="eastAsia" w:ascii="宋体" w:hAnsi="宋体" w:eastAsia="宋体" w:cs="宋体"/>
          <w:kern w:val="0"/>
          <w:sz w:val="24"/>
          <w:szCs w:val="28"/>
        </w:rPr>
        <w:t>邮 编：</w:t>
      </w:r>
      <w:r>
        <w:rPr>
          <w:rFonts w:hint="eastAsia" w:ascii="宋体" w:hAnsi="宋体" w:eastAsia="宋体" w:cs="宋体"/>
          <w:kern w:val="0"/>
          <w:sz w:val="24"/>
          <w:szCs w:val="28"/>
          <w:u w:val="single"/>
        </w:rPr>
        <w:t xml:space="preserve">                                     </w:t>
      </w:r>
    </w:p>
    <w:p w14:paraId="53562A22">
      <w:pPr>
        <w:tabs>
          <w:tab w:val="left" w:pos="6827"/>
        </w:tabs>
        <w:autoSpaceDE w:val="0"/>
        <w:autoSpaceDN w:val="0"/>
        <w:spacing w:before="43" w:line="360" w:lineRule="auto"/>
        <w:ind w:firstLine="484" w:firstLineChars="202"/>
        <w:jc w:val="left"/>
        <w:rPr>
          <w:rFonts w:ascii="宋体" w:hAnsi="宋体" w:eastAsia="宋体" w:cs="宋体"/>
          <w:kern w:val="0"/>
          <w:sz w:val="24"/>
          <w:szCs w:val="28"/>
          <w:u w:val="single"/>
        </w:rPr>
      </w:pPr>
      <w:r>
        <w:rPr>
          <w:rFonts w:hint="eastAsia" w:ascii="宋体" w:hAnsi="宋体" w:eastAsia="宋体" w:cs="宋体"/>
          <w:kern w:val="0"/>
          <w:sz w:val="24"/>
          <w:szCs w:val="28"/>
        </w:rPr>
        <w:t>电 话：</w:t>
      </w:r>
      <w:r>
        <w:rPr>
          <w:rFonts w:hint="eastAsia" w:ascii="宋体" w:hAnsi="宋体" w:eastAsia="宋体" w:cs="宋体"/>
          <w:kern w:val="0"/>
          <w:sz w:val="24"/>
          <w:szCs w:val="28"/>
          <w:u w:val="single"/>
        </w:rPr>
        <w:t xml:space="preserve">                                     </w:t>
      </w:r>
    </w:p>
    <w:p w14:paraId="05477D2D">
      <w:pPr>
        <w:tabs>
          <w:tab w:val="left" w:pos="6827"/>
        </w:tabs>
        <w:autoSpaceDE w:val="0"/>
        <w:autoSpaceDN w:val="0"/>
        <w:spacing w:before="43" w:line="360" w:lineRule="auto"/>
        <w:ind w:firstLine="484" w:firstLineChars="202"/>
        <w:jc w:val="left"/>
        <w:rPr>
          <w:rFonts w:ascii="宋体" w:hAnsi="宋体" w:eastAsia="宋体" w:cs="宋体"/>
          <w:kern w:val="0"/>
          <w:sz w:val="24"/>
          <w:szCs w:val="28"/>
          <w:u w:val="single"/>
        </w:rPr>
      </w:pPr>
      <w:r>
        <w:rPr>
          <w:rFonts w:hint="eastAsia" w:ascii="宋体" w:hAnsi="宋体" w:eastAsia="宋体" w:cs="宋体"/>
          <w:kern w:val="0"/>
          <w:sz w:val="24"/>
          <w:szCs w:val="28"/>
        </w:rPr>
        <w:t>传 真：</w:t>
      </w:r>
      <w:r>
        <w:rPr>
          <w:rFonts w:hint="eastAsia" w:ascii="宋体" w:hAnsi="宋体" w:eastAsia="宋体" w:cs="宋体"/>
          <w:kern w:val="0"/>
          <w:sz w:val="24"/>
          <w:szCs w:val="28"/>
          <w:u w:val="single"/>
        </w:rPr>
        <w:t xml:space="preserve">                                     </w:t>
      </w:r>
    </w:p>
    <w:p w14:paraId="53F638E1">
      <w:pPr>
        <w:tabs>
          <w:tab w:val="left" w:pos="6827"/>
        </w:tabs>
        <w:autoSpaceDE w:val="0"/>
        <w:autoSpaceDN w:val="0"/>
        <w:spacing w:before="43" w:line="360" w:lineRule="auto"/>
        <w:ind w:firstLine="484" w:firstLineChars="202"/>
        <w:jc w:val="left"/>
        <w:rPr>
          <w:rFonts w:ascii="宋体" w:hAnsi="宋体" w:eastAsia="宋体" w:cs="宋体"/>
          <w:kern w:val="0"/>
          <w:sz w:val="24"/>
          <w:szCs w:val="28"/>
          <w:u w:val="single"/>
        </w:rPr>
      </w:pPr>
      <w:r>
        <w:rPr>
          <w:rFonts w:hint="eastAsia" w:ascii="宋体" w:hAnsi="宋体" w:eastAsia="宋体" w:cs="宋体"/>
          <w:kern w:val="0"/>
          <w:sz w:val="24"/>
          <w:szCs w:val="28"/>
        </w:rPr>
        <w:t>日 期：</w:t>
      </w:r>
      <w:r>
        <w:rPr>
          <w:rFonts w:hint="eastAsia" w:ascii="宋体" w:hAnsi="宋体" w:eastAsia="宋体" w:cs="宋体"/>
          <w:kern w:val="0"/>
          <w:sz w:val="24"/>
          <w:szCs w:val="28"/>
          <w:u w:val="single"/>
        </w:rPr>
        <w:t xml:space="preserve">               </w:t>
      </w:r>
    </w:p>
    <w:p w14:paraId="4544E8AD">
      <w:pPr>
        <w:keepNext w:val="0"/>
        <w:keepLines w:val="0"/>
        <w:pageBreakBefore w:val="0"/>
        <w:kinsoku/>
        <w:wordWrap/>
        <w:overflowPunct/>
        <w:topLinePunct w:val="0"/>
        <w:autoSpaceDE/>
        <w:autoSpaceDN/>
        <w:bidi w:val="0"/>
        <w:adjustRightInd/>
        <w:snapToGrid/>
        <w:spacing w:line="360" w:lineRule="auto"/>
        <w:jc w:val="both"/>
        <w:textAlignment w:val="auto"/>
        <w:outlineLvl w:val="9"/>
        <w:rPr>
          <w:rFonts w:cs="Times New Roman" w:asciiTheme="minorEastAsia" w:hAnsiTheme="minorEastAsia"/>
          <w:bCs/>
          <w:color w:val="auto"/>
          <w:szCs w:val="21"/>
        </w:rPr>
      </w:pPr>
    </w:p>
    <w:p w14:paraId="32328F4F">
      <w:pPr>
        <w:keepNext w:val="0"/>
        <w:keepLines w:val="0"/>
        <w:pageBreakBefore w:val="0"/>
        <w:kinsoku/>
        <w:wordWrap/>
        <w:overflowPunct/>
        <w:topLinePunct w:val="0"/>
        <w:autoSpaceDE/>
        <w:autoSpaceDN/>
        <w:bidi w:val="0"/>
        <w:adjustRightInd/>
        <w:snapToGrid/>
        <w:spacing w:line="360" w:lineRule="auto"/>
        <w:jc w:val="both"/>
        <w:textAlignment w:val="auto"/>
        <w:outlineLvl w:val="9"/>
        <w:rPr>
          <w:rFonts w:cs="Times New Roman" w:asciiTheme="minorEastAsia" w:hAnsiTheme="minorEastAsia"/>
          <w:bCs/>
          <w:color w:val="auto"/>
          <w:szCs w:val="21"/>
        </w:rPr>
      </w:pPr>
    </w:p>
    <w:p w14:paraId="57A079BA">
      <w:pPr>
        <w:keepNext w:val="0"/>
        <w:keepLines w:val="0"/>
        <w:pageBreakBefore w:val="0"/>
        <w:kinsoku/>
        <w:wordWrap/>
        <w:overflowPunct/>
        <w:topLinePunct w:val="0"/>
        <w:autoSpaceDE/>
        <w:autoSpaceDN/>
        <w:bidi w:val="0"/>
        <w:adjustRightInd/>
        <w:snapToGrid/>
        <w:spacing w:line="360" w:lineRule="auto"/>
        <w:jc w:val="both"/>
        <w:textAlignment w:val="auto"/>
        <w:outlineLvl w:val="9"/>
        <w:rPr>
          <w:rFonts w:cs="Times New Roman" w:asciiTheme="minorEastAsia" w:hAnsiTheme="minorEastAsia"/>
          <w:bCs/>
          <w:color w:val="auto"/>
          <w:szCs w:val="21"/>
        </w:rPr>
      </w:pPr>
    </w:p>
    <w:p w14:paraId="165DA564">
      <w:pPr>
        <w:keepNext w:val="0"/>
        <w:keepLines w:val="0"/>
        <w:pageBreakBefore w:val="0"/>
        <w:kinsoku/>
        <w:wordWrap/>
        <w:overflowPunct/>
        <w:topLinePunct w:val="0"/>
        <w:autoSpaceDE/>
        <w:autoSpaceDN/>
        <w:bidi w:val="0"/>
        <w:adjustRightInd/>
        <w:snapToGrid/>
        <w:spacing w:line="360" w:lineRule="auto"/>
        <w:jc w:val="both"/>
        <w:textAlignment w:val="auto"/>
        <w:outlineLvl w:val="9"/>
        <w:rPr>
          <w:rFonts w:cs="Times New Roman" w:asciiTheme="minorEastAsia" w:hAnsiTheme="minorEastAsia"/>
          <w:bCs/>
          <w:color w:val="auto"/>
          <w:szCs w:val="21"/>
        </w:rPr>
      </w:pPr>
    </w:p>
    <w:p w14:paraId="7AB88E61">
      <w:pPr>
        <w:keepNext w:val="0"/>
        <w:keepLines w:val="0"/>
        <w:pageBreakBefore w:val="0"/>
        <w:kinsoku/>
        <w:wordWrap/>
        <w:overflowPunct/>
        <w:topLinePunct w:val="0"/>
        <w:autoSpaceDE/>
        <w:autoSpaceDN/>
        <w:bidi w:val="0"/>
        <w:adjustRightInd/>
        <w:snapToGrid/>
        <w:spacing w:line="360" w:lineRule="auto"/>
        <w:jc w:val="both"/>
        <w:textAlignment w:val="auto"/>
        <w:outlineLvl w:val="9"/>
        <w:rPr>
          <w:rFonts w:cs="Times New Roman" w:asciiTheme="minorEastAsia" w:hAnsiTheme="minorEastAsia"/>
          <w:bCs/>
          <w:color w:val="auto"/>
          <w:szCs w:val="21"/>
        </w:rPr>
      </w:pPr>
    </w:p>
    <w:p w14:paraId="4FBEEDDC">
      <w:pPr>
        <w:keepNext w:val="0"/>
        <w:keepLines w:val="0"/>
        <w:pageBreakBefore w:val="0"/>
        <w:kinsoku/>
        <w:wordWrap/>
        <w:overflowPunct/>
        <w:topLinePunct w:val="0"/>
        <w:autoSpaceDE/>
        <w:autoSpaceDN/>
        <w:bidi w:val="0"/>
        <w:adjustRightInd/>
        <w:snapToGrid/>
        <w:spacing w:line="360" w:lineRule="auto"/>
        <w:jc w:val="both"/>
        <w:textAlignment w:val="auto"/>
        <w:outlineLvl w:val="9"/>
        <w:rPr>
          <w:rFonts w:cs="Times New Roman" w:asciiTheme="minorEastAsia" w:hAnsiTheme="minorEastAsia"/>
          <w:bCs/>
          <w:color w:val="auto"/>
          <w:szCs w:val="21"/>
        </w:rPr>
      </w:pPr>
    </w:p>
    <w:p w14:paraId="6176B0A6">
      <w:pPr>
        <w:keepNext w:val="0"/>
        <w:keepLines w:val="0"/>
        <w:pageBreakBefore w:val="0"/>
        <w:kinsoku/>
        <w:wordWrap/>
        <w:overflowPunct/>
        <w:topLinePunct w:val="0"/>
        <w:autoSpaceDE/>
        <w:autoSpaceDN/>
        <w:bidi w:val="0"/>
        <w:adjustRightInd/>
        <w:snapToGrid/>
        <w:spacing w:line="360" w:lineRule="auto"/>
        <w:jc w:val="both"/>
        <w:textAlignment w:val="auto"/>
        <w:outlineLvl w:val="9"/>
        <w:rPr>
          <w:rFonts w:cs="Times New Roman" w:asciiTheme="minorEastAsia" w:hAnsiTheme="minorEastAsia"/>
          <w:bCs/>
          <w:color w:val="auto"/>
          <w:szCs w:val="21"/>
        </w:rPr>
      </w:pPr>
    </w:p>
    <w:p w14:paraId="036EEF5D">
      <w:pPr>
        <w:keepNext w:val="0"/>
        <w:keepLines w:val="0"/>
        <w:pageBreakBefore w:val="0"/>
        <w:kinsoku/>
        <w:wordWrap/>
        <w:overflowPunct/>
        <w:topLinePunct w:val="0"/>
        <w:autoSpaceDE/>
        <w:autoSpaceDN/>
        <w:bidi w:val="0"/>
        <w:adjustRightInd/>
        <w:snapToGrid/>
        <w:spacing w:line="360" w:lineRule="auto"/>
        <w:jc w:val="both"/>
        <w:textAlignment w:val="auto"/>
        <w:outlineLvl w:val="9"/>
        <w:rPr>
          <w:rFonts w:cs="Times New Roman" w:asciiTheme="minorEastAsia" w:hAnsiTheme="minorEastAsia"/>
          <w:bCs/>
          <w:color w:val="auto"/>
          <w:szCs w:val="21"/>
        </w:rPr>
      </w:pPr>
    </w:p>
    <w:p w14:paraId="01DE23EB">
      <w:pPr>
        <w:keepNext w:val="0"/>
        <w:keepLines w:val="0"/>
        <w:pageBreakBefore w:val="0"/>
        <w:kinsoku/>
        <w:wordWrap/>
        <w:overflowPunct/>
        <w:topLinePunct w:val="0"/>
        <w:autoSpaceDE/>
        <w:autoSpaceDN/>
        <w:bidi w:val="0"/>
        <w:adjustRightInd/>
        <w:snapToGrid/>
        <w:spacing w:line="360" w:lineRule="auto"/>
        <w:jc w:val="both"/>
        <w:textAlignment w:val="auto"/>
        <w:outlineLvl w:val="9"/>
        <w:rPr>
          <w:rFonts w:cs="Times New Roman" w:asciiTheme="minorEastAsia" w:hAnsiTheme="minorEastAsia"/>
          <w:bCs/>
          <w:color w:val="auto"/>
          <w:szCs w:val="21"/>
        </w:rPr>
      </w:pPr>
    </w:p>
    <w:p w14:paraId="07EF3AC4">
      <w:pPr>
        <w:keepNext w:val="0"/>
        <w:keepLines w:val="0"/>
        <w:pageBreakBefore w:val="0"/>
        <w:kinsoku/>
        <w:wordWrap/>
        <w:overflowPunct/>
        <w:topLinePunct w:val="0"/>
        <w:autoSpaceDE/>
        <w:autoSpaceDN/>
        <w:bidi w:val="0"/>
        <w:adjustRightInd/>
        <w:snapToGrid/>
        <w:spacing w:line="360" w:lineRule="auto"/>
        <w:jc w:val="both"/>
        <w:textAlignment w:val="auto"/>
        <w:outlineLvl w:val="9"/>
        <w:rPr>
          <w:rFonts w:cs="Times New Roman" w:asciiTheme="minorEastAsia" w:hAnsiTheme="minorEastAsia"/>
          <w:bCs/>
          <w:color w:val="auto"/>
          <w:szCs w:val="21"/>
        </w:rPr>
      </w:pPr>
    </w:p>
    <w:p w14:paraId="5276BBCB">
      <w:pPr>
        <w:keepNext w:val="0"/>
        <w:keepLines w:val="0"/>
        <w:pageBreakBefore w:val="0"/>
        <w:kinsoku/>
        <w:wordWrap/>
        <w:overflowPunct/>
        <w:topLinePunct w:val="0"/>
        <w:autoSpaceDE/>
        <w:autoSpaceDN/>
        <w:bidi w:val="0"/>
        <w:adjustRightInd/>
        <w:snapToGrid/>
        <w:spacing w:line="360" w:lineRule="auto"/>
        <w:jc w:val="both"/>
        <w:textAlignment w:val="auto"/>
        <w:outlineLvl w:val="9"/>
        <w:rPr>
          <w:rFonts w:cs="Times New Roman" w:asciiTheme="minorEastAsia" w:hAnsiTheme="minorEastAsia"/>
          <w:bCs/>
          <w:color w:val="auto"/>
          <w:szCs w:val="21"/>
        </w:rPr>
      </w:pPr>
    </w:p>
    <w:p w14:paraId="065EE1CF">
      <w:pPr>
        <w:keepNext w:val="0"/>
        <w:keepLines w:val="0"/>
        <w:pageBreakBefore w:val="0"/>
        <w:kinsoku/>
        <w:wordWrap/>
        <w:overflowPunct/>
        <w:topLinePunct w:val="0"/>
        <w:autoSpaceDE/>
        <w:autoSpaceDN/>
        <w:bidi w:val="0"/>
        <w:adjustRightInd/>
        <w:snapToGrid/>
        <w:spacing w:line="360" w:lineRule="auto"/>
        <w:jc w:val="both"/>
        <w:textAlignment w:val="auto"/>
        <w:outlineLvl w:val="9"/>
        <w:rPr>
          <w:rFonts w:cs="Times New Roman" w:asciiTheme="minorEastAsia" w:hAnsiTheme="minorEastAsia"/>
          <w:b/>
          <w:bCs/>
          <w:color w:val="auto"/>
          <w:kern w:val="0"/>
          <w:sz w:val="28"/>
          <w:szCs w:val="28"/>
        </w:rPr>
      </w:pPr>
      <w:bookmarkStart w:id="310" w:name="_Toc145065229"/>
      <w:bookmarkStart w:id="311" w:name="_Toc109675042"/>
      <w:bookmarkStart w:id="312" w:name="_Toc145065059"/>
      <w:r>
        <w:rPr>
          <w:rFonts w:hint="eastAsia" w:cs="Times New Roman" w:asciiTheme="minorEastAsia" w:hAnsiTheme="minorEastAsia"/>
          <w:b/>
          <w:bCs/>
          <w:color w:val="auto"/>
          <w:kern w:val="0"/>
          <w:sz w:val="28"/>
          <w:szCs w:val="28"/>
          <w:lang w:eastAsia="zh-CN"/>
        </w:rPr>
        <w:t>（</w:t>
      </w:r>
      <w:r>
        <w:rPr>
          <w:rFonts w:hint="eastAsia" w:cs="Times New Roman" w:asciiTheme="minorEastAsia" w:hAnsiTheme="minorEastAsia"/>
          <w:b/>
          <w:bCs/>
          <w:color w:val="auto"/>
          <w:kern w:val="0"/>
          <w:sz w:val="28"/>
          <w:szCs w:val="28"/>
          <w:lang w:val="en-US" w:eastAsia="zh-CN"/>
        </w:rPr>
        <w:t>二</w:t>
      </w:r>
      <w:r>
        <w:rPr>
          <w:rFonts w:hint="eastAsia" w:cs="Times New Roman" w:asciiTheme="minorEastAsia" w:hAnsiTheme="minorEastAsia"/>
          <w:b/>
          <w:bCs/>
          <w:color w:val="auto"/>
          <w:kern w:val="0"/>
          <w:sz w:val="28"/>
          <w:szCs w:val="28"/>
          <w:lang w:eastAsia="zh-CN"/>
        </w:rPr>
        <w:t>）</w:t>
      </w:r>
      <w:r>
        <w:rPr>
          <w:rFonts w:hint="eastAsia" w:cs="Times New Roman" w:asciiTheme="minorEastAsia" w:hAnsiTheme="minorEastAsia"/>
          <w:b/>
          <w:bCs/>
          <w:color w:val="auto"/>
          <w:kern w:val="0"/>
          <w:sz w:val="28"/>
          <w:szCs w:val="28"/>
        </w:rPr>
        <w:t>磋商函附表</w:t>
      </w:r>
      <w:bookmarkEnd w:id="310"/>
      <w:bookmarkEnd w:id="311"/>
      <w:bookmarkEnd w:id="312"/>
    </w:p>
    <w:tbl>
      <w:tblPr>
        <w:tblStyle w:val="17"/>
        <w:tblpPr w:leftFromText="180" w:rightFromText="180" w:vertAnchor="text" w:horzAnchor="page" w:tblpXSpec="center" w:tblpY="294"/>
        <w:tblOverlap w:val="never"/>
        <w:tblW w:w="8701" w:type="dxa"/>
        <w:jc w:val="center"/>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CellMar>
          <w:top w:w="0" w:type="dxa"/>
          <w:left w:w="108" w:type="dxa"/>
          <w:bottom w:w="0" w:type="dxa"/>
          <w:right w:w="108" w:type="dxa"/>
        </w:tblCellMar>
      </w:tblPr>
      <w:tblGrid>
        <w:gridCol w:w="2042"/>
        <w:gridCol w:w="1211"/>
        <w:gridCol w:w="1868"/>
        <w:gridCol w:w="1432"/>
        <w:gridCol w:w="2148"/>
      </w:tblGrid>
      <w:tr w14:paraId="2162A7C4">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6BA8FB94">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项目名称</w:t>
            </w:r>
          </w:p>
        </w:tc>
        <w:tc>
          <w:tcPr>
            <w:tcW w:w="6659" w:type="dxa"/>
            <w:gridSpan w:val="4"/>
            <w:tcBorders>
              <w:top w:val="single" w:color="auto" w:sz="6" w:space="0"/>
              <w:left w:val="single" w:color="auto" w:sz="6" w:space="0"/>
              <w:bottom w:val="single" w:color="auto" w:sz="6" w:space="0"/>
              <w:right w:val="single" w:color="auto" w:sz="6" w:space="0"/>
            </w:tcBorders>
            <w:vAlign w:val="center"/>
          </w:tcPr>
          <w:p w14:paraId="5026E5BD">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p>
        </w:tc>
      </w:tr>
      <w:tr w14:paraId="5C03FAF6">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7268DFA3">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项目编号</w:t>
            </w:r>
          </w:p>
        </w:tc>
        <w:tc>
          <w:tcPr>
            <w:tcW w:w="6659" w:type="dxa"/>
            <w:gridSpan w:val="4"/>
            <w:tcBorders>
              <w:top w:val="single" w:color="auto" w:sz="6" w:space="0"/>
              <w:left w:val="single" w:color="auto" w:sz="6" w:space="0"/>
              <w:bottom w:val="single" w:color="auto" w:sz="6" w:space="0"/>
              <w:right w:val="single" w:color="auto" w:sz="6" w:space="0"/>
            </w:tcBorders>
            <w:vAlign w:val="center"/>
          </w:tcPr>
          <w:p w14:paraId="6014D012">
            <w:pPr>
              <w:keepNext w:val="0"/>
              <w:keepLines w:val="0"/>
              <w:pageBreakBefore w:val="0"/>
              <w:kinsoku/>
              <w:wordWrap/>
              <w:overflowPunct/>
              <w:topLinePunct w:val="0"/>
              <w:autoSpaceDE/>
              <w:autoSpaceDN/>
              <w:bidi w:val="0"/>
              <w:adjustRightInd/>
              <w:spacing w:line="360" w:lineRule="auto"/>
              <w:ind w:right="640"/>
              <w:jc w:val="center"/>
              <w:textAlignment w:val="auto"/>
              <w:outlineLvl w:val="9"/>
              <w:rPr>
                <w:rFonts w:cs="宋体" w:asciiTheme="minorEastAsia" w:hAnsiTheme="minorEastAsia"/>
                <w:color w:val="auto"/>
                <w:sz w:val="24"/>
                <w:szCs w:val="24"/>
              </w:rPr>
            </w:pPr>
          </w:p>
        </w:tc>
      </w:tr>
      <w:tr w14:paraId="7ECE6B08">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2AE28956">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供应商</w:t>
            </w:r>
          </w:p>
        </w:tc>
        <w:tc>
          <w:tcPr>
            <w:tcW w:w="6659" w:type="dxa"/>
            <w:gridSpan w:val="4"/>
            <w:tcBorders>
              <w:top w:val="single" w:color="auto" w:sz="6" w:space="0"/>
              <w:left w:val="single" w:color="auto" w:sz="6" w:space="0"/>
              <w:bottom w:val="single" w:color="auto" w:sz="6" w:space="0"/>
              <w:right w:val="single" w:color="auto" w:sz="6" w:space="0"/>
            </w:tcBorders>
            <w:vAlign w:val="center"/>
          </w:tcPr>
          <w:p w14:paraId="7D97FB40">
            <w:pPr>
              <w:keepNext w:val="0"/>
              <w:keepLines w:val="0"/>
              <w:pageBreakBefore w:val="0"/>
              <w:kinsoku/>
              <w:wordWrap/>
              <w:overflowPunct/>
              <w:topLinePunct w:val="0"/>
              <w:autoSpaceDE/>
              <w:autoSpaceDN/>
              <w:bidi w:val="0"/>
              <w:adjustRightInd/>
              <w:spacing w:line="360" w:lineRule="auto"/>
              <w:ind w:right="640"/>
              <w:jc w:val="center"/>
              <w:textAlignment w:val="auto"/>
              <w:outlineLvl w:val="9"/>
              <w:rPr>
                <w:rFonts w:cs="宋体" w:asciiTheme="minorEastAsia" w:hAnsiTheme="minorEastAsia"/>
                <w:color w:val="auto"/>
                <w:sz w:val="24"/>
                <w:szCs w:val="24"/>
              </w:rPr>
            </w:pPr>
          </w:p>
        </w:tc>
      </w:tr>
      <w:tr w14:paraId="7F044CC3">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57F8D192">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cs="宋体" w:asciiTheme="minorEastAsia" w:hAnsiTheme="minorEastAsia" w:eastAsiaTheme="minorEastAsia"/>
                <w:color w:val="auto"/>
                <w:sz w:val="24"/>
                <w:szCs w:val="24"/>
                <w:lang w:val="en-US" w:eastAsia="zh-CN"/>
              </w:rPr>
            </w:pPr>
            <w:r>
              <w:rPr>
                <w:rFonts w:hint="eastAsia" w:cs="宋体" w:asciiTheme="minorEastAsia" w:hAnsiTheme="minorEastAsia"/>
                <w:color w:val="auto"/>
                <w:sz w:val="24"/>
                <w:szCs w:val="24"/>
                <w:lang w:val="en-US" w:eastAsia="zh-CN"/>
              </w:rPr>
              <w:t>营业执照</w:t>
            </w:r>
          </w:p>
        </w:tc>
        <w:tc>
          <w:tcPr>
            <w:tcW w:w="6659" w:type="dxa"/>
            <w:gridSpan w:val="4"/>
            <w:tcBorders>
              <w:top w:val="single" w:color="auto" w:sz="6" w:space="0"/>
              <w:left w:val="single" w:color="auto" w:sz="6" w:space="0"/>
              <w:bottom w:val="single" w:color="auto" w:sz="6" w:space="0"/>
              <w:right w:val="single" w:color="auto" w:sz="6" w:space="0"/>
            </w:tcBorders>
            <w:vAlign w:val="center"/>
          </w:tcPr>
          <w:p w14:paraId="1FDD40F8">
            <w:pPr>
              <w:keepNext w:val="0"/>
              <w:keepLines w:val="0"/>
              <w:pageBreakBefore w:val="0"/>
              <w:kinsoku/>
              <w:wordWrap/>
              <w:overflowPunct/>
              <w:topLinePunct w:val="0"/>
              <w:autoSpaceDE/>
              <w:autoSpaceDN/>
              <w:bidi w:val="0"/>
              <w:adjustRightInd/>
              <w:spacing w:line="360" w:lineRule="auto"/>
              <w:ind w:right="640"/>
              <w:jc w:val="center"/>
              <w:textAlignment w:val="auto"/>
              <w:outlineLvl w:val="9"/>
              <w:rPr>
                <w:rFonts w:cs="宋体" w:asciiTheme="minorEastAsia" w:hAnsiTheme="minorEastAsia"/>
                <w:color w:val="auto"/>
                <w:sz w:val="24"/>
                <w:szCs w:val="24"/>
              </w:rPr>
            </w:pPr>
          </w:p>
        </w:tc>
      </w:tr>
      <w:tr w14:paraId="1770638A">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1170" w:hRule="atLeast"/>
          <w:jc w:val="center"/>
        </w:trPr>
        <w:tc>
          <w:tcPr>
            <w:tcW w:w="2042" w:type="dxa"/>
            <w:tcBorders>
              <w:top w:val="single" w:color="auto" w:sz="6" w:space="0"/>
              <w:left w:val="single" w:color="auto" w:sz="6" w:space="0"/>
              <w:right w:val="single" w:color="auto" w:sz="6" w:space="0"/>
            </w:tcBorders>
            <w:vAlign w:val="center"/>
          </w:tcPr>
          <w:p w14:paraId="54D0F258">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lang w:val="en-US" w:eastAsia="zh-CN"/>
              </w:rPr>
              <w:t>磋商</w:t>
            </w:r>
            <w:r>
              <w:rPr>
                <w:rFonts w:hint="eastAsia" w:cs="宋体" w:asciiTheme="minorEastAsia" w:hAnsiTheme="minorEastAsia"/>
                <w:color w:val="auto"/>
                <w:sz w:val="24"/>
                <w:szCs w:val="24"/>
              </w:rPr>
              <w:t>总报价</w:t>
            </w:r>
          </w:p>
        </w:tc>
        <w:tc>
          <w:tcPr>
            <w:tcW w:w="6659" w:type="dxa"/>
            <w:gridSpan w:val="4"/>
            <w:tcBorders>
              <w:top w:val="single" w:color="auto" w:sz="6" w:space="0"/>
              <w:left w:val="single" w:color="auto" w:sz="6" w:space="0"/>
              <w:right w:val="single" w:color="auto" w:sz="6" w:space="0"/>
            </w:tcBorders>
            <w:vAlign w:val="center"/>
          </w:tcPr>
          <w:p w14:paraId="2FE2CC07">
            <w:pPr>
              <w:keepNext w:val="0"/>
              <w:keepLines w:val="0"/>
              <w:pageBreakBefore w:val="0"/>
              <w:kinsoku/>
              <w:wordWrap/>
              <w:overflowPunct/>
              <w:topLinePunct w:val="0"/>
              <w:autoSpaceDE/>
              <w:autoSpaceDN/>
              <w:bidi w:val="0"/>
              <w:adjustRightInd/>
              <w:spacing w:line="360" w:lineRule="auto"/>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大写：</w:t>
            </w:r>
          </w:p>
          <w:p w14:paraId="55D3A8B7">
            <w:pPr>
              <w:keepNext w:val="0"/>
              <w:keepLines w:val="0"/>
              <w:pageBreakBefore w:val="0"/>
              <w:kinsoku/>
              <w:wordWrap/>
              <w:overflowPunct/>
              <w:topLinePunct w:val="0"/>
              <w:autoSpaceDE/>
              <w:autoSpaceDN/>
              <w:bidi w:val="0"/>
              <w:adjustRightInd/>
              <w:spacing w:line="360" w:lineRule="auto"/>
              <w:textAlignment w:val="auto"/>
              <w:outlineLvl w:val="9"/>
              <w:rPr>
                <w:rFonts w:cs="宋体" w:asciiTheme="minorEastAsia" w:hAnsiTheme="minorEastAsia"/>
                <w:color w:val="auto"/>
                <w:sz w:val="24"/>
                <w:szCs w:val="24"/>
              </w:rPr>
            </w:pPr>
          </w:p>
          <w:p w14:paraId="4506F3FE">
            <w:pPr>
              <w:keepNext w:val="0"/>
              <w:keepLines w:val="0"/>
              <w:pageBreakBefore w:val="0"/>
              <w:kinsoku/>
              <w:wordWrap/>
              <w:overflowPunct/>
              <w:topLinePunct w:val="0"/>
              <w:autoSpaceDE/>
              <w:autoSpaceDN/>
              <w:bidi w:val="0"/>
              <w:adjustRightInd/>
              <w:spacing w:line="360" w:lineRule="auto"/>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小写：    元</w:t>
            </w:r>
          </w:p>
        </w:tc>
      </w:tr>
      <w:tr w14:paraId="690D29FD">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1170" w:hRule="atLeast"/>
          <w:jc w:val="center"/>
        </w:trPr>
        <w:tc>
          <w:tcPr>
            <w:tcW w:w="2042" w:type="dxa"/>
            <w:tcBorders>
              <w:top w:val="single" w:color="auto" w:sz="6" w:space="0"/>
              <w:left w:val="single" w:color="auto" w:sz="6" w:space="0"/>
              <w:right w:val="single" w:color="auto" w:sz="6" w:space="0"/>
            </w:tcBorders>
            <w:vAlign w:val="center"/>
          </w:tcPr>
          <w:p w14:paraId="761209FE">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cs="宋体" w:asciiTheme="minorEastAsia" w:hAnsiTheme="minorEastAsia"/>
                <w:color w:val="auto"/>
                <w:sz w:val="24"/>
                <w:szCs w:val="24"/>
              </w:rPr>
            </w:pPr>
            <w:r>
              <w:rPr>
                <w:rFonts w:hint="eastAsia" w:cs="宋体" w:asciiTheme="minorEastAsia" w:hAnsiTheme="minorEastAsia"/>
                <w:color w:val="auto"/>
                <w:sz w:val="24"/>
                <w:szCs w:val="24"/>
              </w:rPr>
              <w:t>项目负责人</w:t>
            </w:r>
          </w:p>
        </w:tc>
        <w:tc>
          <w:tcPr>
            <w:tcW w:w="1211" w:type="dxa"/>
            <w:tcBorders>
              <w:top w:val="single" w:color="auto" w:sz="6" w:space="0"/>
              <w:left w:val="single" w:color="auto" w:sz="6" w:space="0"/>
              <w:right w:val="single" w:color="auto" w:sz="4" w:space="0"/>
            </w:tcBorders>
            <w:vAlign w:val="center"/>
          </w:tcPr>
          <w:p w14:paraId="35CDA55E">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cs="宋体" w:asciiTheme="minorEastAsia" w:hAnsiTheme="minorEastAsia"/>
                <w:color w:val="auto"/>
                <w:sz w:val="24"/>
                <w:szCs w:val="24"/>
              </w:rPr>
            </w:pPr>
            <w:r>
              <w:rPr>
                <w:rFonts w:hint="eastAsia" w:cs="宋体" w:asciiTheme="minorEastAsia" w:hAnsiTheme="minorEastAsia"/>
                <w:color w:val="auto"/>
                <w:sz w:val="24"/>
                <w:szCs w:val="24"/>
              </w:rPr>
              <w:t>姓名</w:t>
            </w:r>
          </w:p>
        </w:tc>
        <w:tc>
          <w:tcPr>
            <w:tcW w:w="1868" w:type="dxa"/>
            <w:tcBorders>
              <w:top w:val="single" w:color="auto" w:sz="6" w:space="0"/>
              <w:left w:val="single" w:color="auto" w:sz="4" w:space="0"/>
              <w:right w:val="single" w:color="auto" w:sz="4" w:space="0"/>
            </w:tcBorders>
            <w:vAlign w:val="center"/>
          </w:tcPr>
          <w:p w14:paraId="10B4F4C3">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cs="宋体" w:asciiTheme="minorEastAsia" w:hAnsiTheme="minorEastAsia"/>
                <w:color w:val="auto"/>
                <w:sz w:val="24"/>
                <w:szCs w:val="24"/>
              </w:rPr>
            </w:pPr>
          </w:p>
        </w:tc>
        <w:tc>
          <w:tcPr>
            <w:tcW w:w="1432" w:type="dxa"/>
            <w:tcBorders>
              <w:top w:val="single" w:color="auto" w:sz="6" w:space="0"/>
              <w:left w:val="single" w:color="auto" w:sz="4" w:space="0"/>
              <w:right w:val="single" w:color="auto" w:sz="4" w:space="0"/>
            </w:tcBorders>
            <w:vAlign w:val="center"/>
          </w:tcPr>
          <w:p w14:paraId="157D98B3">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cs="宋体" w:asciiTheme="minorEastAsia" w:hAnsiTheme="minorEastAsia"/>
                <w:color w:val="auto"/>
                <w:sz w:val="24"/>
                <w:szCs w:val="24"/>
              </w:rPr>
            </w:pPr>
            <w:r>
              <w:rPr>
                <w:rFonts w:hint="eastAsia" w:cs="宋体" w:asciiTheme="minorEastAsia" w:hAnsiTheme="minorEastAsia"/>
                <w:color w:val="auto"/>
                <w:sz w:val="24"/>
                <w:szCs w:val="24"/>
                <w:lang w:eastAsia="zh-CN"/>
              </w:rPr>
              <w:t>证书编号</w:t>
            </w:r>
          </w:p>
        </w:tc>
        <w:tc>
          <w:tcPr>
            <w:tcW w:w="2148" w:type="dxa"/>
            <w:tcBorders>
              <w:top w:val="single" w:color="auto" w:sz="6" w:space="0"/>
              <w:left w:val="single" w:color="auto" w:sz="4" w:space="0"/>
              <w:right w:val="single" w:color="auto" w:sz="6" w:space="0"/>
            </w:tcBorders>
            <w:vAlign w:val="center"/>
          </w:tcPr>
          <w:p w14:paraId="6DBBAB10">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cs="宋体" w:asciiTheme="minorEastAsia" w:hAnsiTheme="minorEastAsia"/>
                <w:color w:val="auto"/>
                <w:sz w:val="24"/>
                <w:szCs w:val="24"/>
              </w:rPr>
            </w:pPr>
          </w:p>
        </w:tc>
      </w:tr>
      <w:tr w14:paraId="242134CC">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75A22F7A">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cs="宋体" w:asciiTheme="minorEastAsia" w:hAnsiTheme="minorEastAsia" w:eastAsiaTheme="minorEastAsia"/>
                <w:color w:val="auto"/>
                <w:sz w:val="24"/>
                <w:szCs w:val="24"/>
                <w:lang w:val="en-US" w:eastAsia="zh-CN"/>
              </w:rPr>
            </w:pPr>
            <w:r>
              <w:rPr>
                <w:rFonts w:hint="eastAsia" w:cs="宋体" w:asciiTheme="minorEastAsia" w:hAnsiTheme="minorEastAsia"/>
                <w:color w:val="auto"/>
                <w:sz w:val="24"/>
                <w:szCs w:val="24"/>
              </w:rPr>
              <w:t>服务</w:t>
            </w:r>
            <w:r>
              <w:rPr>
                <w:rFonts w:hint="eastAsia" w:cs="宋体" w:asciiTheme="minorEastAsia" w:hAnsiTheme="minorEastAsia"/>
                <w:color w:val="auto"/>
                <w:sz w:val="24"/>
                <w:szCs w:val="24"/>
                <w:lang w:val="en-US" w:eastAsia="zh-CN"/>
              </w:rPr>
              <w:t>期限</w:t>
            </w:r>
          </w:p>
        </w:tc>
        <w:tc>
          <w:tcPr>
            <w:tcW w:w="6659" w:type="dxa"/>
            <w:gridSpan w:val="4"/>
            <w:tcBorders>
              <w:top w:val="single" w:color="auto" w:sz="6" w:space="0"/>
              <w:left w:val="single" w:color="auto" w:sz="6" w:space="0"/>
              <w:bottom w:val="single" w:color="auto" w:sz="6" w:space="0"/>
              <w:right w:val="single" w:color="auto" w:sz="6" w:space="0"/>
            </w:tcBorders>
            <w:vAlign w:val="center"/>
          </w:tcPr>
          <w:p w14:paraId="6A7CA1DF">
            <w:pPr>
              <w:keepNext w:val="0"/>
              <w:keepLines w:val="0"/>
              <w:pageBreakBefore w:val="0"/>
              <w:kinsoku/>
              <w:wordWrap/>
              <w:overflowPunct/>
              <w:topLinePunct w:val="0"/>
              <w:autoSpaceDE/>
              <w:autoSpaceDN/>
              <w:bidi w:val="0"/>
              <w:adjustRightInd/>
              <w:spacing w:line="360" w:lineRule="auto"/>
              <w:ind w:right="640"/>
              <w:textAlignment w:val="auto"/>
              <w:outlineLvl w:val="9"/>
              <w:rPr>
                <w:rFonts w:cs="宋体" w:asciiTheme="minorEastAsia" w:hAnsiTheme="minorEastAsia"/>
                <w:color w:val="auto"/>
                <w:sz w:val="24"/>
                <w:szCs w:val="24"/>
              </w:rPr>
            </w:pPr>
          </w:p>
        </w:tc>
      </w:tr>
      <w:tr w14:paraId="33607465">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55385194">
            <w:pPr>
              <w:keepNext w:val="0"/>
              <w:keepLines w:val="0"/>
              <w:pageBreakBefore w:val="0"/>
              <w:kinsoku/>
              <w:wordWrap/>
              <w:overflowPunct/>
              <w:topLinePunct w:val="0"/>
              <w:autoSpaceDE/>
              <w:autoSpaceDN/>
              <w:bidi w:val="0"/>
              <w:adjustRightInd/>
              <w:spacing w:line="360" w:lineRule="auto"/>
              <w:jc w:val="center"/>
              <w:textAlignment w:val="auto"/>
              <w:outlineLvl w:val="9"/>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color w:val="auto"/>
                <w:sz w:val="24"/>
                <w:szCs w:val="24"/>
                <w:lang w:val="en-US" w:eastAsia="zh-CN"/>
              </w:rPr>
              <w:t>服务地点</w:t>
            </w:r>
          </w:p>
        </w:tc>
        <w:tc>
          <w:tcPr>
            <w:tcW w:w="6659" w:type="dxa"/>
            <w:gridSpan w:val="4"/>
            <w:tcBorders>
              <w:top w:val="single" w:color="auto" w:sz="6" w:space="0"/>
              <w:left w:val="single" w:color="auto" w:sz="6" w:space="0"/>
              <w:bottom w:val="single" w:color="auto" w:sz="6" w:space="0"/>
              <w:right w:val="single" w:color="auto" w:sz="6" w:space="0"/>
            </w:tcBorders>
            <w:vAlign w:val="center"/>
          </w:tcPr>
          <w:p w14:paraId="6DE73D09">
            <w:pPr>
              <w:keepNext w:val="0"/>
              <w:keepLines w:val="0"/>
              <w:pageBreakBefore w:val="0"/>
              <w:kinsoku/>
              <w:wordWrap/>
              <w:overflowPunct/>
              <w:topLinePunct w:val="0"/>
              <w:autoSpaceDE/>
              <w:autoSpaceDN/>
              <w:bidi w:val="0"/>
              <w:adjustRightInd/>
              <w:spacing w:line="360" w:lineRule="auto"/>
              <w:ind w:right="640"/>
              <w:textAlignment w:val="auto"/>
              <w:outlineLvl w:val="9"/>
              <w:rPr>
                <w:rFonts w:cs="宋体" w:asciiTheme="minorEastAsia" w:hAnsiTheme="minorEastAsia"/>
                <w:color w:val="auto"/>
                <w:sz w:val="24"/>
                <w:szCs w:val="24"/>
              </w:rPr>
            </w:pPr>
          </w:p>
        </w:tc>
      </w:tr>
      <w:tr w14:paraId="7B65D39B">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2FF10AA7">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质量要求</w:t>
            </w:r>
          </w:p>
        </w:tc>
        <w:tc>
          <w:tcPr>
            <w:tcW w:w="6659" w:type="dxa"/>
            <w:gridSpan w:val="4"/>
            <w:tcBorders>
              <w:top w:val="single" w:color="auto" w:sz="6" w:space="0"/>
              <w:left w:val="single" w:color="auto" w:sz="6" w:space="0"/>
              <w:bottom w:val="single" w:color="auto" w:sz="6" w:space="0"/>
              <w:right w:val="single" w:color="auto" w:sz="6" w:space="0"/>
            </w:tcBorders>
            <w:vAlign w:val="center"/>
          </w:tcPr>
          <w:p w14:paraId="495806B0">
            <w:pPr>
              <w:keepNext w:val="0"/>
              <w:keepLines w:val="0"/>
              <w:pageBreakBefore w:val="0"/>
              <w:kinsoku/>
              <w:wordWrap/>
              <w:overflowPunct/>
              <w:topLinePunct w:val="0"/>
              <w:autoSpaceDE/>
              <w:autoSpaceDN/>
              <w:bidi w:val="0"/>
              <w:adjustRightInd/>
              <w:spacing w:line="360" w:lineRule="auto"/>
              <w:ind w:right="640"/>
              <w:textAlignment w:val="auto"/>
              <w:outlineLvl w:val="9"/>
              <w:rPr>
                <w:rFonts w:cs="宋体" w:asciiTheme="minorEastAsia" w:hAnsiTheme="minorEastAsia"/>
                <w:color w:val="auto"/>
                <w:sz w:val="24"/>
                <w:szCs w:val="24"/>
              </w:rPr>
            </w:pPr>
          </w:p>
        </w:tc>
      </w:tr>
      <w:tr w14:paraId="7EBE2608">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2C3B341C">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lang w:val="en-US" w:eastAsia="zh-CN"/>
              </w:rPr>
              <w:t>磋商</w:t>
            </w:r>
            <w:r>
              <w:rPr>
                <w:rFonts w:hint="eastAsia" w:cs="宋体" w:asciiTheme="minorEastAsia" w:hAnsiTheme="minorEastAsia"/>
                <w:color w:val="auto"/>
                <w:sz w:val="24"/>
                <w:szCs w:val="24"/>
              </w:rPr>
              <w:t>有效期</w:t>
            </w:r>
          </w:p>
        </w:tc>
        <w:tc>
          <w:tcPr>
            <w:tcW w:w="6659" w:type="dxa"/>
            <w:gridSpan w:val="4"/>
            <w:tcBorders>
              <w:top w:val="single" w:color="auto" w:sz="6" w:space="0"/>
              <w:left w:val="single" w:color="auto" w:sz="6" w:space="0"/>
              <w:bottom w:val="single" w:color="auto" w:sz="6" w:space="0"/>
              <w:right w:val="single" w:color="auto" w:sz="6" w:space="0"/>
            </w:tcBorders>
            <w:vAlign w:val="center"/>
          </w:tcPr>
          <w:p w14:paraId="17A2838A">
            <w:pPr>
              <w:keepNext w:val="0"/>
              <w:keepLines w:val="0"/>
              <w:pageBreakBefore w:val="0"/>
              <w:kinsoku/>
              <w:wordWrap/>
              <w:overflowPunct/>
              <w:topLinePunct w:val="0"/>
              <w:autoSpaceDE/>
              <w:autoSpaceDN/>
              <w:bidi w:val="0"/>
              <w:adjustRightInd/>
              <w:spacing w:line="360" w:lineRule="auto"/>
              <w:ind w:right="640"/>
              <w:textAlignment w:val="auto"/>
              <w:outlineLvl w:val="9"/>
              <w:rPr>
                <w:rFonts w:cs="宋体" w:asciiTheme="minorEastAsia" w:hAnsiTheme="minorEastAsia"/>
                <w:color w:val="auto"/>
                <w:sz w:val="24"/>
                <w:szCs w:val="24"/>
              </w:rPr>
            </w:pPr>
          </w:p>
        </w:tc>
      </w:tr>
      <w:tr w14:paraId="32FFFD05">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57"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7D5625D5">
            <w:pPr>
              <w:keepNext w:val="0"/>
              <w:keepLines w:val="0"/>
              <w:pageBreakBefore w:val="0"/>
              <w:kinsoku/>
              <w:wordWrap/>
              <w:overflowPunct/>
              <w:topLinePunct w:val="0"/>
              <w:autoSpaceDE/>
              <w:autoSpaceDN/>
              <w:bidi w:val="0"/>
              <w:adjustRightInd/>
              <w:spacing w:line="360" w:lineRule="auto"/>
              <w:jc w:val="center"/>
              <w:textAlignment w:val="auto"/>
              <w:outlineLvl w:val="9"/>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color w:val="auto"/>
                <w:sz w:val="24"/>
                <w:szCs w:val="24"/>
              </w:rPr>
              <w:t>项目</w:t>
            </w:r>
            <w:r>
              <w:rPr>
                <w:rFonts w:hint="eastAsia" w:cs="宋体" w:asciiTheme="minorEastAsia" w:hAnsiTheme="minorEastAsia"/>
                <w:color w:val="auto"/>
                <w:sz w:val="24"/>
                <w:szCs w:val="24"/>
                <w:lang w:val="en-US" w:eastAsia="zh-CN"/>
              </w:rPr>
              <w:t>联系人姓名及电话</w:t>
            </w:r>
          </w:p>
        </w:tc>
        <w:tc>
          <w:tcPr>
            <w:tcW w:w="6659" w:type="dxa"/>
            <w:gridSpan w:val="4"/>
            <w:tcBorders>
              <w:top w:val="single" w:color="auto" w:sz="6" w:space="0"/>
              <w:left w:val="single" w:color="auto" w:sz="6" w:space="0"/>
              <w:bottom w:val="single" w:color="auto" w:sz="6" w:space="0"/>
              <w:right w:val="single" w:color="auto" w:sz="6" w:space="0"/>
            </w:tcBorders>
            <w:vAlign w:val="center"/>
          </w:tcPr>
          <w:p w14:paraId="5AE01248">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p>
        </w:tc>
      </w:tr>
      <w:tr w14:paraId="19DE5D80">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141"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59F0C2C4">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备注</w:t>
            </w:r>
          </w:p>
        </w:tc>
        <w:tc>
          <w:tcPr>
            <w:tcW w:w="6659" w:type="dxa"/>
            <w:gridSpan w:val="4"/>
            <w:tcBorders>
              <w:top w:val="single" w:color="auto" w:sz="6" w:space="0"/>
              <w:left w:val="single" w:color="auto" w:sz="6" w:space="0"/>
              <w:bottom w:val="single" w:color="auto" w:sz="6" w:space="0"/>
              <w:right w:val="single" w:color="auto" w:sz="6" w:space="0"/>
            </w:tcBorders>
            <w:vAlign w:val="center"/>
          </w:tcPr>
          <w:p w14:paraId="154B4441">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p>
        </w:tc>
      </w:tr>
    </w:tbl>
    <w:p w14:paraId="254E50EB">
      <w:pPr>
        <w:keepNext w:val="0"/>
        <w:keepLines w:val="0"/>
        <w:pageBreakBefore w:val="0"/>
        <w:kinsoku/>
        <w:wordWrap/>
        <w:overflowPunct/>
        <w:topLinePunct w:val="0"/>
        <w:autoSpaceDE/>
        <w:autoSpaceDN/>
        <w:bidi w:val="0"/>
        <w:adjustRightInd/>
        <w:spacing w:line="360" w:lineRule="auto"/>
        <w:ind w:firstLine="560"/>
        <w:textAlignment w:val="auto"/>
        <w:outlineLvl w:val="9"/>
        <w:rPr>
          <w:rFonts w:cs="宋体" w:asciiTheme="minorEastAsia" w:hAnsiTheme="minorEastAsia"/>
          <w:color w:val="auto"/>
          <w:sz w:val="24"/>
          <w:szCs w:val="24"/>
        </w:rPr>
      </w:pPr>
    </w:p>
    <w:p w14:paraId="7E04BE3F">
      <w:pPr>
        <w:keepNext w:val="0"/>
        <w:keepLines w:val="0"/>
        <w:pageBreakBefore w:val="0"/>
        <w:kinsoku/>
        <w:wordWrap/>
        <w:overflowPunct/>
        <w:topLinePunct w:val="0"/>
        <w:autoSpaceDE/>
        <w:autoSpaceDN/>
        <w:bidi w:val="0"/>
        <w:adjustRightInd/>
        <w:snapToGrid w:val="0"/>
        <w:spacing w:line="360" w:lineRule="auto"/>
        <w:ind w:firstLine="480" w:firstLineChars="200"/>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lang w:val="en-US" w:eastAsia="zh-CN"/>
        </w:rPr>
        <w:t xml:space="preserve">                </w:t>
      </w:r>
      <w:r>
        <w:rPr>
          <w:rFonts w:cs="宋体" w:asciiTheme="minorEastAsia" w:hAnsiTheme="minorEastAsia"/>
          <w:color w:val="auto"/>
          <w:sz w:val="24"/>
          <w:szCs w:val="24"/>
        </w:rPr>
        <w:t>供应商：</w:t>
      </w:r>
      <w:r>
        <w:rPr>
          <w:rFonts w:hint="eastAsia" w:cs="宋体" w:asciiTheme="minorEastAsia" w:hAnsiTheme="minorEastAsia"/>
          <w:color w:val="auto"/>
          <w:sz w:val="24"/>
          <w:szCs w:val="24"/>
          <w:u w:val="single"/>
          <w:lang w:val="en-US" w:eastAsia="zh-CN"/>
        </w:rPr>
        <w:t xml:space="preserve">                       </w:t>
      </w:r>
      <w:r>
        <w:rPr>
          <w:rFonts w:hint="eastAsia" w:ascii="宋体" w:hAnsi="宋体" w:cs="宋体"/>
          <w:kern w:val="0"/>
          <w:sz w:val="24"/>
        </w:rPr>
        <w:t>（电子签章）</w:t>
      </w:r>
    </w:p>
    <w:p w14:paraId="2A271D3A">
      <w:pPr>
        <w:pStyle w:val="16"/>
        <w:spacing w:line="360" w:lineRule="auto"/>
        <w:ind w:firstLine="2400" w:firstLineChars="1000"/>
        <w:rPr>
          <w:sz w:val="24"/>
          <w:szCs w:val="24"/>
        </w:rPr>
      </w:pPr>
      <w:r>
        <w:rPr>
          <w:rFonts w:cs="宋体" w:asciiTheme="minorEastAsia" w:hAnsiTheme="minorEastAsia"/>
          <w:color w:val="auto"/>
          <w:sz w:val="24"/>
          <w:szCs w:val="24"/>
        </w:rPr>
        <w:t>法定代表人：</w:t>
      </w:r>
      <w:r>
        <w:rPr>
          <w:rFonts w:hint="eastAsia" w:cs="宋体" w:asciiTheme="minorEastAsia" w:hAnsiTheme="minorEastAsia"/>
          <w:color w:val="auto"/>
          <w:sz w:val="24"/>
          <w:szCs w:val="24"/>
          <w:u w:val="single"/>
          <w:lang w:val="en-US" w:eastAsia="zh-CN"/>
        </w:rPr>
        <w:t xml:space="preserve">                  </w:t>
      </w:r>
      <w:r>
        <w:rPr>
          <w:rFonts w:hint="eastAsia" w:cs="宋体" w:asciiTheme="minorEastAsia" w:hAnsiTheme="minorEastAsia"/>
          <w:color w:val="auto"/>
          <w:sz w:val="24"/>
          <w:szCs w:val="24"/>
        </w:rPr>
        <w:t>（</w:t>
      </w:r>
      <w:r>
        <w:rPr>
          <w:rFonts w:hint="eastAsia" w:cs="宋体" w:asciiTheme="minorEastAsia" w:hAnsiTheme="minorEastAsia"/>
          <w:color w:val="auto"/>
          <w:sz w:val="24"/>
          <w:szCs w:val="24"/>
          <w:lang w:val="en-US" w:eastAsia="zh-CN"/>
        </w:rPr>
        <w:t>签</w:t>
      </w:r>
      <w:r>
        <w:rPr>
          <w:rFonts w:hint="eastAsia" w:cs="宋体" w:asciiTheme="minorEastAsia" w:hAnsiTheme="minorEastAsia"/>
          <w:color w:val="auto"/>
          <w:sz w:val="24"/>
          <w:szCs w:val="24"/>
        </w:rPr>
        <w:t>章）</w:t>
      </w:r>
    </w:p>
    <w:p w14:paraId="01FF479A">
      <w:pPr>
        <w:pStyle w:val="16"/>
        <w:spacing w:line="360" w:lineRule="auto"/>
        <w:ind w:firstLine="2400" w:firstLineChars="10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日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期：</w:t>
      </w:r>
      <w:r>
        <w:rPr>
          <w:rFonts w:hint="eastAsia" w:cs="宋体" w:asciiTheme="minorEastAsia" w:hAnsiTheme="minorEastAsia"/>
          <w:color w:val="auto"/>
          <w:sz w:val="24"/>
          <w:szCs w:val="24"/>
          <w:u w:val="single"/>
          <w:lang w:val="en-US" w:eastAsia="zh-CN"/>
        </w:rPr>
        <w:t xml:space="preserve">      </w:t>
      </w:r>
      <w:r>
        <w:rPr>
          <w:rFonts w:hint="eastAsia" w:ascii="宋体" w:hAnsi="宋体" w:eastAsia="宋体" w:cs="宋体"/>
          <w:color w:val="auto"/>
          <w:kern w:val="0"/>
          <w:sz w:val="24"/>
          <w:szCs w:val="24"/>
        </w:rPr>
        <w:t>年</w:t>
      </w:r>
      <w:r>
        <w:rPr>
          <w:rFonts w:hint="eastAsia" w:cs="宋体" w:asciiTheme="minorEastAsia" w:hAnsiTheme="minorEastAsia"/>
          <w:color w:val="auto"/>
          <w:sz w:val="24"/>
          <w:szCs w:val="24"/>
          <w:u w:val="single"/>
          <w:lang w:val="en-US" w:eastAsia="zh-CN"/>
        </w:rPr>
        <w:t xml:space="preserve">      </w:t>
      </w:r>
      <w:r>
        <w:rPr>
          <w:rFonts w:hint="eastAsia" w:ascii="宋体" w:hAnsi="宋体" w:eastAsia="宋体" w:cs="宋体"/>
          <w:color w:val="auto"/>
          <w:kern w:val="0"/>
          <w:sz w:val="24"/>
          <w:szCs w:val="24"/>
        </w:rPr>
        <w:t>月</w:t>
      </w:r>
      <w:r>
        <w:rPr>
          <w:rFonts w:hint="eastAsia" w:cs="宋体" w:asciiTheme="minorEastAsia" w:hAnsiTheme="minorEastAsia"/>
          <w:color w:val="auto"/>
          <w:sz w:val="24"/>
          <w:szCs w:val="24"/>
          <w:u w:val="single"/>
          <w:lang w:val="en-US" w:eastAsia="zh-CN"/>
        </w:rPr>
        <w:t xml:space="preserve">      </w:t>
      </w:r>
      <w:r>
        <w:rPr>
          <w:rFonts w:hint="eastAsia" w:ascii="宋体" w:hAnsi="宋体" w:eastAsia="宋体" w:cs="宋体"/>
          <w:color w:val="auto"/>
          <w:kern w:val="0"/>
          <w:sz w:val="24"/>
          <w:szCs w:val="24"/>
        </w:rPr>
        <w:t>日</w:t>
      </w:r>
    </w:p>
    <w:p w14:paraId="3EA132A4">
      <w:pPr>
        <w:rPr>
          <w:rFonts w:hint="eastAsia" w:ascii="宋体" w:hAnsi="宋体" w:eastAsia="宋体" w:cs="宋体"/>
          <w:color w:val="auto"/>
          <w:kern w:val="0"/>
          <w:sz w:val="24"/>
          <w:szCs w:val="24"/>
        </w:rPr>
      </w:pPr>
    </w:p>
    <w:p w14:paraId="723DA0D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b/>
          <w:color w:val="auto"/>
          <w:kern w:val="0"/>
          <w:sz w:val="28"/>
          <w:szCs w:val="28"/>
        </w:rPr>
      </w:pPr>
      <w:r>
        <w:rPr>
          <w:rFonts w:hint="eastAsia" w:cs="Times New Roman" w:asciiTheme="minorEastAsia" w:hAnsiTheme="minorEastAsia"/>
          <w:b/>
          <w:color w:val="auto"/>
          <w:kern w:val="0"/>
          <w:sz w:val="28"/>
          <w:szCs w:val="28"/>
        </w:rPr>
        <w:t>三、法定代表人身份证明书</w:t>
      </w:r>
    </w:p>
    <w:p w14:paraId="07A1947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s="Times New Roman" w:asciiTheme="minorEastAsia" w:hAnsiTheme="minorEastAsia" w:eastAsiaTheme="minorEastAsia"/>
          <w:color w:val="auto"/>
          <w:kern w:val="0"/>
          <w:sz w:val="24"/>
          <w:szCs w:val="24"/>
          <w:u w:val="single"/>
          <w:lang w:val="en-US" w:eastAsia="zh-CN"/>
        </w:rPr>
      </w:pPr>
      <w:r>
        <w:rPr>
          <w:rFonts w:hint="eastAsia" w:cs="Times New Roman" w:asciiTheme="minorEastAsia" w:hAnsiTheme="minorEastAsia"/>
          <w:color w:val="auto"/>
          <w:kern w:val="0"/>
          <w:sz w:val="24"/>
          <w:szCs w:val="24"/>
        </w:rPr>
        <w:t>单位名称：</w:t>
      </w:r>
      <w:r>
        <w:rPr>
          <w:rFonts w:hint="eastAsia" w:cs="Times New Roman" w:asciiTheme="minorEastAsia" w:hAnsiTheme="minorEastAsia"/>
          <w:color w:val="auto"/>
          <w:kern w:val="0"/>
          <w:sz w:val="24"/>
          <w:szCs w:val="24"/>
          <w:u w:val="single"/>
          <w:lang w:val="en-US" w:eastAsia="zh-CN"/>
        </w:rPr>
        <w:t xml:space="preserve">                                </w:t>
      </w:r>
    </w:p>
    <w:p w14:paraId="6BDF5BE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s="Times New Roman" w:asciiTheme="minorEastAsia" w:hAnsiTheme="minorEastAsia" w:eastAsiaTheme="minorEastAsia"/>
          <w:color w:val="auto"/>
          <w:kern w:val="0"/>
          <w:sz w:val="24"/>
          <w:szCs w:val="24"/>
          <w:u w:val="single"/>
          <w:lang w:val="en-US" w:eastAsia="zh-CN"/>
        </w:rPr>
      </w:pPr>
      <w:r>
        <w:rPr>
          <w:rFonts w:hint="eastAsia" w:cs="Times New Roman" w:asciiTheme="minorEastAsia" w:hAnsiTheme="minorEastAsia"/>
          <w:color w:val="auto"/>
          <w:kern w:val="0"/>
          <w:sz w:val="24"/>
          <w:szCs w:val="24"/>
        </w:rPr>
        <w:t>单位性质：</w:t>
      </w:r>
      <w:r>
        <w:rPr>
          <w:rFonts w:hint="eastAsia" w:cs="Times New Roman" w:asciiTheme="minorEastAsia" w:hAnsiTheme="minorEastAsia"/>
          <w:color w:val="auto"/>
          <w:kern w:val="0"/>
          <w:sz w:val="24"/>
          <w:szCs w:val="24"/>
          <w:u w:val="single"/>
          <w:lang w:val="en-US" w:eastAsia="zh-CN"/>
        </w:rPr>
        <w:t xml:space="preserve">                                </w:t>
      </w:r>
    </w:p>
    <w:p w14:paraId="2B24845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s="Times New Roman" w:asciiTheme="minorEastAsia" w:hAnsiTheme="minorEastAsia" w:eastAsiaTheme="minorEastAsia"/>
          <w:color w:val="auto"/>
          <w:kern w:val="0"/>
          <w:sz w:val="24"/>
          <w:szCs w:val="24"/>
          <w:u w:val="single"/>
          <w:lang w:val="en-US" w:eastAsia="zh-CN"/>
        </w:rPr>
      </w:pPr>
      <w:r>
        <w:rPr>
          <w:rFonts w:hint="eastAsia" w:cs="Times New Roman" w:asciiTheme="minorEastAsia" w:hAnsiTheme="minorEastAsia"/>
          <w:color w:val="auto"/>
          <w:kern w:val="0"/>
          <w:sz w:val="24"/>
          <w:szCs w:val="24"/>
        </w:rPr>
        <w:t>地    址：</w:t>
      </w:r>
      <w:r>
        <w:rPr>
          <w:rFonts w:hint="eastAsia" w:cs="Times New Roman" w:asciiTheme="minorEastAsia" w:hAnsiTheme="minorEastAsia"/>
          <w:color w:val="auto"/>
          <w:kern w:val="0"/>
          <w:sz w:val="24"/>
          <w:szCs w:val="24"/>
          <w:u w:val="single"/>
          <w:lang w:val="en-US" w:eastAsia="zh-CN"/>
        </w:rPr>
        <w:t xml:space="preserve">                                </w:t>
      </w:r>
    </w:p>
    <w:p w14:paraId="37824D9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s="Times New Roman" w:asciiTheme="minorEastAsia" w:hAnsiTheme="minorEastAsia"/>
          <w:color w:val="auto"/>
          <w:kern w:val="0"/>
          <w:sz w:val="24"/>
          <w:szCs w:val="24"/>
          <w:lang w:val="en-US"/>
        </w:rPr>
      </w:pPr>
      <w:r>
        <w:rPr>
          <w:rFonts w:hint="eastAsia" w:cs="Times New Roman" w:asciiTheme="minorEastAsia" w:hAnsiTheme="minorEastAsia"/>
          <w:color w:val="auto"/>
          <w:kern w:val="0"/>
          <w:sz w:val="24"/>
          <w:szCs w:val="24"/>
        </w:rPr>
        <w:t>成立时间：</w:t>
      </w:r>
      <w:r>
        <w:rPr>
          <w:rFonts w:hint="eastAsia" w:cs="Times New Roman" w:asciiTheme="minorEastAsia" w:hAnsiTheme="minorEastAsia"/>
          <w:color w:val="auto"/>
          <w:kern w:val="0"/>
          <w:sz w:val="24"/>
          <w:szCs w:val="24"/>
          <w:u w:val="single"/>
          <w:lang w:val="en-US" w:eastAsia="zh-CN"/>
        </w:rPr>
        <w:t xml:space="preserve">                                </w:t>
      </w:r>
    </w:p>
    <w:p w14:paraId="3B4FFC6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s="Times New Roman" w:asciiTheme="minorEastAsia" w:hAnsiTheme="minorEastAsia"/>
          <w:color w:val="auto"/>
          <w:kern w:val="0"/>
          <w:sz w:val="24"/>
          <w:szCs w:val="24"/>
          <w:u w:val="none"/>
          <w:lang w:val="en-US" w:eastAsia="zh-CN"/>
        </w:rPr>
      </w:pPr>
      <w:r>
        <w:rPr>
          <w:rFonts w:hint="eastAsia" w:cs="Times New Roman" w:asciiTheme="minorEastAsia" w:hAnsiTheme="minorEastAsia"/>
          <w:color w:val="auto"/>
          <w:kern w:val="0"/>
          <w:sz w:val="24"/>
          <w:szCs w:val="24"/>
        </w:rPr>
        <w:t>经营期限：</w:t>
      </w:r>
      <w:r>
        <w:rPr>
          <w:rFonts w:hint="eastAsia" w:cs="Times New Roman" w:asciiTheme="minorEastAsia" w:hAnsiTheme="minorEastAsia"/>
          <w:color w:val="auto"/>
          <w:kern w:val="0"/>
          <w:sz w:val="24"/>
          <w:szCs w:val="24"/>
          <w:u w:val="single"/>
          <w:lang w:val="en-US" w:eastAsia="zh-CN"/>
        </w:rPr>
        <w:t xml:space="preserve">                                </w:t>
      </w:r>
      <w:r>
        <w:rPr>
          <w:rFonts w:hint="eastAsia" w:cs="Times New Roman" w:asciiTheme="minorEastAsia" w:hAnsiTheme="minorEastAsia"/>
          <w:color w:val="auto"/>
          <w:kern w:val="0"/>
          <w:sz w:val="24"/>
          <w:szCs w:val="24"/>
          <w:lang w:val="en-US" w:eastAsia="zh-CN"/>
        </w:rPr>
        <w:t xml:space="preserve">  </w:t>
      </w:r>
      <w:r>
        <w:rPr>
          <w:rFonts w:hint="eastAsia" w:cs="Times New Roman" w:asciiTheme="minorEastAsia" w:hAnsiTheme="minorEastAsia"/>
          <w:color w:val="auto"/>
          <w:kern w:val="0"/>
          <w:sz w:val="24"/>
          <w:szCs w:val="24"/>
          <w:u w:val="none"/>
          <w:lang w:val="en-US" w:eastAsia="zh-CN"/>
        </w:rPr>
        <w:t xml:space="preserve"> </w:t>
      </w:r>
    </w:p>
    <w:p w14:paraId="79AD819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s="Times New Roman" w:asciiTheme="minorEastAsia" w:hAnsiTheme="minorEastAsia" w:eastAsiaTheme="minorEastAsia"/>
          <w:color w:val="auto"/>
          <w:kern w:val="0"/>
          <w:sz w:val="24"/>
          <w:szCs w:val="24"/>
          <w:u w:val="single"/>
          <w:lang w:val="en-US" w:eastAsia="zh-CN"/>
        </w:rPr>
      </w:pPr>
      <w:r>
        <w:rPr>
          <w:rFonts w:hint="eastAsia" w:cs="Times New Roman" w:asciiTheme="minorEastAsia" w:hAnsiTheme="minorEastAsia"/>
          <w:color w:val="auto"/>
          <w:kern w:val="0"/>
          <w:sz w:val="24"/>
          <w:szCs w:val="24"/>
        </w:rPr>
        <w:t>姓    名：</w:t>
      </w:r>
      <w:r>
        <w:rPr>
          <w:rFonts w:hint="eastAsia" w:cs="Times New Roman" w:asciiTheme="minorEastAsia" w:hAnsiTheme="minorEastAsia"/>
          <w:color w:val="auto"/>
          <w:kern w:val="0"/>
          <w:sz w:val="24"/>
          <w:szCs w:val="24"/>
          <w:u w:val="single"/>
          <w:lang w:val="en-US" w:eastAsia="zh-CN"/>
        </w:rPr>
        <w:t xml:space="preserve">                                </w:t>
      </w:r>
    </w:p>
    <w:p w14:paraId="2330BE7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s="Times New Roman" w:asciiTheme="minorEastAsia" w:hAnsiTheme="minorEastAsia" w:eastAsiaTheme="minorEastAsia"/>
          <w:color w:val="auto"/>
          <w:kern w:val="0"/>
          <w:sz w:val="24"/>
          <w:szCs w:val="24"/>
          <w:u w:val="single"/>
          <w:lang w:val="en-US" w:eastAsia="zh-CN"/>
        </w:rPr>
      </w:pPr>
      <w:r>
        <w:rPr>
          <w:rFonts w:hint="eastAsia" w:cs="Times New Roman" w:asciiTheme="minorEastAsia" w:hAnsiTheme="minorEastAsia"/>
          <w:color w:val="auto"/>
          <w:kern w:val="0"/>
          <w:sz w:val="24"/>
          <w:szCs w:val="24"/>
        </w:rPr>
        <w:t>性    别：</w:t>
      </w:r>
      <w:r>
        <w:rPr>
          <w:rFonts w:hint="eastAsia" w:cs="Times New Roman" w:asciiTheme="minorEastAsia" w:hAnsiTheme="minorEastAsia"/>
          <w:color w:val="auto"/>
          <w:kern w:val="0"/>
          <w:sz w:val="24"/>
          <w:szCs w:val="24"/>
          <w:u w:val="single"/>
          <w:lang w:val="en-US" w:eastAsia="zh-CN"/>
        </w:rPr>
        <w:t xml:space="preserve">                                </w:t>
      </w:r>
    </w:p>
    <w:p w14:paraId="3A35F7B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s="Times New Roman" w:asciiTheme="minorEastAsia" w:hAnsiTheme="minorEastAsia" w:eastAsiaTheme="minorEastAsia"/>
          <w:color w:val="auto"/>
          <w:kern w:val="0"/>
          <w:sz w:val="24"/>
          <w:szCs w:val="24"/>
          <w:u w:val="single"/>
          <w:lang w:val="en-US" w:eastAsia="zh-CN"/>
        </w:rPr>
      </w:pPr>
      <w:r>
        <w:rPr>
          <w:rFonts w:hint="eastAsia" w:cs="Times New Roman" w:asciiTheme="minorEastAsia" w:hAnsiTheme="minorEastAsia"/>
          <w:color w:val="auto"/>
          <w:kern w:val="0"/>
          <w:sz w:val="24"/>
          <w:szCs w:val="24"/>
        </w:rPr>
        <w:t>年    龄：</w:t>
      </w:r>
      <w:r>
        <w:rPr>
          <w:rFonts w:hint="eastAsia" w:cs="Times New Roman" w:asciiTheme="minorEastAsia" w:hAnsiTheme="minorEastAsia"/>
          <w:color w:val="auto"/>
          <w:kern w:val="0"/>
          <w:sz w:val="24"/>
          <w:szCs w:val="24"/>
          <w:u w:val="single"/>
          <w:lang w:val="en-US" w:eastAsia="zh-CN"/>
        </w:rPr>
        <w:t xml:space="preserve">                                </w:t>
      </w:r>
    </w:p>
    <w:p w14:paraId="5AA1F00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s="Times New Roman" w:asciiTheme="minorEastAsia" w:hAnsiTheme="minorEastAsia" w:eastAsiaTheme="minorEastAsia"/>
          <w:color w:val="auto"/>
          <w:kern w:val="0"/>
          <w:sz w:val="24"/>
          <w:szCs w:val="24"/>
          <w:u w:val="single"/>
          <w:lang w:val="en-US" w:eastAsia="zh-CN"/>
        </w:rPr>
      </w:pPr>
      <w:r>
        <w:rPr>
          <w:rFonts w:hint="eastAsia" w:cs="Times New Roman" w:asciiTheme="minorEastAsia" w:hAnsiTheme="minorEastAsia"/>
          <w:color w:val="auto"/>
          <w:kern w:val="0"/>
          <w:sz w:val="24"/>
          <w:szCs w:val="24"/>
        </w:rPr>
        <w:t>职    务：</w:t>
      </w:r>
      <w:r>
        <w:rPr>
          <w:rFonts w:hint="eastAsia" w:cs="Times New Roman" w:asciiTheme="minorEastAsia" w:hAnsiTheme="minorEastAsia"/>
          <w:color w:val="auto"/>
          <w:kern w:val="0"/>
          <w:sz w:val="24"/>
          <w:szCs w:val="24"/>
          <w:u w:val="single"/>
          <w:lang w:val="en-US" w:eastAsia="zh-CN"/>
        </w:rPr>
        <w:t xml:space="preserve">                                </w:t>
      </w:r>
    </w:p>
    <w:p w14:paraId="0C9FBA6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系</w:t>
      </w:r>
      <w:r>
        <w:rPr>
          <w:rFonts w:hint="eastAsia" w:cs="Times New Roman" w:asciiTheme="minorEastAsia" w:hAnsiTheme="minorEastAsia"/>
          <w:color w:val="auto"/>
          <w:kern w:val="0"/>
          <w:sz w:val="24"/>
          <w:szCs w:val="24"/>
          <w:u w:val="single"/>
          <w:lang w:val="en-US" w:eastAsia="zh-CN"/>
        </w:rPr>
        <w:t xml:space="preserve">                          </w:t>
      </w:r>
      <w:r>
        <w:rPr>
          <w:rFonts w:hint="eastAsia" w:cs="Times New Roman" w:asciiTheme="minorEastAsia" w:hAnsiTheme="minorEastAsia"/>
          <w:color w:val="auto"/>
          <w:kern w:val="0"/>
          <w:sz w:val="24"/>
          <w:szCs w:val="24"/>
          <w:u w:val="single"/>
        </w:rPr>
        <w:t>（供应商单位名称</w:t>
      </w:r>
      <w:r>
        <w:rPr>
          <w:rFonts w:hint="eastAsia" w:cs="Times New Roman" w:asciiTheme="minorEastAsia" w:hAnsiTheme="minorEastAsia"/>
          <w:color w:val="auto"/>
          <w:kern w:val="0"/>
          <w:sz w:val="24"/>
          <w:szCs w:val="24"/>
        </w:rPr>
        <w:t>）的法定代表人。</w:t>
      </w:r>
    </w:p>
    <w:p w14:paraId="2B289E78">
      <w:pPr>
        <w:keepNext w:val="0"/>
        <w:keepLines w:val="0"/>
        <w:pageBreakBefore w:val="0"/>
        <w:widowControl w:val="0"/>
        <w:kinsoku/>
        <w:wordWrap/>
        <w:overflowPunct/>
        <w:topLinePunct w:val="0"/>
        <w:autoSpaceDE/>
        <w:autoSpaceDN/>
        <w:bidi w:val="0"/>
        <w:adjustRightInd/>
        <w:snapToGrid/>
        <w:spacing w:line="360" w:lineRule="auto"/>
        <w:ind w:firstLine="562"/>
        <w:textAlignment w:val="auto"/>
        <w:outlineLvl w:val="9"/>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rPr>
        <w:t>特此证明。</w:t>
      </w:r>
    </w:p>
    <w:p w14:paraId="12E7198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Times New Roman" w:asciiTheme="minorEastAsia" w:hAnsiTheme="minorEastAsia"/>
          <w:bCs/>
          <w:color w:val="auto"/>
          <w:sz w:val="24"/>
          <w:szCs w:val="24"/>
        </w:rPr>
      </w:pPr>
      <w:bookmarkStart w:id="313" w:name="_Toc109675041"/>
      <w:bookmarkStart w:id="314" w:name="_Toc145065233"/>
      <w:bookmarkStart w:id="315" w:name="_Toc145065063"/>
      <w:r>
        <w:rPr>
          <w:rFonts w:hint="eastAsia" w:cs="宋体" w:asciiTheme="minorEastAsia" w:hAnsiTheme="minorEastAsia"/>
          <w:color w:val="auto"/>
          <w:sz w:val="24"/>
          <w:szCs w:val="24"/>
        </w:rPr>
        <w:t>后附法定代表人身份证正反面原件扫描件</w:t>
      </w:r>
      <w:bookmarkEnd w:id="313"/>
      <w:bookmarkEnd w:id="314"/>
      <w:bookmarkEnd w:id="315"/>
    </w:p>
    <w:p w14:paraId="5444D2D1">
      <w:pPr>
        <w:pStyle w:val="9"/>
        <w:keepNext w:val="0"/>
        <w:keepLines w:val="0"/>
        <w:pageBreakBefore w:val="0"/>
        <w:widowControl w:val="0"/>
        <w:kinsoku/>
        <w:wordWrap/>
        <w:overflowPunct/>
        <w:topLinePunct w:val="0"/>
        <w:autoSpaceDE/>
        <w:autoSpaceDN/>
        <w:bidi w:val="0"/>
        <w:adjustRightInd/>
        <w:snapToGrid/>
        <w:spacing w:line="360" w:lineRule="auto"/>
        <w:ind w:firstLine="400"/>
        <w:textAlignment w:val="auto"/>
        <w:outlineLvl w:val="9"/>
        <w:rPr>
          <w:color w:val="auto"/>
          <w:sz w:val="24"/>
          <w:szCs w:val="24"/>
        </w:rPr>
      </w:pPr>
    </w:p>
    <w:p w14:paraId="23DFE6B9">
      <w:pPr>
        <w:pStyle w:val="9"/>
        <w:keepNext w:val="0"/>
        <w:keepLines w:val="0"/>
        <w:pageBreakBefore w:val="0"/>
        <w:widowControl w:val="0"/>
        <w:kinsoku/>
        <w:wordWrap/>
        <w:overflowPunct/>
        <w:topLinePunct w:val="0"/>
        <w:autoSpaceDE/>
        <w:autoSpaceDN/>
        <w:bidi w:val="0"/>
        <w:adjustRightInd/>
        <w:snapToGrid/>
        <w:spacing w:line="360" w:lineRule="auto"/>
        <w:ind w:firstLine="400"/>
        <w:textAlignment w:val="auto"/>
        <w:outlineLvl w:val="9"/>
        <w:rPr>
          <w:color w:val="auto"/>
          <w:sz w:val="24"/>
          <w:szCs w:val="24"/>
        </w:rPr>
      </w:pPr>
    </w:p>
    <w:p w14:paraId="3CA5B488">
      <w:pPr>
        <w:pStyle w:val="9"/>
        <w:keepNext w:val="0"/>
        <w:keepLines w:val="0"/>
        <w:pageBreakBefore w:val="0"/>
        <w:widowControl w:val="0"/>
        <w:kinsoku/>
        <w:wordWrap/>
        <w:overflowPunct/>
        <w:topLinePunct w:val="0"/>
        <w:autoSpaceDE/>
        <w:autoSpaceDN/>
        <w:bidi w:val="0"/>
        <w:adjustRightInd/>
        <w:snapToGrid/>
        <w:spacing w:line="360" w:lineRule="auto"/>
        <w:ind w:firstLine="400"/>
        <w:textAlignment w:val="auto"/>
        <w:outlineLvl w:val="9"/>
        <w:rPr>
          <w:color w:val="auto"/>
          <w:sz w:val="24"/>
          <w:szCs w:val="24"/>
        </w:rPr>
      </w:pPr>
    </w:p>
    <w:p w14:paraId="44F97080">
      <w:pPr>
        <w:pStyle w:val="9"/>
        <w:keepNext w:val="0"/>
        <w:keepLines w:val="0"/>
        <w:pageBreakBefore w:val="0"/>
        <w:widowControl w:val="0"/>
        <w:kinsoku/>
        <w:wordWrap/>
        <w:overflowPunct/>
        <w:topLinePunct w:val="0"/>
        <w:autoSpaceDE/>
        <w:autoSpaceDN/>
        <w:bidi w:val="0"/>
        <w:adjustRightInd/>
        <w:snapToGrid/>
        <w:spacing w:line="360" w:lineRule="auto"/>
        <w:ind w:firstLine="400"/>
        <w:textAlignment w:val="auto"/>
        <w:outlineLvl w:val="9"/>
        <w:rPr>
          <w:color w:val="auto"/>
          <w:sz w:val="24"/>
          <w:szCs w:val="24"/>
        </w:rPr>
      </w:pPr>
    </w:p>
    <w:p w14:paraId="4434B32F">
      <w:pPr>
        <w:pStyle w:val="9"/>
        <w:keepNext w:val="0"/>
        <w:keepLines w:val="0"/>
        <w:pageBreakBefore w:val="0"/>
        <w:widowControl w:val="0"/>
        <w:kinsoku/>
        <w:wordWrap/>
        <w:overflowPunct/>
        <w:topLinePunct w:val="0"/>
        <w:autoSpaceDE/>
        <w:autoSpaceDN/>
        <w:bidi w:val="0"/>
        <w:adjustRightInd/>
        <w:snapToGrid/>
        <w:spacing w:line="360" w:lineRule="auto"/>
        <w:ind w:firstLine="400"/>
        <w:textAlignment w:val="auto"/>
        <w:outlineLvl w:val="9"/>
        <w:rPr>
          <w:color w:val="auto"/>
          <w:sz w:val="24"/>
          <w:szCs w:val="24"/>
        </w:rPr>
      </w:pPr>
    </w:p>
    <w:p w14:paraId="5DF9DE0D">
      <w:pPr>
        <w:keepNext w:val="0"/>
        <w:keepLines w:val="0"/>
        <w:pageBreakBefore w:val="0"/>
        <w:widowControl w:val="0"/>
        <w:kinsoku/>
        <w:wordWrap/>
        <w:overflowPunct/>
        <w:topLinePunct w:val="0"/>
        <w:autoSpaceDE/>
        <w:autoSpaceDN/>
        <w:bidi w:val="0"/>
        <w:adjustRightInd/>
        <w:snapToGrid/>
        <w:spacing w:line="360" w:lineRule="auto"/>
        <w:ind w:firstLine="2880" w:firstLineChars="1200"/>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供应商：</w:t>
      </w:r>
      <w:r>
        <w:rPr>
          <w:rFonts w:hint="eastAsia" w:ascii="宋体" w:hAnsi="宋体" w:cs="宋体"/>
          <w:kern w:val="0"/>
          <w:sz w:val="24"/>
        </w:rPr>
        <w:t>（电子签章）</w:t>
      </w:r>
      <w:r>
        <w:rPr>
          <w:rFonts w:hint="eastAsia" w:cs="宋体" w:asciiTheme="minorEastAsia" w:hAnsiTheme="minorEastAsia"/>
          <w:color w:val="auto"/>
          <w:sz w:val="24"/>
          <w:szCs w:val="24"/>
          <w:u w:val="single"/>
          <w:lang w:val="en-US" w:eastAsia="zh-CN"/>
        </w:rPr>
        <w:t xml:space="preserve">                          </w:t>
      </w:r>
    </w:p>
    <w:p w14:paraId="431B690F">
      <w:pPr>
        <w:keepNext w:val="0"/>
        <w:keepLines w:val="0"/>
        <w:pageBreakBefore w:val="0"/>
        <w:widowControl w:val="0"/>
        <w:kinsoku/>
        <w:wordWrap/>
        <w:overflowPunct/>
        <w:topLinePunct w:val="0"/>
        <w:autoSpaceDE/>
        <w:autoSpaceDN/>
        <w:bidi w:val="0"/>
        <w:adjustRightInd/>
        <w:snapToGrid/>
        <w:spacing w:line="360" w:lineRule="auto"/>
        <w:ind w:firstLine="2880" w:firstLineChars="1200"/>
        <w:textAlignment w:val="auto"/>
        <w:outlineLvl w:val="9"/>
        <w:rPr>
          <w:rFonts w:cs="Times New Roman" w:asciiTheme="minorEastAsia" w:hAnsiTheme="minorEastAsia"/>
          <w:bCs/>
          <w:color w:val="auto"/>
          <w:sz w:val="24"/>
          <w:szCs w:val="24"/>
        </w:rPr>
      </w:pPr>
      <w:r>
        <w:rPr>
          <w:rFonts w:hint="eastAsia" w:cs="Times New Roman" w:asciiTheme="minorEastAsia" w:hAnsiTheme="minorEastAsia"/>
          <w:color w:val="auto"/>
          <w:kern w:val="0"/>
          <w:sz w:val="24"/>
          <w:szCs w:val="24"/>
        </w:rPr>
        <w:t>日  期：</w:t>
      </w:r>
      <w:r>
        <w:rPr>
          <w:rFonts w:hint="eastAsia" w:cs="宋体" w:asciiTheme="minorEastAsia" w:hAnsiTheme="minorEastAsia"/>
          <w:color w:val="auto"/>
          <w:sz w:val="24"/>
          <w:szCs w:val="24"/>
          <w:u w:val="single"/>
          <w:lang w:val="en-US" w:eastAsia="zh-CN"/>
        </w:rPr>
        <w:t xml:space="preserve">      </w:t>
      </w:r>
      <w:r>
        <w:rPr>
          <w:rFonts w:hint="eastAsia" w:ascii="宋体" w:hAnsi="宋体" w:eastAsia="宋体" w:cs="宋体"/>
          <w:color w:val="auto"/>
          <w:kern w:val="0"/>
          <w:sz w:val="24"/>
          <w:szCs w:val="24"/>
        </w:rPr>
        <w:t>年</w:t>
      </w:r>
      <w:r>
        <w:rPr>
          <w:rFonts w:hint="eastAsia" w:cs="宋体" w:asciiTheme="minorEastAsia" w:hAnsiTheme="minorEastAsia"/>
          <w:color w:val="auto"/>
          <w:sz w:val="24"/>
          <w:szCs w:val="24"/>
          <w:u w:val="single"/>
          <w:lang w:val="en-US" w:eastAsia="zh-CN"/>
        </w:rPr>
        <w:t xml:space="preserve">      </w:t>
      </w:r>
      <w:r>
        <w:rPr>
          <w:rFonts w:hint="eastAsia" w:ascii="宋体" w:hAnsi="宋体" w:eastAsia="宋体" w:cs="宋体"/>
          <w:color w:val="auto"/>
          <w:kern w:val="0"/>
          <w:sz w:val="24"/>
          <w:szCs w:val="24"/>
        </w:rPr>
        <w:t>月</w:t>
      </w:r>
      <w:r>
        <w:rPr>
          <w:rFonts w:hint="eastAsia" w:cs="宋体" w:asciiTheme="minorEastAsia" w:hAnsiTheme="minorEastAsia"/>
          <w:color w:val="auto"/>
          <w:sz w:val="24"/>
          <w:szCs w:val="24"/>
          <w:u w:val="single"/>
          <w:lang w:val="en-US" w:eastAsia="zh-CN"/>
        </w:rPr>
        <w:t xml:space="preserve">      </w:t>
      </w:r>
      <w:r>
        <w:rPr>
          <w:rFonts w:hint="eastAsia" w:ascii="宋体" w:hAnsi="宋体" w:eastAsia="宋体" w:cs="宋体"/>
          <w:color w:val="auto"/>
          <w:kern w:val="0"/>
          <w:sz w:val="24"/>
          <w:szCs w:val="24"/>
        </w:rPr>
        <w:t>日</w:t>
      </w:r>
    </w:p>
    <w:p w14:paraId="7E50C1BB">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color w:val="auto"/>
          <w:kern w:val="0"/>
          <w:sz w:val="28"/>
          <w:szCs w:val="28"/>
        </w:rPr>
      </w:pPr>
      <w:r>
        <w:rPr>
          <w:rFonts w:cs="Times New Roman" w:asciiTheme="minorEastAsia" w:hAnsiTheme="minorEastAsia"/>
          <w:color w:val="auto"/>
          <w:kern w:val="0"/>
          <w:sz w:val="28"/>
          <w:szCs w:val="28"/>
        </w:rPr>
        <w:br w:type="page"/>
      </w:r>
      <w:r>
        <w:rPr>
          <w:rFonts w:hint="eastAsia" w:cs="Times New Roman" w:asciiTheme="minorEastAsia" w:hAnsiTheme="minorEastAsia"/>
          <w:b/>
          <w:bCs/>
          <w:color w:val="auto"/>
          <w:kern w:val="0"/>
          <w:sz w:val="28"/>
          <w:szCs w:val="28"/>
          <w:lang w:val="en-US" w:eastAsia="zh-CN"/>
        </w:rPr>
        <w:t>四</w:t>
      </w:r>
      <w:r>
        <w:rPr>
          <w:rFonts w:hint="eastAsia" w:cs="Times New Roman" w:asciiTheme="minorEastAsia" w:hAnsiTheme="minorEastAsia"/>
          <w:b/>
          <w:bCs/>
          <w:color w:val="auto"/>
          <w:kern w:val="0"/>
          <w:sz w:val="28"/>
          <w:szCs w:val="28"/>
        </w:rPr>
        <w:t>、法定代表人授权委托书</w:t>
      </w:r>
    </w:p>
    <w:p w14:paraId="59122158">
      <w:pPr>
        <w:widowControl/>
        <w:wordWrap/>
        <w:topLinePunct/>
        <w:adjustRightInd w:val="0"/>
        <w:snapToGrid w:val="0"/>
        <w:spacing w:after="0" w:afterLines="0" w:line="360" w:lineRule="auto"/>
        <w:ind w:firstLine="480" w:firstLineChars="200"/>
        <w:textAlignment w:val="auto"/>
        <w:rPr>
          <w:rFonts w:ascii="宋体" w:hAnsi="宋体" w:eastAsia="宋体"/>
          <w:color w:val="auto"/>
          <w:sz w:val="24"/>
          <w:szCs w:val="24"/>
          <w:highlight w:val="none"/>
        </w:rPr>
      </w:pPr>
      <w:bookmarkStart w:id="316" w:name="_Toc169921411"/>
      <w:bookmarkEnd w:id="316"/>
      <w:bookmarkStart w:id="317" w:name="_Toc223432391"/>
      <w:bookmarkEnd w:id="317"/>
      <w:bookmarkStart w:id="318" w:name="_Toc171073211"/>
      <w:bookmarkEnd w:id="318"/>
      <w:bookmarkStart w:id="319" w:name="_Toc171073046"/>
      <w:bookmarkEnd w:id="319"/>
      <w:r>
        <w:rPr>
          <w:rFonts w:hint="eastAsia" w:ascii="宋体" w:hAnsi="宋体" w:eastAsia="宋体"/>
          <w:color w:val="auto"/>
          <w:sz w:val="24"/>
          <w:szCs w:val="24"/>
          <w:highlight w:val="none"/>
        </w:rPr>
        <w:t>本人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（姓名）系</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（供应商名称）的法定代表人，现委托</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（姓名</w:t>
      </w:r>
      <w:r>
        <w:rPr>
          <w:rFonts w:hint="eastAsia" w:ascii="宋体" w:hAnsi="宋体" w:eastAsia="宋体"/>
          <w:color w:val="auto"/>
          <w:sz w:val="24"/>
          <w:szCs w:val="24"/>
          <w:highlight w:val="none"/>
          <w:u w:val="single"/>
          <w:lang w:eastAsia="zh-CN"/>
        </w:rPr>
        <w:t>、</w:t>
      </w:r>
      <w:r>
        <w:rPr>
          <w:rFonts w:hint="eastAsia" w:ascii="宋体" w:hAnsi="宋体" w:eastAsia="宋体"/>
          <w:color w:val="auto"/>
          <w:sz w:val="24"/>
          <w:szCs w:val="24"/>
          <w:highlight w:val="none"/>
          <w:u w:val="single"/>
          <w:lang w:val="en-US" w:eastAsia="zh-CN"/>
        </w:rPr>
        <w:t>身份证</w:t>
      </w:r>
      <w:r>
        <w:rPr>
          <w:rFonts w:hint="eastAsia" w:ascii="宋体" w:hAnsi="宋体" w:eastAsia="宋体"/>
          <w:color w:val="auto"/>
          <w:sz w:val="24"/>
          <w:szCs w:val="24"/>
          <w:highlight w:val="none"/>
          <w:u w:val="single"/>
        </w:rPr>
        <w:t>）</w:t>
      </w:r>
      <w:r>
        <w:rPr>
          <w:rFonts w:hint="eastAsia" w:ascii="宋体" w:hAnsi="宋体" w:eastAsia="宋体"/>
          <w:color w:val="auto"/>
          <w:sz w:val="24"/>
          <w:szCs w:val="24"/>
          <w:highlight w:val="none"/>
        </w:rPr>
        <w:t>为我方代理人。代理人根据授权，以我方名义签署、澄清、说明、补正、递交、撤回、修改</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（项目名称）</w:t>
      </w:r>
      <w:r>
        <w:rPr>
          <w:rFonts w:hint="eastAsia" w:ascii="宋体" w:hAnsi="宋体" w:eastAsia="宋体"/>
          <w:color w:val="auto"/>
          <w:sz w:val="24"/>
          <w:szCs w:val="24"/>
          <w:highlight w:val="none"/>
          <w:lang w:val="en-US" w:eastAsia="zh-CN"/>
        </w:rPr>
        <w:t>响应</w:t>
      </w:r>
      <w:r>
        <w:rPr>
          <w:rFonts w:hint="eastAsia" w:ascii="宋体" w:hAnsi="宋体" w:eastAsia="宋体"/>
          <w:color w:val="auto"/>
          <w:sz w:val="24"/>
          <w:szCs w:val="24"/>
          <w:highlight w:val="none"/>
        </w:rPr>
        <w:t>文件、签订合同和处理有关事宜，其法律后果由我方承担。</w:t>
      </w:r>
    </w:p>
    <w:p w14:paraId="61709F7C">
      <w:pPr>
        <w:widowControl/>
        <w:wordWrap/>
        <w:adjustRightInd w:val="0"/>
        <w:snapToGrid w:val="0"/>
        <w:spacing w:after="0" w:afterLines="0" w:line="360" w:lineRule="auto"/>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委托期限：</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14:paraId="3BCAE3DE">
      <w:pPr>
        <w:widowControl/>
        <w:wordWrap/>
        <w:adjustRightInd w:val="0"/>
        <w:snapToGrid w:val="0"/>
        <w:spacing w:after="0" w:afterLines="0"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代理人无转委托权。</w:t>
      </w:r>
    </w:p>
    <w:p w14:paraId="6E8B7766">
      <w:pPr>
        <w:spacing w:line="360" w:lineRule="auto"/>
        <w:ind w:firstLine="480" w:firstLineChars="200"/>
        <w:rPr>
          <w:rFonts w:ascii="宋体" w:hAnsi="宋体"/>
          <w:sz w:val="24"/>
          <w:szCs w:val="21"/>
        </w:rPr>
      </w:pPr>
      <w:r>
        <w:rPr>
          <w:rFonts w:ascii="宋体" w:hAnsi="宋体"/>
          <w:sz w:val="24"/>
          <w:szCs w:val="21"/>
        </w:rPr>
        <w:t>附：法定代表人身份证正、反面</w:t>
      </w:r>
      <w:r>
        <w:rPr>
          <w:rFonts w:hint="eastAsia" w:ascii="宋体" w:hAnsi="宋体"/>
          <w:sz w:val="24"/>
          <w:szCs w:val="21"/>
        </w:rPr>
        <w:t>复印件</w:t>
      </w:r>
    </w:p>
    <w:p w14:paraId="66B32D61">
      <w:pPr>
        <w:spacing w:line="440" w:lineRule="exact"/>
        <w:rPr>
          <w:rFonts w:ascii="宋体" w:hAnsi="宋体"/>
          <w:sz w:val="24"/>
          <w:szCs w:val="21"/>
        </w:rPr>
      </w:pPr>
    </w:p>
    <w:p w14:paraId="72073892">
      <w:pPr>
        <w:spacing w:line="440" w:lineRule="exact"/>
        <w:rPr>
          <w:rFonts w:ascii="宋体" w:hAnsi="宋体"/>
          <w:sz w:val="24"/>
          <w:szCs w:val="21"/>
        </w:rPr>
      </w:pPr>
    </w:p>
    <w:p w14:paraId="07278FD6">
      <w:pPr>
        <w:spacing w:line="440" w:lineRule="exact"/>
        <w:ind w:firstLine="2126" w:firstLineChars="886"/>
        <w:rPr>
          <w:rFonts w:ascii="宋体" w:hAnsi="宋体"/>
          <w:sz w:val="24"/>
          <w:szCs w:val="21"/>
        </w:rPr>
      </w:pPr>
    </w:p>
    <w:p w14:paraId="26F85D69">
      <w:pPr>
        <w:widowControl/>
        <w:wordWrap/>
        <w:adjustRightInd w:val="0"/>
        <w:snapToGrid w:val="0"/>
        <w:spacing w:after="0" w:afterLines="0" w:line="360" w:lineRule="auto"/>
        <w:ind w:left="0" w:leftChars="0" w:firstLine="2940" w:firstLineChars="1225"/>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电子</w:t>
      </w:r>
      <w:r>
        <w:rPr>
          <w:rFonts w:hint="eastAsia" w:ascii="宋体" w:hAnsi="宋体" w:eastAsia="宋体"/>
          <w:color w:val="auto"/>
          <w:sz w:val="24"/>
          <w:szCs w:val="24"/>
          <w:highlight w:val="none"/>
        </w:rPr>
        <w:t>签章）</w:t>
      </w:r>
    </w:p>
    <w:p w14:paraId="2594B41C">
      <w:pPr>
        <w:widowControl/>
        <w:wordWrap/>
        <w:adjustRightInd w:val="0"/>
        <w:snapToGrid w:val="0"/>
        <w:spacing w:after="0" w:afterLines="0" w:line="360" w:lineRule="auto"/>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法定代表人：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（签章）</w:t>
      </w:r>
    </w:p>
    <w:p w14:paraId="28FF1F9E">
      <w:pPr>
        <w:widowControl/>
        <w:wordWrap/>
        <w:adjustRightInd w:val="0"/>
        <w:snapToGrid w:val="0"/>
        <w:spacing w:after="0" w:afterLines="0" w:line="360" w:lineRule="auto"/>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身份证号码：</w:t>
      </w:r>
      <w:r>
        <w:rPr>
          <w:rFonts w:hint="eastAsia" w:ascii="宋体" w:hAnsi="宋体" w:eastAsia="宋体"/>
          <w:color w:val="auto"/>
          <w:sz w:val="24"/>
          <w:szCs w:val="24"/>
          <w:highlight w:val="none"/>
          <w:u w:val="single"/>
        </w:rPr>
        <w:t xml:space="preserve">                      </w:t>
      </w:r>
    </w:p>
    <w:p w14:paraId="1E65439D">
      <w:pPr>
        <w:widowControl/>
        <w:wordWrap/>
        <w:adjustRightInd w:val="0"/>
        <w:snapToGrid w:val="0"/>
        <w:spacing w:after="0" w:afterLines="0" w:line="360" w:lineRule="auto"/>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委托代理人：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（签字）</w:t>
      </w:r>
    </w:p>
    <w:p w14:paraId="2A8BC362">
      <w:pPr>
        <w:widowControl/>
        <w:wordWrap/>
        <w:adjustRightInd w:val="0"/>
        <w:snapToGrid w:val="0"/>
        <w:spacing w:after="0" w:afterLines="0" w:line="360" w:lineRule="auto"/>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身份证号码：</w:t>
      </w:r>
      <w:r>
        <w:rPr>
          <w:rFonts w:hint="eastAsia" w:ascii="宋体" w:hAnsi="宋体" w:eastAsia="宋体"/>
          <w:color w:val="auto"/>
          <w:sz w:val="24"/>
          <w:szCs w:val="24"/>
          <w:highlight w:val="none"/>
          <w:u w:val="single"/>
        </w:rPr>
        <w:t xml:space="preserve">                        </w:t>
      </w:r>
    </w:p>
    <w:p w14:paraId="19304315">
      <w:pPr>
        <w:widowControl/>
        <w:wordWrap/>
        <w:adjustRightInd w:val="0"/>
        <w:snapToGrid w:val="0"/>
        <w:spacing w:after="0" w:afterLines="0" w:line="360" w:lineRule="auto"/>
        <w:ind w:firstLine="480" w:firstLineChars="20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联系方式：</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 xml:space="preserve">                       </w:t>
      </w:r>
    </w:p>
    <w:p w14:paraId="7C2D2E9B">
      <w:pPr>
        <w:widowControl/>
        <w:wordWrap/>
        <w:adjustRightInd w:val="0"/>
        <w:snapToGrid w:val="0"/>
        <w:spacing w:after="0" w:afterLines="0"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日     期：</w:t>
      </w: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日</w:t>
      </w:r>
    </w:p>
    <w:p w14:paraId="1207F7B4">
      <w:pPr>
        <w:adjustRightInd w:val="0"/>
        <w:snapToGrid w:val="0"/>
        <w:spacing w:line="500" w:lineRule="exact"/>
        <w:jc w:val="left"/>
        <w:rPr>
          <w:rFonts w:hint="eastAsia" w:ascii="宋体" w:hAnsi="宋体" w:eastAsia="宋体" w:cs="宋体"/>
          <w:b/>
          <w:sz w:val="24"/>
          <w:szCs w:val="28"/>
        </w:rPr>
      </w:pPr>
    </w:p>
    <w:p w14:paraId="73DF1919">
      <w:pPr>
        <w:adjustRightInd w:val="0"/>
        <w:snapToGrid w:val="0"/>
        <w:spacing w:line="500" w:lineRule="exact"/>
        <w:jc w:val="left"/>
        <w:rPr>
          <w:rFonts w:hint="eastAsia" w:ascii="宋体" w:hAnsi="宋体" w:eastAsia="宋体" w:cs="宋体"/>
          <w:b/>
          <w:sz w:val="24"/>
          <w:szCs w:val="28"/>
        </w:rPr>
      </w:pPr>
    </w:p>
    <w:p w14:paraId="12E1758D">
      <w:pPr>
        <w:keepNext w:val="0"/>
        <w:keepLines w:val="0"/>
        <w:pageBreakBefore w:val="0"/>
        <w:widowControl/>
        <w:kinsoku/>
        <w:wordWrap/>
        <w:overflowPunct/>
        <w:topLinePunct w:val="0"/>
        <w:autoSpaceDE/>
        <w:autoSpaceDN/>
        <w:bidi w:val="0"/>
        <w:adjustRightInd/>
        <w:snapToGrid/>
        <w:spacing w:line="360" w:lineRule="auto"/>
        <w:ind w:firstLine="482"/>
        <w:jc w:val="center"/>
        <w:textAlignment w:val="auto"/>
        <w:outlineLvl w:val="9"/>
        <w:rPr>
          <w:rFonts w:cs="Times New Roman" w:asciiTheme="minorEastAsia" w:hAnsiTheme="minorEastAsia"/>
          <w:b/>
          <w:bCs/>
          <w:color w:val="auto"/>
          <w:kern w:val="0"/>
          <w:sz w:val="24"/>
          <w:szCs w:val="24"/>
        </w:rPr>
      </w:pPr>
    </w:p>
    <w:p w14:paraId="22D147FB">
      <w:pPr>
        <w:widowControl/>
        <w:kinsoku/>
        <w:overflowPunct/>
        <w:topLinePunct w:val="0"/>
        <w:bidi w:val="0"/>
        <w:ind w:firstLine="482"/>
        <w:jc w:val="center"/>
        <w:textAlignment w:val="auto"/>
        <w:outlineLvl w:val="9"/>
        <w:rPr>
          <w:rFonts w:cs="Times New Roman" w:asciiTheme="minorEastAsia" w:hAnsiTheme="minorEastAsia"/>
          <w:b/>
          <w:bCs/>
          <w:color w:val="auto"/>
          <w:kern w:val="0"/>
          <w:sz w:val="24"/>
          <w:szCs w:val="24"/>
        </w:rPr>
      </w:pPr>
    </w:p>
    <w:p w14:paraId="22FA9499">
      <w:pPr>
        <w:widowControl/>
        <w:kinsoku/>
        <w:overflowPunct/>
        <w:topLinePunct w:val="0"/>
        <w:bidi w:val="0"/>
        <w:ind w:firstLine="482"/>
        <w:jc w:val="center"/>
        <w:textAlignment w:val="auto"/>
        <w:outlineLvl w:val="9"/>
        <w:rPr>
          <w:rFonts w:cs="Times New Roman" w:asciiTheme="minorEastAsia" w:hAnsiTheme="minorEastAsia"/>
          <w:b/>
          <w:bCs/>
          <w:color w:val="auto"/>
          <w:kern w:val="0"/>
          <w:sz w:val="24"/>
          <w:szCs w:val="24"/>
        </w:rPr>
      </w:pPr>
    </w:p>
    <w:p w14:paraId="3F8EA77A">
      <w:pPr>
        <w:widowControl/>
        <w:kinsoku/>
        <w:overflowPunct/>
        <w:topLinePunct w:val="0"/>
        <w:bidi w:val="0"/>
        <w:ind w:firstLine="482"/>
        <w:jc w:val="center"/>
        <w:textAlignment w:val="auto"/>
        <w:outlineLvl w:val="9"/>
        <w:rPr>
          <w:rFonts w:cs="Times New Roman" w:asciiTheme="minorEastAsia" w:hAnsiTheme="minorEastAsia"/>
          <w:b/>
          <w:bCs/>
          <w:color w:val="auto"/>
          <w:kern w:val="0"/>
          <w:sz w:val="24"/>
          <w:szCs w:val="24"/>
        </w:rPr>
      </w:pPr>
    </w:p>
    <w:p w14:paraId="56285637">
      <w:pPr>
        <w:pageBreakBefore w:val="0"/>
        <w:widowControl/>
        <w:kinsoku/>
        <w:overflowPunct/>
        <w:topLinePunct w:val="0"/>
        <w:bidi w:val="0"/>
        <w:snapToGrid w:val="0"/>
        <w:spacing w:before="0" w:beforeAutospacing="0" w:after="0" w:afterAutospacing="0" w:line="480" w:lineRule="exact"/>
        <w:textAlignment w:val="baseline"/>
        <w:outlineLvl w:val="9"/>
        <w:rPr>
          <w:rFonts w:ascii="宋体" w:hAnsi="宋体" w:cs="宋体"/>
          <w:b w:val="0"/>
          <w:i w:val="0"/>
          <w:caps w:val="0"/>
          <w:color w:val="auto"/>
          <w:spacing w:val="0"/>
          <w:w w:val="100"/>
          <w:sz w:val="20"/>
          <w:szCs w:val="24"/>
          <w:highlight w:val="none"/>
        </w:rPr>
      </w:pPr>
      <w:r>
        <w:rPr>
          <w:rFonts w:hint="eastAsia" w:ascii="宋体" w:hAnsi="宋体" w:cs="宋体"/>
          <w:b/>
          <w:bCs/>
          <w:i w:val="0"/>
          <w:caps w:val="0"/>
          <w:color w:val="auto"/>
          <w:spacing w:val="0"/>
          <w:w w:val="100"/>
          <w:kern w:val="0"/>
          <w:sz w:val="24"/>
          <w:szCs w:val="24"/>
          <w:highlight w:val="none"/>
        </w:rPr>
        <w:t>注：因响应文件中授权委托书授权代理人无法手写签字，可以以印刷体代替（印刷体为电脑打出的字体）。</w:t>
      </w:r>
    </w:p>
    <w:p w14:paraId="4343BDF3">
      <w:pPr>
        <w:widowControl/>
        <w:kinsoku/>
        <w:overflowPunct/>
        <w:topLinePunct w:val="0"/>
        <w:bidi w:val="0"/>
        <w:ind w:firstLine="482"/>
        <w:jc w:val="center"/>
        <w:textAlignment w:val="auto"/>
        <w:outlineLvl w:val="9"/>
        <w:rPr>
          <w:rFonts w:cs="Times New Roman" w:asciiTheme="minorEastAsia" w:hAnsiTheme="minorEastAsia"/>
          <w:b/>
          <w:bCs/>
          <w:color w:val="auto"/>
          <w:kern w:val="0"/>
          <w:sz w:val="24"/>
          <w:szCs w:val="24"/>
        </w:rPr>
      </w:pPr>
    </w:p>
    <w:p w14:paraId="03574AC0">
      <w:pPr>
        <w:widowControl/>
        <w:kinsoku/>
        <w:overflowPunct/>
        <w:topLinePunct w:val="0"/>
        <w:bidi w:val="0"/>
        <w:ind w:firstLine="643"/>
        <w:jc w:val="center"/>
        <w:textAlignment w:val="auto"/>
        <w:outlineLvl w:val="9"/>
        <w:rPr>
          <w:rFonts w:cs="Times New Roman" w:asciiTheme="minorEastAsia" w:hAnsiTheme="minorEastAsia"/>
          <w:b/>
          <w:bCs/>
          <w:color w:val="auto"/>
          <w:kern w:val="0"/>
          <w:sz w:val="32"/>
          <w:szCs w:val="32"/>
        </w:rPr>
        <w:sectPr>
          <w:pgSz w:w="11906" w:h="16838"/>
          <w:pgMar w:top="1440" w:right="1800" w:bottom="1440" w:left="1800" w:header="851" w:footer="992" w:gutter="0"/>
          <w:pgNumType w:fmt="decimal"/>
          <w:cols w:space="425" w:num="1"/>
          <w:docGrid w:type="lines" w:linePitch="312" w:charSpace="0"/>
        </w:sectPr>
      </w:pPr>
      <w:bookmarkStart w:id="320" w:name="_Toc438305223"/>
    </w:p>
    <w:bookmarkEnd w:id="320"/>
    <w:p w14:paraId="7EF5E40A">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b/>
          <w:bCs/>
          <w:color w:val="auto"/>
          <w:kern w:val="0"/>
          <w:sz w:val="28"/>
          <w:szCs w:val="28"/>
        </w:rPr>
      </w:pPr>
      <w:r>
        <w:rPr>
          <w:rFonts w:hint="eastAsia" w:cs="Times New Roman" w:asciiTheme="minorEastAsia" w:hAnsiTheme="minorEastAsia"/>
          <w:b/>
          <w:bCs/>
          <w:color w:val="auto"/>
          <w:sz w:val="28"/>
          <w:szCs w:val="28"/>
          <w:lang w:val="en-US" w:eastAsia="zh-CN"/>
        </w:rPr>
        <w:t>五</w:t>
      </w:r>
      <w:r>
        <w:rPr>
          <w:rFonts w:hint="eastAsia" w:cs="Times New Roman" w:asciiTheme="minorEastAsia" w:hAnsiTheme="minorEastAsia"/>
          <w:b/>
          <w:bCs/>
          <w:color w:val="auto"/>
          <w:sz w:val="28"/>
          <w:szCs w:val="28"/>
        </w:rPr>
        <w:t>、</w:t>
      </w:r>
      <w:r>
        <w:rPr>
          <w:rFonts w:hint="eastAsia" w:cs="Times New Roman" w:asciiTheme="minorEastAsia" w:hAnsiTheme="minorEastAsia"/>
          <w:b/>
          <w:bCs/>
          <w:color w:val="auto"/>
          <w:kern w:val="0"/>
          <w:sz w:val="28"/>
          <w:szCs w:val="28"/>
          <w:lang w:val="en-US" w:eastAsia="zh-CN"/>
        </w:rPr>
        <w:t>供应商资格审查</w:t>
      </w:r>
      <w:r>
        <w:rPr>
          <w:rFonts w:hint="eastAsia" w:cs="Times New Roman" w:asciiTheme="minorEastAsia" w:hAnsiTheme="minorEastAsia"/>
          <w:b/>
          <w:bCs/>
          <w:color w:val="auto"/>
          <w:kern w:val="0"/>
          <w:sz w:val="28"/>
          <w:szCs w:val="28"/>
        </w:rPr>
        <w:t>资料</w:t>
      </w:r>
    </w:p>
    <w:p w14:paraId="37411D84">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供应商</w:t>
      </w:r>
      <w:r>
        <w:rPr>
          <w:rFonts w:hint="eastAsia" w:ascii="宋体" w:hAnsi="宋体" w:eastAsia="宋体" w:cs="宋体"/>
          <w:b/>
          <w:bCs/>
          <w:color w:val="auto"/>
          <w:sz w:val="24"/>
          <w:szCs w:val="24"/>
        </w:rPr>
        <w:t>基本情况表</w:t>
      </w:r>
    </w:p>
    <w:tbl>
      <w:tblPr>
        <w:tblStyle w:val="17"/>
        <w:tblW w:w="9639" w:type="dxa"/>
        <w:jc w:val="center"/>
        <w:tblLayout w:type="fixed"/>
        <w:tblCellMar>
          <w:top w:w="0" w:type="dxa"/>
          <w:left w:w="0" w:type="dxa"/>
          <w:bottom w:w="0" w:type="dxa"/>
          <w:right w:w="0" w:type="dxa"/>
        </w:tblCellMar>
      </w:tblPr>
      <w:tblGrid>
        <w:gridCol w:w="2291"/>
        <w:gridCol w:w="1325"/>
        <w:gridCol w:w="889"/>
        <w:gridCol w:w="1197"/>
        <w:gridCol w:w="450"/>
        <w:gridCol w:w="946"/>
        <w:gridCol w:w="897"/>
        <w:gridCol w:w="310"/>
        <w:gridCol w:w="1334"/>
      </w:tblGrid>
      <w:tr w14:paraId="26E7D211">
        <w:tblPrEx>
          <w:tblCellMar>
            <w:top w:w="0" w:type="dxa"/>
            <w:left w:w="0" w:type="dxa"/>
            <w:bottom w:w="0" w:type="dxa"/>
            <w:right w:w="0" w:type="dxa"/>
          </w:tblCellMar>
        </w:tblPrEx>
        <w:trPr>
          <w:trHeight w:val="599" w:hRule="atLeast"/>
          <w:jc w:val="center"/>
        </w:trPr>
        <w:tc>
          <w:tcPr>
            <w:tcW w:w="2291" w:type="dxa"/>
            <w:tcBorders>
              <w:top w:val="single" w:color="000000" w:sz="4" w:space="0"/>
              <w:left w:val="single" w:color="000000" w:sz="4" w:space="0"/>
              <w:bottom w:val="single" w:color="000000" w:sz="4" w:space="0"/>
              <w:right w:val="single" w:color="000000" w:sz="4" w:space="0"/>
            </w:tcBorders>
          </w:tcPr>
          <w:p w14:paraId="7EE61F32">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供应商名称</w:t>
            </w:r>
          </w:p>
        </w:tc>
        <w:tc>
          <w:tcPr>
            <w:tcW w:w="7348" w:type="dxa"/>
            <w:gridSpan w:val="8"/>
            <w:tcBorders>
              <w:top w:val="single" w:color="000000" w:sz="4" w:space="0"/>
              <w:left w:val="nil"/>
              <w:bottom w:val="single" w:color="000000" w:sz="4" w:space="0"/>
              <w:right w:val="single" w:color="000000" w:sz="4" w:space="0"/>
            </w:tcBorders>
          </w:tcPr>
          <w:p w14:paraId="401AF892">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r>
      <w:tr w14:paraId="46B43002">
        <w:tblPrEx>
          <w:tblCellMar>
            <w:top w:w="0" w:type="dxa"/>
            <w:left w:w="0" w:type="dxa"/>
            <w:bottom w:w="0" w:type="dxa"/>
            <w:right w:w="0" w:type="dxa"/>
          </w:tblCellMar>
        </w:tblPrEx>
        <w:trPr>
          <w:trHeight w:val="599" w:hRule="atLeast"/>
          <w:jc w:val="center"/>
        </w:trPr>
        <w:tc>
          <w:tcPr>
            <w:tcW w:w="2291" w:type="dxa"/>
            <w:tcBorders>
              <w:top w:val="single" w:color="000000" w:sz="4" w:space="0"/>
              <w:left w:val="single" w:color="000000" w:sz="4" w:space="0"/>
              <w:bottom w:val="single" w:color="000000" w:sz="4" w:space="0"/>
              <w:right w:val="single" w:color="000000" w:sz="4" w:space="0"/>
            </w:tcBorders>
          </w:tcPr>
          <w:p w14:paraId="12BC6966">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注册</w:t>
            </w:r>
            <w:r>
              <w:rPr>
                <w:rFonts w:hint="eastAsia" w:ascii="宋体" w:hAnsi="宋体" w:eastAsia="宋体" w:cs="宋体"/>
                <w:color w:val="auto"/>
                <w:spacing w:val="-2"/>
                <w:kern w:val="0"/>
                <w:sz w:val="24"/>
                <w:szCs w:val="24"/>
              </w:rPr>
              <w:t>地</w:t>
            </w:r>
            <w:r>
              <w:rPr>
                <w:rFonts w:hint="eastAsia" w:ascii="宋体" w:hAnsi="宋体" w:eastAsia="宋体" w:cs="宋体"/>
                <w:color w:val="auto"/>
                <w:kern w:val="0"/>
                <w:sz w:val="24"/>
                <w:szCs w:val="24"/>
              </w:rPr>
              <w:t>址</w:t>
            </w:r>
          </w:p>
        </w:tc>
        <w:tc>
          <w:tcPr>
            <w:tcW w:w="3411" w:type="dxa"/>
            <w:gridSpan w:val="3"/>
            <w:tcBorders>
              <w:top w:val="single" w:color="000000" w:sz="4" w:space="0"/>
              <w:left w:val="nil"/>
              <w:bottom w:val="single" w:color="000000" w:sz="4" w:space="0"/>
              <w:right w:val="single" w:color="000000" w:sz="4" w:space="0"/>
            </w:tcBorders>
          </w:tcPr>
          <w:p w14:paraId="0C014C36">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c>
          <w:tcPr>
            <w:tcW w:w="1396" w:type="dxa"/>
            <w:gridSpan w:val="2"/>
            <w:tcBorders>
              <w:top w:val="single" w:color="000000" w:sz="4" w:space="0"/>
              <w:left w:val="nil"/>
              <w:bottom w:val="single" w:color="000000" w:sz="4" w:space="0"/>
              <w:right w:val="single" w:color="000000" w:sz="4" w:space="0"/>
            </w:tcBorders>
          </w:tcPr>
          <w:p w14:paraId="235305A2">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邮政</w:t>
            </w:r>
            <w:r>
              <w:rPr>
                <w:rFonts w:hint="eastAsia" w:ascii="宋体" w:hAnsi="宋体" w:eastAsia="宋体" w:cs="宋体"/>
                <w:color w:val="auto"/>
                <w:spacing w:val="-2"/>
                <w:kern w:val="0"/>
                <w:sz w:val="24"/>
                <w:szCs w:val="24"/>
              </w:rPr>
              <w:t>编</w:t>
            </w:r>
            <w:r>
              <w:rPr>
                <w:rFonts w:hint="eastAsia" w:ascii="宋体" w:hAnsi="宋体" w:eastAsia="宋体" w:cs="宋体"/>
                <w:color w:val="auto"/>
                <w:kern w:val="0"/>
                <w:sz w:val="24"/>
                <w:szCs w:val="24"/>
              </w:rPr>
              <w:t>码</w:t>
            </w:r>
          </w:p>
        </w:tc>
        <w:tc>
          <w:tcPr>
            <w:tcW w:w="2541" w:type="dxa"/>
            <w:gridSpan w:val="3"/>
            <w:tcBorders>
              <w:top w:val="single" w:color="000000" w:sz="4" w:space="0"/>
              <w:left w:val="nil"/>
              <w:bottom w:val="single" w:color="000000" w:sz="4" w:space="0"/>
              <w:right w:val="single" w:color="000000" w:sz="4" w:space="0"/>
            </w:tcBorders>
          </w:tcPr>
          <w:p w14:paraId="323A458F">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r>
      <w:tr w14:paraId="1B3763F0">
        <w:tblPrEx>
          <w:tblCellMar>
            <w:top w:w="0" w:type="dxa"/>
            <w:left w:w="0" w:type="dxa"/>
            <w:bottom w:w="0" w:type="dxa"/>
            <w:right w:w="0" w:type="dxa"/>
          </w:tblCellMar>
        </w:tblPrEx>
        <w:trPr>
          <w:trHeight w:val="599" w:hRule="atLeast"/>
          <w:jc w:val="center"/>
        </w:trPr>
        <w:tc>
          <w:tcPr>
            <w:tcW w:w="2291" w:type="dxa"/>
            <w:vMerge w:val="restart"/>
            <w:tcBorders>
              <w:top w:val="nil"/>
              <w:left w:val="single" w:color="000000" w:sz="4" w:space="0"/>
              <w:bottom w:val="single" w:color="000000" w:sz="4" w:space="0"/>
              <w:right w:val="single" w:color="000000" w:sz="4" w:space="0"/>
            </w:tcBorders>
            <w:vAlign w:val="center"/>
          </w:tcPr>
          <w:p w14:paraId="2C5FDC34">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联系方式</w:t>
            </w:r>
          </w:p>
        </w:tc>
        <w:tc>
          <w:tcPr>
            <w:tcW w:w="1325" w:type="dxa"/>
            <w:tcBorders>
              <w:top w:val="single" w:color="000000" w:sz="4" w:space="0"/>
              <w:left w:val="nil"/>
              <w:bottom w:val="single" w:color="000000" w:sz="4" w:space="0"/>
              <w:right w:val="single" w:color="000000" w:sz="4" w:space="0"/>
            </w:tcBorders>
          </w:tcPr>
          <w:p w14:paraId="78AD6763">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联系人</w:t>
            </w:r>
          </w:p>
        </w:tc>
        <w:tc>
          <w:tcPr>
            <w:tcW w:w="2086" w:type="dxa"/>
            <w:gridSpan w:val="2"/>
            <w:tcBorders>
              <w:top w:val="single" w:color="000000" w:sz="4" w:space="0"/>
              <w:left w:val="nil"/>
              <w:bottom w:val="single" w:color="000000" w:sz="4" w:space="0"/>
              <w:right w:val="single" w:color="000000" w:sz="4" w:space="0"/>
            </w:tcBorders>
          </w:tcPr>
          <w:p w14:paraId="3F4A8DDA">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c>
          <w:tcPr>
            <w:tcW w:w="1396" w:type="dxa"/>
            <w:gridSpan w:val="2"/>
            <w:tcBorders>
              <w:top w:val="single" w:color="000000" w:sz="4" w:space="0"/>
              <w:left w:val="nil"/>
              <w:bottom w:val="single" w:color="000000" w:sz="4" w:space="0"/>
              <w:right w:val="single" w:color="000000" w:sz="4" w:space="0"/>
            </w:tcBorders>
          </w:tcPr>
          <w:p w14:paraId="2DE01504">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w:t>
            </w:r>
            <w:r>
              <w:rPr>
                <w:rFonts w:hint="eastAsia" w:ascii="宋体" w:hAnsi="宋体" w:eastAsia="宋体" w:cs="宋体"/>
                <w:color w:val="auto"/>
                <w:spacing w:val="43"/>
                <w:kern w:val="0"/>
                <w:sz w:val="24"/>
                <w:szCs w:val="24"/>
              </w:rPr>
              <w:t> </w:t>
            </w:r>
            <w:r>
              <w:rPr>
                <w:rFonts w:hint="eastAsia" w:ascii="宋体" w:hAnsi="宋体" w:eastAsia="宋体" w:cs="宋体"/>
                <w:color w:val="auto"/>
                <w:kern w:val="0"/>
                <w:sz w:val="24"/>
                <w:szCs w:val="24"/>
              </w:rPr>
              <w:t>话</w:t>
            </w:r>
          </w:p>
        </w:tc>
        <w:tc>
          <w:tcPr>
            <w:tcW w:w="2541" w:type="dxa"/>
            <w:gridSpan w:val="3"/>
            <w:tcBorders>
              <w:top w:val="single" w:color="000000" w:sz="4" w:space="0"/>
              <w:left w:val="nil"/>
              <w:bottom w:val="single" w:color="000000" w:sz="4" w:space="0"/>
              <w:right w:val="single" w:color="000000" w:sz="4" w:space="0"/>
            </w:tcBorders>
          </w:tcPr>
          <w:p w14:paraId="53BC50BB">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r>
      <w:tr w14:paraId="78774366">
        <w:tblPrEx>
          <w:tblCellMar>
            <w:top w:w="0" w:type="dxa"/>
            <w:left w:w="0" w:type="dxa"/>
            <w:bottom w:w="0" w:type="dxa"/>
            <w:right w:w="0" w:type="dxa"/>
          </w:tblCellMar>
        </w:tblPrEx>
        <w:trPr>
          <w:trHeight w:val="600" w:hRule="atLeast"/>
          <w:jc w:val="center"/>
        </w:trPr>
        <w:tc>
          <w:tcPr>
            <w:tcW w:w="2291" w:type="dxa"/>
            <w:vMerge w:val="continue"/>
            <w:tcBorders>
              <w:top w:val="nil"/>
              <w:left w:val="single" w:color="000000" w:sz="4" w:space="0"/>
              <w:bottom w:val="single" w:color="000000" w:sz="4" w:space="0"/>
              <w:right w:val="single" w:color="000000" w:sz="4" w:space="0"/>
            </w:tcBorders>
            <w:vAlign w:val="center"/>
          </w:tcPr>
          <w:p w14:paraId="32870891">
            <w:pPr>
              <w:keepNext w:val="0"/>
              <w:keepLines w:val="0"/>
              <w:pageBreakBefore w:val="0"/>
              <w:kinsoku/>
              <w:wordWrap/>
              <w:overflowPunct/>
              <w:topLinePunct w:val="0"/>
              <w:autoSpaceDE w:val="0"/>
              <w:autoSpaceDN w:val="0"/>
              <w:bidi w:val="0"/>
              <w:adjustRightInd w:val="0"/>
              <w:snapToGrid/>
              <w:spacing w:before="48" w:line="360" w:lineRule="auto"/>
              <w:ind w:left="491" w:right="-20" w:firstLine="480"/>
              <w:jc w:val="center"/>
              <w:textAlignment w:val="auto"/>
              <w:outlineLvl w:val="9"/>
              <w:rPr>
                <w:rFonts w:hint="eastAsia" w:ascii="宋体" w:hAnsi="宋体" w:eastAsia="宋体" w:cs="宋体"/>
                <w:color w:val="auto"/>
                <w:kern w:val="0"/>
                <w:sz w:val="24"/>
                <w:szCs w:val="24"/>
              </w:rPr>
            </w:pPr>
          </w:p>
        </w:tc>
        <w:tc>
          <w:tcPr>
            <w:tcW w:w="1325" w:type="dxa"/>
            <w:tcBorders>
              <w:top w:val="single" w:color="000000" w:sz="4" w:space="0"/>
              <w:left w:val="nil"/>
              <w:bottom w:val="single" w:color="000000" w:sz="4" w:space="0"/>
              <w:right w:val="single" w:color="000000" w:sz="4" w:space="0"/>
            </w:tcBorders>
          </w:tcPr>
          <w:p w14:paraId="0746B8E6">
            <w:pPr>
              <w:keepNext w:val="0"/>
              <w:keepLines w:val="0"/>
              <w:pageBreakBefore w:val="0"/>
              <w:kinsoku/>
              <w:wordWrap/>
              <w:overflowPunct/>
              <w:topLinePunct w:val="0"/>
              <w:autoSpaceDE w:val="0"/>
              <w:autoSpaceDN w:val="0"/>
              <w:bidi w:val="0"/>
              <w:adjustRightInd w:val="0"/>
              <w:snapToGrid/>
              <w:spacing w:before="49"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传</w:t>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真</w:t>
            </w:r>
          </w:p>
        </w:tc>
        <w:tc>
          <w:tcPr>
            <w:tcW w:w="2086" w:type="dxa"/>
            <w:gridSpan w:val="2"/>
            <w:tcBorders>
              <w:top w:val="single" w:color="000000" w:sz="4" w:space="0"/>
              <w:left w:val="nil"/>
              <w:bottom w:val="single" w:color="000000" w:sz="4" w:space="0"/>
              <w:right w:val="single" w:color="000000" w:sz="4" w:space="0"/>
            </w:tcBorders>
          </w:tcPr>
          <w:p w14:paraId="293C0453">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c>
          <w:tcPr>
            <w:tcW w:w="1396" w:type="dxa"/>
            <w:gridSpan w:val="2"/>
            <w:tcBorders>
              <w:top w:val="single" w:color="000000" w:sz="4" w:space="0"/>
              <w:left w:val="nil"/>
              <w:bottom w:val="single" w:color="000000" w:sz="4" w:space="0"/>
              <w:right w:val="single" w:color="000000" w:sz="4" w:space="0"/>
            </w:tcBorders>
          </w:tcPr>
          <w:p w14:paraId="3F85C29F">
            <w:pPr>
              <w:keepNext w:val="0"/>
              <w:keepLines w:val="0"/>
              <w:pageBreakBefore w:val="0"/>
              <w:kinsoku/>
              <w:wordWrap/>
              <w:overflowPunct/>
              <w:topLinePunct w:val="0"/>
              <w:autoSpaceDE w:val="0"/>
              <w:autoSpaceDN w:val="0"/>
              <w:bidi w:val="0"/>
              <w:adjustRightInd w:val="0"/>
              <w:snapToGrid/>
              <w:spacing w:before="49"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网</w:t>
            </w:r>
            <w:r>
              <w:rPr>
                <w:rFonts w:hint="eastAsia" w:ascii="宋体" w:hAnsi="宋体" w:eastAsia="宋体" w:cs="宋体"/>
                <w:color w:val="auto"/>
                <w:spacing w:val="43"/>
                <w:kern w:val="0"/>
                <w:sz w:val="24"/>
                <w:szCs w:val="24"/>
              </w:rPr>
              <w:t> </w:t>
            </w:r>
            <w:r>
              <w:rPr>
                <w:rFonts w:hint="eastAsia" w:ascii="宋体" w:hAnsi="宋体" w:eastAsia="宋体" w:cs="宋体"/>
                <w:color w:val="auto"/>
                <w:kern w:val="0"/>
                <w:sz w:val="24"/>
                <w:szCs w:val="24"/>
              </w:rPr>
              <w:t>址</w:t>
            </w:r>
          </w:p>
        </w:tc>
        <w:tc>
          <w:tcPr>
            <w:tcW w:w="2541" w:type="dxa"/>
            <w:gridSpan w:val="3"/>
            <w:tcBorders>
              <w:top w:val="single" w:color="000000" w:sz="4" w:space="0"/>
              <w:left w:val="nil"/>
              <w:bottom w:val="single" w:color="000000" w:sz="4" w:space="0"/>
              <w:right w:val="single" w:color="000000" w:sz="4" w:space="0"/>
            </w:tcBorders>
          </w:tcPr>
          <w:p w14:paraId="716781DA">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r>
      <w:tr w14:paraId="4A18AE9F">
        <w:tblPrEx>
          <w:tblCellMar>
            <w:top w:w="0" w:type="dxa"/>
            <w:left w:w="0" w:type="dxa"/>
            <w:bottom w:w="0" w:type="dxa"/>
            <w:right w:w="0" w:type="dxa"/>
          </w:tblCellMar>
        </w:tblPrEx>
        <w:trPr>
          <w:trHeight w:val="599" w:hRule="atLeast"/>
          <w:jc w:val="center"/>
        </w:trPr>
        <w:tc>
          <w:tcPr>
            <w:tcW w:w="2291" w:type="dxa"/>
            <w:tcBorders>
              <w:top w:val="single" w:color="000000" w:sz="4" w:space="0"/>
              <w:left w:val="single" w:color="000000" w:sz="4" w:space="0"/>
              <w:bottom w:val="single" w:color="000000" w:sz="4" w:space="0"/>
              <w:right w:val="single" w:color="000000" w:sz="4" w:space="0"/>
            </w:tcBorders>
            <w:vAlign w:val="center"/>
          </w:tcPr>
          <w:p w14:paraId="40E9276D">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w:t>
            </w:r>
          </w:p>
        </w:tc>
        <w:tc>
          <w:tcPr>
            <w:tcW w:w="1325" w:type="dxa"/>
            <w:tcBorders>
              <w:top w:val="single" w:color="000000" w:sz="4" w:space="0"/>
              <w:left w:val="nil"/>
              <w:bottom w:val="single" w:color="000000" w:sz="4" w:space="0"/>
              <w:right w:val="single" w:color="000000" w:sz="4" w:space="0"/>
            </w:tcBorders>
          </w:tcPr>
          <w:p w14:paraId="659A02C0">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姓名</w:t>
            </w:r>
          </w:p>
        </w:tc>
        <w:tc>
          <w:tcPr>
            <w:tcW w:w="889" w:type="dxa"/>
            <w:tcBorders>
              <w:top w:val="single" w:color="000000" w:sz="4" w:space="0"/>
              <w:left w:val="nil"/>
              <w:bottom w:val="single" w:color="000000" w:sz="4" w:space="0"/>
              <w:right w:val="single" w:color="000000" w:sz="4" w:space="0"/>
            </w:tcBorders>
          </w:tcPr>
          <w:p w14:paraId="4A8314EF">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c>
          <w:tcPr>
            <w:tcW w:w="1197" w:type="dxa"/>
            <w:tcBorders>
              <w:top w:val="single" w:color="000000" w:sz="4" w:space="0"/>
              <w:left w:val="nil"/>
              <w:bottom w:val="single" w:color="000000" w:sz="4" w:space="0"/>
              <w:right w:val="single" w:color="000000" w:sz="4" w:space="0"/>
            </w:tcBorders>
          </w:tcPr>
          <w:p w14:paraId="65A462DF">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技术</w:t>
            </w:r>
            <w:r>
              <w:rPr>
                <w:rFonts w:hint="eastAsia" w:ascii="宋体" w:hAnsi="宋体" w:eastAsia="宋体" w:cs="宋体"/>
                <w:color w:val="auto"/>
                <w:spacing w:val="-2"/>
                <w:kern w:val="0"/>
                <w:sz w:val="24"/>
                <w:szCs w:val="24"/>
              </w:rPr>
              <w:t>职</w:t>
            </w:r>
            <w:r>
              <w:rPr>
                <w:rFonts w:hint="eastAsia" w:ascii="宋体" w:hAnsi="宋体" w:eastAsia="宋体" w:cs="宋体"/>
                <w:color w:val="auto"/>
                <w:kern w:val="0"/>
                <w:sz w:val="24"/>
                <w:szCs w:val="24"/>
              </w:rPr>
              <w:t>称</w:t>
            </w:r>
          </w:p>
        </w:tc>
        <w:tc>
          <w:tcPr>
            <w:tcW w:w="1396" w:type="dxa"/>
            <w:gridSpan w:val="2"/>
            <w:tcBorders>
              <w:top w:val="single" w:color="000000" w:sz="4" w:space="0"/>
              <w:left w:val="nil"/>
              <w:bottom w:val="single" w:color="000000" w:sz="4" w:space="0"/>
              <w:right w:val="single" w:color="000000" w:sz="4" w:space="0"/>
            </w:tcBorders>
          </w:tcPr>
          <w:p w14:paraId="292715C3">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c>
          <w:tcPr>
            <w:tcW w:w="1207" w:type="dxa"/>
            <w:gridSpan w:val="2"/>
            <w:tcBorders>
              <w:top w:val="single" w:color="000000" w:sz="4" w:space="0"/>
              <w:left w:val="nil"/>
              <w:bottom w:val="single" w:color="000000" w:sz="4" w:space="0"/>
              <w:right w:val="single" w:color="000000" w:sz="4" w:space="0"/>
            </w:tcBorders>
          </w:tcPr>
          <w:p w14:paraId="177E5F73">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电话</w:t>
            </w:r>
          </w:p>
        </w:tc>
        <w:tc>
          <w:tcPr>
            <w:tcW w:w="1334" w:type="dxa"/>
            <w:tcBorders>
              <w:top w:val="single" w:color="000000" w:sz="4" w:space="0"/>
              <w:left w:val="nil"/>
              <w:bottom w:val="single" w:color="000000" w:sz="4" w:space="0"/>
              <w:right w:val="single" w:color="000000" w:sz="4" w:space="0"/>
            </w:tcBorders>
          </w:tcPr>
          <w:p w14:paraId="2B193695">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r>
      <w:tr w14:paraId="75A3D92A">
        <w:tblPrEx>
          <w:tblCellMar>
            <w:top w:w="0" w:type="dxa"/>
            <w:left w:w="0" w:type="dxa"/>
            <w:bottom w:w="0" w:type="dxa"/>
            <w:right w:w="0" w:type="dxa"/>
          </w:tblCellMar>
        </w:tblPrEx>
        <w:trPr>
          <w:trHeight w:val="599" w:hRule="atLeast"/>
          <w:jc w:val="center"/>
        </w:trPr>
        <w:tc>
          <w:tcPr>
            <w:tcW w:w="2291" w:type="dxa"/>
            <w:tcBorders>
              <w:top w:val="single" w:color="000000" w:sz="4" w:space="0"/>
              <w:left w:val="single" w:color="000000" w:sz="4" w:space="0"/>
              <w:bottom w:val="single" w:color="000000" w:sz="4" w:space="0"/>
              <w:right w:val="single" w:color="000000" w:sz="4" w:space="0"/>
            </w:tcBorders>
          </w:tcPr>
          <w:p w14:paraId="1BFD7EEB">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项目</w:t>
            </w:r>
            <w:r>
              <w:rPr>
                <w:rFonts w:hint="eastAsia" w:ascii="宋体" w:hAnsi="宋体" w:eastAsia="宋体" w:cs="宋体"/>
                <w:color w:val="auto"/>
                <w:spacing w:val="-2"/>
                <w:kern w:val="0"/>
                <w:sz w:val="24"/>
                <w:szCs w:val="24"/>
              </w:rPr>
              <w:t>负</w:t>
            </w:r>
            <w:r>
              <w:rPr>
                <w:rFonts w:hint="eastAsia" w:ascii="宋体" w:hAnsi="宋体" w:eastAsia="宋体" w:cs="宋体"/>
                <w:color w:val="auto"/>
                <w:kern w:val="0"/>
                <w:sz w:val="24"/>
                <w:szCs w:val="24"/>
              </w:rPr>
              <w:t>责人</w:t>
            </w:r>
          </w:p>
        </w:tc>
        <w:tc>
          <w:tcPr>
            <w:tcW w:w="1325" w:type="dxa"/>
            <w:tcBorders>
              <w:top w:val="single" w:color="000000" w:sz="4" w:space="0"/>
              <w:left w:val="nil"/>
              <w:bottom w:val="single" w:color="000000" w:sz="4" w:space="0"/>
              <w:right w:val="single" w:color="000000" w:sz="4" w:space="0"/>
            </w:tcBorders>
          </w:tcPr>
          <w:p w14:paraId="2BDA7F60">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姓名</w:t>
            </w:r>
          </w:p>
        </w:tc>
        <w:tc>
          <w:tcPr>
            <w:tcW w:w="889" w:type="dxa"/>
            <w:tcBorders>
              <w:top w:val="single" w:color="000000" w:sz="4" w:space="0"/>
              <w:left w:val="nil"/>
              <w:bottom w:val="single" w:color="000000" w:sz="4" w:space="0"/>
              <w:right w:val="single" w:color="000000" w:sz="4" w:space="0"/>
            </w:tcBorders>
          </w:tcPr>
          <w:p w14:paraId="45036D56">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c>
          <w:tcPr>
            <w:tcW w:w="1197" w:type="dxa"/>
            <w:tcBorders>
              <w:top w:val="single" w:color="000000" w:sz="4" w:space="0"/>
              <w:left w:val="nil"/>
              <w:bottom w:val="single" w:color="000000" w:sz="4" w:space="0"/>
              <w:right w:val="single" w:color="000000" w:sz="4" w:space="0"/>
            </w:tcBorders>
          </w:tcPr>
          <w:p w14:paraId="5ACC48FA">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技术</w:t>
            </w:r>
            <w:r>
              <w:rPr>
                <w:rFonts w:hint="eastAsia" w:ascii="宋体" w:hAnsi="宋体" w:eastAsia="宋体" w:cs="宋体"/>
                <w:color w:val="auto"/>
                <w:spacing w:val="-2"/>
                <w:kern w:val="0"/>
                <w:sz w:val="24"/>
                <w:szCs w:val="24"/>
              </w:rPr>
              <w:t>职</w:t>
            </w:r>
            <w:r>
              <w:rPr>
                <w:rFonts w:hint="eastAsia" w:ascii="宋体" w:hAnsi="宋体" w:eastAsia="宋体" w:cs="宋体"/>
                <w:color w:val="auto"/>
                <w:kern w:val="0"/>
                <w:sz w:val="24"/>
                <w:szCs w:val="24"/>
              </w:rPr>
              <w:t>称</w:t>
            </w:r>
          </w:p>
        </w:tc>
        <w:tc>
          <w:tcPr>
            <w:tcW w:w="1396" w:type="dxa"/>
            <w:gridSpan w:val="2"/>
            <w:tcBorders>
              <w:top w:val="single" w:color="000000" w:sz="4" w:space="0"/>
              <w:left w:val="nil"/>
              <w:bottom w:val="single" w:color="000000" w:sz="4" w:space="0"/>
              <w:right w:val="single" w:color="000000" w:sz="4" w:space="0"/>
            </w:tcBorders>
          </w:tcPr>
          <w:p w14:paraId="516801FC">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c>
          <w:tcPr>
            <w:tcW w:w="1207" w:type="dxa"/>
            <w:gridSpan w:val="2"/>
            <w:tcBorders>
              <w:top w:val="single" w:color="000000" w:sz="4" w:space="0"/>
              <w:left w:val="nil"/>
              <w:bottom w:val="single" w:color="000000" w:sz="4" w:space="0"/>
              <w:right w:val="single" w:color="000000" w:sz="4" w:space="0"/>
            </w:tcBorders>
          </w:tcPr>
          <w:p w14:paraId="6C5A7D3D">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电话</w:t>
            </w:r>
          </w:p>
        </w:tc>
        <w:tc>
          <w:tcPr>
            <w:tcW w:w="1334" w:type="dxa"/>
            <w:tcBorders>
              <w:top w:val="single" w:color="000000" w:sz="4" w:space="0"/>
              <w:left w:val="nil"/>
              <w:bottom w:val="single" w:color="000000" w:sz="4" w:space="0"/>
              <w:right w:val="single" w:color="000000" w:sz="4" w:space="0"/>
            </w:tcBorders>
          </w:tcPr>
          <w:p w14:paraId="25213D40">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r>
      <w:tr w14:paraId="156E8A3D">
        <w:tblPrEx>
          <w:tblCellMar>
            <w:top w:w="0" w:type="dxa"/>
            <w:left w:w="0" w:type="dxa"/>
            <w:bottom w:w="0" w:type="dxa"/>
            <w:right w:w="0" w:type="dxa"/>
          </w:tblCellMar>
        </w:tblPrEx>
        <w:trPr>
          <w:trHeight w:val="599" w:hRule="atLeast"/>
          <w:jc w:val="center"/>
        </w:trPr>
        <w:tc>
          <w:tcPr>
            <w:tcW w:w="2291" w:type="dxa"/>
            <w:tcBorders>
              <w:top w:val="single" w:color="000000" w:sz="4" w:space="0"/>
              <w:left w:val="single" w:color="000000" w:sz="4" w:space="0"/>
              <w:bottom w:val="single" w:color="000000" w:sz="4" w:space="0"/>
              <w:right w:val="single" w:color="000000" w:sz="4" w:space="0"/>
            </w:tcBorders>
          </w:tcPr>
          <w:p w14:paraId="2C23ECB0">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企业</w:t>
            </w:r>
            <w:r>
              <w:rPr>
                <w:rFonts w:hint="eastAsia" w:ascii="宋体" w:hAnsi="宋体" w:eastAsia="宋体" w:cs="宋体"/>
                <w:color w:val="auto"/>
                <w:spacing w:val="-2"/>
                <w:kern w:val="0"/>
                <w:sz w:val="24"/>
                <w:szCs w:val="24"/>
              </w:rPr>
              <w:t>资</w:t>
            </w:r>
            <w:r>
              <w:rPr>
                <w:rFonts w:hint="eastAsia" w:ascii="宋体" w:hAnsi="宋体" w:eastAsia="宋体" w:cs="宋体"/>
                <w:color w:val="auto"/>
                <w:kern w:val="0"/>
                <w:sz w:val="24"/>
                <w:szCs w:val="24"/>
              </w:rPr>
              <w:t>质</w:t>
            </w:r>
            <w:r>
              <w:rPr>
                <w:rFonts w:hint="eastAsia" w:ascii="宋体" w:hAnsi="宋体" w:eastAsia="宋体" w:cs="宋体"/>
                <w:color w:val="auto"/>
                <w:spacing w:val="-2"/>
                <w:kern w:val="0"/>
                <w:sz w:val="24"/>
                <w:szCs w:val="24"/>
              </w:rPr>
              <w:t>证</w:t>
            </w:r>
            <w:r>
              <w:rPr>
                <w:rFonts w:hint="eastAsia" w:ascii="宋体" w:hAnsi="宋体" w:eastAsia="宋体" w:cs="宋体"/>
                <w:color w:val="auto"/>
                <w:kern w:val="0"/>
                <w:sz w:val="24"/>
                <w:szCs w:val="24"/>
              </w:rPr>
              <w:t>书</w:t>
            </w:r>
          </w:p>
        </w:tc>
        <w:tc>
          <w:tcPr>
            <w:tcW w:w="7348" w:type="dxa"/>
            <w:gridSpan w:val="8"/>
            <w:tcBorders>
              <w:top w:val="single" w:color="000000" w:sz="4" w:space="0"/>
              <w:left w:val="nil"/>
              <w:bottom w:val="single" w:color="000000" w:sz="4" w:space="0"/>
              <w:right w:val="single" w:color="000000" w:sz="4" w:space="0"/>
            </w:tcBorders>
          </w:tcPr>
          <w:p w14:paraId="7341C5D6">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类型：</w:t>
            </w:r>
            <w:r>
              <w:rPr>
                <w:rFonts w:hint="eastAsia" w:ascii="宋体" w:hAnsi="宋体" w:eastAsia="宋体" w:cs="宋体"/>
                <w:color w:val="auto"/>
                <w:kern w:val="0"/>
                <w:sz w:val="24"/>
                <w:szCs w:val="24"/>
              </w:rPr>
              <w:tab/>
            </w:r>
            <w:r>
              <w:rPr>
                <w:rFonts w:hint="eastAsia" w:ascii="宋体" w:hAnsi="宋体" w:eastAsia="宋体" w:cs="宋体"/>
                <w:color w:val="auto"/>
                <w:spacing w:val="-2"/>
                <w:kern w:val="0"/>
                <w:sz w:val="24"/>
                <w:szCs w:val="24"/>
              </w:rPr>
              <w:t>等</w:t>
            </w:r>
            <w:r>
              <w:rPr>
                <w:rFonts w:hint="eastAsia" w:ascii="宋体" w:hAnsi="宋体" w:eastAsia="宋体" w:cs="宋体"/>
                <w:color w:val="auto"/>
                <w:kern w:val="0"/>
                <w:sz w:val="24"/>
                <w:szCs w:val="24"/>
              </w:rPr>
              <w:t>级：</w:t>
            </w:r>
            <w:r>
              <w:rPr>
                <w:rFonts w:hint="eastAsia" w:ascii="宋体" w:hAnsi="宋体" w:eastAsia="宋体" w:cs="宋体"/>
                <w:color w:val="auto"/>
                <w:kern w:val="0"/>
                <w:sz w:val="24"/>
                <w:szCs w:val="24"/>
              </w:rPr>
              <w:tab/>
            </w:r>
            <w:r>
              <w:rPr>
                <w:rFonts w:hint="eastAsia" w:ascii="宋体" w:hAnsi="宋体" w:eastAsia="宋体" w:cs="宋体"/>
                <w:color w:val="auto"/>
                <w:spacing w:val="-2"/>
                <w:kern w:val="0"/>
                <w:sz w:val="24"/>
                <w:szCs w:val="24"/>
              </w:rPr>
              <w:t>证</w:t>
            </w:r>
            <w:r>
              <w:rPr>
                <w:rFonts w:hint="eastAsia" w:ascii="宋体" w:hAnsi="宋体" w:eastAsia="宋体" w:cs="宋体"/>
                <w:color w:val="auto"/>
                <w:kern w:val="0"/>
                <w:sz w:val="24"/>
                <w:szCs w:val="24"/>
              </w:rPr>
              <w:t>书</w:t>
            </w:r>
            <w:r>
              <w:rPr>
                <w:rFonts w:hint="eastAsia" w:ascii="宋体" w:hAnsi="宋体" w:eastAsia="宋体" w:cs="宋体"/>
                <w:color w:val="auto"/>
                <w:spacing w:val="-2"/>
                <w:kern w:val="0"/>
                <w:sz w:val="24"/>
                <w:szCs w:val="24"/>
              </w:rPr>
              <w:t>号</w:t>
            </w:r>
            <w:r>
              <w:rPr>
                <w:rFonts w:hint="eastAsia" w:ascii="宋体" w:hAnsi="宋体" w:eastAsia="宋体" w:cs="宋体"/>
                <w:color w:val="auto"/>
                <w:kern w:val="0"/>
                <w:sz w:val="24"/>
                <w:szCs w:val="24"/>
              </w:rPr>
              <w:t>：</w:t>
            </w:r>
          </w:p>
        </w:tc>
      </w:tr>
      <w:tr w14:paraId="57F65071">
        <w:tblPrEx>
          <w:tblCellMar>
            <w:top w:w="0" w:type="dxa"/>
            <w:left w:w="0" w:type="dxa"/>
            <w:bottom w:w="0" w:type="dxa"/>
            <w:right w:w="0" w:type="dxa"/>
          </w:tblCellMar>
        </w:tblPrEx>
        <w:trPr>
          <w:trHeight w:val="613" w:hRule="atLeast"/>
          <w:jc w:val="center"/>
        </w:trPr>
        <w:tc>
          <w:tcPr>
            <w:tcW w:w="2291" w:type="dxa"/>
            <w:tcBorders>
              <w:top w:val="single" w:color="000000" w:sz="4" w:space="0"/>
              <w:left w:val="single" w:color="000000" w:sz="4" w:space="0"/>
              <w:bottom w:val="single" w:color="000000" w:sz="4" w:space="0"/>
              <w:right w:val="single" w:color="000000" w:sz="4" w:space="0"/>
            </w:tcBorders>
          </w:tcPr>
          <w:p w14:paraId="06BA8E0B">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营业</w:t>
            </w:r>
            <w:r>
              <w:rPr>
                <w:rFonts w:hint="eastAsia" w:ascii="宋体" w:hAnsi="宋体" w:eastAsia="宋体" w:cs="宋体"/>
                <w:color w:val="auto"/>
                <w:spacing w:val="-2"/>
                <w:kern w:val="0"/>
                <w:sz w:val="24"/>
                <w:szCs w:val="24"/>
              </w:rPr>
              <w:t>执</w:t>
            </w:r>
            <w:r>
              <w:rPr>
                <w:rFonts w:hint="eastAsia" w:ascii="宋体" w:hAnsi="宋体" w:eastAsia="宋体" w:cs="宋体"/>
                <w:color w:val="auto"/>
                <w:kern w:val="0"/>
                <w:sz w:val="24"/>
                <w:szCs w:val="24"/>
              </w:rPr>
              <w:t>照号</w:t>
            </w:r>
          </w:p>
        </w:tc>
        <w:tc>
          <w:tcPr>
            <w:tcW w:w="3411" w:type="dxa"/>
            <w:gridSpan w:val="3"/>
            <w:tcBorders>
              <w:top w:val="single" w:color="000000" w:sz="4" w:space="0"/>
              <w:left w:val="nil"/>
              <w:bottom w:val="single" w:color="000000" w:sz="4" w:space="0"/>
              <w:right w:val="single" w:color="000000" w:sz="4" w:space="0"/>
            </w:tcBorders>
          </w:tcPr>
          <w:p w14:paraId="0ED54823">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c>
          <w:tcPr>
            <w:tcW w:w="3937" w:type="dxa"/>
            <w:gridSpan w:val="5"/>
            <w:tcBorders>
              <w:top w:val="single" w:color="000000" w:sz="4" w:space="0"/>
              <w:left w:val="nil"/>
              <w:bottom w:val="single" w:color="000000" w:sz="4" w:space="0"/>
              <w:right w:val="single" w:color="000000" w:sz="4" w:space="0"/>
            </w:tcBorders>
          </w:tcPr>
          <w:p w14:paraId="6DAF4D6C">
            <w:pPr>
              <w:keepNext w:val="0"/>
              <w:keepLines w:val="0"/>
              <w:pageBreakBefore w:val="0"/>
              <w:kinsoku/>
              <w:wordWrap/>
              <w:overflowPunct/>
              <w:topLinePunct w:val="0"/>
              <w:autoSpaceDE w:val="0"/>
              <w:autoSpaceDN w:val="0"/>
              <w:bidi w:val="0"/>
              <w:adjustRightInd w:val="0"/>
              <w:snapToGrid/>
              <w:spacing w:before="48" w:line="360" w:lineRule="auto"/>
              <w:ind w:left="1177" w:right="-20" w:firstLine="48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员工</w:t>
            </w:r>
            <w:r>
              <w:rPr>
                <w:rFonts w:hint="eastAsia" w:ascii="宋体" w:hAnsi="宋体" w:eastAsia="宋体" w:cs="宋体"/>
                <w:color w:val="auto"/>
                <w:spacing w:val="-2"/>
                <w:kern w:val="0"/>
                <w:sz w:val="24"/>
                <w:szCs w:val="24"/>
              </w:rPr>
              <w:t>总</w:t>
            </w:r>
            <w:r>
              <w:rPr>
                <w:rFonts w:hint="eastAsia" w:ascii="宋体" w:hAnsi="宋体" w:eastAsia="宋体" w:cs="宋体"/>
                <w:color w:val="auto"/>
                <w:kern w:val="0"/>
                <w:sz w:val="24"/>
                <w:szCs w:val="24"/>
              </w:rPr>
              <w:t>人</w:t>
            </w:r>
            <w:r>
              <w:rPr>
                <w:rFonts w:hint="eastAsia" w:ascii="宋体" w:hAnsi="宋体" w:eastAsia="宋体" w:cs="宋体"/>
                <w:color w:val="auto"/>
                <w:spacing w:val="-2"/>
                <w:kern w:val="0"/>
                <w:sz w:val="24"/>
                <w:szCs w:val="24"/>
              </w:rPr>
              <w:t>数</w:t>
            </w:r>
            <w:r>
              <w:rPr>
                <w:rFonts w:hint="eastAsia" w:ascii="宋体" w:hAnsi="宋体" w:eastAsia="宋体" w:cs="宋体"/>
                <w:color w:val="auto"/>
                <w:kern w:val="0"/>
                <w:sz w:val="24"/>
                <w:szCs w:val="24"/>
              </w:rPr>
              <w:t>：</w:t>
            </w:r>
          </w:p>
        </w:tc>
      </w:tr>
      <w:tr w14:paraId="03549728">
        <w:tblPrEx>
          <w:tblCellMar>
            <w:top w:w="0" w:type="dxa"/>
            <w:left w:w="0" w:type="dxa"/>
            <w:bottom w:w="0" w:type="dxa"/>
            <w:right w:w="0" w:type="dxa"/>
          </w:tblCellMar>
        </w:tblPrEx>
        <w:trPr>
          <w:trHeight w:val="599" w:hRule="atLeast"/>
          <w:jc w:val="center"/>
        </w:trPr>
        <w:tc>
          <w:tcPr>
            <w:tcW w:w="2291" w:type="dxa"/>
            <w:tcBorders>
              <w:top w:val="single" w:color="000000" w:sz="4" w:space="0"/>
              <w:left w:val="single" w:color="000000" w:sz="4" w:space="0"/>
              <w:bottom w:val="single" w:color="000000" w:sz="4" w:space="0"/>
              <w:right w:val="single" w:color="000000" w:sz="4" w:space="0"/>
            </w:tcBorders>
          </w:tcPr>
          <w:p w14:paraId="55F66978">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注册</w:t>
            </w:r>
            <w:r>
              <w:rPr>
                <w:rFonts w:hint="eastAsia" w:ascii="宋体" w:hAnsi="宋体" w:eastAsia="宋体" w:cs="宋体"/>
                <w:color w:val="auto"/>
                <w:spacing w:val="-2"/>
                <w:kern w:val="0"/>
                <w:sz w:val="24"/>
                <w:szCs w:val="24"/>
              </w:rPr>
              <w:t>资</w:t>
            </w:r>
            <w:r>
              <w:rPr>
                <w:rFonts w:hint="eastAsia" w:ascii="宋体" w:hAnsi="宋体" w:eastAsia="宋体" w:cs="宋体"/>
                <w:color w:val="auto"/>
                <w:kern w:val="0"/>
                <w:sz w:val="24"/>
                <w:szCs w:val="24"/>
              </w:rPr>
              <w:t>本</w:t>
            </w:r>
          </w:p>
        </w:tc>
        <w:tc>
          <w:tcPr>
            <w:tcW w:w="3411" w:type="dxa"/>
            <w:gridSpan w:val="3"/>
            <w:tcBorders>
              <w:top w:val="single" w:color="000000" w:sz="4" w:space="0"/>
              <w:left w:val="nil"/>
              <w:bottom w:val="single" w:color="000000" w:sz="4" w:space="0"/>
              <w:right w:val="single" w:color="000000" w:sz="4" w:space="0"/>
            </w:tcBorders>
          </w:tcPr>
          <w:p w14:paraId="754EFEC1">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c>
          <w:tcPr>
            <w:tcW w:w="450" w:type="dxa"/>
            <w:vMerge w:val="restart"/>
            <w:tcBorders>
              <w:top w:val="nil"/>
              <w:left w:val="nil"/>
              <w:bottom w:val="single" w:color="000000" w:sz="4" w:space="0"/>
              <w:right w:val="single" w:color="000000" w:sz="4" w:space="0"/>
            </w:tcBorders>
            <w:vAlign w:val="center"/>
          </w:tcPr>
          <w:p w14:paraId="32341F71">
            <w:pPr>
              <w:keepNext w:val="0"/>
              <w:keepLines w:val="0"/>
              <w:pageBreakBefore w:val="0"/>
              <w:kinsoku/>
              <w:wordWrap/>
              <w:overflowPunct/>
              <w:topLinePunct w:val="0"/>
              <w:autoSpaceDE w:val="0"/>
              <w:autoSpaceDN w:val="0"/>
              <w:bidi w:val="0"/>
              <w:adjustRightInd w:val="0"/>
              <w:snapToGrid/>
              <w:spacing w:line="360" w:lineRule="auto"/>
              <w:ind w:right="16"/>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其中</w:t>
            </w:r>
          </w:p>
        </w:tc>
        <w:tc>
          <w:tcPr>
            <w:tcW w:w="1843" w:type="dxa"/>
            <w:gridSpan w:val="2"/>
            <w:tcBorders>
              <w:top w:val="single" w:color="000000" w:sz="4" w:space="0"/>
              <w:left w:val="nil"/>
              <w:bottom w:val="single" w:color="000000" w:sz="4" w:space="0"/>
              <w:right w:val="single" w:color="000000" w:sz="4" w:space="0"/>
            </w:tcBorders>
          </w:tcPr>
          <w:p w14:paraId="26BB803E">
            <w:pPr>
              <w:keepNext w:val="0"/>
              <w:keepLines w:val="0"/>
              <w:pageBreakBefore w:val="0"/>
              <w:kinsoku/>
              <w:wordWrap/>
              <w:overflowPunct/>
              <w:topLinePunct w:val="0"/>
              <w:autoSpaceDE w:val="0"/>
              <w:autoSpaceDN w:val="0"/>
              <w:bidi w:val="0"/>
              <w:adjustRightInd w:val="0"/>
              <w:snapToGrid/>
              <w:spacing w:before="48" w:line="360" w:lineRule="auto"/>
              <w:ind w:right="-2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高级</w:t>
            </w:r>
            <w:r>
              <w:rPr>
                <w:rFonts w:hint="eastAsia" w:ascii="宋体" w:hAnsi="宋体" w:eastAsia="宋体" w:cs="宋体"/>
                <w:color w:val="auto"/>
                <w:spacing w:val="-2"/>
                <w:kern w:val="0"/>
                <w:sz w:val="24"/>
                <w:szCs w:val="24"/>
              </w:rPr>
              <w:t>职</w:t>
            </w:r>
            <w:r>
              <w:rPr>
                <w:rFonts w:hint="eastAsia" w:ascii="宋体" w:hAnsi="宋体" w:eastAsia="宋体" w:cs="宋体"/>
                <w:color w:val="auto"/>
                <w:kern w:val="0"/>
                <w:sz w:val="24"/>
                <w:szCs w:val="24"/>
              </w:rPr>
              <w:t>称</w:t>
            </w:r>
            <w:r>
              <w:rPr>
                <w:rFonts w:hint="eastAsia" w:ascii="宋体" w:hAnsi="宋体" w:eastAsia="宋体" w:cs="宋体"/>
                <w:color w:val="auto"/>
                <w:spacing w:val="-2"/>
                <w:kern w:val="0"/>
                <w:sz w:val="24"/>
                <w:szCs w:val="24"/>
              </w:rPr>
              <w:t>人</w:t>
            </w:r>
            <w:r>
              <w:rPr>
                <w:rFonts w:hint="eastAsia" w:ascii="宋体" w:hAnsi="宋体" w:eastAsia="宋体" w:cs="宋体"/>
                <w:color w:val="auto"/>
                <w:kern w:val="0"/>
                <w:sz w:val="24"/>
                <w:szCs w:val="24"/>
              </w:rPr>
              <w:t>员</w:t>
            </w:r>
          </w:p>
        </w:tc>
        <w:tc>
          <w:tcPr>
            <w:tcW w:w="1644" w:type="dxa"/>
            <w:gridSpan w:val="2"/>
            <w:tcBorders>
              <w:top w:val="single" w:color="000000" w:sz="4" w:space="0"/>
              <w:left w:val="nil"/>
              <w:bottom w:val="single" w:color="000000" w:sz="4" w:space="0"/>
              <w:right w:val="single" w:color="000000" w:sz="4" w:space="0"/>
            </w:tcBorders>
          </w:tcPr>
          <w:p w14:paraId="4FDC24F8">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r>
      <w:tr w14:paraId="6546B7FC">
        <w:tblPrEx>
          <w:tblCellMar>
            <w:top w:w="0" w:type="dxa"/>
            <w:left w:w="0" w:type="dxa"/>
            <w:bottom w:w="0" w:type="dxa"/>
            <w:right w:w="0" w:type="dxa"/>
          </w:tblCellMar>
        </w:tblPrEx>
        <w:trPr>
          <w:trHeight w:val="599" w:hRule="atLeast"/>
          <w:jc w:val="center"/>
        </w:trPr>
        <w:tc>
          <w:tcPr>
            <w:tcW w:w="2291" w:type="dxa"/>
            <w:tcBorders>
              <w:top w:val="single" w:color="000000" w:sz="4" w:space="0"/>
              <w:left w:val="single" w:color="000000" w:sz="4" w:space="0"/>
              <w:bottom w:val="single" w:color="000000" w:sz="4" w:space="0"/>
              <w:right w:val="single" w:color="000000" w:sz="4" w:space="0"/>
            </w:tcBorders>
          </w:tcPr>
          <w:p w14:paraId="15F33997">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成立</w:t>
            </w:r>
            <w:r>
              <w:rPr>
                <w:rFonts w:hint="eastAsia" w:ascii="宋体" w:hAnsi="宋体" w:eastAsia="宋体" w:cs="宋体"/>
                <w:color w:val="auto"/>
                <w:spacing w:val="-2"/>
                <w:kern w:val="0"/>
                <w:sz w:val="24"/>
                <w:szCs w:val="24"/>
              </w:rPr>
              <w:t>日</w:t>
            </w:r>
            <w:r>
              <w:rPr>
                <w:rFonts w:hint="eastAsia" w:ascii="宋体" w:hAnsi="宋体" w:eastAsia="宋体" w:cs="宋体"/>
                <w:color w:val="auto"/>
                <w:kern w:val="0"/>
                <w:sz w:val="24"/>
                <w:szCs w:val="24"/>
              </w:rPr>
              <w:t>期</w:t>
            </w:r>
          </w:p>
        </w:tc>
        <w:tc>
          <w:tcPr>
            <w:tcW w:w="3411" w:type="dxa"/>
            <w:gridSpan w:val="3"/>
            <w:tcBorders>
              <w:top w:val="single" w:color="000000" w:sz="4" w:space="0"/>
              <w:left w:val="nil"/>
              <w:bottom w:val="single" w:color="000000" w:sz="4" w:space="0"/>
              <w:right w:val="single" w:color="000000" w:sz="4" w:space="0"/>
            </w:tcBorders>
          </w:tcPr>
          <w:p w14:paraId="327E24CF">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c>
          <w:tcPr>
            <w:tcW w:w="450" w:type="dxa"/>
            <w:vMerge w:val="continue"/>
            <w:tcBorders>
              <w:top w:val="nil"/>
              <w:left w:val="nil"/>
              <w:bottom w:val="single" w:color="000000" w:sz="4" w:space="0"/>
              <w:right w:val="single" w:color="000000" w:sz="4" w:space="0"/>
            </w:tcBorders>
            <w:vAlign w:val="center"/>
          </w:tcPr>
          <w:p w14:paraId="4FB44B3A">
            <w:pPr>
              <w:keepNext w:val="0"/>
              <w:keepLines w:val="0"/>
              <w:pageBreakBefore w:val="0"/>
              <w:widowControl/>
              <w:kinsoku/>
              <w:wordWrap/>
              <w:overflowPunct/>
              <w:topLinePunct w:val="0"/>
              <w:bidi w:val="0"/>
              <w:snapToGrid/>
              <w:spacing w:line="360" w:lineRule="auto"/>
              <w:ind w:firstLine="480"/>
              <w:jc w:val="left"/>
              <w:textAlignment w:val="auto"/>
              <w:outlineLvl w:val="9"/>
              <w:rPr>
                <w:rFonts w:hint="eastAsia" w:ascii="宋体" w:hAnsi="宋体" w:eastAsia="宋体" w:cs="宋体"/>
                <w:color w:val="auto"/>
                <w:kern w:val="0"/>
                <w:sz w:val="24"/>
                <w:szCs w:val="24"/>
              </w:rPr>
            </w:pPr>
          </w:p>
        </w:tc>
        <w:tc>
          <w:tcPr>
            <w:tcW w:w="1843" w:type="dxa"/>
            <w:gridSpan w:val="2"/>
            <w:tcBorders>
              <w:top w:val="single" w:color="000000" w:sz="4" w:space="0"/>
              <w:left w:val="nil"/>
              <w:bottom w:val="single" w:color="000000" w:sz="4" w:space="0"/>
              <w:right w:val="single" w:color="000000" w:sz="4" w:space="0"/>
            </w:tcBorders>
          </w:tcPr>
          <w:p w14:paraId="39E391B2">
            <w:pPr>
              <w:keepNext w:val="0"/>
              <w:keepLines w:val="0"/>
              <w:pageBreakBefore w:val="0"/>
              <w:kinsoku/>
              <w:wordWrap/>
              <w:overflowPunct/>
              <w:topLinePunct w:val="0"/>
              <w:autoSpaceDE w:val="0"/>
              <w:autoSpaceDN w:val="0"/>
              <w:bidi w:val="0"/>
              <w:adjustRightInd w:val="0"/>
              <w:snapToGrid/>
              <w:spacing w:before="48" w:line="360" w:lineRule="auto"/>
              <w:ind w:right="-2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中级</w:t>
            </w:r>
            <w:r>
              <w:rPr>
                <w:rFonts w:hint="eastAsia" w:ascii="宋体" w:hAnsi="宋体" w:eastAsia="宋体" w:cs="宋体"/>
                <w:color w:val="auto"/>
                <w:spacing w:val="-2"/>
                <w:kern w:val="0"/>
                <w:sz w:val="24"/>
                <w:szCs w:val="24"/>
              </w:rPr>
              <w:t>职</w:t>
            </w:r>
            <w:r>
              <w:rPr>
                <w:rFonts w:hint="eastAsia" w:ascii="宋体" w:hAnsi="宋体" w:eastAsia="宋体" w:cs="宋体"/>
                <w:color w:val="auto"/>
                <w:kern w:val="0"/>
                <w:sz w:val="24"/>
                <w:szCs w:val="24"/>
              </w:rPr>
              <w:t>称</w:t>
            </w:r>
            <w:r>
              <w:rPr>
                <w:rFonts w:hint="eastAsia" w:ascii="宋体" w:hAnsi="宋体" w:eastAsia="宋体" w:cs="宋体"/>
                <w:color w:val="auto"/>
                <w:spacing w:val="-2"/>
                <w:kern w:val="0"/>
                <w:sz w:val="24"/>
                <w:szCs w:val="24"/>
              </w:rPr>
              <w:t>人</w:t>
            </w:r>
            <w:r>
              <w:rPr>
                <w:rFonts w:hint="eastAsia" w:ascii="宋体" w:hAnsi="宋体" w:eastAsia="宋体" w:cs="宋体"/>
                <w:color w:val="auto"/>
                <w:kern w:val="0"/>
                <w:sz w:val="24"/>
                <w:szCs w:val="24"/>
              </w:rPr>
              <w:t>员</w:t>
            </w:r>
          </w:p>
        </w:tc>
        <w:tc>
          <w:tcPr>
            <w:tcW w:w="1644" w:type="dxa"/>
            <w:gridSpan w:val="2"/>
            <w:tcBorders>
              <w:top w:val="single" w:color="000000" w:sz="4" w:space="0"/>
              <w:left w:val="nil"/>
              <w:bottom w:val="single" w:color="000000" w:sz="4" w:space="0"/>
              <w:right w:val="single" w:color="000000" w:sz="4" w:space="0"/>
            </w:tcBorders>
          </w:tcPr>
          <w:p w14:paraId="6D5E89C9">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r>
      <w:tr w14:paraId="35FFED81">
        <w:tblPrEx>
          <w:tblCellMar>
            <w:top w:w="0" w:type="dxa"/>
            <w:left w:w="0" w:type="dxa"/>
            <w:bottom w:w="0" w:type="dxa"/>
            <w:right w:w="0" w:type="dxa"/>
          </w:tblCellMar>
        </w:tblPrEx>
        <w:trPr>
          <w:trHeight w:val="599" w:hRule="atLeast"/>
          <w:jc w:val="center"/>
        </w:trPr>
        <w:tc>
          <w:tcPr>
            <w:tcW w:w="2291" w:type="dxa"/>
            <w:tcBorders>
              <w:top w:val="single" w:color="000000" w:sz="4" w:space="0"/>
              <w:left w:val="single" w:color="000000" w:sz="4" w:space="0"/>
              <w:bottom w:val="single" w:color="000000" w:sz="4" w:space="0"/>
              <w:right w:val="single" w:color="000000" w:sz="4" w:space="0"/>
            </w:tcBorders>
          </w:tcPr>
          <w:p w14:paraId="7D244BA0">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基本</w:t>
            </w:r>
            <w:r>
              <w:rPr>
                <w:rFonts w:hint="eastAsia" w:ascii="宋体" w:hAnsi="宋体" w:eastAsia="宋体" w:cs="宋体"/>
                <w:color w:val="auto"/>
                <w:spacing w:val="-2"/>
                <w:kern w:val="0"/>
                <w:sz w:val="24"/>
                <w:szCs w:val="24"/>
              </w:rPr>
              <w:t>账</w:t>
            </w:r>
            <w:r>
              <w:rPr>
                <w:rFonts w:hint="eastAsia" w:ascii="宋体" w:hAnsi="宋体" w:eastAsia="宋体" w:cs="宋体"/>
                <w:color w:val="auto"/>
                <w:kern w:val="0"/>
                <w:sz w:val="24"/>
                <w:szCs w:val="24"/>
              </w:rPr>
              <w:t>户</w:t>
            </w:r>
            <w:r>
              <w:rPr>
                <w:rFonts w:hint="eastAsia" w:ascii="宋体" w:hAnsi="宋体" w:eastAsia="宋体" w:cs="宋体"/>
                <w:color w:val="auto"/>
                <w:spacing w:val="-2"/>
                <w:kern w:val="0"/>
                <w:sz w:val="24"/>
                <w:szCs w:val="24"/>
              </w:rPr>
              <w:t>开</w:t>
            </w:r>
            <w:r>
              <w:rPr>
                <w:rFonts w:hint="eastAsia" w:ascii="宋体" w:hAnsi="宋体" w:eastAsia="宋体" w:cs="宋体"/>
                <w:color w:val="auto"/>
                <w:kern w:val="0"/>
                <w:sz w:val="24"/>
                <w:szCs w:val="24"/>
              </w:rPr>
              <w:t>户</w:t>
            </w:r>
            <w:r>
              <w:rPr>
                <w:rFonts w:hint="eastAsia" w:ascii="宋体" w:hAnsi="宋体" w:eastAsia="宋体" w:cs="宋体"/>
                <w:color w:val="auto"/>
                <w:spacing w:val="-2"/>
                <w:kern w:val="0"/>
                <w:sz w:val="24"/>
                <w:szCs w:val="24"/>
              </w:rPr>
              <w:t>银</w:t>
            </w:r>
            <w:r>
              <w:rPr>
                <w:rFonts w:hint="eastAsia" w:ascii="宋体" w:hAnsi="宋体" w:eastAsia="宋体" w:cs="宋体"/>
                <w:color w:val="auto"/>
                <w:kern w:val="0"/>
                <w:sz w:val="24"/>
                <w:szCs w:val="24"/>
              </w:rPr>
              <w:t>行</w:t>
            </w:r>
          </w:p>
        </w:tc>
        <w:tc>
          <w:tcPr>
            <w:tcW w:w="3411" w:type="dxa"/>
            <w:gridSpan w:val="3"/>
            <w:tcBorders>
              <w:top w:val="single" w:color="000000" w:sz="4" w:space="0"/>
              <w:left w:val="nil"/>
              <w:bottom w:val="single" w:color="000000" w:sz="4" w:space="0"/>
              <w:right w:val="single" w:color="000000" w:sz="4" w:space="0"/>
            </w:tcBorders>
          </w:tcPr>
          <w:p w14:paraId="4F5AC7DD">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c>
          <w:tcPr>
            <w:tcW w:w="450" w:type="dxa"/>
            <w:vMerge w:val="continue"/>
            <w:tcBorders>
              <w:top w:val="nil"/>
              <w:left w:val="nil"/>
              <w:bottom w:val="single" w:color="000000" w:sz="4" w:space="0"/>
              <w:right w:val="single" w:color="000000" w:sz="4" w:space="0"/>
            </w:tcBorders>
            <w:vAlign w:val="center"/>
          </w:tcPr>
          <w:p w14:paraId="734B9136">
            <w:pPr>
              <w:keepNext w:val="0"/>
              <w:keepLines w:val="0"/>
              <w:pageBreakBefore w:val="0"/>
              <w:widowControl/>
              <w:kinsoku/>
              <w:wordWrap/>
              <w:overflowPunct/>
              <w:topLinePunct w:val="0"/>
              <w:bidi w:val="0"/>
              <w:snapToGrid/>
              <w:spacing w:line="360" w:lineRule="auto"/>
              <w:ind w:firstLine="480"/>
              <w:jc w:val="left"/>
              <w:textAlignment w:val="auto"/>
              <w:outlineLvl w:val="9"/>
              <w:rPr>
                <w:rFonts w:hint="eastAsia" w:ascii="宋体" w:hAnsi="宋体" w:eastAsia="宋体" w:cs="宋体"/>
                <w:color w:val="auto"/>
                <w:kern w:val="0"/>
                <w:sz w:val="24"/>
                <w:szCs w:val="24"/>
              </w:rPr>
            </w:pPr>
          </w:p>
        </w:tc>
        <w:tc>
          <w:tcPr>
            <w:tcW w:w="1843" w:type="dxa"/>
            <w:gridSpan w:val="2"/>
            <w:tcBorders>
              <w:top w:val="single" w:color="000000" w:sz="4" w:space="0"/>
              <w:left w:val="nil"/>
              <w:bottom w:val="single" w:color="000000" w:sz="4" w:space="0"/>
              <w:right w:val="single" w:color="000000" w:sz="4" w:space="0"/>
            </w:tcBorders>
          </w:tcPr>
          <w:p w14:paraId="2E309EA3">
            <w:pPr>
              <w:keepNext w:val="0"/>
              <w:keepLines w:val="0"/>
              <w:pageBreakBefore w:val="0"/>
              <w:kinsoku/>
              <w:wordWrap/>
              <w:overflowPunct/>
              <w:topLinePunct w:val="0"/>
              <w:autoSpaceDE w:val="0"/>
              <w:autoSpaceDN w:val="0"/>
              <w:bidi w:val="0"/>
              <w:adjustRightInd w:val="0"/>
              <w:snapToGrid/>
              <w:spacing w:before="48" w:line="360" w:lineRule="auto"/>
              <w:ind w:right="-2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技术</w:t>
            </w:r>
            <w:r>
              <w:rPr>
                <w:rFonts w:hint="eastAsia" w:ascii="宋体" w:hAnsi="宋体" w:eastAsia="宋体" w:cs="宋体"/>
                <w:color w:val="auto"/>
                <w:spacing w:val="-2"/>
                <w:kern w:val="0"/>
                <w:sz w:val="24"/>
                <w:szCs w:val="24"/>
              </w:rPr>
              <w:t>人</w:t>
            </w:r>
            <w:r>
              <w:rPr>
                <w:rFonts w:hint="eastAsia" w:ascii="宋体" w:hAnsi="宋体" w:eastAsia="宋体" w:cs="宋体"/>
                <w:color w:val="auto"/>
                <w:kern w:val="0"/>
                <w:sz w:val="24"/>
                <w:szCs w:val="24"/>
              </w:rPr>
              <w:t>员</w:t>
            </w:r>
            <w:r>
              <w:rPr>
                <w:rFonts w:hint="eastAsia" w:ascii="宋体" w:hAnsi="宋体" w:eastAsia="宋体" w:cs="宋体"/>
                <w:color w:val="auto"/>
                <w:spacing w:val="-2"/>
                <w:kern w:val="0"/>
                <w:sz w:val="24"/>
                <w:szCs w:val="24"/>
              </w:rPr>
              <w:t>数</w:t>
            </w:r>
            <w:r>
              <w:rPr>
                <w:rFonts w:hint="eastAsia" w:ascii="宋体" w:hAnsi="宋体" w:eastAsia="宋体" w:cs="宋体"/>
                <w:color w:val="auto"/>
                <w:kern w:val="0"/>
                <w:sz w:val="24"/>
                <w:szCs w:val="24"/>
              </w:rPr>
              <w:t>量</w:t>
            </w:r>
          </w:p>
        </w:tc>
        <w:tc>
          <w:tcPr>
            <w:tcW w:w="1644" w:type="dxa"/>
            <w:gridSpan w:val="2"/>
            <w:tcBorders>
              <w:top w:val="single" w:color="000000" w:sz="4" w:space="0"/>
              <w:left w:val="nil"/>
              <w:bottom w:val="single" w:color="000000" w:sz="4" w:space="0"/>
              <w:right w:val="single" w:color="000000" w:sz="4" w:space="0"/>
            </w:tcBorders>
          </w:tcPr>
          <w:p w14:paraId="6BA3521C">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r>
      <w:tr w14:paraId="63319A22">
        <w:tblPrEx>
          <w:tblCellMar>
            <w:top w:w="0" w:type="dxa"/>
            <w:left w:w="0" w:type="dxa"/>
            <w:bottom w:w="0" w:type="dxa"/>
            <w:right w:w="0" w:type="dxa"/>
          </w:tblCellMar>
        </w:tblPrEx>
        <w:trPr>
          <w:trHeight w:val="599" w:hRule="atLeast"/>
          <w:jc w:val="center"/>
        </w:trPr>
        <w:tc>
          <w:tcPr>
            <w:tcW w:w="2291" w:type="dxa"/>
            <w:tcBorders>
              <w:top w:val="single" w:color="000000" w:sz="4" w:space="0"/>
              <w:left w:val="single" w:color="000000" w:sz="4" w:space="0"/>
              <w:bottom w:val="single" w:color="000000" w:sz="4" w:space="0"/>
              <w:right w:val="single" w:color="000000" w:sz="4" w:space="0"/>
            </w:tcBorders>
          </w:tcPr>
          <w:p w14:paraId="52918BE3">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基本</w:t>
            </w:r>
            <w:r>
              <w:rPr>
                <w:rFonts w:hint="eastAsia" w:ascii="宋体" w:hAnsi="宋体" w:eastAsia="宋体" w:cs="宋体"/>
                <w:color w:val="auto"/>
                <w:spacing w:val="-2"/>
                <w:kern w:val="0"/>
                <w:sz w:val="24"/>
                <w:szCs w:val="24"/>
              </w:rPr>
              <w:t>账</w:t>
            </w:r>
            <w:r>
              <w:rPr>
                <w:rFonts w:hint="eastAsia" w:ascii="宋体" w:hAnsi="宋体" w:eastAsia="宋体" w:cs="宋体"/>
                <w:color w:val="auto"/>
                <w:kern w:val="0"/>
                <w:sz w:val="24"/>
                <w:szCs w:val="24"/>
              </w:rPr>
              <w:t>户</w:t>
            </w:r>
            <w:r>
              <w:rPr>
                <w:rFonts w:hint="eastAsia" w:ascii="宋体" w:hAnsi="宋体" w:eastAsia="宋体" w:cs="宋体"/>
                <w:color w:val="auto"/>
                <w:spacing w:val="-2"/>
                <w:kern w:val="0"/>
                <w:sz w:val="24"/>
                <w:szCs w:val="24"/>
              </w:rPr>
              <w:t>银</w:t>
            </w:r>
            <w:r>
              <w:rPr>
                <w:rFonts w:hint="eastAsia" w:ascii="宋体" w:hAnsi="宋体" w:eastAsia="宋体" w:cs="宋体"/>
                <w:color w:val="auto"/>
                <w:kern w:val="0"/>
                <w:sz w:val="24"/>
                <w:szCs w:val="24"/>
              </w:rPr>
              <w:t>行</w:t>
            </w:r>
            <w:r>
              <w:rPr>
                <w:rFonts w:hint="eastAsia" w:ascii="宋体" w:hAnsi="宋体" w:eastAsia="宋体" w:cs="宋体"/>
                <w:color w:val="auto"/>
                <w:spacing w:val="-2"/>
                <w:kern w:val="0"/>
                <w:sz w:val="24"/>
                <w:szCs w:val="24"/>
              </w:rPr>
              <w:t>账</w:t>
            </w:r>
            <w:r>
              <w:rPr>
                <w:rFonts w:hint="eastAsia" w:ascii="宋体" w:hAnsi="宋体" w:eastAsia="宋体" w:cs="宋体"/>
                <w:color w:val="auto"/>
                <w:kern w:val="0"/>
                <w:sz w:val="24"/>
                <w:szCs w:val="24"/>
              </w:rPr>
              <w:t>号</w:t>
            </w:r>
          </w:p>
        </w:tc>
        <w:tc>
          <w:tcPr>
            <w:tcW w:w="3411" w:type="dxa"/>
            <w:gridSpan w:val="3"/>
            <w:tcBorders>
              <w:top w:val="single" w:color="000000" w:sz="4" w:space="0"/>
              <w:left w:val="nil"/>
              <w:bottom w:val="single" w:color="000000" w:sz="4" w:space="0"/>
              <w:right w:val="single" w:color="000000" w:sz="4" w:space="0"/>
            </w:tcBorders>
          </w:tcPr>
          <w:p w14:paraId="7E9D8370">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c>
          <w:tcPr>
            <w:tcW w:w="450" w:type="dxa"/>
            <w:vMerge w:val="continue"/>
            <w:tcBorders>
              <w:top w:val="nil"/>
              <w:left w:val="nil"/>
              <w:bottom w:val="single" w:color="000000" w:sz="4" w:space="0"/>
              <w:right w:val="single" w:color="000000" w:sz="4" w:space="0"/>
            </w:tcBorders>
            <w:vAlign w:val="center"/>
          </w:tcPr>
          <w:p w14:paraId="6D831F60">
            <w:pPr>
              <w:keepNext w:val="0"/>
              <w:keepLines w:val="0"/>
              <w:pageBreakBefore w:val="0"/>
              <w:widowControl/>
              <w:kinsoku/>
              <w:wordWrap/>
              <w:overflowPunct/>
              <w:topLinePunct w:val="0"/>
              <w:bidi w:val="0"/>
              <w:snapToGrid/>
              <w:spacing w:line="360" w:lineRule="auto"/>
              <w:ind w:firstLine="480"/>
              <w:jc w:val="left"/>
              <w:textAlignment w:val="auto"/>
              <w:outlineLvl w:val="9"/>
              <w:rPr>
                <w:rFonts w:hint="eastAsia" w:ascii="宋体" w:hAnsi="宋体" w:eastAsia="宋体" w:cs="宋体"/>
                <w:color w:val="auto"/>
                <w:kern w:val="0"/>
                <w:sz w:val="24"/>
                <w:szCs w:val="24"/>
              </w:rPr>
            </w:pPr>
          </w:p>
        </w:tc>
        <w:tc>
          <w:tcPr>
            <w:tcW w:w="1843" w:type="dxa"/>
            <w:gridSpan w:val="2"/>
            <w:tcBorders>
              <w:top w:val="single" w:color="000000" w:sz="4" w:space="0"/>
              <w:left w:val="nil"/>
              <w:bottom w:val="single" w:color="000000" w:sz="4" w:space="0"/>
              <w:right w:val="single" w:color="000000" w:sz="4" w:space="0"/>
            </w:tcBorders>
          </w:tcPr>
          <w:p w14:paraId="3BC34EA1">
            <w:pPr>
              <w:keepNext w:val="0"/>
              <w:keepLines w:val="0"/>
              <w:pageBreakBefore w:val="0"/>
              <w:kinsoku/>
              <w:wordWrap/>
              <w:overflowPunct/>
              <w:topLinePunct w:val="0"/>
              <w:autoSpaceDE w:val="0"/>
              <w:autoSpaceDN w:val="0"/>
              <w:bidi w:val="0"/>
              <w:adjustRightInd w:val="0"/>
              <w:snapToGrid/>
              <w:spacing w:before="48" w:line="360" w:lineRule="auto"/>
              <w:ind w:right="-2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各类</w:t>
            </w:r>
            <w:r>
              <w:rPr>
                <w:rFonts w:hint="eastAsia" w:ascii="宋体" w:hAnsi="宋体" w:eastAsia="宋体" w:cs="宋体"/>
                <w:color w:val="auto"/>
                <w:spacing w:val="-2"/>
                <w:kern w:val="0"/>
                <w:sz w:val="24"/>
                <w:szCs w:val="24"/>
              </w:rPr>
              <w:t>注</w:t>
            </w:r>
            <w:r>
              <w:rPr>
                <w:rFonts w:hint="eastAsia" w:ascii="宋体" w:hAnsi="宋体" w:eastAsia="宋体" w:cs="宋体"/>
                <w:color w:val="auto"/>
                <w:kern w:val="0"/>
                <w:sz w:val="24"/>
                <w:szCs w:val="24"/>
              </w:rPr>
              <w:t>册</w:t>
            </w:r>
            <w:r>
              <w:rPr>
                <w:rFonts w:hint="eastAsia" w:ascii="宋体" w:hAnsi="宋体" w:eastAsia="宋体" w:cs="宋体"/>
                <w:color w:val="auto"/>
                <w:spacing w:val="-2"/>
                <w:kern w:val="0"/>
                <w:sz w:val="24"/>
                <w:szCs w:val="24"/>
              </w:rPr>
              <w:t>人</w:t>
            </w:r>
            <w:r>
              <w:rPr>
                <w:rFonts w:hint="eastAsia" w:ascii="宋体" w:hAnsi="宋体" w:eastAsia="宋体" w:cs="宋体"/>
                <w:color w:val="auto"/>
                <w:kern w:val="0"/>
                <w:sz w:val="24"/>
                <w:szCs w:val="24"/>
              </w:rPr>
              <w:t>员</w:t>
            </w:r>
          </w:p>
        </w:tc>
        <w:tc>
          <w:tcPr>
            <w:tcW w:w="1644" w:type="dxa"/>
            <w:gridSpan w:val="2"/>
            <w:tcBorders>
              <w:top w:val="single" w:color="000000" w:sz="4" w:space="0"/>
              <w:left w:val="nil"/>
              <w:bottom w:val="single" w:color="000000" w:sz="4" w:space="0"/>
              <w:right w:val="single" w:color="000000" w:sz="4" w:space="0"/>
            </w:tcBorders>
          </w:tcPr>
          <w:p w14:paraId="4D73E4B3">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r>
      <w:tr w14:paraId="567D077D">
        <w:tblPrEx>
          <w:tblCellMar>
            <w:top w:w="0" w:type="dxa"/>
            <w:left w:w="0" w:type="dxa"/>
            <w:bottom w:w="0" w:type="dxa"/>
            <w:right w:w="0" w:type="dxa"/>
          </w:tblCellMar>
        </w:tblPrEx>
        <w:trPr>
          <w:trHeight w:val="1780" w:hRule="atLeast"/>
          <w:jc w:val="center"/>
        </w:trPr>
        <w:tc>
          <w:tcPr>
            <w:tcW w:w="2291" w:type="dxa"/>
            <w:tcBorders>
              <w:top w:val="single" w:color="000000" w:sz="4" w:space="0"/>
              <w:left w:val="single" w:color="000000" w:sz="4" w:space="0"/>
              <w:bottom w:val="single" w:color="000000" w:sz="4" w:space="0"/>
              <w:right w:val="single" w:color="000000" w:sz="4" w:space="0"/>
            </w:tcBorders>
          </w:tcPr>
          <w:p w14:paraId="2B16BC2B">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经营</w:t>
            </w:r>
            <w:r>
              <w:rPr>
                <w:rFonts w:hint="eastAsia" w:ascii="宋体" w:hAnsi="宋体" w:eastAsia="宋体" w:cs="宋体"/>
                <w:color w:val="auto"/>
                <w:spacing w:val="-2"/>
                <w:kern w:val="0"/>
                <w:sz w:val="24"/>
                <w:szCs w:val="24"/>
              </w:rPr>
              <w:t>范</w:t>
            </w:r>
            <w:r>
              <w:rPr>
                <w:rFonts w:hint="eastAsia" w:ascii="宋体" w:hAnsi="宋体" w:eastAsia="宋体" w:cs="宋体"/>
                <w:color w:val="auto"/>
                <w:kern w:val="0"/>
                <w:sz w:val="24"/>
                <w:szCs w:val="24"/>
              </w:rPr>
              <w:t>围</w:t>
            </w:r>
          </w:p>
        </w:tc>
        <w:tc>
          <w:tcPr>
            <w:tcW w:w="7348" w:type="dxa"/>
            <w:gridSpan w:val="8"/>
            <w:tcBorders>
              <w:top w:val="single" w:color="000000" w:sz="4" w:space="0"/>
              <w:left w:val="nil"/>
              <w:bottom w:val="single" w:color="000000" w:sz="4" w:space="0"/>
              <w:right w:val="single" w:color="000000" w:sz="4" w:space="0"/>
            </w:tcBorders>
          </w:tcPr>
          <w:p w14:paraId="3FF716D4">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r>
      <w:tr w14:paraId="35408D54">
        <w:tblPrEx>
          <w:tblCellMar>
            <w:top w:w="0" w:type="dxa"/>
            <w:left w:w="0" w:type="dxa"/>
            <w:bottom w:w="0" w:type="dxa"/>
            <w:right w:w="0" w:type="dxa"/>
          </w:tblCellMar>
        </w:tblPrEx>
        <w:trPr>
          <w:trHeight w:val="611" w:hRule="atLeast"/>
          <w:jc w:val="center"/>
        </w:trPr>
        <w:tc>
          <w:tcPr>
            <w:tcW w:w="2291" w:type="dxa"/>
            <w:tcBorders>
              <w:top w:val="single" w:color="000000" w:sz="4" w:space="0"/>
              <w:left w:val="single" w:color="000000" w:sz="4" w:space="0"/>
              <w:bottom w:val="single" w:color="000000" w:sz="4" w:space="0"/>
              <w:right w:val="single" w:color="000000" w:sz="4" w:space="0"/>
            </w:tcBorders>
          </w:tcPr>
          <w:p w14:paraId="4BC97C05">
            <w:pPr>
              <w:keepNext w:val="0"/>
              <w:keepLines w:val="0"/>
              <w:pageBreakBefore w:val="0"/>
              <w:kinsoku/>
              <w:wordWrap/>
              <w:overflowPunct/>
              <w:topLinePunct w:val="0"/>
              <w:autoSpaceDE w:val="0"/>
              <w:autoSpaceDN w:val="0"/>
              <w:bidi w:val="0"/>
              <w:adjustRightInd w:val="0"/>
              <w:snapToGrid/>
              <w:spacing w:before="48" w:line="360" w:lineRule="auto"/>
              <w:ind w:right="747"/>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备注</w:t>
            </w:r>
          </w:p>
        </w:tc>
        <w:tc>
          <w:tcPr>
            <w:tcW w:w="7348" w:type="dxa"/>
            <w:gridSpan w:val="8"/>
            <w:tcBorders>
              <w:top w:val="single" w:color="000000" w:sz="4" w:space="0"/>
              <w:left w:val="nil"/>
              <w:bottom w:val="single" w:color="000000" w:sz="4" w:space="0"/>
              <w:right w:val="single" w:color="000000" w:sz="4" w:space="0"/>
            </w:tcBorders>
          </w:tcPr>
          <w:p w14:paraId="7CB6C9AC">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r>
    </w:tbl>
    <w:p w14:paraId="363EDD8E">
      <w:pPr>
        <w:keepNext w:val="0"/>
        <w:keepLines w:val="0"/>
        <w:pageBreakBefore w:val="0"/>
        <w:widowControl/>
        <w:kinsoku/>
        <w:wordWrap/>
        <w:overflowPunct/>
        <w:topLinePunct w:val="0"/>
        <w:bidi w:val="0"/>
        <w:snapToGrid/>
        <w:spacing w:line="360" w:lineRule="auto"/>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1C0DC62E">
      <w:pPr>
        <w:keepNext w:val="0"/>
        <w:keepLines w:val="0"/>
        <w:pageBreakBefore w:val="0"/>
        <w:kinsoku/>
        <w:wordWrap/>
        <w:overflowPunct/>
        <w:topLinePunct w:val="0"/>
        <w:autoSpaceDE/>
        <w:autoSpaceDN/>
        <w:bidi w:val="0"/>
        <w:adjustRightInd/>
        <w:snapToGrid w:val="0"/>
        <w:spacing w:line="360" w:lineRule="auto"/>
        <w:ind w:firstLine="480" w:firstLineChars="200"/>
        <w:jc w:val="center"/>
        <w:textAlignment w:val="auto"/>
        <w:outlineLvl w:val="9"/>
        <w:rPr>
          <w:rFonts w:cs="宋体" w:asciiTheme="minorEastAsia" w:hAnsiTheme="minorEastAsia"/>
          <w:color w:val="auto"/>
          <w:sz w:val="24"/>
          <w:szCs w:val="24"/>
        </w:rPr>
      </w:pPr>
      <w:r>
        <w:rPr>
          <w:rFonts w:hint="eastAsia" w:ascii="宋体" w:hAnsi="宋体" w:eastAsia="宋体" w:cs="宋体"/>
          <w:color w:val="auto"/>
          <w:sz w:val="24"/>
          <w:szCs w:val="24"/>
          <w:lang w:val="en-US" w:eastAsia="zh-CN"/>
        </w:rPr>
        <w:t xml:space="preserve">                </w:t>
      </w:r>
      <w:r>
        <w:rPr>
          <w:rFonts w:cs="宋体" w:asciiTheme="minorEastAsia" w:hAnsiTheme="minorEastAsia"/>
          <w:color w:val="auto"/>
          <w:sz w:val="24"/>
          <w:szCs w:val="24"/>
        </w:rPr>
        <w:t>供应商：</w:t>
      </w:r>
      <w:r>
        <w:rPr>
          <w:rFonts w:hint="eastAsia" w:cs="宋体" w:asciiTheme="minorEastAsia" w:hAnsiTheme="minorEastAsia"/>
          <w:color w:val="auto"/>
          <w:sz w:val="24"/>
          <w:szCs w:val="24"/>
          <w:u w:val="single"/>
          <w:lang w:val="en-US" w:eastAsia="zh-CN"/>
        </w:rPr>
        <w:t xml:space="preserve">                       </w:t>
      </w:r>
      <w:r>
        <w:rPr>
          <w:rFonts w:hint="eastAsia" w:ascii="宋体" w:hAnsi="宋体" w:cs="宋体"/>
          <w:kern w:val="0"/>
          <w:sz w:val="24"/>
        </w:rPr>
        <w:t>（电子签章）</w:t>
      </w:r>
    </w:p>
    <w:p w14:paraId="501B7DAC">
      <w:pPr>
        <w:pStyle w:val="16"/>
        <w:spacing w:line="360" w:lineRule="auto"/>
        <w:ind w:firstLine="2400" w:firstLineChars="1000"/>
        <w:rPr>
          <w:sz w:val="24"/>
          <w:szCs w:val="24"/>
        </w:rPr>
      </w:pPr>
      <w:r>
        <w:rPr>
          <w:rFonts w:cs="宋体" w:asciiTheme="minorEastAsia" w:hAnsiTheme="minorEastAsia"/>
          <w:color w:val="auto"/>
          <w:sz w:val="24"/>
          <w:szCs w:val="24"/>
        </w:rPr>
        <w:t>法定代表人：</w:t>
      </w:r>
      <w:r>
        <w:rPr>
          <w:rFonts w:hint="eastAsia" w:cs="宋体" w:asciiTheme="minorEastAsia" w:hAnsiTheme="minorEastAsia"/>
          <w:color w:val="auto"/>
          <w:sz w:val="24"/>
          <w:szCs w:val="24"/>
          <w:u w:val="single"/>
          <w:lang w:val="en-US" w:eastAsia="zh-CN"/>
        </w:rPr>
        <w:t xml:space="preserve">               </w:t>
      </w:r>
      <w:r>
        <w:rPr>
          <w:rFonts w:hint="eastAsia" w:cs="宋体" w:asciiTheme="minorEastAsia" w:hAnsiTheme="minorEastAsia"/>
          <w:color w:val="auto"/>
          <w:sz w:val="24"/>
          <w:szCs w:val="24"/>
        </w:rPr>
        <w:t>（</w:t>
      </w:r>
      <w:r>
        <w:rPr>
          <w:rFonts w:hint="eastAsia" w:cs="宋体" w:asciiTheme="minorEastAsia" w:hAnsiTheme="minorEastAsia"/>
          <w:color w:val="auto"/>
          <w:sz w:val="24"/>
          <w:szCs w:val="24"/>
          <w:lang w:val="en-US" w:eastAsia="zh-CN"/>
        </w:rPr>
        <w:t>签</w:t>
      </w:r>
      <w:r>
        <w:rPr>
          <w:rFonts w:hint="eastAsia" w:cs="宋体" w:asciiTheme="minorEastAsia" w:hAnsiTheme="minorEastAsia"/>
          <w:color w:val="auto"/>
          <w:sz w:val="24"/>
          <w:szCs w:val="24"/>
        </w:rPr>
        <w:t>章）</w:t>
      </w:r>
    </w:p>
    <w:p w14:paraId="3AF1C899">
      <w:pPr>
        <w:pStyle w:val="16"/>
        <w:spacing w:line="360" w:lineRule="auto"/>
        <w:ind w:firstLine="2400" w:firstLineChars="1000"/>
        <w:rPr>
          <w:rFonts w:hint="eastAsia"/>
          <w:sz w:val="24"/>
          <w:szCs w:val="24"/>
        </w:rPr>
      </w:pPr>
      <w:r>
        <w:rPr>
          <w:rFonts w:hint="eastAsia" w:ascii="宋体" w:hAnsi="宋体" w:eastAsia="宋体" w:cs="宋体"/>
          <w:color w:val="auto"/>
          <w:kern w:val="0"/>
          <w:sz w:val="24"/>
          <w:szCs w:val="24"/>
        </w:rPr>
        <w:t xml:space="preserve">日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期：</w:t>
      </w:r>
      <w:r>
        <w:rPr>
          <w:rFonts w:hint="eastAsia" w:cs="宋体" w:asciiTheme="minorEastAsia" w:hAnsiTheme="minorEastAsia"/>
          <w:color w:val="auto"/>
          <w:sz w:val="24"/>
          <w:szCs w:val="24"/>
          <w:u w:val="single"/>
          <w:lang w:val="en-US" w:eastAsia="zh-CN"/>
        </w:rPr>
        <w:t xml:space="preserve">      </w:t>
      </w:r>
      <w:r>
        <w:rPr>
          <w:rFonts w:hint="eastAsia" w:ascii="宋体" w:hAnsi="宋体" w:eastAsia="宋体" w:cs="宋体"/>
          <w:color w:val="auto"/>
          <w:kern w:val="0"/>
          <w:sz w:val="24"/>
          <w:szCs w:val="24"/>
        </w:rPr>
        <w:t>年</w:t>
      </w:r>
      <w:r>
        <w:rPr>
          <w:rFonts w:hint="eastAsia" w:cs="宋体" w:asciiTheme="minorEastAsia" w:hAnsiTheme="minorEastAsia"/>
          <w:color w:val="auto"/>
          <w:sz w:val="24"/>
          <w:szCs w:val="24"/>
          <w:u w:val="single"/>
          <w:lang w:val="en-US" w:eastAsia="zh-CN"/>
        </w:rPr>
        <w:t xml:space="preserve">      </w:t>
      </w:r>
      <w:r>
        <w:rPr>
          <w:rFonts w:hint="eastAsia" w:ascii="宋体" w:hAnsi="宋体" w:eastAsia="宋体" w:cs="宋体"/>
          <w:color w:val="auto"/>
          <w:kern w:val="0"/>
          <w:sz w:val="24"/>
          <w:szCs w:val="24"/>
        </w:rPr>
        <w:t>月</w:t>
      </w:r>
      <w:r>
        <w:rPr>
          <w:rFonts w:hint="eastAsia" w:cs="宋体" w:asciiTheme="minorEastAsia" w:hAnsiTheme="minorEastAsia"/>
          <w:color w:val="auto"/>
          <w:sz w:val="24"/>
          <w:szCs w:val="24"/>
          <w:u w:val="single"/>
          <w:lang w:val="en-US" w:eastAsia="zh-CN"/>
        </w:rPr>
        <w:t xml:space="preserve">      </w:t>
      </w:r>
      <w:r>
        <w:rPr>
          <w:rFonts w:hint="eastAsia" w:ascii="宋体" w:hAnsi="宋体" w:eastAsia="宋体" w:cs="宋体"/>
          <w:color w:val="auto"/>
          <w:kern w:val="0"/>
          <w:sz w:val="24"/>
          <w:szCs w:val="24"/>
        </w:rPr>
        <w:t>日</w:t>
      </w:r>
    </w:p>
    <w:p w14:paraId="304EAF61">
      <w:pPr>
        <w:keepNext w:val="0"/>
        <w:keepLines w:val="0"/>
        <w:pageBreakBefore w:val="0"/>
        <w:kinsoku/>
        <w:wordWrap/>
        <w:overflowPunct/>
        <w:topLinePunct w:val="0"/>
        <w:autoSpaceDE/>
        <w:autoSpaceDN/>
        <w:bidi w:val="0"/>
        <w:adjustRightInd/>
        <w:snapToGrid w:val="0"/>
        <w:spacing w:line="360" w:lineRule="auto"/>
        <w:ind w:firstLine="480" w:firstLineChars="200"/>
        <w:jc w:val="center"/>
        <w:textAlignment w:val="auto"/>
        <w:outlineLvl w:val="9"/>
        <w:rPr>
          <w:rFonts w:cs="宋体" w:asciiTheme="minorEastAsia" w:hAnsiTheme="minorEastAsia"/>
          <w:color w:val="auto"/>
          <w:sz w:val="24"/>
          <w:szCs w:val="24"/>
        </w:rPr>
      </w:pPr>
    </w:p>
    <w:p w14:paraId="254C9AA1">
      <w:pPr>
        <w:keepNext w:val="0"/>
        <w:keepLines w:val="0"/>
        <w:pageBreakBefore w:val="0"/>
        <w:widowControl/>
        <w:kinsoku/>
        <w:wordWrap/>
        <w:overflowPunct/>
        <w:topLinePunct w:val="0"/>
        <w:autoSpaceDE/>
        <w:autoSpaceDN/>
        <w:bidi w:val="0"/>
        <w:adjustRightInd/>
        <w:spacing w:line="360" w:lineRule="auto"/>
        <w:ind w:firstLine="562"/>
        <w:jc w:val="center"/>
        <w:textAlignment w:val="auto"/>
        <w:outlineLvl w:val="9"/>
        <w:rPr>
          <w:rFonts w:cs="Times New Roman" w:asciiTheme="minorEastAsia" w:hAnsiTheme="minorEastAsia"/>
          <w:b/>
          <w:color w:val="auto"/>
          <w:kern w:val="0"/>
          <w:sz w:val="24"/>
          <w:szCs w:val="24"/>
        </w:rPr>
        <w:sectPr>
          <w:pgSz w:w="11906" w:h="16838"/>
          <w:pgMar w:top="1440" w:right="1800" w:bottom="1440" w:left="1800" w:header="851" w:footer="992" w:gutter="0"/>
          <w:pgNumType w:fmt="decimal"/>
          <w:cols w:space="425" w:num="1"/>
          <w:docGrid w:type="lines" w:linePitch="312" w:charSpace="0"/>
        </w:sectPr>
      </w:pPr>
    </w:p>
    <w:p w14:paraId="1E864A0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rPr>
        <w:t>）资格证明资料</w:t>
      </w:r>
    </w:p>
    <w:p w14:paraId="71348EB8">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1.满足《中华人民共和国政府采购法》第二十二条规定；</w:t>
      </w:r>
    </w:p>
    <w:p w14:paraId="46D9C467">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2.落实政府采购政策满足的资格要求：本项目专门面向中小企业采购,同时供应商须提供《中小企业声明函》；   </w:t>
      </w:r>
    </w:p>
    <w:p w14:paraId="612445AC">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3.本项目的特定资格要求</w:t>
      </w:r>
    </w:p>
    <w:p w14:paraId="165FF1CC">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3.1、供应商具有独立承担民事责任的能力（具有有效的营业执照或事业单位法人证书）；</w:t>
      </w:r>
    </w:p>
    <w:p w14:paraId="3BFE1508">
      <w:pPr>
        <w:pStyle w:val="16"/>
        <w:spacing w:line="360" w:lineRule="auto"/>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供应商须具有相关主管部门核发的林业调查规划设计</w:t>
      </w:r>
      <w:r>
        <w:rPr>
          <w:rFonts w:hint="eastAsia" w:ascii="宋体" w:hAnsi="宋体" w:cs="宋体"/>
          <w:sz w:val="24"/>
          <w:szCs w:val="24"/>
          <w:highlight w:val="none"/>
          <w:lang w:val="en-US" w:eastAsia="zh-CN"/>
        </w:rPr>
        <w:t>丙</w:t>
      </w:r>
      <w:r>
        <w:rPr>
          <w:rFonts w:hint="eastAsia" w:ascii="宋体" w:hAnsi="宋体" w:eastAsia="宋体" w:cs="宋体"/>
          <w:sz w:val="24"/>
          <w:szCs w:val="24"/>
          <w:highlight w:val="none"/>
          <w:lang w:val="en-US" w:eastAsia="zh-CN"/>
        </w:rPr>
        <w:t>级及以上资质；</w:t>
      </w:r>
    </w:p>
    <w:p w14:paraId="56353D5A">
      <w:pPr>
        <w:pStyle w:val="16"/>
        <w:spacing w:line="360" w:lineRule="auto"/>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w:t>
      </w:r>
      <w:r>
        <w:rPr>
          <w:rFonts w:hint="eastAsia" w:ascii="宋体" w:hAnsi="宋体" w:cs="宋体"/>
          <w:sz w:val="24"/>
          <w:szCs w:val="24"/>
          <w:highlight w:val="none"/>
          <w:lang w:val="en-US" w:eastAsia="zh-CN"/>
        </w:rPr>
        <w:t>、拟派项目负责人须具有相关（林业）专业高级及以上职称且为本单位正式员工，需提供近半年任意连续两个月社保缴纳证明（新成立的企业从成立之日起计算）；</w:t>
      </w:r>
    </w:p>
    <w:p w14:paraId="24B4ABDA">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3.4、单位负责人为同一人或者存在控股、管理关系的不同</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，不得同时参加本项目政府采购活动（磋商文件内附“国家企业信用信息”中公示的公司信息、股东或投资人信息截图，查询时间自公告发布之日起）；</w:t>
      </w:r>
    </w:p>
    <w:p w14:paraId="34348F0A">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3.5、具有履行本项目服务内容所必须的设备和专业技术服务能力（提供证明材料或承诺书</w:t>
      </w:r>
      <w:r>
        <w:rPr>
          <w:rFonts w:hint="eastAsia" w:ascii="宋体" w:hAnsi="宋体" w:cs="宋体"/>
          <w:sz w:val="24"/>
          <w:szCs w:val="24"/>
          <w:lang w:val="en-US" w:eastAsia="zh-CN"/>
        </w:rPr>
        <w:t>，承诺书格式自拟</w:t>
      </w:r>
      <w:r>
        <w:rPr>
          <w:rFonts w:hint="eastAsia" w:ascii="宋体" w:hAnsi="宋体" w:eastAsia="宋体" w:cs="宋体"/>
          <w:sz w:val="24"/>
          <w:szCs w:val="24"/>
          <w:lang w:val="en-US" w:eastAsia="zh-CN"/>
        </w:rPr>
        <w:t>）；</w:t>
      </w:r>
    </w:p>
    <w:p w14:paraId="5894F2E0">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3.6、具有良好的商业信誉和健全的财务会计制度，提供承诺书（格式自拟）；</w:t>
      </w:r>
    </w:p>
    <w:p w14:paraId="5E23155A">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依法缴纳税收和社会保障资金，提供承诺书（格式自拟）；</w:t>
      </w:r>
    </w:p>
    <w:p w14:paraId="327B8001">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3.8、本企业无商业贿赂及无不正当竞争行为，提供承诺书（格式自拟）；</w:t>
      </w:r>
    </w:p>
    <w:p w14:paraId="4FFD8494">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3.9、须提供本企业无行贿犯罪记录在中国裁判文书网自行查询结果或自行承诺（查询对象：企业、法定代表人）；</w:t>
      </w:r>
    </w:p>
    <w:p w14:paraId="1C5E1269">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3.10、</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未列入“中国执行信息公开网”的“失信被执行人”，“信用中国”www.creditchina.gov.cn网站的 “重大税收违法失信主体”和“中国政府采购网”www.ccgp.gov.cn网站的“政府采购严重违法失信行为记录名单”；（采购人、代理机构在开标后对所有</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信用记录进行查询，并将查询结果网页打印存档，</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不良信用记录以代理机构开标后查询结果为准。）；</w:t>
      </w:r>
    </w:p>
    <w:p w14:paraId="2560FB22">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4、本项目不接受联合体磋商，提供承诺书（格式自拟）；</w:t>
      </w:r>
    </w:p>
    <w:p w14:paraId="3C6DE76F">
      <w:pPr>
        <w:pStyle w:val="16"/>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5、本次磋商实行资格后审，资格审查的具体要求见磋商文件</w:t>
      </w:r>
      <w:r>
        <w:rPr>
          <w:rFonts w:hint="eastAsia" w:ascii="宋体" w:hAnsi="宋体" w:cs="宋体"/>
          <w:sz w:val="24"/>
          <w:szCs w:val="24"/>
          <w:lang w:val="en-US" w:eastAsia="zh-CN"/>
        </w:rPr>
        <w:t>（提供资格后审承诺书，格式自拟）。</w:t>
      </w:r>
    </w:p>
    <w:p w14:paraId="1C80FEED">
      <w:pPr>
        <w:pStyle w:val="16"/>
        <w:spacing w:line="360" w:lineRule="auto"/>
        <w:ind w:left="0" w:leftChars="0" w:firstLine="480" w:firstLineChars="200"/>
        <w:rPr>
          <w:rFonts w:hint="eastAsia" w:ascii="宋体" w:hAnsi="宋体" w:eastAsia="宋体" w:cs="宋体"/>
          <w:sz w:val="24"/>
          <w:szCs w:val="24"/>
          <w:lang w:val="en-US" w:eastAsia="zh-CN"/>
        </w:rPr>
      </w:pPr>
    </w:p>
    <w:p w14:paraId="3193C293">
      <w:pPr>
        <w:pStyle w:val="16"/>
        <w:spacing w:line="360" w:lineRule="auto"/>
        <w:ind w:left="0" w:leftChars="0" w:firstLine="480" w:firstLineChars="200"/>
        <w:rPr>
          <w:rFonts w:hint="eastAsia" w:ascii="宋体" w:hAnsi="宋体" w:eastAsia="宋体" w:cs="宋体"/>
          <w:sz w:val="24"/>
          <w:szCs w:val="24"/>
          <w:lang w:val="en-US" w:eastAsia="zh-CN"/>
        </w:rPr>
      </w:pPr>
    </w:p>
    <w:p w14:paraId="588C4B26">
      <w:pPr>
        <w:pStyle w:val="16"/>
        <w:spacing w:line="360" w:lineRule="auto"/>
        <w:ind w:left="0" w:leftChars="0" w:firstLine="480" w:firstLineChars="200"/>
        <w:rPr>
          <w:rFonts w:hint="eastAsia" w:ascii="宋体" w:hAnsi="宋体" w:eastAsia="宋体" w:cs="宋体"/>
          <w:sz w:val="24"/>
          <w:szCs w:val="24"/>
          <w:lang w:val="en-US" w:eastAsia="zh-CN"/>
        </w:rPr>
      </w:pPr>
    </w:p>
    <w:p w14:paraId="4E3AE0EE"/>
    <w:p w14:paraId="2C177683">
      <w:pPr>
        <w:keepNext w:val="0"/>
        <w:keepLines w:val="0"/>
        <w:pageBreakBefore w:val="0"/>
        <w:widowControl/>
        <w:kinsoku/>
        <w:wordWrap/>
        <w:overflowPunct/>
        <w:topLinePunct w:val="0"/>
        <w:autoSpaceDE/>
        <w:autoSpaceDN/>
        <w:bidi w:val="0"/>
        <w:adjustRightInd w:val="0"/>
        <w:snapToGrid/>
        <w:spacing w:line="360" w:lineRule="auto"/>
        <w:ind w:firstLine="3360" w:firstLineChars="1400"/>
        <w:jc w:val="left"/>
        <w:textAlignment w:val="auto"/>
        <w:outlineLvl w:val="9"/>
        <w:rPr>
          <w:rFonts w:hint="eastAsia" w:ascii="宋体" w:hAnsi="宋体" w:eastAsia="宋体" w:cs="宋体"/>
          <w:color w:val="auto"/>
          <w:kern w:val="0"/>
          <w:sz w:val="24"/>
          <w:szCs w:val="24"/>
        </w:rPr>
      </w:pPr>
    </w:p>
    <w:p w14:paraId="5016A02F">
      <w:pPr>
        <w:keepNext w:val="0"/>
        <w:keepLines w:val="0"/>
        <w:pageBreakBefore w:val="0"/>
        <w:widowControl/>
        <w:kinsoku/>
        <w:wordWrap/>
        <w:overflowPunct/>
        <w:topLinePunct w:val="0"/>
        <w:autoSpaceDE/>
        <w:autoSpaceDN/>
        <w:bidi w:val="0"/>
        <w:adjustRightInd w:val="0"/>
        <w:snapToGrid/>
        <w:spacing w:line="360" w:lineRule="auto"/>
        <w:ind w:firstLine="3360" w:firstLineChars="1400"/>
        <w:jc w:val="left"/>
        <w:textAlignment w:val="auto"/>
        <w:outlineLvl w:val="9"/>
        <w:rPr>
          <w:rFonts w:hint="eastAsia" w:ascii="宋体" w:hAnsi="宋体" w:eastAsia="宋体" w:cs="宋体"/>
          <w:color w:val="auto"/>
          <w:kern w:val="0"/>
          <w:sz w:val="24"/>
          <w:szCs w:val="24"/>
        </w:rPr>
      </w:pPr>
    </w:p>
    <w:p w14:paraId="7B66EB20">
      <w:pPr>
        <w:keepNext w:val="0"/>
        <w:keepLines w:val="0"/>
        <w:pageBreakBefore w:val="0"/>
        <w:kinsoku/>
        <w:wordWrap/>
        <w:overflowPunct/>
        <w:topLinePunct w:val="0"/>
        <w:autoSpaceDE/>
        <w:autoSpaceDN/>
        <w:bidi w:val="0"/>
        <w:adjustRightInd/>
        <w:snapToGrid w:val="0"/>
        <w:spacing w:line="360" w:lineRule="auto"/>
        <w:ind w:firstLine="480" w:firstLineChars="200"/>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lang w:val="en-US" w:eastAsia="zh-CN"/>
        </w:rPr>
        <w:t xml:space="preserve">                </w:t>
      </w:r>
      <w:r>
        <w:rPr>
          <w:rFonts w:cs="宋体" w:asciiTheme="minorEastAsia" w:hAnsiTheme="minorEastAsia"/>
          <w:color w:val="auto"/>
          <w:sz w:val="24"/>
          <w:szCs w:val="24"/>
        </w:rPr>
        <w:t>供应商：</w:t>
      </w:r>
      <w:r>
        <w:rPr>
          <w:rFonts w:hint="eastAsia" w:cs="宋体" w:asciiTheme="minorEastAsia" w:hAnsiTheme="minorEastAsia"/>
          <w:color w:val="auto"/>
          <w:sz w:val="24"/>
          <w:szCs w:val="24"/>
          <w:u w:val="single"/>
          <w:lang w:val="en-US" w:eastAsia="zh-CN"/>
        </w:rPr>
        <w:t xml:space="preserve">                       </w:t>
      </w:r>
      <w:r>
        <w:rPr>
          <w:rFonts w:hint="eastAsia" w:ascii="宋体" w:hAnsi="宋体" w:cs="宋体"/>
          <w:kern w:val="0"/>
          <w:sz w:val="24"/>
        </w:rPr>
        <w:t>（电子签章）</w:t>
      </w:r>
    </w:p>
    <w:p w14:paraId="210848F1">
      <w:pPr>
        <w:pStyle w:val="16"/>
        <w:spacing w:line="360" w:lineRule="auto"/>
        <w:ind w:firstLine="2400" w:firstLineChars="1000"/>
        <w:rPr>
          <w:sz w:val="24"/>
          <w:szCs w:val="24"/>
        </w:rPr>
      </w:pPr>
      <w:r>
        <w:rPr>
          <w:rFonts w:cs="宋体" w:asciiTheme="minorEastAsia" w:hAnsiTheme="minorEastAsia"/>
          <w:color w:val="auto"/>
          <w:sz w:val="24"/>
          <w:szCs w:val="24"/>
        </w:rPr>
        <w:t>法定代表人：</w:t>
      </w:r>
      <w:r>
        <w:rPr>
          <w:rFonts w:hint="eastAsia" w:cs="宋体" w:asciiTheme="minorEastAsia" w:hAnsiTheme="minorEastAsia"/>
          <w:color w:val="auto"/>
          <w:sz w:val="24"/>
          <w:szCs w:val="24"/>
          <w:u w:val="single"/>
          <w:lang w:val="en-US" w:eastAsia="zh-CN"/>
        </w:rPr>
        <w:t xml:space="preserve">                  </w:t>
      </w:r>
      <w:r>
        <w:rPr>
          <w:rFonts w:hint="eastAsia" w:cs="宋体" w:asciiTheme="minorEastAsia" w:hAnsiTheme="minorEastAsia"/>
          <w:color w:val="auto"/>
          <w:sz w:val="24"/>
          <w:szCs w:val="24"/>
        </w:rPr>
        <w:t>（</w:t>
      </w:r>
      <w:r>
        <w:rPr>
          <w:rFonts w:hint="eastAsia" w:cs="宋体" w:asciiTheme="minorEastAsia" w:hAnsiTheme="minorEastAsia"/>
          <w:color w:val="auto"/>
          <w:sz w:val="24"/>
          <w:szCs w:val="24"/>
          <w:lang w:val="en-US" w:eastAsia="zh-CN"/>
        </w:rPr>
        <w:t>签</w:t>
      </w:r>
      <w:r>
        <w:rPr>
          <w:rFonts w:hint="eastAsia" w:cs="宋体" w:asciiTheme="minorEastAsia" w:hAnsiTheme="minorEastAsia"/>
          <w:color w:val="auto"/>
          <w:sz w:val="24"/>
          <w:szCs w:val="24"/>
        </w:rPr>
        <w:t>章）</w:t>
      </w:r>
    </w:p>
    <w:p w14:paraId="7A2EE977">
      <w:pPr>
        <w:pStyle w:val="16"/>
        <w:spacing w:line="360" w:lineRule="auto"/>
        <w:ind w:firstLine="2400" w:firstLineChars="1000"/>
        <w:rPr>
          <w:rFonts w:hint="eastAsia"/>
          <w:sz w:val="24"/>
          <w:szCs w:val="24"/>
        </w:rPr>
      </w:pPr>
      <w:r>
        <w:rPr>
          <w:rFonts w:hint="eastAsia" w:ascii="宋体" w:hAnsi="宋体" w:eastAsia="宋体" w:cs="宋体"/>
          <w:color w:val="auto"/>
          <w:kern w:val="0"/>
          <w:sz w:val="24"/>
          <w:szCs w:val="24"/>
        </w:rPr>
        <w:t xml:space="preserve">日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期：</w:t>
      </w:r>
      <w:r>
        <w:rPr>
          <w:rFonts w:hint="eastAsia" w:cs="宋体" w:asciiTheme="minorEastAsia" w:hAnsiTheme="minorEastAsia"/>
          <w:color w:val="auto"/>
          <w:sz w:val="24"/>
          <w:szCs w:val="24"/>
          <w:u w:val="single"/>
          <w:lang w:val="en-US" w:eastAsia="zh-CN"/>
        </w:rPr>
        <w:t xml:space="preserve">      </w:t>
      </w:r>
      <w:r>
        <w:rPr>
          <w:rFonts w:hint="eastAsia" w:ascii="宋体" w:hAnsi="宋体" w:eastAsia="宋体" w:cs="宋体"/>
          <w:color w:val="auto"/>
          <w:kern w:val="0"/>
          <w:sz w:val="24"/>
          <w:szCs w:val="24"/>
        </w:rPr>
        <w:t>年</w:t>
      </w:r>
      <w:r>
        <w:rPr>
          <w:rFonts w:hint="eastAsia" w:cs="宋体" w:asciiTheme="minorEastAsia" w:hAnsiTheme="minorEastAsia"/>
          <w:color w:val="auto"/>
          <w:sz w:val="24"/>
          <w:szCs w:val="24"/>
          <w:u w:val="single"/>
          <w:lang w:val="en-US" w:eastAsia="zh-CN"/>
        </w:rPr>
        <w:t xml:space="preserve">      </w:t>
      </w:r>
      <w:r>
        <w:rPr>
          <w:rFonts w:hint="eastAsia" w:ascii="宋体" w:hAnsi="宋体" w:eastAsia="宋体" w:cs="宋体"/>
          <w:color w:val="auto"/>
          <w:kern w:val="0"/>
          <w:sz w:val="24"/>
          <w:szCs w:val="24"/>
        </w:rPr>
        <w:t>月</w:t>
      </w:r>
      <w:r>
        <w:rPr>
          <w:rFonts w:hint="eastAsia" w:cs="宋体" w:asciiTheme="minorEastAsia" w:hAnsiTheme="minorEastAsia"/>
          <w:color w:val="auto"/>
          <w:sz w:val="24"/>
          <w:szCs w:val="24"/>
          <w:u w:val="single"/>
          <w:lang w:val="en-US" w:eastAsia="zh-CN"/>
        </w:rPr>
        <w:t xml:space="preserve">      </w:t>
      </w:r>
      <w:r>
        <w:rPr>
          <w:rFonts w:hint="eastAsia" w:ascii="宋体" w:hAnsi="宋体" w:eastAsia="宋体" w:cs="宋体"/>
          <w:color w:val="auto"/>
          <w:kern w:val="0"/>
          <w:sz w:val="24"/>
          <w:szCs w:val="24"/>
        </w:rPr>
        <w:t>日</w:t>
      </w:r>
    </w:p>
    <w:p w14:paraId="03F2FAED">
      <w:pPr>
        <w:pStyle w:val="16"/>
        <w:spacing w:line="360" w:lineRule="auto"/>
        <w:ind w:firstLine="2400" w:firstLineChars="1000"/>
        <w:rPr>
          <w:rFonts w:hint="eastAsia"/>
          <w:sz w:val="24"/>
          <w:szCs w:val="24"/>
        </w:rPr>
      </w:pPr>
    </w:p>
    <w:p w14:paraId="649DE60D">
      <w:pPr>
        <w:keepNext w:val="0"/>
        <w:keepLines w:val="0"/>
        <w:pageBreakBefore w:val="0"/>
        <w:kinsoku/>
        <w:wordWrap/>
        <w:overflowPunct/>
        <w:topLinePunct w:val="0"/>
        <w:autoSpaceDE/>
        <w:autoSpaceDN/>
        <w:bidi w:val="0"/>
        <w:adjustRightInd/>
        <w:snapToGrid w:val="0"/>
        <w:spacing w:line="360" w:lineRule="auto"/>
        <w:ind w:firstLine="2880" w:firstLineChars="1200"/>
        <w:jc w:val="both"/>
        <w:textAlignment w:val="auto"/>
        <w:outlineLvl w:val="9"/>
        <w:rPr>
          <w:rFonts w:cs="宋体" w:asciiTheme="minorEastAsia" w:hAnsiTheme="minorEastAsia"/>
          <w:color w:val="auto"/>
          <w:sz w:val="24"/>
          <w:szCs w:val="24"/>
        </w:rPr>
      </w:pPr>
    </w:p>
    <w:p w14:paraId="6BA1D4F0">
      <w:pPr>
        <w:keepNext w:val="0"/>
        <w:keepLines w:val="0"/>
        <w:pageBreakBefore w:val="0"/>
        <w:widowControl/>
        <w:kinsoku/>
        <w:wordWrap/>
        <w:overflowPunct/>
        <w:topLinePunct w:val="0"/>
        <w:autoSpaceDE/>
        <w:autoSpaceDN/>
        <w:bidi w:val="0"/>
        <w:adjustRightInd/>
        <w:spacing w:line="360" w:lineRule="auto"/>
        <w:ind w:firstLine="562"/>
        <w:jc w:val="center"/>
        <w:textAlignment w:val="auto"/>
        <w:outlineLvl w:val="9"/>
        <w:rPr>
          <w:rFonts w:cs="Times New Roman" w:asciiTheme="minorEastAsia" w:hAnsiTheme="minorEastAsia"/>
          <w:b/>
          <w:color w:val="auto"/>
          <w:kern w:val="0"/>
          <w:sz w:val="24"/>
          <w:szCs w:val="24"/>
        </w:rPr>
        <w:sectPr>
          <w:pgSz w:w="11906" w:h="16838"/>
          <w:pgMar w:top="1440" w:right="1800" w:bottom="1440" w:left="1800" w:header="851" w:footer="992" w:gutter="0"/>
          <w:pgNumType w:fmt="decimal"/>
          <w:cols w:space="425" w:num="1"/>
          <w:docGrid w:type="lines" w:linePitch="312" w:charSpace="0"/>
        </w:sectPr>
      </w:pPr>
    </w:p>
    <w:p w14:paraId="30E82CD7">
      <w:pPr>
        <w:spacing w:line="540" w:lineRule="exact"/>
        <w:jc w:val="center"/>
        <w:rPr>
          <w:rFonts w:ascii="宋体" w:hAnsi="宋体" w:cs="宋体"/>
          <w:b/>
          <w:bCs/>
          <w:sz w:val="32"/>
          <w:szCs w:val="32"/>
        </w:rPr>
      </w:pPr>
      <w:r>
        <w:rPr>
          <w:rFonts w:hint="eastAsia" w:ascii="宋体" w:hAnsi="宋体" w:cs="宋体"/>
          <w:b/>
          <w:bCs/>
          <w:kern w:val="28"/>
          <w:sz w:val="30"/>
          <w:szCs w:val="30"/>
          <w:lang w:val="en-US" w:eastAsia="zh-CN"/>
        </w:rPr>
        <w:t>（三）磋商</w:t>
      </w:r>
      <w:r>
        <w:rPr>
          <w:rFonts w:hint="eastAsia" w:ascii="宋体" w:hAnsi="宋体" w:cs="宋体"/>
          <w:b/>
          <w:bCs/>
          <w:kern w:val="28"/>
          <w:sz w:val="30"/>
          <w:szCs w:val="30"/>
        </w:rPr>
        <w:t>承诺函</w:t>
      </w:r>
    </w:p>
    <w:p w14:paraId="40C2A15F">
      <w:pPr>
        <w:spacing w:line="540" w:lineRule="exact"/>
        <w:ind w:firstLine="480"/>
        <w:rPr>
          <w:rFonts w:ascii="宋体" w:hAnsi="宋体"/>
          <w:sz w:val="24"/>
          <w:szCs w:val="24"/>
        </w:rPr>
      </w:pPr>
      <w:r>
        <w:rPr>
          <w:rFonts w:hint="eastAsia" w:ascii="宋体" w:hAnsi="宋体"/>
          <w:sz w:val="24"/>
          <w:szCs w:val="24"/>
        </w:rPr>
        <w:t>致（采购人）</w:t>
      </w:r>
      <w:r>
        <w:rPr>
          <w:rFonts w:hint="eastAsia" w:ascii="宋体" w:hAnsi="宋体"/>
          <w:sz w:val="24"/>
          <w:szCs w:val="24"/>
          <w:u w:val="single"/>
          <w:lang w:val="en-US" w:eastAsia="zh-CN"/>
        </w:rPr>
        <w:t xml:space="preserve">                        </w:t>
      </w:r>
      <w:r>
        <w:rPr>
          <w:rFonts w:hint="eastAsia" w:ascii="宋体" w:hAnsi="宋体"/>
          <w:sz w:val="24"/>
          <w:szCs w:val="24"/>
        </w:rPr>
        <w:t>：</w:t>
      </w:r>
    </w:p>
    <w:p w14:paraId="77A54600">
      <w:pPr>
        <w:spacing w:line="540" w:lineRule="exact"/>
        <w:ind w:firstLine="480"/>
        <w:rPr>
          <w:rFonts w:ascii="宋体" w:hAnsi="宋体"/>
          <w:sz w:val="24"/>
          <w:szCs w:val="24"/>
        </w:rPr>
      </w:pPr>
      <w:r>
        <w:rPr>
          <w:rFonts w:hint="eastAsia" w:ascii="宋体" w:hAnsi="宋体"/>
          <w:sz w:val="24"/>
          <w:szCs w:val="24"/>
        </w:rPr>
        <w:t>我公司作为本次采购项目的供应商，根据磋商文件要求，现郑重承诺如下：</w:t>
      </w:r>
    </w:p>
    <w:p w14:paraId="46E4645F">
      <w:pPr>
        <w:spacing w:line="540" w:lineRule="exact"/>
        <w:ind w:firstLine="480"/>
        <w:rPr>
          <w:rFonts w:ascii="宋体" w:hAnsi="宋体"/>
          <w:sz w:val="24"/>
          <w:szCs w:val="24"/>
        </w:rPr>
      </w:pPr>
      <w:r>
        <w:rPr>
          <w:rFonts w:hint="eastAsia" w:ascii="宋体" w:hAnsi="宋体"/>
          <w:sz w:val="24"/>
          <w:szCs w:val="24"/>
        </w:rPr>
        <w:t>一、具备《中华人民共和国政府采购法》第二十二条第一款和本项目规定的条件：</w:t>
      </w:r>
    </w:p>
    <w:p w14:paraId="76FF66F3">
      <w:pPr>
        <w:spacing w:line="540" w:lineRule="exact"/>
        <w:ind w:firstLine="480"/>
        <w:rPr>
          <w:rFonts w:ascii="宋体" w:hAnsi="宋体"/>
          <w:sz w:val="24"/>
          <w:szCs w:val="24"/>
        </w:rPr>
      </w:pPr>
      <w:r>
        <w:rPr>
          <w:rFonts w:hint="eastAsia" w:ascii="宋体" w:hAnsi="宋体"/>
          <w:sz w:val="24"/>
          <w:szCs w:val="24"/>
        </w:rPr>
        <w:t>（一）具有独立承担民事责任的能力；</w:t>
      </w:r>
    </w:p>
    <w:p w14:paraId="2A09E685">
      <w:pPr>
        <w:spacing w:line="540" w:lineRule="exact"/>
        <w:ind w:firstLine="480"/>
        <w:rPr>
          <w:rFonts w:ascii="宋体" w:hAnsi="宋体"/>
          <w:sz w:val="24"/>
          <w:szCs w:val="24"/>
        </w:rPr>
      </w:pPr>
      <w:r>
        <w:rPr>
          <w:rFonts w:hint="eastAsia" w:ascii="宋体" w:hAnsi="宋体"/>
          <w:sz w:val="24"/>
          <w:szCs w:val="24"/>
        </w:rPr>
        <w:t>（二）具有良好的商业信誉和健全的财务会计制度；</w:t>
      </w:r>
    </w:p>
    <w:p w14:paraId="07179543">
      <w:pPr>
        <w:spacing w:line="540" w:lineRule="exact"/>
        <w:ind w:firstLine="480"/>
        <w:rPr>
          <w:rFonts w:ascii="宋体" w:hAnsi="宋体"/>
          <w:sz w:val="24"/>
          <w:szCs w:val="24"/>
        </w:rPr>
      </w:pPr>
      <w:r>
        <w:rPr>
          <w:rFonts w:hint="eastAsia" w:ascii="宋体" w:hAnsi="宋体"/>
          <w:sz w:val="24"/>
          <w:szCs w:val="24"/>
        </w:rPr>
        <w:t>（三）具有履行合同所必需的设备和专业技术能力；</w:t>
      </w:r>
    </w:p>
    <w:p w14:paraId="3D07B2D8">
      <w:pPr>
        <w:spacing w:line="540" w:lineRule="exact"/>
        <w:ind w:firstLine="480"/>
        <w:rPr>
          <w:rFonts w:ascii="宋体" w:hAnsi="宋体"/>
          <w:sz w:val="24"/>
          <w:szCs w:val="24"/>
        </w:rPr>
      </w:pPr>
      <w:r>
        <w:rPr>
          <w:rFonts w:hint="eastAsia" w:ascii="宋体" w:hAnsi="宋体"/>
          <w:sz w:val="24"/>
          <w:szCs w:val="24"/>
        </w:rPr>
        <w:t>（四）有依法缴纳税收和社会保障资金的良好记录；</w:t>
      </w:r>
    </w:p>
    <w:p w14:paraId="56539FC1">
      <w:pPr>
        <w:spacing w:line="540" w:lineRule="exact"/>
        <w:ind w:firstLine="480"/>
        <w:rPr>
          <w:rFonts w:ascii="宋体" w:hAnsi="宋体"/>
          <w:sz w:val="24"/>
          <w:szCs w:val="24"/>
        </w:rPr>
      </w:pPr>
      <w:r>
        <w:rPr>
          <w:rFonts w:hint="eastAsia" w:ascii="宋体" w:hAnsi="宋体"/>
          <w:sz w:val="24"/>
          <w:szCs w:val="24"/>
        </w:rPr>
        <w:t>（五）参加政府采购活动前三年内，在经营活动中没有重大违法记录；</w:t>
      </w:r>
    </w:p>
    <w:p w14:paraId="78A6CDFB">
      <w:pPr>
        <w:spacing w:line="540" w:lineRule="exact"/>
        <w:ind w:firstLine="480"/>
        <w:rPr>
          <w:rFonts w:ascii="宋体" w:hAnsi="宋体"/>
          <w:sz w:val="24"/>
          <w:szCs w:val="24"/>
        </w:rPr>
      </w:pPr>
      <w:r>
        <w:rPr>
          <w:rFonts w:hint="eastAsia" w:ascii="宋体" w:hAnsi="宋体"/>
          <w:sz w:val="24"/>
          <w:szCs w:val="24"/>
        </w:rPr>
        <w:t>（六）法律、行政法规规定的其他条件；</w:t>
      </w:r>
    </w:p>
    <w:p w14:paraId="33746CF2">
      <w:pPr>
        <w:spacing w:line="540" w:lineRule="exact"/>
        <w:ind w:firstLine="480"/>
        <w:rPr>
          <w:rFonts w:ascii="宋体" w:hAnsi="宋体"/>
          <w:sz w:val="24"/>
          <w:szCs w:val="24"/>
        </w:rPr>
      </w:pPr>
      <w:r>
        <w:rPr>
          <w:rFonts w:hint="eastAsia" w:ascii="宋体" w:hAnsi="宋体"/>
          <w:sz w:val="24"/>
          <w:szCs w:val="24"/>
        </w:rPr>
        <w:t>（七）根据采购项目提出的特殊条件；</w:t>
      </w:r>
    </w:p>
    <w:p w14:paraId="2A8759EE">
      <w:pPr>
        <w:spacing w:line="540" w:lineRule="exact"/>
        <w:ind w:firstLine="480"/>
        <w:rPr>
          <w:rFonts w:ascii="宋体" w:hAnsi="宋体"/>
          <w:sz w:val="24"/>
          <w:szCs w:val="24"/>
        </w:rPr>
      </w:pPr>
      <w:r>
        <w:rPr>
          <w:rFonts w:hint="eastAsia" w:ascii="宋体" w:hAnsi="宋体"/>
          <w:sz w:val="24"/>
          <w:szCs w:val="24"/>
        </w:rPr>
        <w:t>（八）承诺不随意更换项目经理，一旦更换项目经理征得甲方同意。</w:t>
      </w:r>
    </w:p>
    <w:p w14:paraId="5D9AB256">
      <w:pPr>
        <w:spacing w:line="540" w:lineRule="exact"/>
        <w:ind w:firstLine="480"/>
        <w:rPr>
          <w:rFonts w:ascii="宋体" w:hAnsi="宋体"/>
          <w:sz w:val="24"/>
          <w:szCs w:val="24"/>
        </w:rPr>
      </w:pPr>
      <w:r>
        <w:rPr>
          <w:rFonts w:hint="eastAsia" w:ascii="宋体" w:hAnsi="宋体"/>
          <w:sz w:val="24"/>
          <w:szCs w:val="24"/>
        </w:rPr>
        <w:t>二、完全接受和满足本项目磋商文件中规定的实质性要求，如对磋商文件有异议，已经在磋商截止时间届满前依法进行维权，不存在对磋商文件有异议的同时又参加磋商以求侥幸成交或者为实现其他非法目的的行为。</w:t>
      </w:r>
    </w:p>
    <w:p w14:paraId="70FB0AAC">
      <w:pPr>
        <w:spacing w:line="540" w:lineRule="exact"/>
        <w:ind w:firstLine="480"/>
        <w:rPr>
          <w:rFonts w:ascii="宋体" w:hAnsi="宋体"/>
          <w:sz w:val="24"/>
          <w:szCs w:val="24"/>
        </w:rPr>
      </w:pPr>
      <w:r>
        <w:rPr>
          <w:rFonts w:hint="eastAsia" w:ascii="宋体" w:hAnsi="宋体"/>
          <w:sz w:val="24"/>
          <w:szCs w:val="24"/>
        </w:rPr>
        <w:t>三、参加本次采购活动，不存在与单位负责人为同一人或者存在直接控股、管理关系的其他供应商参与同一合同项下的政府采购活动的行为。</w:t>
      </w:r>
    </w:p>
    <w:p w14:paraId="400043F1">
      <w:pPr>
        <w:spacing w:line="540" w:lineRule="exact"/>
        <w:ind w:firstLine="480"/>
        <w:rPr>
          <w:rFonts w:ascii="宋体" w:hAnsi="宋体"/>
          <w:sz w:val="24"/>
          <w:szCs w:val="24"/>
        </w:rPr>
      </w:pPr>
      <w:r>
        <w:rPr>
          <w:rFonts w:hint="eastAsia" w:ascii="宋体" w:hAnsi="宋体"/>
          <w:sz w:val="24"/>
          <w:szCs w:val="24"/>
        </w:rPr>
        <w:t>四、参加本次采购活动，不存在为采购项目提供整体设计、规范编制或者项目管理、监理、检测等服务的行为。</w:t>
      </w:r>
    </w:p>
    <w:p w14:paraId="5F292050">
      <w:pPr>
        <w:spacing w:line="540" w:lineRule="exact"/>
        <w:ind w:firstLine="480"/>
        <w:rPr>
          <w:rFonts w:ascii="宋体" w:hAnsi="宋体"/>
          <w:sz w:val="24"/>
          <w:szCs w:val="24"/>
        </w:rPr>
      </w:pPr>
      <w:r>
        <w:rPr>
          <w:rFonts w:hint="eastAsia" w:ascii="宋体" w:hAnsi="宋体"/>
          <w:sz w:val="24"/>
          <w:szCs w:val="24"/>
        </w:rPr>
        <w:t>五、参加本次采购活动，不存在和其他供应商在同一合同项下的采购项目中，同时委托同一个自然人、同一家庭的人员、同一单位的人员作为代理人的行为。</w:t>
      </w:r>
    </w:p>
    <w:p w14:paraId="62BE6C8B">
      <w:pPr>
        <w:spacing w:line="540" w:lineRule="exact"/>
        <w:ind w:firstLine="480"/>
        <w:rPr>
          <w:rFonts w:ascii="宋体" w:hAnsi="宋体"/>
          <w:sz w:val="24"/>
          <w:szCs w:val="24"/>
        </w:rPr>
      </w:pPr>
      <w:r>
        <w:rPr>
          <w:rFonts w:hint="eastAsia" w:ascii="宋体" w:hAnsi="宋体"/>
          <w:sz w:val="24"/>
          <w:szCs w:val="24"/>
        </w:rPr>
        <w:t>六、供应商参加本次政府采购活动要求在近三年内供应商和其法定代表人没有行贿犯罪行为。</w:t>
      </w:r>
    </w:p>
    <w:p w14:paraId="1E3E7796">
      <w:pPr>
        <w:spacing w:line="540" w:lineRule="exact"/>
        <w:ind w:firstLine="480"/>
        <w:rPr>
          <w:rFonts w:ascii="宋体" w:hAnsi="宋体"/>
          <w:sz w:val="24"/>
          <w:szCs w:val="24"/>
        </w:rPr>
      </w:pPr>
      <w:r>
        <w:rPr>
          <w:rFonts w:hint="eastAsia" w:ascii="宋体" w:hAnsi="宋体"/>
          <w:sz w:val="24"/>
          <w:szCs w:val="24"/>
        </w:rPr>
        <w:t>七、参加本次采购活动，不存在联合体磋商。</w:t>
      </w:r>
    </w:p>
    <w:p w14:paraId="35300E51">
      <w:pPr>
        <w:spacing w:line="540" w:lineRule="exact"/>
        <w:ind w:firstLine="480"/>
        <w:rPr>
          <w:rFonts w:ascii="宋体" w:hAnsi="宋体"/>
          <w:sz w:val="24"/>
          <w:szCs w:val="24"/>
        </w:rPr>
      </w:pPr>
      <w:r>
        <w:rPr>
          <w:rFonts w:hint="eastAsia" w:ascii="宋体" w:hAnsi="宋体"/>
          <w:sz w:val="24"/>
          <w:szCs w:val="24"/>
        </w:rPr>
        <w:t>八、响应文件中提供的能够给予我公司带来优惠、好处的任何材料资料和技术、服务、商务等响应承诺情况都是真实的、有效的、合法的。</w:t>
      </w:r>
    </w:p>
    <w:p w14:paraId="0D0CAF6E">
      <w:pPr>
        <w:spacing w:line="540" w:lineRule="exact"/>
        <w:ind w:firstLine="480"/>
        <w:rPr>
          <w:rFonts w:ascii="宋体" w:hAnsi="宋体"/>
          <w:sz w:val="24"/>
          <w:szCs w:val="24"/>
        </w:rPr>
      </w:pPr>
      <w:r>
        <w:rPr>
          <w:rFonts w:hint="eastAsia" w:ascii="宋体" w:hAnsi="宋体"/>
          <w:sz w:val="24"/>
          <w:szCs w:val="24"/>
        </w:rPr>
        <w:t>九、存在以下行为之一的愿意接受相关部门的处理：</w:t>
      </w:r>
    </w:p>
    <w:p w14:paraId="159FBC29">
      <w:pPr>
        <w:spacing w:line="540" w:lineRule="exact"/>
        <w:ind w:firstLine="480"/>
        <w:rPr>
          <w:rFonts w:ascii="宋体" w:hAnsi="宋体"/>
          <w:sz w:val="24"/>
          <w:szCs w:val="24"/>
        </w:rPr>
      </w:pPr>
      <w:r>
        <w:rPr>
          <w:rFonts w:hint="eastAsia" w:ascii="宋体" w:hAnsi="宋体"/>
          <w:sz w:val="24"/>
          <w:szCs w:val="24"/>
        </w:rPr>
        <w:t>（1）磋商有效期内撤销响应文件的；</w:t>
      </w:r>
    </w:p>
    <w:p w14:paraId="365D3A4C">
      <w:pPr>
        <w:spacing w:line="540" w:lineRule="exact"/>
        <w:ind w:firstLine="480"/>
        <w:rPr>
          <w:rFonts w:ascii="宋体" w:hAnsi="宋体"/>
          <w:sz w:val="24"/>
          <w:szCs w:val="24"/>
        </w:rPr>
      </w:pPr>
      <w:r>
        <w:rPr>
          <w:rFonts w:hint="eastAsia" w:ascii="宋体" w:hAnsi="宋体"/>
          <w:sz w:val="24"/>
          <w:szCs w:val="24"/>
        </w:rPr>
        <w:t>（2）在采购人确定成交人以前放弃中标候选资格的；</w:t>
      </w:r>
    </w:p>
    <w:p w14:paraId="593F8287">
      <w:pPr>
        <w:spacing w:line="540" w:lineRule="exact"/>
        <w:ind w:firstLine="480"/>
        <w:rPr>
          <w:rFonts w:ascii="宋体" w:hAnsi="宋体"/>
          <w:sz w:val="24"/>
          <w:szCs w:val="24"/>
        </w:rPr>
      </w:pPr>
      <w:r>
        <w:rPr>
          <w:rFonts w:hint="eastAsia" w:ascii="宋体" w:hAnsi="宋体"/>
          <w:sz w:val="24"/>
          <w:szCs w:val="24"/>
        </w:rPr>
        <w:t>（3）由于成交人的原因未能按照磋商文件的规定与采购人签订合同；</w:t>
      </w:r>
    </w:p>
    <w:p w14:paraId="436A3589">
      <w:pPr>
        <w:spacing w:line="540" w:lineRule="exact"/>
        <w:ind w:firstLine="480"/>
        <w:rPr>
          <w:rFonts w:ascii="宋体" w:hAnsi="宋体"/>
          <w:sz w:val="24"/>
          <w:szCs w:val="24"/>
        </w:rPr>
      </w:pPr>
      <w:r>
        <w:rPr>
          <w:rFonts w:hint="eastAsia" w:ascii="宋体" w:hAnsi="宋体"/>
          <w:sz w:val="24"/>
          <w:szCs w:val="24"/>
        </w:rPr>
        <w:t>（4）在响应文件中提供虚假材料谋取中标；</w:t>
      </w:r>
    </w:p>
    <w:p w14:paraId="3B26C51B">
      <w:pPr>
        <w:spacing w:line="540" w:lineRule="exact"/>
        <w:ind w:firstLine="480"/>
        <w:rPr>
          <w:rFonts w:ascii="宋体" w:hAnsi="宋体"/>
          <w:sz w:val="24"/>
          <w:szCs w:val="24"/>
        </w:rPr>
      </w:pPr>
      <w:r>
        <w:rPr>
          <w:rFonts w:hint="eastAsia" w:ascii="宋体" w:hAnsi="宋体"/>
          <w:sz w:val="24"/>
          <w:szCs w:val="24"/>
        </w:rPr>
        <w:t>（5）与采购人、其他供应商或者采购代理机构恶意串通的；</w:t>
      </w:r>
    </w:p>
    <w:p w14:paraId="0E9BBB68">
      <w:pPr>
        <w:spacing w:line="540" w:lineRule="exact"/>
        <w:ind w:firstLine="480"/>
        <w:rPr>
          <w:rFonts w:ascii="宋体" w:hAnsi="宋体"/>
          <w:sz w:val="24"/>
          <w:szCs w:val="24"/>
        </w:rPr>
      </w:pPr>
      <w:r>
        <w:rPr>
          <w:rFonts w:hint="eastAsia" w:ascii="宋体" w:hAnsi="宋体"/>
          <w:sz w:val="24"/>
          <w:szCs w:val="24"/>
        </w:rPr>
        <w:t>（6）磋商有效期内，供应商在政府采购活动中有违法、违规、违纪行为。</w:t>
      </w:r>
    </w:p>
    <w:p w14:paraId="64316AC9">
      <w:pPr>
        <w:spacing w:line="540" w:lineRule="exact"/>
        <w:ind w:firstLine="480"/>
        <w:rPr>
          <w:rFonts w:ascii="宋体" w:hAnsi="宋体"/>
          <w:sz w:val="24"/>
          <w:szCs w:val="24"/>
        </w:rPr>
      </w:pPr>
      <w:r>
        <w:rPr>
          <w:rFonts w:hint="eastAsia" w:ascii="宋体" w:hAnsi="宋体"/>
          <w:sz w:val="24"/>
          <w:szCs w:val="24"/>
        </w:rPr>
        <w:t>由此产生的一切法律后果和责任由我公司承担。我公司声明放弃对此提出任何异议和追索的权利。</w:t>
      </w:r>
    </w:p>
    <w:p w14:paraId="1897EF63">
      <w:pPr>
        <w:spacing w:line="540" w:lineRule="exact"/>
        <w:ind w:firstLine="480"/>
        <w:rPr>
          <w:rFonts w:ascii="宋体" w:hAnsi="宋体"/>
          <w:sz w:val="24"/>
          <w:szCs w:val="24"/>
        </w:rPr>
      </w:pPr>
      <w:r>
        <w:rPr>
          <w:rFonts w:hint="eastAsia" w:ascii="宋体" w:hAnsi="宋体"/>
          <w:sz w:val="24"/>
          <w:szCs w:val="24"/>
        </w:rPr>
        <w:t>本公司对上述承诺的内容事项真实性负责。如经查实上述承诺的内容事项存在虚假，我公司愿意接受以提供虚假材料谋取中标追究法律责任。</w:t>
      </w:r>
    </w:p>
    <w:p w14:paraId="02D17D54">
      <w:pPr>
        <w:rPr>
          <w:rFonts w:hint="eastAsia"/>
        </w:rPr>
      </w:pPr>
    </w:p>
    <w:p w14:paraId="674C0F12">
      <w:pPr>
        <w:pStyle w:val="16"/>
        <w:rPr>
          <w:rFonts w:hint="eastAsia"/>
        </w:rPr>
      </w:pPr>
    </w:p>
    <w:p w14:paraId="0CC2F16F">
      <w:pPr>
        <w:rPr>
          <w:rFonts w:hint="eastAsia"/>
        </w:rPr>
      </w:pPr>
    </w:p>
    <w:p w14:paraId="606C16CD">
      <w:pPr>
        <w:keepNext w:val="0"/>
        <w:keepLines w:val="0"/>
        <w:pageBreakBefore w:val="0"/>
        <w:kinsoku/>
        <w:wordWrap/>
        <w:overflowPunct/>
        <w:topLinePunct w:val="0"/>
        <w:autoSpaceDE/>
        <w:autoSpaceDN/>
        <w:bidi w:val="0"/>
        <w:adjustRightInd/>
        <w:snapToGrid w:val="0"/>
        <w:spacing w:line="360" w:lineRule="auto"/>
        <w:ind w:firstLine="480" w:firstLineChars="200"/>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lang w:val="en-US" w:eastAsia="zh-CN"/>
        </w:rPr>
        <w:t xml:space="preserve">                 </w:t>
      </w:r>
      <w:r>
        <w:rPr>
          <w:rFonts w:cs="宋体" w:asciiTheme="minorEastAsia" w:hAnsiTheme="minorEastAsia"/>
          <w:color w:val="auto"/>
          <w:sz w:val="24"/>
          <w:szCs w:val="24"/>
        </w:rPr>
        <w:t>供应商：</w:t>
      </w:r>
      <w:r>
        <w:rPr>
          <w:rFonts w:hint="eastAsia" w:cs="宋体" w:asciiTheme="minorEastAsia" w:hAnsiTheme="minorEastAsia"/>
          <w:color w:val="auto"/>
          <w:sz w:val="24"/>
          <w:szCs w:val="24"/>
          <w:u w:val="single"/>
          <w:lang w:val="en-US" w:eastAsia="zh-CN"/>
        </w:rPr>
        <w:t xml:space="preserve">                       </w:t>
      </w:r>
      <w:r>
        <w:rPr>
          <w:rFonts w:hint="eastAsia" w:ascii="宋体" w:hAnsi="宋体" w:cs="宋体"/>
          <w:kern w:val="0"/>
          <w:sz w:val="24"/>
        </w:rPr>
        <w:t>（电子签章）</w:t>
      </w:r>
    </w:p>
    <w:p w14:paraId="177FA10A">
      <w:pPr>
        <w:pStyle w:val="16"/>
        <w:spacing w:line="360" w:lineRule="auto"/>
        <w:ind w:firstLine="2400" w:firstLineChars="1000"/>
        <w:rPr>
          <w:sz w:val="24"/>
          <w:szCs w:val="24"/>
        </w:rPr>
      </w:pPr>
      <w:r>
        <w:rPr>
          <w:rFonts w:cs="宋体" w:asciiTheme="minorEastAsia" w:hAnsiTheme="minorEastAsia"/>
          <w:color w:val="auto"/>
          <w:sz w:val="24"/>
          <w:szCs w:val="24"/>
        </w:rPr>
        <w:t>法定代表人：</w:t>
      </w:r>
      <w:r>
        <w:rPr>
          <w:rFonts w:hint="eastAsia" w:cs="宋体" w:asciiTheme="minorEastAsia" w:hAnsiTheme="minorEastAsia"/>
          <w:color w:val="auto"/>
          <w:sz w:val="24"/>
          <w:szCs w:val="24"/>
          <w:u w:val="single"/>
          <w:lang w:val="en-US" w:eastAsia="zh-CN"/>
        </w:rPr>
        <w:t xml:space="preserve">               </w:t>
      </w:r>
      <w:r>
        <w:rPr>
          <w:rFonts w:hint="eastAsia" w:cs="宋体" w:asciiTheme="minorEastAsia" w:hAnsiTheme="minorEastAsia"/>
          <w:color w:val="auto"/>
          <w:sz w:val="24"/>
          <w:szCs w:val="24"/>
        </w:rPr>
        <w:t>（</w:t>
      </w:r>
      <w:r>
        <w:rPr>
          <w:rFonts w:hint="eastAsia" w:cs="宋体" w:asciiTheme="minorEastAsia" w:hAnsiTheme="minorEastAsia"/>
          <w:color w:val="auto"/>
          <w:sz w:val="24"/>
          <w:szCs w:val="24"/>
          <w:lang w:val="en-US" w:eastAsia="zh-CN"/>
        </w:rPr>
        <w:t>签</w:t>
      </w:r>
      <w:r>
        <w:rPr>
          <w:rFonts w:hint="eastAsia" w:cs="宋体" w:asciiTheme="minorEastAsia" w:hAnsiTheme="minorEastAsia"/>
          <w:color w:val="auto"/>
          <w:sz w:val="24"/>
          <w:szCs w:val="24"/>
        </w:rPr>
        <w:t>章）</w:t>
      </w:r>
    </w:p>
    <w:p w14:paraId="35D92733">
      <w:pPr>
        <w:pStyle w:val="16"/>
        <w:spacing w:line="360" w:lineRule="auto"/>
        <w:ind w:firstLine="2400" w:firstLineChars="1000"/>
        <w:rPr>
          <w:rFonts w:hint="eastAsia"/>
          <w:sz w:val="24"/>
          <w:szCs w:val="24"/>
        </w:rPr>
      </w:pPr>
      <w:r>
        <w:rPr>
          <w:rFonts w:hint="eastAsia" w:ascii="宋体" w:hAnsi="宋体" w:eastAsia="宋体" w:cs="宋体"/>
          <w:color w:val="auto"/>
          <w:kern w:val="0"/>
          <w:sz w:val="24"/>
          <w:szCs w:val="24"/>
        </w:rPr>
        <w:t xml:space="preserve">日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期：</w:t>
      </w:r>
      <w:r>
        <w:rPr>
          <w:rFonts w:hint="eastAsia" w:cs="宋体" w:asciiTheme="minorEastAsia" w:hAnsiTheme="minorEastAsia"/>
          <w:color w:val="auto"/>
          <w:sz w:val="24"/>
          <w:szCs w:val="24"/>
          <w:u w:val="single"/>
          <w:lang w:val="en-US" w:eastAsia="zh-CN"/>
        </w:rPr>
        <w:t xml:space="preserve">      </w:t>
      </w:r>
      <w:r>
        <w:rPr>
          <w:rFonts w:hint="eastAsia" w:ascii="宋体" w:hAnsi="宋体" w:eastAsia="宋体" w:cs="宋体"/>
          <w:color w:val="auto"/>
          <w:kern w:val="0"/>
          <w:sz w:val="24"/>
          <w:szCs w:val="24"/>
        </w:rPr>
        <w:t>年</w:t>
      </w:r>
      <w:r>
        <w:rPr>
          <w:rFonts w:hint="eastAsia" w:cs="宋体" w:asciiTheme="minorEastAsia" w:hAnsiTheme="minorEastAsia"/>
          <w:color w:val="auto"/>
          <w:sz w:val="24"/>
          <w:szCs w:val="24"/>
          <w:u w:val="single"/>
          <w:lang w:val="en-US" w:eastAsia="zh-CN"/>
        </w:rPr>
        <w:t xml:space="preserve">      </w:t>
      </w:r>
      <w:r>
        <w:rPr>
          <w:rFonts w:hint="eastAsia" w:ascii="宋体" w:hAnsi="宋体" w:eastAsia="宋体" w:cs="宋体"/>
          <w:color w:val="auto"/>
          <w:kern w:val="0"/>
          <w:sz w:val="24"/>
          <w:szCs w:val="24"/>
        </w:rPr>
        <w:t>月</w:t>
      </w:r>
      <w:r>
        <w:rPr>
          <w:rFonts w:hint="eastAsia" w:cs="宋体" w:asciiTheme="minorEastAsia" w:hAnsiTheme="minorEastAsia"/>
          <w:color w:val="auto"/>
          <w:sz w:val="24"/>
          <w:szCs w:val="24"/>
          <w:u w:val="single"/>
          <w:lang w:val="en-US" w:eastAsia="zh-CN"/>
        </w:rPr>
        <w:t xml:space="preserve">      </w:t>
      </w:r>
      <w:r>
        <w:rPr>
          <w:rFonts w:hint="eastAsia" w:ascii="宋体" w:hAnsi="宋体" w:eastAsia="宋体" w:cs="宋体"/>
          <w:color w:val="auto"/>
          <w:kern w:val="0"/>
          <w:sz w:val="24"/>
          <w:szCs w:val="24"/>
        </w:rPr>
        <w:t>日</w:t>
      </w:r>
    </w:p>
    <w:p w14:paraId="0A41C260">
      <w:pPr>
        <w:pStyle w:val="16"/>
        <w:spacing w:line="360" w:lineRule="auto"/>
        <w:ind w:firstLine="2400" w:firstLineChars="1000"/>
        <w:rPr>
          <w:rFonts w:hint="eastAsia" w:ascii="宋体" w:hAnsi="宋体" w:eastAsia="宋体" w:cs="宋体"/>
          <w:color w:val="auto"/>
          <w:kern w:val="0"/>
          <w:sz w:val="24"/>
          <w:szCs w:val="24"/>
        </w:rPr>
      </w:pPr>
    </w:p>
    <w:p w14:paraId="6D99E4BF">
      <w:pPr>
        <w:rPr>
          <w:rFonts w:hint="eastAsia" w:ascii="宋体" w:hAnsi="宋体" w:eastAsia="宋体" w:cs="宋体"/>
          <w:color w:val="auto"/>
          <w:kern w:val="0"/>
          <w:sz w:val="24"/>
          <w:szCs w:val="24"/>
        </w:rPr>
      </w:pPr>
    </w:p>
    <w:p w14:paraId="631DB02C">
      <w:pPr>
        <w:pStyle w:val="16"/>
        <w:rPr>
          <w:rFonts w:hint="eastAsia" w:ascii="宋体" w:hAnsi="宋体" w:eastAsia="宋体" w:cs="宋体"/>
          <w:color w:val="auto"/>
          <w:kern w:val="0"/>
          <w:sz w:val="24"/>
          <w:szCs w:val="24"/>
        </w:rPr>
      </w:pPr>
    </w:p>
    <w:p w14:paraId="2EF71820">
      <w:pPr>
        <w:rPr>
          <w:rFonts w:hint="eastAsia" w:ascii="宋体" w:hAnsi="宋体" w:eastAsia="宋体" w:cs="宋体"/>
          <w:color w:val="auto"/>
          <w:kern w:val="0"/>
          <w:sz w:val="24"/>
          <w:szCs w:val="24"/>
        </w:rPr>
      </w:pPr>
    </w:p>
    <w:p w14:paraId="49E177F4">
      <w:pPr>
        <w:pStyle w:val="16"/>
        <w:rPr>
          <w:rFonts w:hint="eastAsia" w:ascii="宋体" w:hAnsi="宋体" w:eastAsia="宋体" w:cs="宋体"/>
          <w:color w:val="auto"/>
          <w:kern w:val="0"/>
          <w:sz w:val="24"/>
          <w:szCs w:val="24"/>
        </w:rPr>
      </w:pPr>
    </w:p>
    <w:p w14:paraId="3C2C8FC6">
      <w:pPr>
        <w:rPr>
          <w:rFonts w:hint="eastAsia" w:ascii="宋体" w:hAnsi="宋体" w:eastAsia="宋体" w:cs="宋体"/>
          <w:color w:val="auto"/>
          <w:kern w:val="0"/>
          <w:sz w:val="24"/>
          <w:szCs w:val="24"/>
        </w:rPr>
      </w:pPr>
    </w:p>
    <w:p w14:paraId="1CAED08B">
      <w:pPr>
        <w:pStyle w:val="16"/>
        <w:rPr>
          <w:rFonts w:hint="eastAsia" w:ascii="宋体" w:hAnsi="宋体" w:eastAsia="宋体" w:cs="宋体"/>
          <w:color w:val="auto"/>
          <w:kern w:val="0"/>
          <w:sz w:val="24"/>
          <w:szCs w:val="24"/>
        </w:rPr>
      </w:pPr>
    </w:p>
    <w:p w14:paraId="42D56838">
      <w:pPr>
        <w:rPr>
          <w:rFonts w:hint="eastAsia" w:ascii="宋体" w:hAnsi="宋体" w:eastAsia="宋体" w:cs="宋体"/>
          <w:color w:val="auto"/>
          <w:kern w:val="0"/>
          <w:sz w:val="24"/>
          <w:szCs w:val="24"/>
        </w:rPr>
      </w:pPr>
    </w:p>
    <w:p w14:paraId="50CD8D3C">
      <w:pPr>
        <w:pStyle w:val="16"/>
        <w:rPr>
          <w:rFonts w:hint="eastAsia" w:ascii="宋体" w:hAnsi="宋体" w:eastAsia="宋体" w:cs="宋体"/>
          <w:color w:val="auto"/>
          <w:kern w:val="0"/>
          <w:sz w:val="24"/>
          <w:szCs w:val="24"/>
        </w:rPr>
      </w:pPr>
    </w:p>
    <w:p w14:paraId="3A68F0AD">
      <w:pPr>
        <w:rPr>
          <w:rFonts w:hint="eastAsia" w:ascii="宋体" w:hAnsi="宋体" w:eastAsia="宋体" w:cs="宋体"/>
          <w:color w:val="auto"/>
          <w:kern w:val="0"/>
          <w:sz w:val="24"/>
          <w:szCs w:val="24"/>
        </w:rPr>
      </w:pPr>
    </w:p>
    <w:p w14:paraId="4D18773F">
      <w:pPr>
        <w:pStyle w:val="16"/>
        <w:rPr>
          <w:rFonts w:hint="eastAsia" w:ascii="宋体" w:hAnsi="宋体" w:eastAsia="宋体" w:cs="宋体"/>
          <w:color w:val="auto"/>
          <w:kern w:val="0"/>
          <w:sz w:val="24"/>
          <w:szCs w:val="24"/>
        </w:rPr>
      </w:pPr>
    </w:p>
    <w:p w14:paraId="2FB4AD42">
      <w:pPr>
        <w:widowControl/>
        <w:jc w:val="center"/>
        <w:rPr>
          <w:sz w:val="28"/>
          <w:szCs w:val="28"/>
        </w:rPr>
      </w:pPr>
      <w:r>
        <w:rPr>
          <w:rFonts w:hint="eastAsia" w:ascii="宋体" w:hAnsi="宋体" w:eastAsia="宋体" w:cs="宋体"/>
          <w:b/>
          <w:bCs/>
          <w:sz w:val="28"/>
          <w:szCs w:val="32"/>
        </w:rPr>
        <w:t>（</w:t>
      </w:r>
      <w:r>
        <w:rPr>
          <w:rFonts w:hint="eastAsia" w:ascii="宋体" w:hAnsi="宋体" w:eastAsia="宋体" w:cs="宋体"/>
          <w:b/>
          <w:bCs/>
          <w:sz w:val="28"/>
          <w:szCs w:val="32"/>
          <w:lang w:val="en-US" w:eastAsia="zh-CN"/>
        </w:rPr>
        <w:t>四</w:t>
      </w:r>
      <w:r>
        <w:rPr>
          <w:rFonts w:hint="eastAsia" w:ascii="宋体" w:hAnsi="宋体" w:eastAsia="宋体" w:cs="宋体"/>
          <w:b/>
          <w:bCs/>
          <w:sz w:val="28"/>
          <w:szCs w:val="32"/>
        </w:rPr>
        <w:t>）</w:t>
      </w:r>
      <w:r>
        <w:rPr>
          <w:rFonts w:hint="eastAsia" w:ascii="宋体" w:hAnsi="宋体" w:eastAsia="宋体" w:cs="宋体"/>
          <w:b/>
          <w:bCs/>
          <w:sz w:val="28"/>
          <w:szCs w:val="28"/>
        </w:rPr>
        <w:t>无商业贿赂和不正当竞争行为承诺书</w:t>
      </w:r>
    </w:p>
    <w:p w14:paraId="3C77F337">
      <w:pPr>
        <w:widowControl/>
        <w:spacing w:line="480" w:lineRule="auto"/>
        <w:jc w:val="left"/>
        <w:rPr>
          <w:rFonts w:ascii="宋体" w:hAnsi="宋体" w:eastAsia="宋体" w:cs="宋体"/>
          <w:sz w:val="24"/>
          <w:szCs w:val="28"/>
        </w:rPr>
      </w:pPr>
      <w:r>
        <w:rPr>
          <w:rFonts w:hint="eastAsia" w:ascii="宋体" w:hAnsi="宋体" w:eastAsia="宋体" w:cs="宋体"/>
          <w:sz w:val="24"/>
          <w:szCs w:val="28"/>
        </w:rPr>
        <w:t>致：</w:t>
      </w:r>
      <w:r>
        <w:rPr>
          <w:rFonts w:hint="eastAsia" w:ascii="宋体" w:hAnsi="宋体" w:eastAsia="宋体" w:cs="宋体"/>
          <w:sz w:val="24"/>
          <w:szCs w:val="28"/>
          <w:u w:val="single"/>
        </w:rPr>
        <w:t>（采购人名称）</w:t>
      </w:r>
    </w:p>
    <w:p w14:paraId="6F13B737">
      <w:pPr>
        <w:widowControl/>
        <w:spacing w:line="360" w:lineRule="auto"/>
        <w:ind w:firstLine="480" w:firstLineChars="200"/>
        <w:jc w:val="left"/>
        <w:rPr>
          <w:rFonts w:ascii="宋体" w:hAnsi="宋体" w:eastAsia="宋体" w:cs="宋体"/>
          <w:sz w:val="24"/>
          <w:szCs w:val="28"/>
        </w:rPr>
      </w:pPr>
      <w:r>
        <w:rPr>
          <w:rFonts w:hint="eastAsia" w:ascii="宋体" w:hAnsi="宋体" w:eastAsia="宋体" w:cs="宋体"/>
          <w:sz w:val="24"/>
          <w:szCs w:val="28"/>
        </w:rPr>
        <w:t>为进一步规范政府采购行为，营造公平竞争的政府采购市场环境，维护政府采购制度良好声誉，在参与贵单位组织的</w:t>
      </w:r>
      <w:r>
        <w:rPr>
          <w:rFonts w:hint="eastAsia" w:ascii="宋体" w:hAnsi="宋体" w:eastAsia="宋体" w:cs="宋体"/>
          <w:sz w:val="24"/>
          <w:szCs w:val="28"/>
          <w:lang w:eastAsia="zh-CN"/>
        </w:rPr>
        <w:t>磋商</w:t>
      </w:r>
      <w:r>
        <w:rPr>
          <w:rFonts w:hint="eastAsia" w:ascii="宋体" w:hAnsi="宋体" w:eastAsia="宋体" w:cs="宋体"/>
          <w:sz w:val="24"/>
          <w:szCs w:val="28"/>
        </w:rPr>
        <w:t>活动中，我方</w:t>
      </w:r>
      <w:r>
        <w:rPr>
          <w:rFonts w:hint="eastAsia" w:ascii="宋体" w:hAnsi="宋体" w:eastAsia="宋体" w:cs="宋体"/>
          <w:sz w:val="24"/>
          <w:szCs w:val="28"/>
          <w:lang w:val="en-US" w:eastAsia="zh-CN"/>
        </w:rPr>
        <w:t>郑重</w:t>
      </w:r>
      <w:r>
        <w:rPr>
          <w:rFonts w:hint="eastAsia" w:ascii="宋体" w:hAnsi="宋体" w:eastAsia="宋体" w:cs="宋体"/>
          <w:sz w:val="24"/>
          <w:szCs w:val="28"/>
        </w:rPr>
        <w:t>承诺：</w:t>
      </w:r>
    </w:p>
    <w:p w14:paraId="4971F68C">
      <w:pPr>
        <w:widowControl/>
        <w:numPr>
          <w:ilvl w:val="0"/>
          <w:numId w:val="13"/>
        </w:numPr>
        <w:spacing w:line="360" w:lineRule="auto"/>
        <w:ind w:firstLine="480" w:firstLineChars="200"/>
        <w:jc w:val="left"/>
        <w:rPr>
          <w:rFonts w:ascii="宋体" w:hAnsi="宋体" w:eastAsia="宋体" w:cs="宋体"/>
          <w:sz w:val="24"/>
          <w:szCs w:val="28"/>
        </w:rPr>
      </w:pPr>
      <w:r>
        <w:rPr>
          <w:rFonts w:hint="eastAsia" w:ascii="宋体" w:hAnsi="宋体" w:eastAsia="宋体" w:cs="宋体"/>
          <w:sz w:val="24"/>
          <w:szCs w:val="28"/>
        </w:rPr>
        <w:t>自公司成立以来无商业贿赂和不正当竞争行为。</w:t>
      </w:r>
    </w:p>
    <w:p w14:paraId="6FA709F1">
      <w:pPr>
        <w:widowControl/>
        <w:numPr>
          <w:ilvl w:val="0"/>
          <w:numId w:val="13"/>
        </w:numPr>
        <w:spacing w:line="360" w:lineRule="auto"/>
        <w:ind w:firstLine="480" w:firstLineChars="200"/>
        <w:jc w:val="left"/>
        <w:rPr>
          <w:rFonts w:ascii="宋体" w:hAnsi="宋体" w:eastAsia="宋体" w:cs="宋体"/>
          <w:sz w:val="24"/>
          <w:szCs w:val="28"/>
        </w:rPr>
      </w:pPr>
      <w:r>
        <w:rPr>
          <w:rFonts w:hint="eastAsia" w:ascii="宋体" w:hAnsi="宋体" w:eastAsia="宋体" w:cs="宋体"/>
          <w:sz w:val="24"/>
          <w:szCs w:val="28"/>
        </w:rPr>
        <w:t>依法参与</w:t>
      </w:r>
      <w:r>
        <w:rPr>
          <w:rFonts w:hint="eastAsia" w:ascii="宋体" w:hAnsi="宋体" w:eastAsia="宋体" w:cs="宋体"/>
          <w:sz w:val="24"/>
          <w:szCs w:val="28"/>
          <w:lang w:val="en-US" w:eastAsia="zh-CN"/>
        </w:rPr>
        <w:t>磋商</w:t>
      </w:r>
      <w:r>
        <w:rPr>
          <w:rFonts w:hint="eastAsia" w:ascii="宋体" w:hAnsi="宋体" w:eastAsia="宋体" w:cs="宋体"/>
          <w:sz w:val="24"/>
          <w:szCs w:val="28"/>
        </w:rPr>
        <w:t>活动，遵纪守法，诚信经营，公平竞争。</w:t>
      </w:r>
    </w:p>
    <w:p w14:paraId="6B3CB6A7">
      <w:pPr>
        <w:widowControl/>
        <w:numPr>
          <w:ilvl w:val="0"/>
          <w:numId w:val="13"/>
        </w:numPr>
        <w:spacing w:line="360" w:lineRule="auto"/>
        <w:ind w:firstLine="480" w:firstLineChars="200"/>
        <w:jc w:val="left"/>
        <w:rPr>
          <w:rFonts w:ascii="宋体" w:hAnsi="宋体" w:eastAsia="宋体" w:cs="宋体"/>
          <w:sz w:val="24"/>
          <w:szCs w:val="28"/>
        </w:rPr>
      </w:pPr>
      <w:r>
        <w:rPr>
          <w:rFonts w:hint="eastAsia" w:ascii="宋体" w:hAnsi="宋体" w:eastAsia="宋体" w:cs="宋体"/>
          <w:sz w:val="24"/>
          <w:szCs w:val="28"/>
        </w:rPr>
        <w:t>不向采购人、采购代理机构和评审专家提供任何形式的商业贿赂，对索取或接受商业贿赂的单位和个人，及时向财政部门和纪检监察机关举报。</w:t>
      </w:r>
    </w:p>
    <w:p w14:paraId="79BCB26E">
      <w:pPr>
        <w:widowControl/>
        <w:numPr>
          <w:ilvl w:val="0"/>
          <w:numId w:val="13"/>
        </w:numPr>
        <w:spacing w:line="360" w:lineRule="auto"/>
        <w:ind w:firstLine="480" w:firstLineChars="200"/>
        <w:jc w:val="left"/>
        <w:rPr>
          <w:rFonts w:ascii="宋体" w:hAnsi="宋体" w:eastAsia="宋体" w:cs="宋体"/>
          <w:sz w:val="24"/>
          <w:szCs w:val="28"/>
        </w:rPr>
      </w:pPr>
      <w:r>
        <w:rPr>
          <w:rFonts w:hint="eastAsia" w:ascii="宋体" w:hAnsi="宋体" w:eastAsia="宋体" w:cs="宋体"/>
          <w:sz w:val="24"/>
          <w:szCs w:val="28"/>
        </w:rPr>
        <w:t>不以提供虚假资质文件等形式参与</w:t>
      </w:r>
      <w:r>
        <w:rPr>
          <w:rFonts w:hint="eastAsia" w:ascii="宋体" w:hAnsi="宋体" w:eastAsia="宋体" w:cs="宋体"/>
          <w:sz w:val="24"/>
          <w:szCs w:val="28"/>
          <w:lang w:eastAsia="zh-CN"/>
        </w:rPr>
        <w:t>磋商</w:t>
      </w:r>
      <w:r>
        <w:rPr>
          <w:rFonts w:hint="eastAsia" w:ascii="宋体" w:hAnsi="宋体" w:eastAsia="宋体" w:cs="宋体"/>
          <w:sz w:val="24"/>
          <w:szCs w:val="28"/>
        </w:rPr>
        <w:t>活动，不以虚假材料谋取</w:t>
      </w:r>
      <w:r>
        <w:rPr>
          <w:rFonts w:hint="eastAsia" w:ascii="宋体" w:hAnsi="宋体" w:eastAsia="宋体" w:cs="宋体"/>
          <w:sz w:val="24"/>
          <w:szCs w:val="28"/>
          <w:lang w:val="en-US" w:eastAsia="zh-CN"/>
        </w:rPr>
        <w:t>成交</w:t>
      </w:r>
      <w:r>
        <w:rPr>
          <w:rFonts w:hint="eastAsia" w:ascii="宋体" w:hAnsi="宋体" w:eastAsia="宋体" w:cs="宋体"/>
          <w:sz w:val="24"/>
          <w:szCs w:val="28"/>
        </w:rPr>
        <w:t>。</w:t>
      </w:r>
    </w:p>
    <w:p w14:paraId="24570F1F">
      <w:pPr>
        <w:widowControl/>
        <w:numPr>
          <w:ilvl w:val="0"/>
          <w:numId w:val="13"/>
        </w:numPr>
        <w:spacing w:line="360" w:lineRule="auto"/>
        <w:ind w:firstLine="480" w:firstLineChars="200"/>
        <w:jc w:val="left"/>
        <w:rPr>
          <w:rFonts w:ascii="宋体" w:hAnsi="宋体" w:eastAsia="宋体" w:cs="宋体"/>
          <w:sz w:val="24"/>
          <w:szCs w:val="28"/>
        </w:rPr>
      </w:pPr>
      <w:r>
        <w:rPr>
          <w:rFonts w:hint="eastAsia" w:ascii="宋体" w:hAnsi="宋体" w:eastAsia="宋体" w:cs="宋体"/>
          <w:sz w:val="24"/>
          <w:szCs w:val="28"/>
        </w:rPr>
        <w:t>不采取不正当手段诋毁、排挤其它</w:t>
      </w:r>
      <w:r>
        <w:rPr>
          <w:rFonts w:hint="eastAsia" w:ascii="宋体" w:hAnsi="宋体" w:eastAsia="宋体" w:cs="宋体"/>
          <w:sz w:val="24"/>
          <w:szCs w:val="28"/>
          <w:lang w:eastAsia="zh-CN"/>
        </w:rPr>
        <w:t>供应商</w:t>
      </w:r>
      <w:r>
        <w:rPr>
          <w:rFonts w:hint="eastAsia" w:ascii="宋体" w:hAnsi="宋体" w:eastAsia="宋体" w:cs="宋体"/>
          <w:sz w:val="24"/>
          <w:szCs w:val="28"/>
        </w:rPr>
        <w:t>，与</w:t>
      </w:r>
      <w:r>
        <w:rPr>
          <w:rFonts w:hint="eastAsia" w:ascii="宋体" w:hAnsi="宋体" w:eastAsia="宋体" w:cs="宋体"/>
          <w:sz w:val="24"/>
          <w:szCs w:val="28"/>
          <w:lang w:val="en-US" w:eastAsia="zh-CN"/>
        </w:rPr>
        <w:t>其他</w:t>
      </w:r>
      <w:r>
        <w:rPr>
          <w:rFonts w:hint="eastAsia" w:ascii="宋体" w:hAnsi="宋体" w:eastAsia="宋体" w:cs="宋体"/>
          <w:sz w:val="24"/>
          <w:szCs w:val="28"/>
        </w:rPr>
        <w:t>参与</w:t>
      </w:r>
      <w:r>
        <w:rPr>
          <w:rFonts w:hint="eastAsia" w:ascii="宋体" w:hAnsi="宋体" w:eastAsia="宋体" w:cs="宋体"/>
          <w:sz w:val="24"/>
          <w:szCs w:val="28"/>
          <w:lang w:val="en-US" w:eastAsia="zh-CN"/>
        </w:rPr>
        <w:t>磋商</w:t>
      </w:r>
      <w:r>
        <w:rPr>
          <w:rFonts w:hint="eastAsia" w:ascii="宋体" w:hAnsi="宋体" w:eastAsia="宋体" w:cs="宋体"/>
          <w:sz w:val="24"/>
          <w:szCs w:val="28"/>
        </w:rPr>
        <w:t>活动的</w:t>
      </w:r>
      <w:r>
        <w:rPr>
          <w:rFonts w:hint="eastAsia" w:ascii="宋体" w:hAnsi="宋体" w:eastAsia="宋体" w:cs="宋体"/>
          <w:sz w:val="24"/>
          <w:szCs w:val="28"/>
          <w:lang w:eastAsia="zh-CN"/>
        </w:rPr>
        <w:t>供应商</w:t>
      </w:r>
      <w:r>
        <w:rPr>
          <w:rFonts w:hint="eastAsia" w:ascii="宋体" w:hAnsi="宋体" w:eastAsia="宋体" w:cs="宋体"/>
          <w:sz w:val="24"/>
          <w:szCs w:val="28"/>
        </w:rPr>
        <w:t>保持良性的竞争关系。</w:t>
      </w:r>
    </w:p>
    <w:p w14:paraId="1B833725">
      <w:pPr>
        <w:widowControl/>
        <w:numPr>
          <w:ilvl w:val="0"/>
          <w:numId w:val="13"/>
        </w:numPr>
        <w:spacing w:line="360" w:lineRule="auto"/>
        <w:ind w:firstLine="480" w:firstLineChars="200"/>
        <w:jc w:val="left"/>
        <w:rPr>
          <w:rFonts w:ascii="宋体" w:hAnsi="宋体" w:eastAsia="宋体" w:cs="宋体"/>
          <w:sz w:val="24"/>
          <w:szCs w:val="28"/>
        </w:rPr>
      </w:pPr>
      <w:r>
        <w:rPr>
          <w:rFonts w:hint="eastAsia" w:ascii="宋体" w:hAnsi="宋体" w:eastAsia="宋体" w:cs="宋体"/>
          <w:sz w:val="24"/>
          <w:szCs w:val="28"/>
        </w:rPr>
        <w:t>不与采购人、采购代理机构和评审专家恶意串通，自觉维护政府采购公平竞争的市场秩序。</w:t>
      </w:r>
    </w:p>
    <w:p w14:paraId="79AD4715">
      <w:pPr>
        <w:widowControl/>
        <w:numPr>
          <w:ilvl w:val="0"/>
          <w:numId w:val="13"/>
        </w:numPr>
        <w:spacing w:line="360" w:lineRule="auto"/>
        <w:ind w:firstLine="480" w:firstLineChars="200"/>
        <w:jc w:val="left"/>
        <w:rPr>
          <w:rFonts w:ascii="宋体" w:hAnsi="宋体" w:eastAsia="宋体" w:cs="宋体"/>
          <w:sz w:val="24"/>
          <w:szCs w:val="28"/>
        </w:rPr>
      </w:pPr>
      <w:r>
        <w:rPr>
          <w:rFonts w:hint="eastAsia" w:ascii="宋体" w:hAnsi="宋体" w:eastAsia="宋体" w:cs="宋体"/>
          <w:sz w:val="24"/>
          <w:szCs w:val="28"/>
        </w:rPr>
        <w:t>不与</w:t>
      </w:r>
      <w:r>
        <w:rPr>
          <w:rFonts w:hint="eastAsia" w:ascii="宋体" w:hAnsi="宋体" w:eastAsia="宋体" w:cs="宋体"/>
          <w:sz w:val="24"/>
          <w:szCs w:val="28"/>
          <w:lang w:val="en-US" w:eastAsia="zh-CN"/>
        </w:rPr>
        <w:t>其他</w:t>
      </w:r>
      <w:r>
        <w:rPr>
          <w:rFonts w:hint="eastAsia" w:ascii="宋体" w:hAnsi="宋体" w:eastAsia="宋体" w:cs="宋体"/>
          <w:sz w:val="24"/>
          <w:szCs w:val="28"/>
          <w:lang w:eastAsia="zh-CN"/>
        </w:rPr>
        <w:t>供应商</w:t>
      </w:r>
      <w:r>
        <w:rPr>
          <w:rFonts w:hint="eastAsia" w:ascii="宋体" w:hAnsi="宋体" w:eastAsia="宋体" w:cs="宋体"/>
          <w:sz w:val="24"/>
          <w:szCs w:val="28"/>
        </w:rPr>
        <w:t>串通采取围标、陪标等商业欺诈手段谋取</w:t>
      </w:r>
      <w:r>
        <w:rPr>
          <w:rFonts w:hint="eastAsia" w:ascii="宋体" w:hAnsi="宋体" w:eastAsia="宋体" w:cs="宋体"/>
          <w:sz w:val="24"/>
          <w:szCs w:val="28"/>
          <w:lang w:val="en-US" w:eastAsia="zh-CN"/>
        </w:rPr>
        <w:t>成交</w:t>
      </w:r>
      <w:r>
        <w:rPr>
          <w:rFonts w:hint="eastAsia" w:ascii="宋体" w:hAnsi="宋体" w:eastAsia="宋体" w:cs="宋体"/>
          <w:sz w:val="24"/>
          <w:szCs w:val="28"/>
        </w:rPr>
        <w:t>，积极维护国家利益、社会公共利益和采购人的合法权益。</w:t>
      </w:r>
    </w:p>
    <w:p w14:paraId="5B9B1A9F">
      <w:pPr>
        <w:widowControl/>
        <w:numPr>
          <w:ilvl w:val="0"/>
          <w:numId w:val="13"/>
        </w:numPr>
        <w:spacing w:line="360" w:lineRule="auto"/>
        <w:ind w:firstLine="480" w:firstLineChars="200"/>
        <w:jc w:val="left"/>
        <w:rPr>
          <w:rFonts w:ascii="宋体" w:hAnsi="宋体" w:eastAsia="宋体" w:cs="宋体"/>
          <w:sz w:val="24"/>
          <w:szCs w:val="28"/>
        </w:rPr>
      </w:pPr>
      <w:r>
        <w:rPr>
          <w:rFonts w:hint="eastAsia" w:ascii="宋体" w:hAnsi="宋体" w:eastAsia="宋体" w:cs="宋体"/>
          <w:sz w:val="24"/>
          <w:szCs w:val="28"/>
        </w:rPr>
        <w:t>严格履行合同约定义务，不在合同执行过程中采取降低质量或标准、减少数量、拖延交付时间等方式损害采购人的利益，并自觉承担违约责任。</w:t>
      </w:r>
    </w:p>
    <w:p w14:paraId="5A081B37">
      <w:pPr>
        <w:widowControl/>
        <w:numPr>
          <w:ilvl w:val="0"/>
          <w:numId w:val="13"/>
        </w:numPr>
        <w:spacing w:line="360" w:lineRule="auto"/>
        <w:ind w:firstLine="480" w:firstLineChars="200"/>
        <w:jc w:val="left"/>
        <w:rPr>
          <w:rFonts w:ascii="宋体" w:hAnsi="宋体" w:eastAsia="宋体" w:cs="宋体"/>
          <w:sz w:val="24"/>
          <w:szCs w:val="28"/>
        </w:rPr>
      </w:pPr>
      <w:r>
        <w:rPr>
          <w:rFonts w:hint="eastAsia" w:ascii="宋体" w:hAnsi="宋体" w:eastAsia="宋体" w:cs="宋体"/>
          <w:sz w:val="24"/>
          <w:szCs w:val="28"/>
        </w:rPr>
        <w:t>自觉接受并积极配合相关监督部门实施的监督检查，如实反映情况，及时提供有关证明材料。</w:t>
      </w:r>
    </w:p>
    <w:p w14:paraId="1DFAD42D">
      <w:pPr>
        <w:keepNext w:val="0"/>
        <w:keepLines w:val="0"/>
        <w:pageBreakBefore w:val="0"/>
        <w:kinsoku/>
        <w:wordWrap/>
        <w:overflowPunct/>
        <w:topLinePunct w:val="0"/>
        <w:autoSpaceDE/>
        <w:autoSpaceDN/>
        <w:bidi w:val="0"/>
        <w:adjustRightInd/>
        <w:snapToGrid w:val="0"/>
        <w:spacing w:line="360" w:lineRule="auto"/>
        <w:ind w:firstLine="480" w:firstLineChars="200"/>
        <w:jc w:val="center"/>
        <w:textAlignment w:val="auto"/>
        <w:outlineLvl w:val="9"/>
        <w:rPr>
          <w:rFonts w:hint="eastAsia" w:cs="宋体" w:asciiTheme="minorEastAsia" w:hAnsiTheme="minorEastAsia"/>
          <w:color w:val="auto"/>
          <w:sz w:val="24"/>
          <w:szCs w:val="24"/>
          <w:lang w:val="en-US" w:eastAsia="zh-CN"/>
        </w:rPr>
      </w:pPr>
      <w:r>
        <w:rPr>
          <w:rFonts w:hint="eastAsia" w:cs="宋体" w:asciiTheme="minorEastAsia" w:hAnsiTheme="minorEastAsia"/>
          <w:color w:val="auto"/>
          <w:sz w:val="24"/>
          <w:szCs w:val="24"/>
          <w:lang w:val="en-US" w:eastAsia="zh-CN"/>
        </w:rPr>
        <w:t xml:space="preserve">            </w:t>
      </w:r>
    </w:p>
    <w:p w14:paraId="131A9F47">
      <w:pPr>
        <w:keepNext w:val="0"/>
        <w:keepLines w:val="0"/>
        <w:pageBreakBefore w:val="0"/>
        <w:kinsoku/>
        <w:wordWrap/>
        <w:overflowPunct/>
        <w:topLinePunct w:val="0"/>
        <w:autoSpaceDE/>
        <w:autoSpaceDN/>
        <w:bidi w:val="0"/>
        <w:adjustRightInd/>
        <w:snapToGrid w:val="0"/>
        <w:spacing w:line="360" w:lineRule="auto"/>
        <w:ind w:firstLine="480" w:firstLineChars="200"/>
        <w:jc w:val="center"/>
        <w:textAlignment w:val="auto"/>
        <w:outlineLvl w:val="9"/>
        <w:rPr>
          <w:rFonts w:hint="eastAsia" w:cs="宋体" w:asciiTheme="minorEastAsia" w:hAnsiTheme="minorEastAsia"/>
          <w:color w:val="auto"/>
          <w:sz w:val="24"/>
          <w:szCs w:val="24"/>
          <w:lang w:val="en-US" w:eastAsia="zh-CN"/>
        </w:rPr>
      </w:pPr>
    </w:p>
    <w:p w14:paraId="17099D6A">
      <w:pPr>
        <w:keepNext w:val="0"/>
        <w:keepLines w:val="0"/>
        <w:pageBreakBefore w:val="0"/>
        <w:kinsoku/>
        <w:wordWrap/>
        <w:overflowPunct/>
        <w:topLinePunct w:val="0"/>
        <w:autoSpaceDE/>
        <w:autoSpaceDN/>
        <w:bidi w:val="0"/>
        <w:adjustRightInd/>
        <w:snapToGrid w:val="0"/>
        <w:spacing w:line="360" w:lineRule="auto"/>
        <w:ind w:firstLine="480" w:firstLineChars="200"/>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lang w:val="en-US" w:eastAsia="zh-CN"/>
        </w:rPr>
        <w:t xml:space="preserve">                </w:t>
      </w:r>
      <w:r>
        <w:rPr>
          <w:rFonts w:cs="宋体" w:asciiTheme="minorEastAsia" w:hAnsiTheme="minorEastAsia"/>
          <w:color w:val="auto"/>
          <w:sz w:val="24"/>
          <w:szCs w:val="24"/>
        </w:rPr>
        <w:t>供应商：</w:t>
      </w:r>
      <w:r>
        <w:rPr>
          <w:rFonts w:hint="eastAsia" w:cs="宋体" w:asciiTheme="minorEastAsia" w:hAnsiTheme="minorEastAsia"/>
          <w:color w:val="auto"/>
          <w:sz w:val="24"/>
          <w:szCs w:val="24"/>
          <w:u w:val="single"/>
          <w:lang w:val="en-US" w:eastAsia="zh-CN"/>
        </w:rPr>
        <w:t xml:space="preserve">                       </w:t>
      </w:r>
      <w:r>
        <w:rPr>
          <w:rFonts w:hint="eastAsia" w:ascii="宋体" w:hAnsi="宋体" w:cs="宋体"/>
          <w:kern w:val="0"/>
          <w:sz w:val="24"/>
        </w:rPr>
        <w:t>（电子签章）</w:t>
      </w:r>
    </w:p>
    <w:p w14:paraId="4B7FC171">
      <w:pPr>
        <w:pStyle w:val="16"/>
        <w:spacing w:line="360" w:lineRule="auto"/>
        <w:ind w:firstLine="2400" w:firstLineChars="1000"/>
        <w:rPr>
          <w:sz w:val="24"/>
          <w:szCs w:val="24"/>
        </w:rPr>
      </w:pPr>
      <w:r>
        <w:rPr>
          <w:rFonts w:cs="宋体" w:asciiTheme="minorEastAsia" w:hAnsiTheme="minorEastAsia"/>
          <w:color w:val="auto"/>
          <w:sz w:val="24"/>
          <w:szCs w:val="24"/>
        </w:rPr>
        <w:t>法定代表人：</w:t>
      </w:r>
      <w:r>
        <w:rPr>
          <w:rFonts w:hint="eastAsia" w:cs="宋体" w:asciiTheme="minorEastAsia" w:hAnsiTheme="minorEastAsia"/>
          <w:color w:val="auto"/>
          <w:sz w:val="24"/>
          <w:szCs w:val="24"/>
          <w:u w:val="single"/>
          <w:lang w:val="en-US" w:eastAsia="zh-CN"/>
        </w:rPr>
        <w:t xml:space="preserve">              </w:t>
      </w:r>
      <w:r>
        <w:rPr>
          <w:rFonts w:hint="eastAsia" w:cs="宋体" w:asciiTheme="minorEastAsia" w:hAnsiTheme="minorEastAsia"/>
          <w:color w:val="auto"/>
          <w:sz w:val="24"/>
          <w:szCs w:val="24"/>
        </w:rPr>
        <w:t>（</w:t>
      </w:r>
      <w:r>
        <w:rPr>
          <w:rFonts w:hint="eastAsia" w:cs="宋体" w:asciiTheme="minorEastAsia" w:hAnsiTheme="minorEastAsia"/>
          <w:color w:val="auto"/>
          <w:sz w:val="24"/>
          <w:szCs w:val="24"/>
          <w:lang w:val="en-US" w:eastAsia="zh-CN"/>
        </w:rPr>
        <w:t>签</w:t>
      </w:r>
      <w:r>
        <w:rPr>
          <w:rFonts w:hint="eastAsia" w:cs="宋体" w:asciiTheme="minorEastAsia" w:hAnsiTheme="minorEastAsia"/>
          <w:color w:val="auto"/>
          <w:sz w:val="24"/>
          <w:szCs w:val="24"/>
        </w:rPr>
        <w:t>章）</w:t>
      </w:r>
    </w:p>
    <w:p w14:paraId="61D6933B">
      <w:pPr>
        <w:pStyle w:val="16"/>
        <w:spacing w:line="360" w:lineRule="auto"/>
        <w:ind w:firstLine="2400" w:firstLineChars="1000"/>
        <w:rPr>
          <w:rFonts w:hint="eastAsia"/>
          <w:sz w:val="24"/>
          <w:szCs w:val="24"/>
        </w:rPr>
      </w:pPr>
      <w:r>
        <w:rPr>
          <w:rFonts w:hint="eastAsia" w:ascii="宋体" w:hAnsi="宋体" w:eastAsia="宋体" w:cs="宋体"/>
          <w:color w:val="auto"/>
          <w:kern w:val="0"/>
          <w:sz w:val="24"/>
          <w:szCs w:val="24"/>
        </w:rPr>
        <w:t xml:space="preserve">日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期：</w:t>
      </w:r>
      <w:r>
        <w:rPr>
          <w:rFonts w:hint="eastAsia" w:cs="宋体" w:asciiTheme="minorEastAsia" w:hAnsiTheme="minorEastAsia"/>
          <w:color w:val="auto"/>
          <w:sz w:val="24"/>
          <w:szCs w:val="24"/>
          <w:u w:val="single"/>
          <w:lang w:val="en-US" w:eastAsia="zh-CN"/>
        </w:rPr>
        <w:t xml:space="preserve">      </w:t>
      </w:r>
      <w:r>
        <w:rPr>
          <w:rFonts w:hint="eastAsia" w:ascii="宋体" w:hAnsi="宋体" w:eastAsia="宋体" w:cs="宋体"/>
          <w:color w:val="auto"/>
          <w:kern w:val="0"/>
          <w:sz w:val="24"/>
          <w:szCs w:val="24"/>
        </w:rPr>
        <w:t>年</w:t>
      </w:r>
      <w:r>
        <w:rPr>
          <w:rFonts w:hint="eastAsia" w:cs="宋体" w:asciiTheme="minorEastAsia" w:hAnsiTheme="minorEastAsia"/>
          <w:color w:val="auto"/>
          <w:sz w:val="24"/>
          <w:szCs w:val="24"/>
          <w:u w:val="single"/>
          <w:lang w:val="en-US" w:eastAsia="zh-CN"/>
        </w:rPr>
        <w:t xml:space="preserve">      </w:t>
      </w:r>
      <w:r>
        <w:rPr>
          <w:rFonts w:hint="eastAsia" w:ascii="宋体" w:hAnsi="宋体" w:eastAsia="宋体" w:cs="宋体"/>
          <w:color w:val="auto"/>
          <w:kern w:val="0"/>
          <w:sz w:val="24"/>
          <w:szCs w:val="24"/>
        </w:rPr>
        <w:t>月</w:t>
      </w:r>
      <w:r>
        <w:rPr>
          <w:rFonts w:hint="eastAsia" w:cs="宋体" w:asciiTheme="minorEastAsia" w:hAnsiTheme="minorEastAsia"/>
          <w:color w:val="auto"/>
          <w:sz w:val="24"/>
          <w:szCs w:val="24"/>
          <w:u w:val="single"/>
          <w:lang w:val="en-US" w:eastAsia="zh-CN"/>
        </w:rPr>
        <w:t xml:space="preserve">      </w:t>
      </w:r>
      <w:r>
        <w:rPr>
          <w:rFonts w:hint="eastAsia" w:ascii="宋体" w:hAnsi="宋体" w:eastAsia="宋体" w:cs="宋体"/>
          <w:color w:val="auto"/>
          <w:kern w:val="0"/>
          <w:sz w:val="24"/>
          <w:szCs w:val="24"/>
        </w:rPr>
        <w:t>日</w:t>
      </w:r>
    </w:p>
    <w:p w14:paraId="77602574">
      <w:pPr>
        <w:pStyle w:val="16"/>
        <w:spacing w:line="360" w:lineRule="auto"/>
        <w:ind w:firstLine="2400" w:firstLineChars="1000"/>
        <w:rPr>
          <w:rFonts w:hint="eastAsia" w:ascii="宋体" w:hAnsi="宋体" w:eastAsia="宋体" w:cs="宋体"/>
          <w:color w:val="auto"/>
          <w:kern w:val="0"/>
          <w:sz w:val="24"/>
          <w:szCs w:val="24"/>
        </w:rPr>
      </w:pPr>
    </w:p>
    <w:p w14:paraId="4CD2577E">
      <w:pPr>
        <w:pStyle w:val="16"/>
        <w:rPr>
          <w:rFonts w:hint="eastAsia"/>
        </w:rPr>
      </w:pPr>
    </w:p>
    <w:p w14:paraId="7C778EA1">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9"/>
        <w:rPr>
          <w:rFonts w:hint="default" w:cs="Times New Roman" w:asciiTheme="minorEastAsia" w:hAnsiTheme="minorEastAsia" w:eastAsiaTheme="minorEastAsia"/>
          <w:b/>
          <w:color w:val="auto"/>
          <w:sz w:val="28"/>
          <w:szCs w:val="28"/>
          <w:lang w:val="en-US" w:eastAsia="zh-CN"/>
        </w:rPr>
      </w:pPr>
      <w:r>
        <w:rPr>
          <w:rFonts w:hint="eastAsia" w:cs="宋体" w:asciiTheme="minorEastAsia" w:hAnsiTheme="minorEastAsia"/>
          <w:b/>
          <w:color w:val="auto"/>
          <w:kern w:val="0"/>
          <w:sz w:val="28"/>
          <w:szCs w:val="28"/>
          <w:lang w:val="en-US" w:eastAsia="zh-CN"/>
        </w:rPr>
        <w:t>五</w:t>
      </w:r>
      <w:r>
        <w:rPr>
          <w:rFonts w:hint="eastAsia" w:cs="宋体" w:asciiTheme="minorEastAsia" w:hAnsiTheme="minorEastAsia"/>
          <w:b/>
          <w:color w:val="auto"/>
          <w:kern w:val="0"/>
          <w:sz w:val="28"/>
          <w:szCs w:val="28"/>
        </w:rPr>
        <w:t>、</w:t>
      </w:r>
      <w:r>
        <w:rPr>
          <w:rFonts w:hint="eastAsia" w:cs="Times New Roman" w:asciiTheme="minorEastAsia" w:hAnsiTheme="minorEastAsia"/>
          <w:b/>
          <w:color w:val="auto"/>
          <w:sz w:val="28"/>
          <w:szCs w:val="28"/>
          <w:lang w:val="en-US" w:eastAsia="zh-CN"/>
        </w:rPr>
        <w:t>技术部分</w:t>
      </w:r>
    </w:p>
    <w:p w14:paraId="00B7702C">
      <w:pPr>
        <w:keepNext w:val="0"/>
        <w:keepLines w:val="0"/>
        <w:widowControl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kern w:val="0"/>
          <w:sz w:val="24"/>
          <w:szCs w:val="24"/>
        </w:rPr>
      </w:pPr>
      <w:r>
        <w:rPr>
          <w:rFonts w:cs="宋体" w:asciiTheme="minorEastAsia" w:hAnsiTheme="minorEastAsia"/>
          <w:color w:val="auto"/>
          <w:kern w:val="0"/>
          <w:sz w:val="24"/>
          <w:szCs w:val="24"/>
        </w:rPr>
        <w:t>格式自拟</w:t>
      </w:r>
    </w:p>
    <w:p w14:paraId="02333FB5">
      <w:pPr>
        <w:kinsoku/>
        <w:overflowPunct/>
        <w:topLinePunct w:val="0"/>
        <w:bidi w:val="0"/>
        <w:ind w:firstLine="3220" w:firstLineChars="1150"/>
        <w:textAlignment w:val="auto"/>
        <w:outlineLvl w:val="9"/>
        <w:rPr>
          <w:rFonts w:cs="宋体" w:asciiTheme="minorEastAsia" w:hAnsiTheme="minorEastAsia"/>
          <w:color w:val="auto"/>
          <w:kern w:val="0"/>
          <w:sz w:val="28"/>
          <w:szCs w:val="28"/>
        </w:rPr>
      </w:pPr>
    </w:p>
    <w:p w14:paraId="6210BAFF">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eastAsiaTheme="minorEastAsia"/>
          <w:b/>
          <w:color w:val="auto"/>
          <w:kern w:val="0"/>
          <w:sz w:val="28"/>
          <w:szCs w:val="28"/>
          <w:lang w:eastAsia="zh-CN"/>
        </w:rPr>
      </w:pPr>
      <w:r>
        <w:rPr>
          <w:rFonts w:cs="宋体" w:asciiTheme="minorEastAsia" w:hAnsiTheme="minorEastAsia"/>
          <w:color w:val="auto"/>
          <w:kern w:val="0"/>
          <w:sz w:val="28"/>
          <w:szCs w:val="28"/>
        </w:rPr>
        <w:br w:type="page"/>
      </w:r>
      <w:r>
        <w:rPr>
          <w:rFonts w:hint="eastAsia" w:cs="宋体" w:asciiTheme="minorEastAsia" w:hAnsiTheme="minorEastAsia"/>
          <w:b/>
          <w:color w:val="auto"/>
          <w:kern w:val="0"/>
          <w:sz w:val="28"/>
          <w:szCs w:val="28"/>
          <w:lang w:val="en-US" w:eastAsia="zh-CN"/>
        </w:rPr>
        <w:t>六</w:t>
      </w:r>
      <w:r>
        <w:rPr>
          <w:rFonts w:hint="eastAsia" w:cs="宋体" w:asciiTheme="minorEastAsia" w:hAnsiTheme="minorEastAsia"/>
          <w:b/>
          <w:color w:val="auto"/>
          <w:kern w:val="0"/>
          <w:sz w:val="28"/>
          <w:szCs w:val="28"/>
        </w:rPr>
        <w:t>、</w:t>
      </w:r>
      <w:r>
        <w:rPr>
          <w:rFonts w:hint="eastAsia" w:cs="Times New Roman" w:asciiTheme="minorEastAsia" w:hAnsiTheme="minorEastAsia"/>
          <w:b/>
          <w:color w:val="auto"/>
          <w:kern w:val="0"/>
          <w:sz w:val="28"/>
          <w:szCs w:val="28"/>
          <w:lang w:val="en-US" w:eastAsia="zh-CN"/>
        </w:rPr>
        <w:t>项目管理机构</w:t>
      </w:r>
    </w:p>
    <w:p w14:paraId="75C79C1E">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w:t>
      </w:r>
      <w:r>
        <w:rPr>
          <w:rFonts w:hint="eastAsia" w:ascii="宋体" w:hAnsi="宋体" w:eastAsia="宋体" w:cs="宋体"/>
          <w:b/>
          <w:bCs/>
          <w:color w:val="auto"/>
          <w:kern w:val="0"/>
          <w:sz w:val="24"/>
          <w:szCs w:val="24"/>
          <w:lang w:val="en-US" w:eastAsia="zh-CN"/>
        </w:rPr>
        <w:t>一</w:t>
      </w:r>
      <w:r>
        <w:rPr>
          <w:rFonts w:hint="eastAsia" w:ascii="宋体" w:hAnsi="宋体" w:eastAsia="宋体" w:cs="宋体"/>
          <w:b/>
          <w:bCs/>
          <w:color w:val="auto"/>
          <w:kern w:val="0"/>
          <w:sz w:val="24"/>
          <w:szCs w:val="24"/>
        </w:rPr>
        <w:t>）项目管理机构配备情况表</w:t>
      </w:r>
    </w:p>
    <w:tbl>
      <w:tblPr>
        <w:tblStyle w:val="17"/>
        <w:tblW w:w="89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9"/>
        <w:gridCol w:w="774"/>
        <w:gridCol w:w="774"/>
        <w:gridCol w:w="1362"/>
        <w:gridCol w:w="774"/>
        <w:gridCol w:w="970"/>
        <w:gridCol w:w="1335"/>
        <w:gridCol w:w="2186"/>
      </w:tblGrid>
      <w:tr w14:paraId="16923E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779" w:type="dxa"/>
            <w:vMerge w:val="restart"/>
            <w:tcBorders>
              <w:top w:val="single" w:color="auto" w:sz="12" w:space="0"/>
              <w:left w:val="single" w:color="auto" w:sz="12" w:space="0"/>
              <w:bottom w:val="single" w:color="auto" w:sz="6" w:space="0"/>
              <w:right w:val="single" w:color="auto" w:sz="6" w:space="0"/>
            </w:tcBorders>
            <w:vAlign w:val="center"/>
          </w:tcPr>
          <w:p w14:paraId="0B7515E0">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职务</w:t>
            </w:r>
          </w:p>
        </w:tc>
        <w:tc>
          <w:tcPr>
            <w:tcW w:w="774" w:type="dxa"/>
            <w:vMerge w:val="restart"/>
            <w:tcBorders>
              <w:top w:val="single" w:color="auto" w:sz="12" w:space="0"/>
              <w:left w:val="single" w:color="auto" w:sz="6" w:space="0"/>
              <w:bottom w:val="single" w:color="auto" w:sz="6" w:space="0"/>
              <w:right w:val="single" w:color="auto" w:sz="6" w:space="0"/>
            </w:tcBorders>
            <w:vAlign w:val="center"/>
          </w:tcPr>
          <w:p w14:paraId="1CA5FF62">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774" w:type="dxa"/>
            <w:vMerge w:val="restart"/>
            <w:tcBorders>
              <w:top w:val="single" w:color="auto" w:sz="12" w:space="0"/>
              <w:left w:val="single" w:color="auto" w:sz="6" w:space="0"/>
              <w:bottom w:val="single" w:color="auto" w:sz="6" w:space="0"/>
              <w:right w:val="single" w:color="auto" w:sz="6" w:space="0"/>
            </w:tcBorders>
            <w:vAlign w:val="center"/>
          </w:tcPr>
          <w:p w14:paraId="6FCAA72B">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职称</w:t>
            </w:r>
          </w:p>
        </w:tc>
        <w:tc>
          <w:tcPr>
            <w:tcW w:w="4441" w:type="dxa"/>
            <w:gridSpan w:val="4"/>
            <w:tcBorders>
              <w:top w:val="single" w:color="auto" w:sz="12" w:space="0"/>
              <w:left w:val="single" w:color="auto" w:sz="6" w:space="0"/>
              <w:bottom w:val="single" w:color="auto" w:sz="6" w:space="0"/>
              <w:right w:val="single" w:color="auto" w:sz="6" w:space="0"/>
            </w:tcBorders>
            <w:vAlign w:val="center"/>
          </w:tcPr>
          <w:p w14:paraId="66724E9B">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执业或职业资格证明</w:t>
            </w:r>
          </w:p>
        </w:tc>
        <w:tc>
          <w:tcPr>
            <w:tcW w:w="2186" w:type="dxa"/>
            <w:vMerge w:val="restart"/>
            <w:tcBorders>
              <w:top w:val="single" w:color="auto" w:sz="12" w:space="0"/>
              <w:left w:val="single" w:color="auto" w:sz="6" w:space="0"/>
              <w:bottom w:val="single" w:color="auto" w:sz="6" w:space="0"/>
              <w:right w:val="single" w:color="auto" w:sz="12" w:space="0"/>
            </w:tcBorders>
            <w:vAlign w:val="center"/>
          </w:tcPr>
          <w:p w14:paraId="63F835D2">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在本项目拟任职务</w:t>
            </w:r>
          </w:p>
        </w:tc>
      </w:tr>
      <w:tr w14:paraId="6AEBC1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779" w:type="dxa"/>
            <w:vMerge w:val="continue"/>
            <w:tcBorders>
              <w:top w:val="single" w:color="auto" w:sz="12" w:space="0"/>
              <w:left w:val="single" w:color="auto" w:sz="12" w:space="0"/>
              <w:bottom w:val="single" w:color="auto" w:sz="6" w:space="0"/>
              <w:right w:val="single" w:color="auto" w:sz="6" w:space="0"/>
            </w:tcBorders>
            <w:vAlign w:val="center"/>
          </w:tcPr>
          <w:p w14:paraId="090BFE8D">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rPr>
            </w:pPr>
          </w:p>
        </w:tc>
        <w:tc>
          <w:tcPr>
            <w:tcW w:w="774" w:type="dxa"/>
            <w:vMerge w:val="continue"/>
            <w:tcBorders>
              <w:top w:val="single" w:color="auto" w:sz="12" w:space="0"/>
              <w:left w:val="single" w:color="auto" w:sz="6" w:space="0"/>
              <w:bottom w:val="single" w:color="auto" w:sz="6" w:space="0"/>
              <w:right w:val="single" w:color="auto" w:sz="6" w:space="0"/>
            </w:tcBorders>
            <w:vAlign w:val="center"/>
          </w:tcPr>
          <w:p w14:paraId="709737EF">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rPr>
            </w:pPr>
          </w:p>
        </w:tc>
        <w:tc>
          <w:tcPr>
            <w:tcW w:w="774" w:type="dxa"/>
            <w:vMerge w:val="continue"/>
            <w:tcBorders>
              <w:top w:val="single" w:color="auto" w:sz="12" w:space="0"/>
              <w:left w:val="single" w:color="auto" w:sz="6" w:space="0"/>
              <w:bottom w:val="single" w:color="auto" w:sz="6" w:space="0"/>
              <w:right w:val="single" w:color="auto" w:sz="6" w:space="0"/>
            </w:tcBorders>
            <w:vAlign w:val="center"/>
          </w:tcPr>
          <w:p w14:paraId="0CF9A32E">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vAlign w:val="center"/>
          </w:tcPr>
          <w:p w14:paraId="7FD7D776">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证书名称</w:t>
            </w:r>
          </w:p>
        </w:tc>
        <w:tc>
          <w:tcPr>
            <w:tcW w:w="774" w:type="dxa"/>
            <w:tcBorders>
              <w:top w:val="single" w:color="auto" w:sz="6" w:space="0"/>
              <w:left w:val="single" w:color="auto" w:sz="6" w:space="0"/>
              <w:bottom w:val="single" w:color="auto" w:sz="6" w:space="0"/>
              <w:right w:val="single" w:color="auto" w:sz="6" w:space="0"/>
            </w:tcBorders>
            <w:vAlign w:val="center"/>
          </w:tcPr>
          <w:p w14:paraId="4E939744">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级别</w:t>
            </w:r>
          </w:p>
        </w:tc>
        <w:tc>
          <w:tcPr>
            <w:tcW w:w="970" w:type="dxa"/>
            <w:tcBorders>
              <w:top w:val="single" w:color="auto" w:sz="6" w:space="0"/>
              <w:left w:val="single" w:color="auto" w:sz="6" w:space="0"/>
              <w:bottom w:val="single" w:color="auto" w:sz="6" w:space="0"/>
              <w:right w:val="single" w:color="auto" w:sz="6" w:space="0"/>
            </w:tcBorders>
            <w:vAlign w:val="center"/>
          </w:tcPr>
          <w:p w14:paraId="4E6C811B">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证号</w:t>
            </w:r>
          </w:p>
        </w:tc>
        <w:tc>
          <w:tcPr>
            <w:tcW w:w="1335" w:type="dxa"/>
            <w:tcBorders>
              <w:top w:val="single" w:color="auto" w:sz="6" w:space="0"/>
              <w:left w:val="single" w:color="auto" w:sz="6" w:space="0"/>
              <w:bottom w:val="single" w:color="auto" w:sz="6" w:space="0"/>
              <w:right w:val="single" w:color="auto" w:sz="6" w:space="0"/>
            </w:tcBorders>
            <w:vAlign w:val="center"/>
          </w:tcPr>
          <w:p w14:paraId="796EE7B6">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专业</w:t>
            </w:r>
          </w:p>
        </w:tc>
        <w:tc>
          <w:tcPr>
            <w:tcW w:w="2186" w:type="dxa"/>
            <w:vMerge w:val="continue"/>
            <w:tcBorders>
              <w:top w:val="single" w:color="auto" w:sz="12" w:space="0"/>
              <w:left w:val="single" w:color="auto" w:sz="6" w:space="0"/>
              <w:bottom w:val="single" w:color="auto" w:sz="6" w:space="0"/>
              <w:right w:val="single" w:color="auto" w:sz="12" w:space="0"/>
            </w:tcBorders>
            <w:vAlign w:val="center"/>
          </w:tcPr>
          <w:p w14:paraId="5E767648">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rPr>
            </w:pPr>
          </w:p>
        </w:tc>
      </w:tr>
      <w:tr w14:paraId="5C06D1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vAlign w:val="center"/>
          </w:tcPr>
          <w:p w14:paraId="0FD7D137">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vAlign w:val="center"/>
          </w:tcPr>
          <w:p w14:paraId="507E6A5D">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vAlign w:val="center"/>
          </w:tcPr>
          <w:p w14:paraId="5A536633">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vAlign w:val="center"/>
          </w:tcPr>
          <w:p w14:paraId="4122E53B">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vAlign w:val="center"/>
          </w:tcPr>
          <w:p w14:paraId="5B39A599">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vAlign w:val="center"/>
          </w:tcPr>
          <w:p w14:paraId="0C1B85D3">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vAlign w:val="center"/>
          </w:tcPr>
          <w:p w14:paraId="37824A52">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2186" w:type="dxa"/>
            <w:tcBorders>
              <w:top w:val="single" w:color="auto" w:sz="6" w:space="0"/>
              <w:left w:val="single" w:color="auto" w:sz="6" w:space="0"/>
              <w:bottom w:val="single" w:color="auto" w:sz="6" w:space="0"/>
              <w:right w:val="single" w:color="auto" w:sz="12" w:space="0"/>
            </w:tcBorders>
            <w:vAlign w:val="center"/>
          </w:tcPr>
          <w:p w14:paraId="0FD5C609">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r>
      <w:tr w14:paraId="4B3EF4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235BC9DE">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13ECE4B5">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63828EF5">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62EE2EA8">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75844F0C">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6729A99B">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713348A4">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186" w:type="dxa"/>
            <w:tcBorders>
              <w:top w:val="single" w:color="auto" w:sz="6" w:space="0"/>
              <w:left w:val="single" w:color="auto" w:sz="6" w:space="0"/>
              <w:bottom w:val="single" w:color="auto" w:sz="6" w:space="0"/>
              <w:right w:val="single" w:color="auto" w:sz="12" w:space="0"/>
            </w:tcBorders>
          </w:tcPr>
          <w:p w14:paraId="5D856CDE">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r w14:paraId="73B93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061FB2F1">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7AAE67DE">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235B4750">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3E5374FF">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10D94ABC">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5F8A955F">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2C91F380">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186" w:type="dxa"/>
            <w:tcBorders>
              <w:top w:val="single" w:color="auto" w:sz="6" w:space="0"/>
              <w:left w:val="single" w:color="auto" w:sz="6" w:space="0"/>
              <w:bottom w:val="single" w:color="auto" w:sz="6" w:space="0"/>
              <w:right w:val="single" w:color="auto" w:sz="12" w:space="0"/>
            </w:tcBorders>
          </w:tcPr>
          <w:p w14:paraId="1934633A">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r w14:paraId="49CE1B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2B6575BB">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60F5E684">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5043FB87">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12014EBA">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7B885416">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123CC828">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6F227C85">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186" w:type="dxa"/>
            <w:tcBorders>
              <w:top w:val="single" w:color="auto" w:sz="6" w:space="0"/>
              <w:left w:val="single" w:color="auto" w:sz="6" w:space="0"/>
              <w:bottom w:val="single" w:color="auto" w:sz="6" w:space="0"/>
              <w:right w:val="single" w:color="auto" w:sz="12" w:space="0"/>
            </w:tcBorders>
          </w:tcPr>
          <w:p w14:paraId="57BFBBDA">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r w14:paraId="480432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1C6647C3">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1CFE803C">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5611441A">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2E57B57C">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0BE0BF80">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20E4D1C5">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1506C9B0">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186" w:type="dxa"/>
            <w:tcBorders>
              <w:top w:val="single" w:color="auto" w:sz="6" w:space="0"/>
              <w:left w:val="single" w:color="auto" w:sz="6" w:space="0"/>
              <w:bottom w:val="single" w:color="auto" w:sz="6" w:space="0"/>
              <w:right w:val="single" w:color="auto" w:sz="12" w:space="0"/>
            </w:tcBorders>
          </w:tcPr>
          <w:p w14:paraId="46F36357">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r w14:paraId="13F9D5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354E5DA9">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6CDB3E92">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602E0E3A">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2E94504C">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46CEA172">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1597D29C">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41658BF6">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186" w:type="dxa"/>
            <w:tcBorders>
              <w:top w:val="single" w:color="auto" w:sz="6" w:space="0"/>
              <w:left w:val="single" w:color="auto" w:sz="6" w:space="0"/>
              <w:bottom w:val="single" w:color="auto" w:sz="6" w:space="0"/>
              <w:right w:val="single" w:color="auto" w:sz="12" w:space="0"/>
            </w:tcBorders>
          </w:tcPr>
          <w:p w14:paraId="6B84B7B2">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r w14:paraId="49243F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28E0FA90">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000151F1">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45E9CF36">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1D4831DA">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77C550D3">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5F02629B">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48BEAA6A">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186" w:type="dxa"/>
            <w:tcBorders>
              <w:top w:val="single" w:color="auto" w:sz="6" w:space="0"/>
              <w:left w:val="single" w:color="auto" w:sz="6" w:space="0"/>
              <w:bottom w:val="single" w:color="auto" w:sz="6" w:space="0"/>
              <w:right w:val="single" w:color="auto" w:sz="12" w:space="0"/>
            </w:tcBorders>
          </w:tcPr>
          <w:p w14:paraId="6599DD67">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r w14:paraId="3780B5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41C25A02">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3E9678BD">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6064BF49">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18F8859D">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51FD3A0D">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118D3652">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080CCF13">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186" w:type="dxa"/>
            <w:tcBorders>
              <w:top w:val="single" w:color="auto" w:sz="6" w:space="0"/>
              <w:left w:val="single" w:color="auto" w:sz="6" w:space="0"/>
              <w:bottom w:val="single" w:color="auto" w:sz="6" w:space="0"/>
              <w:right w:val="single" w:color="auto" w:sz="12" w:space="0"/>
            </w:tcBorders>
          </w:tcPr>
          <w:p w14:paraId="4E8B771F">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r w14:paraId="79A9F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6E7D09CF">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73C2FA90">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5A5064EC">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69357A40">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4ED0602B">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3B6ED5BF">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08E49125">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186" w:type="dxa"/>
            <w:tcBorders>
              <w:top w:val="single" w:color="auto" w:sz="6" w:space="0"/>
              <w:left w:val="single" w:color="auto" w:sz="6" w:space="0"/>
              <w:bottom w:val="single" w:color="auto" w:sz="6" w:space="0"/>
              <w:right w:val="single" w:color="auto" w:sz="12" w:space="0"/>
            </w:tcBorders>
          </w:tcPr>
          <w:p w14:paraId="0DF64D43">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r w14:paraId="35F0DE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759E0593">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7C778490">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3860CF6D">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422BAE0F">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3D524C8E">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4C38ECD1">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417D6ABD">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186" w:type="dxa"/>
            <w:tcBorders>
              <w:top w:val="single" w:color="auto" w:sz="6" w:space="0"/>
              <w:left w:val="single" w:color="auto" w:sz="6" w:space="0"/>
              <w:bottom w:val="single" w:color="auto" w:sz="6" w:space="0"/>
              <w:right w:val="single" w:color="auto" w:sz="12" w:space="0"/>
            </w:tcBorders>
          </w:tcPr>
          <w:p w14:paraId="14516EAB">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r w14:paraId="02213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7110D9E1">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78F01195">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7788E975">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00918362">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619A2544">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4A67197E">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51A2D9DA">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186" w:type="dxa"/>
            <w:tcBorders>
              <w:top w:val="single" w:color="auto" w:sz="6" w:space="0"/>
              <w:left w:val="single" w:color="auto" w:sz="6" w:space="0"/>
              <w:bottom w:val="single" w:color="auto" w:sz="6" w:space="0"/>
              <w:right w:val="single" w:color="auto" w:sz="12" w:space="0"/>
            </w:tcBorders>
          </w:tcPr>
          <w:p w14:paraId="4E4F8E99">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bl>
    <w:p w14:paraId="5040799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3BE71147">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p w14:paraId="366026F2">
      <w:pPr>
        <w:keepNext w:val="0"/>
        <w:keepLines w:val="0"/>
        <w:pageBreakBefore w:val="0"/>
        <w:kinsoku/>
        <w:wordWrap/>
        <w:overflowPunct/>
        <w:topLinePunct w:val="0"/>
        <w:autoSpaceDE/>
        <w:autoSpaceDN/>
        <w:bidi w:val="0"/>
        <w:adjustRightInd/>
        <w:snapToGrid w:val="0"/>
        <w:spacing w:line="360" w:lineRule="auto"/>
        <w:ind w:firstLine="480" w:firstLineChars="200"/>
        <w:jc w:val="center"/>
        <w:textAlignment w:val="auto"/>
        <w:outlineLvl w:val="9"/>
        <w:rPr>
          <w:rFonts w:cs="宋体" w:asciiTheme="minorEastAsia" w:hAnsiTheme="minorEastAsia"/>
          <w:color w:val="auto"/>
          <w:sz w:val="24"/>
          <w:szCs w:val="24"/>
        </w:rPr>
      </w:pPr>
      <w:r>
        <w:rPr>
          <w:rFonts w:hint="eastAsia" w:ascii="宋体" w:hAnsi="宋体" w:eastAsia="宋体" w:cs="宋体"/>
          <w:color w:val="auto"/>
          <w:sz w:val="24"/>
          <w:szCs w:val="24"/>
          <w:lang w:val="en-US" w:eastAsia="zh-CN"/>
        </w:rPr>
        <w:t xml:space="preserve">    </w:t>
      </w:r>
      <w:r>
        <w:rPr>
          <w:rFonts w:hint="eastAsia" w:cs="宋体" w:asciiTheme="minorEastAsia" w:hAnsiTheme="minorEastAsia"/>
          <w:color w:val="auto"/>
          <w:sz w:val="24"/>
          <w:szCs w:val="24"/>
          <w:lang w:val="en-US" w:eastAsia="zh-CN"/>
        </w:rPr>
        <w:t xml:space="preserve">            </w:t>
      </w:r>
      <w:r>
        <w:rPr>
          <w:rFonts w:cs="宋体" w:asciiTheme="minorEastAsia" w:hAnsiTheme="minorEastAsia"/>
          <w:color w:val="auto"/>
          <w:sz w:val="24"/>
          <w:szCs w:val="24"/>
        </w:rPr>
        <w:t>供应商：</w:t>
      </w:r>
      <w:r>
        <w:rPr>
          <w:rFonts w:hint="eastAsia" w:cs="宋体" w:asciiTheme="minorEastAsia" w:hAnsiTheme="minorEastAsia"/>
          <w:color w:val="auto"/>
          <w:sz w:val="24"/>
          <w:szCs w:val="24"/>
          <w:u w:val="single"/>
          <w:lang w:val="en-US" w:eastAsia="zh-CN"/>
        </w:rPr>
        <w:t xml:space="preserve">                       </w:t>
      </w:r>
      <w:r>
        <w:rPr>
          <w:rFonts w:hint="eastAsia" w:ascii="宋体" w:hAnsi="宋体" w:cs="宋体"/>
          <w:kern w:val="0"/>
          <w:sz w:val="24"/>
        </w:rPr>
        <w:t>（电子签章）</w:t>
      </w:r>
    </w:p>
    <w:p w14:paraId="4F66C07C">
      <w:pPr>
        <w:pStyle w:val="16"/>
        <w:spacing w:line="360" w:lineRule="auto"/>
        <w:ind w:firstLine="2400" w:firstLineChars="1000"/>
        <w:rPr>
          <w:sz w:val="24"/>
          <w:szCs w:val="24"/>
        </w:rPr>
      </w:pPr>
      <w:r>
        <w:rPr>
          <w:rFonts w:cs="宋体" w:asciiTheme="minorEastAsia" w:hAnsiTheme="minorEastAsia"/>
          <w:color w:val="auto"/>
          <w:sz w:val="24"/>
          <w:szCs w:val="24"/>
        </w:rPr>
        <w:t>法定代表人：</w:t>
      </w:r>
      <w:r>
        <w:rPr>
          <w:rFonts w:hint="eastAsia" w:cs="宋体" w:asciiTheme="minorEastAsia" w:hAnsiTheme="minorEastAsia"/>
          <w:color w:val="auto"/>
          <w:sz w:val="24"/>
          <w:szCs w:val="24"/>
          <w:u w:val="single"/>
          <w:lang w:val="en-US" w:eastAsia="zh-CN"/>
        </w:rPr>
        <w:t xml:space="preserve">                   </w:t>
      </w:r>
      <w:r>
        <w:rPr>
          <w:rFonts w:hint="eastAsia" w:cs="宋体" w:asciiTheme="minorEastAsia" w:hAnsiTheme="minorEastAsia"/>
          <w:color w:val="auto"/>
          <w:sz w:val="24"/>
          <w:szCs w:val="24"/>
        </w:rPr>
        <w:t>（</w:t>
      </w:r>
      <w:r>
        <w:rPr>
          <w:rFonts w:hint="eastAsia" w:cs="宋体" w:asciiTheme="minorEastAsia" w:hAnsiTheme="minorEastAsia"/>
          <w:color w:val="auto"/>
          <w:sz w:val="24"/>
          <w:szCs w:val="24"/>
          <w:lang w:val="en-US" w:eastAsia="zh-CN"/>
        </w:rPr>
        <w:t>签</w:t>
      </w:r>
      <w:r>
        <w:rPr>
          <w:rFonts w:hint="eastAsia" w:cs="宋体" w:asciiTheme="minorEastAsia" w:hAnsiTheme="minorEastAsia"/>
          <w:color w:val="auto"/>
          <w:sz w:val="24"/>
          <w:szCs w:val="24"/>
        </w:rPr>
        <w:t>章）</w:t>
      </w:r>
    </w:p>
    <w:p w14:paraId="220A6AAF">
      <w:pPr>
        <w:pStyle w:val="16"/>
        <w:spacing w:line="360" w:lineRule="auto"/>
        <w:ind w:firstLine="2400" w:firstLineChars="1000"/>
        <w:rPr>
          <w:rFonts w:hint="eastAsia"/>
          <w:sz w:val="24"/>
          <w:szCs w:val="24"/>
        </w:rPr>
      </w:pPr>
      <w:r>
        <w:rPr>
          <w:rFonts w:hint="eastAsia" w:ascii="宋体" w:hAnsi="宋体" w:eastAsia="宋体" w:cs="宋体"/>
          <w:color w:val="auto"/>
          <w:kern w:val="0"/>
          <w:sz w:val="24"/>
          <w:szCs w:val="24"/>
        </w:rPr>
        <w:t xml:space="preserve">日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期：</w:t>
      </w:r>
      <w:r>
        <w:rPr>
          <w:rFonts w:hint="eastAsia" w:cs="宋体" w:asciiTheme="minorEastAsia" w:hAnsiTheme="minorEastAsia"/>
          <w:color w:val="auto"/>
          <w:sz w:val="24"/>
          <w:szCs w:val="24"/>
          <w:u w:val="single"/>
          <w:lang w:val="en-US" w:eastAsia="zh-CN"/>
        </w:rPr>
        <w:t xml:space="preserve">      </w:t>
      </w:r>
      <w:r>
        <w:rPr>
          <w:rFonts w:hint="eastAsia" w:ascii="宋体" w:hAnsi="宋体" w:eastAsia="宋体" w:cs="宋体"/>
          <w:color w:val="auto"/>
          <w:kern w:val="0"/>
          <w:sz w:val="24"/>
          <w:szCs w:val="24"/>
        </w:rPr>
        <w:t>年</w:t>
      </w:r>
      <w:r>
        <w:rPr>
          <w:rFonts w:hint="eastAsia" w:cs="宋体" w:asciiTheme="minorEastAsia" w:hAnsiTheme="minorEastAsia"/>
          <w:color w:val="auto"/>
          <w:sz w:val="24"/>
          <w:szCs w:val="24"/>
          <w:u w:val="single"/>
          <w:lang w:val="en-US" w:eastAsia="zh-CN"/>
        </w:rPr>
        <w:t xml:space="preserve">      </w:t>
      </w:r>
      <w:r>
        <w:rPr>
          <w:rFonts w:hint="eastAsia" w:ascii="宋体" w:hAnsi="宋体" w:eastAsia="宋体" w:cs="宋体"/>
          <w:color w:val="auto"/>
          <w:kern w:val="0"/>
          <w:sz w:val="24"/>
          <w:szCs w:val="24"/>
        </w:rPr>
        <w:t>月</w:t>
      </w:r>
      <w:r>
        <w:rPr>
          <w:rFonts w:hint="eastAsia" w:cs="宋体" w:asciiTheme="minorEastAsia" w:hAnsiTheme="minorEastAsia"/>
          <w:color w:val="auto"/>
          <w:sz w:val="24"/>
          <w:szCs w:val="24"/>
          <w:u w:val="single"/>
          <w:lang w:val="en-US" w:eastAsia="zh-CN"/>
        </w:rPr>
        <w:t xml:space="preserve">      </w:t>
      </w:r>
      <w:r>
        <w:rPr>
          <w:rFonts w:hint="eastAsia" w:ascii="宋体" w:hAnsi="宋体" w:eastAsia="宋体" w:cs="宋体"/>
          <w:color w:val="auto"/>
          <w:kern w:val="0"/>
          <w:sz w:val="24"/>
          <w:szCs w:val="24"/>
        </w:rPr>
        <w:t>日</w:t>
      </w:r>
    </w:p>
    <w:p w14:paraId="7946A1D8">
      <w:pPr>
        <w:pStyle w:val="16"/>
        <w:spacing w:line="360" w:lineRule="auto"/>
        <w:ind w:firstLine="2400" w:firstLineChars="1000"/>
        <w:rPr>
          <w:rFonts w:hint="eastAsia" w:ascii="宋体" w:hAnsi="宋体" w:eastAsia="宋体" w:cs="宋体"/>
          <w:color w:val="auto"/>
          <w:kern w:val="0"/>
          <w:sz w:val="24"/>
          <w:szCs w:val="24"/>
        </w:rPr>
      </w:pPr>
    </w:p>
    <w:p w14:paraId="03AF4D49">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ascii="宋体" w:hAnsi="宋体" w:eastAsia="宋体" w:cs="宋体"/>
          <w:color w:val="auto"/>
          <w:spacing w:val="46"/>
          <w:kern w:val="0"/>
          <w:sz w:val="24"/>
          <w:szCs w:val="24"/>
        </w:rPr>
      </w:pPr>
    </w:p>
    <w:p w14:paraId="59739060">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4"/>
          <w:szCs w:val="24"/>
        </w:rPr>
      </w:pPr>
    </w:p>
    <w:p w14:paraId="48489820">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b/>
          <w:bCs/>
          <w:color w:val="auto"/>
          <w:kern w:val="0"/>
          <w:sz w:val="24"/>
          <w:szCs w:val="24"/>
        </w:rPr>
      </w:pPr>
      <w:r>
        <w:rPr>
          <w:rFonts w:hint="eastAsia" w:cs="Times New Roman" w:asciiTheme="minorEastAsia" w:hAnsiTheme="minorEastAsia"/>
          <w:b/>
          <w:bCs/>
          <w:color w:val="auto"/>
          <w:sz w:val="24"/>
          <w:szCs w:val="24"/>
        </w:rPr>
        <w:t>（</w:t>
      </w:r>
      <w:r>
        <w:rPr>
          <w:rFonts w:hint="eastAsia" w:cs="Times New Roman" w:asciiTheme="minorEastAsia" w:hAnsiTheme="minorEastAsia"/>
          <w:b/>
          <w:bCs/>
          <w:color w:val="auto"/>
          <w:sz w:val="24"/>
          <w:szCs w:val="24"/>
          <w:lang w:val="en-US" w:eastAsia="zh-CN"/>
        </w:rPr>
        <w:t>二</w:t>
      </w:r>
      <w:r>
        <w:rPr>
          <w:rFonts w:hint="eastAsia" w:cs="Times New Roman" w:asciiTheme="minorEastAsia" w:hAnsiTheme="minorEastAsia"/>
          <w:b/>
          <w:bCs/>
          <w:color w:val="auto"/>
          <w:sz w:val="24"/>
          <w:szCs w:val="24"/>
        </w:rPr>
        <w:t>）</w:t>
      </w:r>
      <w:r>
        <w:rPr>
          <w:rFonts w:hint="eastAsia" w:cs="Times New Roman" w:asciiTheme="minorEastAsia" w:hAnsiTheme="minorEastAsia"/>
          <w:b/>
          <w:bCs/>
          <w:color w:val="auto"/>
          <w:kern w:val="0"/>
          <w:sz w:val="24"/>
          <w:szCs w:val="24"/>
        </w:rPr>
        <w:t>拟投入主要人员简历表</w:t>
      </w:r>
    </w:p>
    <w:tbl>
      <w:tblPr>
        <w:tblStyle w:val="17"/>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65"/>
        <w:gridCol w:w="760"/>
        <w:gridCol w:w="1106"/>
        <w:gridCol w:w="1321"/>
        <w:gridCol w:w="1069"/>
        <w:gridCol w:w="760"/>
        <w:gridCol w:w="1126"/>
        <w:gridCol w:w="1031"/>
      </w:tblGrid>
      <w:tr w14:paraId="3372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1365" w:type="dxa"/>
            <w:tcBorders>
              <w:top w:val="single" w:color="000000" w:sz="2" w:space="0"/>
              <w:left w:val="single" w:color="000000" w:sz="2" w:space="0"/>
              <w:bottom w:val="single" w:color="000000" w:sz="2" w:space="0"/>
              <w:right w:val="single" w:color="000000" w:sz="2" w:space="0"/>
            </w:tcBorders>
            <w:vAlign w:val="center"/>
          </w:tcPr>
          <w:p w14:paraId="3E6F7C0B">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姓名</w:t>
            </w:r>
          </w:p>
        </w:tc>
        <w:tc>
          <w:tcPr>
            <w:tcW w:w="1866" w:type="dxa"/>
            <w:gridSpan w:val="2"/>
            <w:tcBorders>
              <w:top w:val="single" w:color="000000" w:sz="2" w:space="0"/>
              <w:left w:val="single" w:color="auto" w:sz="4" w:space="0"/>
              <w:bottom w:val="single" w:color="000000" w:sz="2" w:space="0"/>
              <w:right w:val="single" w:color="000000" w:sz="2" w:space="0"/>
            </w:tcBorders>
            <w:vAlign w:val="center"/>
          </w:tcPr>
          <w:p w14:paraId="064ECB34">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c>
          <w:tcPr>
            <w:tcW w:w="1321" w:type="dxa"/>
            <w:tcBorders>
              <w:top w:val="single" w:color="000000" w:sz="2" w:space="0"/>
              <w:left w:val="single" w:color="auto" w:sz="4" w:space="0"/>
              <w:bottom w:val="single" w:color="000000" w:sz="2" w:space="0"/>
              <w:right w:val="single" w:color="000000" w:sz="2" w:space="0"/>
            </w:tcBorders>
            <w:vAlign w:val="center"/>
          </w:tcPr>
          <w:p w14:paraId="3359A7DF">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性别</w:t>
            </w:r>
          </w:p>
        </w:tc>
        <w:tc>
          <w:tcPr>
            <w:tcW w:w="1829" w:type="dxa"/>
            <w:gridSpan w:val="2"/>
            <w:tcBorders>
              <w:top w:val="single" w:color="000000" w:sz="2" w:space="0"/>
              <w:left w:val="single" w:color="auto" w:sz="4" w:space="0"/>
              <w:bottom w:val="single" w:color="000000" w:sz="2" w:space="0"/>
              <w:right w:val="single" w:color="000000" w:sz="2" w:space="0"/>
            </w:tcBorders>
            <w:vAlign w:val="center"/>
          </w:tcPr>
          <w:p w14:paraId="77508193">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c>
          <w:tcPr>
            <w:tcW w:w="1126" w:type="dxa"/>
            <w:tcBorders>
              <w:top w:val="single" w:color="000000" w:sz="2" w:space="0"/>
              <w:left w:val="single" w:color="auto" w:sz="4" w:space="0"/>
              <w:bottom w:val="single" w:color="000000" w:sz="2" w:space="0"/>
              <w:right w:val="single" w:color="000000" w:sz="2" w:space="0"/>
            </w:tcBorders>
            <w:vAlign w:val="center"/>
          </w:tcPr>
          <w:p w14:paraId="257508CC">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年龄</w:t>
            </w:r>
          </w:p>
        </w:tc>
        <w:tc>
          <w:tcPr>
            <w:tcW w:w="1031" w:type="dxa"/>
            <w:tcBorders>
              <w:top w:val="single" w:color="000000" w:sz="2" w:space="0"/>
              <w:left w:val="single" w:color="auto" w:sz="4" w:space="0"/>
              <w:bottom w:val="single" w:color="000000" w:sz="2" w:space="0"/>
              <w:right w:val="single" w:color="000000" w:sz="2" w:space="0"/>
            </w:tcBorders>
            <w:vAlign w:val="center"/>
          </w:tcPr>
          <w:p w14:paraId="223F978E">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r>
      <w:tr w14:paraId="440D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3" w:hRule="atLeast"/>
          <w:jc w:val="center"/>
        </w:trPr>
        <w:tc>
          <w:tcPr>
            <w:tcW w:w="1365" w:type="dxa"/>
            <w:tcBorders>
              <w:top w:val="single" w:color="auto" w:sz="4" w:space="0"/>
              <w:left w:val="single" w:color="000000" w:sz="2" w:space="0"/>
              <w:bottom w:val="single" w:color="000000" w:sz="2" w:space="0"/>
              <w:right w:val="single" w:color="000000" w:sz="2" w:space="0"/>
            </w:tcBorders>
            <w:vAlign w:val="center"/>
          </w:tcPr>
          <w:p w14:paraId="0805A5E7">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职务</w:t>
            </w:r>
          </w:p>
        </w:tc>
        <w:tc>
          <w:tcPr>
            <w:tcW w:w="1866" w:type="dxa"/>
            <w:gridSpan w:val="2"/>
            <w:tcBorders>
              <w:top w:val="single" w:color="auto" w:sz="4" w:space="0"/>
              <w:left w:val="single" w:color="auto" w:sz="4" w:space="0"/>
              <w:bottom w:val="single" w:color="000000" w:sz="2" w:space="0"/>
              <w:right w:val="single" w:color="000000" w:sz="2" w:space="0"/>
            </w:tcBorders>
            <w:vAlign w:val="center"/>
          </w:tcPr>
          <w:p w14:paraId="3235AB76">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c>
          <w:tcPr>
            <w:tcW w:w="1321" w:type="dxa"/>
            <w:tcBorders>
              <w:top w:val="single" w:color="auto" w:sz="4" w:space="0"/>
              <w:left w:val="single" w:color="auto" w:sz="4" w:space="0"/>
              <w:bottom w:val="single" w:color="000000" w:sz="2" w:space="0"/>
              <w:right w:val="single" w:color="000000" w:sz="2" w:space="0"/>
            </w:tcBorders>
            <w:vAlign w:val="center"/>
          </w:tcPr>
          <w:p w14:paraId="05C88285">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职称</w:t>
            </w:r>
          </w:p>
        </w:tc>
        <w:tc>
          <w:tcPr>
            <w:tcW w:w="1829" w:type="dxa"/>
            <w:gridSpan w:val="2"/>
            <w:tcBorders>
              <w:top w:val="single" w:color="auto" w:sz="4" w:space="0"/>
              <w:left w:val="single" w:color="auto" w:sz="4" w:space="0"/>
              <w:bottom w:val="single" w:color="000000" w:sz="2" w:space="0"/>
              <w:right w:val="single" w:color="000000" w:sz="2" w:space="0"/>
            </w:tcBorders>
            <w:vAlign w:val="center"/>
          </w:tcPr>
          <w:p w14:paraId="70279905">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c>
          <w:tcPr>
            <w:tcW w:w="1126" w:type="dxa"/>
            <w:tcBorders>
              <w:top w:val="single" w:color="auto" w:sz="4" w:space="0"/>
              <w:left w:val="single" w:color="auto" w:sz="4" w:space="0"/>
              <w:bottom w:val="single" w:color="000000" w:sz="2" w:space="0"/>
              <w:right w:val="single" w:color="000000" w:sz="2" w:space="0"/>
            </w:tcBorders>
            <w:vAlign w:val="center"/>
          </w:tcPr>
          <w:p w14:paraId="1D9D34AA">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专业</w:t>
            </w:r>
          </w:p>
        </w:tc>
        <w:tc>
          <w:tcPr>
            <w:tcW w:w="1031" w:type="dxa"/>
            <w:tcBorders>
              <w:top w:val="single" w:color="auto" w:sz="4" w:space="0"/>
              <w:left w:val="single" w:color="auto" w:sz="4" w:space="0"/>
              <w:bottom w:val="single" w:color="000000" w:sz="2" w:space="0"/>
              <w:right w:val="single" w:color="000000" w:sz="2" w:space="0"/>
            </w:tcBorders>
            <w:vAlign w:val="center"/>
          </w:tcPr>
          <w:p w14:paraId="61F67100">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r>
      <w:tr w14:paraId="21399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3" w:hRule="atLeast"/>
          <w:jc w:val="center"/>
        </w:trPr>
        <w:tc>
          <w:tcPr>
            <w:tcW w:w="2125" w:type="dxa"/>
            <w:gridSpan w:val="2"/>
            <w:tcBorders>
              <w:top w:val="single" w:color="auto" w:sz="4" w:space="0"/>
              <w:left w:val="single" w:color="000000" w:sz="2" w:space="0"/>
              <w:bottom w:val="single" w:color="000000" w:sz="2" w:space="0"/>
              <w:right w:val="single" w:color="000000" w:sz="2" w:space="0"/>
            </w:tcBorders>
            <w:vAlign w:val="center"/>
          </w:tcPr>
          <w:p w14:paraId="56E90038">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参加工作时间</w:t>
            </w:r>
          </w:p>
        </w:tc>
        <w:tc>
          <w:tcPr>
            <w:tcW w:w="2427" w:type="dxa"/>
            <w:gridSpan w:val="2"/>
            <w:tcBorders>
              <w:top w:val="single" w:color="auto" w:sz="4" w:space="0"/>
              <w:left w:val="single" w:color="auto" w:sz="4" w:space="0"/>
              <w:bottom w:val="single" w:color="000000" w:sz="2" w:space="0"/>
              <w:right w:val="single" w:color="000000" w:sz="2" w:space="0"/>
            </w:tcBorders>
            <w:vAlign w:val="center"/>
          </w:tcPr>
          <w:p w14:paraId="3A1EFF47">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c>
          <w:tcPr>
            <w:tcW w:w="1829" w:type="dxa"/>
            <w:gridSpan w:val="2"/>
            <w:tcBorders>
              <w:top w:val="single" w:color="auto" w:sz="4" w:space="0"/>
              <w:left w:val="single" w:color="auto" w:sz="4" w:space="0"/>
              <w:bottom w:val="single" w:color="000000" w:sz="2" w:space="0"/>
              <w:right w:val="single" w:color="000000" w:sz="2" w:space="0"/>
            </w:tcBorders>
            <w:vAlign w:val="center"/>
          </w:tcPr>
          <w:p w14:paraId="5B4692C9">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从事本专业年限</w:t>
            </w:r>
          </w:p>
        </w:tc>
        <w:tc>
          <w:tcPr>
            <w:tcW w:w="2157" w:type="dxa"/>
            <w:gridSpan w:val="2"/>
            <w:tcBorders>
              <w:top w:val="single" w:color="auto" w:sz="4" w:space="0"/>
              <w:left w:val="single" w:color="auto" w:sz="4" w:space="0"/>
              <w:bottom w:val="single" w:color="000000" w:sz="2" w:space="0"/>
              <w:right w:val="single" w:color="000000" w:sz="2" w:space="0"/>
            </w:tcBorders>
            <w:vAlign w:val="center"/>
          </w:tcPr>
          <w:p w14:paraId="195902E2">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r>
      <w:tr w14:paraId="59FDF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2125" w:type="dxa"/>
            <w:gridSpan w:val="2"/>
            <w:tcBorders>
              <w:top w:val="single" w:color="auto" w:sz="4" w:space="0"/>
              <w:left w:val="single" w:color="000000" w:sz="2" w:space="0"/>
              <w:bottom w:val="single" w:color="000000" w:sz="2" w:space="0"/>
              <w:right w:val="single" w:color="000000" w:sz="2" w:space="0"/>
            </w:tcBorders>
            <w:vAlign w:val="center"/>
          </w:tcPr>
          <w:p w14:paraId="6831C97C">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执业注册</w:t>
            </w:r>
          </w:p>
        </w:tc>
        <w:tc>
          <w:tcPr>
            <w:tcW w:w="6413" w:type="dxa"/>
            <w:gridSpan w:val="6"/>
            <w:tcBorders>
              <w:top w:val="single" w:color="auto" w:sz="4" w:space="0"/>
              <w:left w:val="single" w:color="auto" w:sz="4" w:space="0"/>
              <w:bottom w:val="single" w:color="000000" w:sz="2" w:space="0"/>
              <w:right w:val="single" w:color="000000" w:sz="2" w:space="0"/>
            </w:tcBorders>
            <w:vAlign w:val="center"/>
          </w:tcPr>
          <w:p w14:paraId="0CFCE3A7">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r>
      <w:tr w14:paraId="73E4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jc w:val="center"/>
        </w:trPr>
        <w:tc>
          <w:tcPr>
            <w:tcW w:w="2125" w:type="dxa"/>
            <w:gridSpan w:val="2"/>
            <w:tcBorders>
              <w:top w:val="single" w:color="auto" w:sz="4" w:space="0"/>
              <w:left w:val="single" w:color="000000" w:sz="2" w:space="0"/>
              <w:bottom w:val="single" w:color="000000" w:sz="2" w:space="0"/>
              <w:right w:val="single" w:color="000000" w:sz="2" w:space="0"/>
            </w:tcBorders>
            <w:vAlign w:val="center"/>
          </w:tcPr>
          <w:p w14:paraId="62E9562D">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在本项目拟任职务</w:t>
            </w:r>
          </w:p>
        </w:tc>
        <w:tc>
          <w:tcPr>
            <w:tcW w:w="6413" w:type="dxa"/>
            <w:gridSpan w:val="6"/>
            <w:tcBorders>
              <w:top w:val="single" w:color="auto" w:sz="4" w:space="0"/>
              <w:left w:val="single" w:color="auto" w:sz="4" w:space="0"/>
              <w:bottom w:val="single" w:color="000000" w:sz="2" w:space="0"/>
              <w:right w:val="single" w:color="000000" w:sz="2" w:space="0"/>
            </w:tcBorders>
            <w:vAlign w:val="center"/>
          </w:tcPr>
          <w:p w14:paraId="6ED4A540">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r>
      <w:tr w14:paraId="42D9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8" w:hRule="atLeast"/>
          <w:jc w:val="center"/>
        </w:trPr>
        <w:tc>
          <w:tcPr>
            <w:tcW w:w="8538" w:type="dxa"/>
            <w:gridSpan w:val="8"/>
            <w:tcBorders>
              <w:top w:val="single" w:color="auto" w:sz="4" w:space="0"/>
              <w:left w:val="single" w:color="000000" w:sz="2" w:space="0"/>
              <w:bottom w:val="single" w:color="auto" w:sz="4" w:space="0"/>
              <w:right w:val="single" w:color="000000" w:sz="2" w:space="0"/>
            </w:tcBorders>
            <w:vAlign w:val="center"/>
          </w:tcPr>
          <w:p w14:paraId="103B1448">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主要工作经历</w:t>
            </w:r>
          </w:p>
        </w:tc>
      </w:tr>
      <w:tr w14:paraId="572EB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5" w:hRule="atLeast"/>
          <w:jc w:val="center"/>
        </w:trPr>
        <w:tc>
          <w:tcPr>
            <w:tcW w:w="2125" w:type="dxa"/>
            <w:gridSpan w:val="2"/>
            <w:tcBorders>
              <w:top w:val="single" w:color="auto" w:sz="4" w:space="0"/>
              <w:left w:val="single" w:color="000000" w:sz="2" w:space="0"/>
              <w:bottom w:val="single" w:color="auto" w:sz="4" w:space="0"/>
              <w:right w:val="single" w:color="000000" w:sz="2" w:space="0"/>
            </w:tcBorders>
            <w:vAlign w:val="center"/>
          </w:tcPr>
          <w:p w14:paraId="44D450A2">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时间</w:t>
            </w:r>
          </w:p>
        </w:tc>
        <w:tc>
          <w:tcPr>
            <w:tcW w:w="3496" w:type="dxa"/>
            <w:gridSpan w:val="3"/>
            <w:tcBorders>
              <w:top w:val="single" w:color="auto" w:sz="4" w:space="0"/>
              <w:left w:val="single" w:color="auto" w:sz="4" w:space="0"/>
              <w:bottom w:val="single" w:color="auto" w:sz="4" w:space="0"/>
              <w:right w:val="single" w:color="000000" w:sz="2" w:space="0"/>
            </w:tcBorders>
            <w:vAlign w:val="center"/>
          </w:tcPr>
          <w:p w14:paraId="14E4084A">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参加过的类似项目名称及规模</w:t>
            </w:r>
          </w:p>
        </w:tc>
        <w:tc>
          <w:tcPr>
            <w:tcW w:w="2917" w:type="dxa"/>
            <w:gridSpan w:val="3"/>
            <w:tcBorders>
              <w:top w:val="single" w:color="auto" w:sz="4" w:space="0"/>
              <w:left w:val="single" w:color="auto" w:sz="4" w:space="0"/>
              <w:bottom w:val="single" w:color="auto" w:sz="4" w:space="0"/>
              <w:right w:val="single" w:color="000000" w:sz="2" w:space="0"/>
            </w:tcBorders>
            <w:vAlign w:val="center"/>
          </w:tcPr>
          <w:p w14:paraId="63382D48">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该项目中的任职</w:t>
            </w:r>
          </w:p>
        </w:tc>
      </w:tr>
      <w:tr w14:paraId="04EBA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2125" w:type="dxa"/>
            <w:gridSpan w:val="2"/>
            <w:tcBorders>
              <w:top w:val="single" w:color="auto" w:sz="4" w:space="0"/>
              <w:left w:val="single" w:color="000000" w:sz="2" w:space="0"/>
              <w:bottom w:val="single" w:color="auto" w:sz="4" w:space="0"/>
              <w:right w:val="single" w:color="000000" w:sz="2" w:space="0"/>
            </w:tcBorders>
            <w:vAlign w:val="center"/>
          </w:tcPr>
          <w:p w14:paraId="2A80CB5C">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c>
          <w:tcPr>
            <w:tcW w:w="3496" w:type="dxa"/>
            <w:gridSpan w:val="3"/>
            <w:tcBorders>
              <w:top w:val="single" w:color="auto" w:sz="4" w:space="0"/>
              <w:left w:val="single" w:color="auto" w:sz="4" w:space="0"/>
              <w:bottom w:val="single" w:color="auto" w:sz="4" w:space="0"/>
              <w:right w:val="single" w:color="000000" w:sz="2" w:space="0"/>
            </w:tcBorders>
            <w:vAlign w:val="center"/>
          </w:tcPr>
          <w:p w14:paraId="5891CE61">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c>
          <w:tcPr>
            <w:tcW w:w="2917" w:type="dxa"/>
            <w:gridSpan w:val="3"/>
            <w:tcBorders>
              <w:top w:val="single" w:color="auto" w:sz="4" w:space="0"/>
              <w:left w:val="single" w:color="auto" w:sz="4" w:space="0"/>
              <w:bottom w:val="single" w:color="auto" w:sz="4" w:space="0"/>
              <w:right w:val="single" w:color="000000" w:sz="2" w:space="0"/>
            </w:tcBorders>
            <w:vAlign w:val="center"/>
          </w:tcPr>
          <w:p w14:paraId="621674E8">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r>
      <w:tr w14:paraId="35A9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8" w:hRule="atLeast"/>
          <w:jc w:val="center"/>
        </w:trPr>
        <w:tc>
          <w:tcPr>
            <w:tcW w:w="2125" w:type="dxa"/>
            <w:gridSpan w:val="2"/>
            <w:tcBorders>
              <w:top w:val="single" w:color="auto" w:sz="4" w:space="0"/>
              <w:left w:val="single" w:color="000000" w:sz="2" w:space="0"/>
              <w:bottom w:val="single" w:color="000000" w:sz="2" w:space="0"/>
              <w:right w:val="single" w:color="000000" w:sz="2" w:space="0"/>
            </w:tcBorders>
            <w:vAlign w:val="center"/>
          </w:tcPr>
          <w:p w14:paraId="702E153C">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c>
          <w:tcPr>
            <w:tcW w:w="3496" w:type="dxa"/>
            <w:gridSpan w:val="3"/>
            <w:tcBorders>
              <w:top w:val="single" w:color="auto" w:sz="4" w:space="0"/>
              <w:left w:val="single" w:color="auto" w:sz="4" w:space="0"/>
              <w:bottom w:val="single" w:color="000000" w:sz="2" w:space="0"/>
              <w:right w:val="single" w:color="000000" w:sz="2" w:space="0"/>
            </w:tcBorders>
            <w:vAlign w:val="center"/>
          </w:tcPr>
          <w:p w14:paraId="75BF56D4">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c>
          <w:tcPr>
            <w:tcW w:w="2917" w:type="dxa"/>
            <w:gridSpan w:val="3"/>
            <w:tcBorders>
              <w:top w:val="single" w:color="auto" w:sz="4" w:space="0"/>
              <w:left w:val="single" w:color="auto" w:sz="4" w:space="0"/>
              <w:bottom w:val="single" w:color="000000" w:sz="2" w:space="0"/>
              <w:right w:val="single" w:color="000000" w:sz="2" w:space="0"/>
            </w:tcBorders>
            <w:vAlign w:val="center"/>
          </w:tcPr>
          <w:p w14:paraId="0054F35D">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r>
    </w:tbl>
    <w:p w14:paraId="6CC6046A">
      <w:pPr>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9"/>
        <w:rPr>
          <w:rFonts w:cs="宋体" w:asciiTheme="minorEastAsia" w:hAnsiTheme="minorEastAsia"/>
          <w:b/>
          <w:color w:val="auto"/>
          <w:sz w:val="24"/>
          <w:szCs w:val="24"/>
        </w:rPr>
      </w:pPr>
    </w:p>
    <w:p w14:paraId="3DCE9544">
      <w:pPr>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9"/>
        <w:rPr>
          <w:rFonts w:cs="宋体" w:asciiTheme="minorEastAsia" w:hAnsiTheme="minorEastAsia"/>
          <w:b/>
          <w:color w:val="auto"/>
          <w:sz w:val="24"/>
          <w:szCs w:val="24"/>
        </w:rPr>
      </w:pPr>
      <w:r>
        <w:rPr>
          <w:rFonts w:hint="eastAsia" w:cs="宋体" w:asciiTheme="minorEastAsia" w:hAnsiTheme="minorEastAsia"/>
          <w:b/>
          <w:color w:val="auto"/>
          <w:sz w:val="24"/>
          <w:szCs w:val="24"/>
        </w:rPr>
        <w:t>注：后附人员相关证件扫描件。</w:t>
      </w:r>
    </w:p>
    <w:p w14:paraId="78E2279F">
      <w:pPr>
        <w:keepNext w:val="0"/>
        <w:keepLines w:val="0"/>
        <w:pageBreakBefore w:val="0"/>
        <w:widowControl/>
        <w:kinsoku/>
        <w:wordWrap/>
        <w:overflowPunct/>
        <w:topLinePunct w:val="0"/>
        <w:autoSpaceDE/>
        <w:autoSpaceDN/>
        <w:bidi w:val="0"/>
        <w:adjustRightInd/>
        <w:snapToGrid/>
        <w:spacing w:line="360" w:lineRule="auto"/>
        <w:ind w:firstLine="562"/>
        <w:jc w:val="center"/>
        <w:textAlignment w:val="auto"/>
        <w:outlineLvl w:val="9"/>
        <w:rPr>
          <w:rFonts w:cs="宋体" w:asciiTheme="minorEastAsia" w:hAnsiTheme="minorEastAsia"/>
          <w:b/>
          <w:color w:val="auto"/>
          <w:kern w:val="0"/>
          <w:sz w:val="24"/>
          <w:szCs w:val="24"/>
        </w:rPr>
      </w:pPr>
    </w:p>
    <w:p w14:paraId="3D17B260">
      <w:pPr>
        <w:widowControl/>
        <w:kinsoku/>
        <w:overflowPunct/>
        <w:topLinePunct w:val="0"/>
        <w:bidi w:val="0"/>
        <w:ind w:firstLine="562"/>
        <w:jc w:val="center"/>
        <w:textAlignment w:val="auto"/>
        <w:outlineLvl w:val="9"/>
        <w:rPr>
          <w:rFonts w:cs="宋体" w:asciiTheme="minorEastAsia" w:hAnsiTheme="minorEastAsia"/>
          <w:b/>
          <w:color w:val="auto"/>
          <w:kern w:val="0"/>
          <w:sz w:val="28"/>
          <w:szCs w:val="28"/>
        </w:rPr>
      </w:pPr>
    </w:p>
    <w:p w14:paraId="23A6B2C2">
      <w:pPr>
        <w:widowControl/>
        <w:kinsoku/>
        <w:overflowPunct/>
        <w:topLinePunct w:val="0"/>
        <w:bidi w:val="0"/>
        <w:ind w:firstLine="562"/>
        <w:jc w:val="center"/>
        <w:textAlignment w:val="auto"/>
        <w:outlineLvl w:val="9"/>
        <w:rPr>
          <w:rFonts w:cs="宋体" w:asciiTheme="minorEastAsia" w:hAnsiTheme="minorEastAsia"/>
          <w:b/>
          <w:color w:val="auto"/>
          <w:kern w:val="0"/>
          <w:sz w:val="28"/>
          <w:szCs w:val="28"/>
        </w:rPr>
      </w:pPr>
    </w:p>
    <w:p w14:paraId="6F2570E1">
      <w:pPr>
        <w:widowControl/>
        <w:kinsoku/>
        <w:overflowPunct/>
        <w:topLinePunct w:val="0"/>
        <w:bidi w:val="0"/>
        <w:ind w:firstLine="562"/>
        <w:jc w:val="center"/>
        <w:textAlignment w:val="auto"/>
        <w:outlineLvl w:val="9"/>
        <w:rPr>
          <w:rFonts w:cs="宋体" w:asciiTheme="minorEastAsia" w:hAnsiTheme="minorEastAsia"/>
          <w:b/>
          <w:color w:val="auto"/>
          <w:kern w:val="0"/>
          <w:sz w:val="28"/>
          <w:szCs w:val="28"/>
        </w:rPr>
      </w:pPr>
    </w:p>
    <w:p w14:paraId="75F728F8">
      <w:pPr>
        <w:widowControl/>
        <w:kinsoku/>
        <w:overflowPunct/>
        <w:topLinePunct w:val="0"/>
        <w:bidi w:val="0"/>
        <w:ind w:firstLine="562"/>
        <w:jc w:val="center"/>
        <w:textAlignment w:val="auto"/>
        <w:outlineLvl w:val="9"/>
        <w:rPr>
          <w:rFonts w:cs="宋体" w:asciiTheme="minorEastAsia" w:hAnsiTheme="minorEastAsia"/>
          <w:b/>
          <w:color w:val="auto"/>
          <w:kern w:val="0"/>
          <w:sz w:val="28"/>
          <w:szCs w:val="28"/>
        </w:rPr>
      </w:pPr>
    </w:p>
    <w:p w14:paraId="38E9F07D">
      <w:pPr>
        <w:widowControl/>
        <w:kinsoku/>
        <w:overflowPunct/>
        <w:topLinePunct w:val="0"/>
        <w:bidi w:val="0"/>
        <w:ind w:firstLine="562"/>
        <w:jc w:val="center"/>
        <w:textAlignment w:val="auto"/>
        <w:outlineLvl w:val="9"/>
        <w:rPr>
          <w:rFonts w:cs="宋体" w:asciiTheme="minorEastAsia" w:hAnsiTheme="minorEastAsia"/>
          <w:b/>
          <w:color w:val="auto"/>
          <w:kern w:val="0"/>
          <w:sz w:val="28"/>
          <w:szCs w:val="28"/>
        </w:rPr>
      </w:pPr>
    </w:p>
    <w:p w14:paraId="731A0F4B">
      <w:pPr>
        <w:rPr>
          <w:rFonts w:hint="eastAsia" w:cs="宋体" w:asciiTheme="minorEastAsia" w:hAnsiTheme="minorEastAsia"/>
          <w:b/>
          <w:color w:val="auto"/>
          <w:kern w:val="0"/>
          <w:sz w:val="28"/>
          <w:szCs w:val="28"/>
        </w:rPr>
      </w:pPr>
      <w:r>
        <w:rPr>
          <w:rFonts w:hint="eastAsia" w:cs="宋体" w:asciiTheme="minorEastAsia" w:hAnsiTheme="minorEastAsia"/>
          <w:b/>
          <w:color w:val="auto"/>
          <w:kern w:val="0"/>
          <w:sz w:val="28"/>
          <w:szCs w:val="28"/>
        </w:rPr>
        <w:br w:type="page"/>
      </w:r>
    </w:p>
    <w:p w14:paraId="5B1C8BFF">
      <w:pPr>
        <w:widowControl/>
        <w:kinsoku/>
        <w:overflowPunct/>
        <w:topLinePunct w:val="0"/>
        <w:bidi w:val="0"/>
        <w:jc w:val="center"/>
        <w:textAlignment w:val="auto"/>
        <w:outlineLvl w:val="9"/>
        <w:rPr>
          <w:rFonts w:cs="Times New Roman" w:asciiTheme="minorEastAsia" w:hAnsiTheme="minorEastAsia"/>
          <w:color w:val="auto"/>
          <w:kern w:val="0"/>
          <w:sz w:val="28"/>
          <w:szCs w:val="28"/>
        </w:rPr>
      </w:pPr>
      <w:r>
        <w:rPr>
          <w:rFonts w:hint="eastAsia" w:cs="宋体" w:asciiTheme="minorEastAsia" w:hAnsiTheme="minorEastAsia"/>
          <w:b/>
          <w:color w:val="auto"/>
          <w:kern w:val="0"/>
          <w:sz w:val="28"/>
          <w:szCs w:val="28"/>
          <w:lang w:val="en-US" w:eastAsia="zh-CN"/>
        </w:rPr>
        <w:t>七</w:t>
      </w:r>
      <w:r>
        <w:rPr>
          <w:rFonts w:hint="eastAsia" w:cs="宋体" w:asciiTheme="minorEastAsia" w:hAnsiTheme="minorEastAsia"/>
          <w:b/>
          <w:color w:val="auto"/>
          <w:kern w:val="0"/>
          <w:sz w:val="28"/>
          <w:szCs w:val="28"/>
        </w:rPr>
        <w:t>、</w:t>
      </w:r>
      <w:r>
        <w:rPr>
          <w:rFonts w:hint="eastAsia" w:ascii="宋体" w:hAnsi="宋体" w:cs="宋体"/>
          <w:b/>
          <w:color w:val="000000"/>
          <w:kern w:val="0"/>
          <w:sz w:val="28"/>
          <w:szCs w:val="28"/>
          <w:lang w:val="en-US" w:eastAsia="zh-CN"/>
        </w:rPr>
        <w:t>供应商</w:t>
      </w:r>
      <w:r>
        <w:rPr>
          <w:rFonts w:hint="eastAsia" w:ascii="宋体" w:hAnsi="宋体" w:cs="宋体"/>
          <w:b/>
          <w:color w:val="000000"/>
          <w:kern w:val="0"/>
          <w:sz w:val="28"/>
          <w:szCs w:val="28"/>
        </w:rPr>
        <w:t>承担过的类似业绩</w:t>
      </w:r>
    </w:p>
    <w:p w14:paraId="6C44D1C2">
      <w:pPr>
        <w:bidi w:val="0"/>
        <w:jc w:val="center"/>
        <w:rPr>
          <w:b/>
          <w:bCs/>
          <w:sz w:val="28"/>
          <w:szCs w:val="36"/>
        </w:rPr>
      </w:pPr>
      <w:bookmarkStart w:id="321" w:name="_Toc14361"/>
      <w:r>
        <w:rPr>
          <w:rFonts w:hint="eastAsia"/>
          <w:b/>
          <w:bCs/>
          <w:sz w:val="28"/>
          <w:szCs w:val="36"/>
        </w:rPr>
        <w:t>（一）自202</w:t>
      </w:r>
      <w:r>
        <w:rPr>
          <w:rFonts w:hint="eastAsia"/>
          <w:b/>
          <w:bCs/>
          <w:sz w:val="28"/>
          <w:szCs w:val="36"/>
          <w:lang w:val="en-US" w:eastAsia="zh-CN"/>
        </w:rPr>
        <w:t>2</w:t>
      </w:r>
      <w:r>
        <w:rPr>
          <w:rFonts w:hint="eastAsia"/>
          <w:b/>
          <w:bCs/>
          <w:sz w:val="28"/>
          <w:szCs w:val="36"/>
        </w:rPr>
        <w:t>年1月1日</w:t>
      </w:r>
      <w:r>
        <w:rPr>
          <w:rFonts w:hint="eastAsia"/>
          <w:b/>
          <w:bCs/>
          <w:sz w:val="28"/>
          <w:szCs w:val="36"/>
          <w:lang w:val="en-US" w:eastAsia="zh-CN"/>
        </w:rPr>
        <w:t>已</w:t>
      </w:r>
      <w:r>
        <w:rPr>
          <w:rFonts w:hint="eastAsia"/>
          <w:b/>
          <w:bCs/>
          <w:sz w:val="28"/>
          <w:szCs w:val="36"/>
        </w:rPr>
        <w:t>完成的类似项目情况表</w:t>
      </w:r>
      <w:bookmarkEnd w:id="321"/>
    </w:p>
    <w:tbl>
      <w:tblPr>
        <w:tblStyle w:val="17"/>
        <w:tblW w:w="8457" w:type="dxa"/>
        <w:jc w:val="center"/>
        <w:tblLayout w:type="fixed"/>
        <w:tblCellMar>
          <w:top w:w="0" w:type="dxa"/>
          <w:left w:w="108" w:type="dxa"/>
          <w:bottom w:w="0" w:type="dxa"/>
          <w:right w:w="108" w:type="dxa"/>
        </w:tblCellMar>
      </w:tblPr>
      <w:tblGrid>
        <w:gridCol w:w="2213"/>
        <w:gridCol w:w="6244"/>
      </w:tblGrid>
      <w:tr w14:paraId="6D13E95C">
        <w:tblPrEx>
          <w:tblCellMar>
            <w:top w:w="0" w:type="dxa"/>
            <w:left w:w="108" w:type="dxa"/>
            <w:bottom w:w="0" w:type="dxa"/>
            <w:right w:w="108" w:type="dxa"/>
          </w:tblCellMar>
        </w:tblPrEx>
        <w:trPr>
          <w:trHeight w:val="670"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0FBC70EF">
            <w:pPr>
              <w:topLinePunct/>
              <w:spacing w:line="440" w:lineRule="exact"/>
              <w:jc w:val="center"/>
              <w:rPr>
                <w:rFonts w:ascii="宋体" w:hAnsi="宋体" w:cs="宋体"/>
                <w:sz w:val="24"/>
                <w:szCs w:val="24"/>
              </w:rPr>
            </w:pPr>
            <w:r>
              <w:rPr>
                <w:rFonts w:hint="eastAsia" w:ascii="宋体" w:hAnsi="宋体" w:cs="宋体"/>
                <w:sz w:val="24"/>
                <w:szCs w:val="24"/>
              </w:rPr>
              <w:t>项目名称</w:t>
            </w:r>
          </w:p>
        </w:tc>
        <w:tc>
          <w:tcPr>
            <w:tcW w:w="6244" w:type="dxa"/>
            <w:tcBorders>
              <w:top w:val="single" w:color="auto" w:sz="4" w:space="0"/>
              <w:left w:val="nil"/>
              <w:bottom w:val="single" w:color="auto" w:sz="4" w:space="0"/>
              <w:right w:val="single" w:color="auto" w:sz="4" w:space="0"/>
            </w:tcBorders>
          </w:tcPr>
          <w:p w14:paraId="2F58CF67">
            <w:pPr>
              <w:topLinePunct/>
              <w:spacing w:line="440" w:lineRule="exact"/>
              <w:rPr>
                <w:rFonts w:ascii="宋体" w:hAnsi="宋体" w:cs="宋体"/>
                <w:sz w:val="24"/>
                <w:szCs w:val="24"/>
                <w:highlight w:val="black"/>
              </w:rPr>
            </w:pPr>
          </w:p>
        </w:tc>
      </w:tr>
      <w:tr w14:paraId="6A2FA035">
        <w:tblPrEx>
          <w:tblCellMar>
            <w:top w:w="0" w:type="dxa"/>
            <w:left w:w="108" w:type="dxa"/>
            <w:bottom w:w="0" w:type="dxa"/>
            <w:right w:w="108" w:type="dxa"/>
          </w:tblCellMar>
        </w:tblPrEx>
        <w:trPr>
          <w:trHeight w:val="609"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344D8389">
            <w:pPr>
              <w:topLinePunct/>
              <w:spacing w:line="440" w:lineRule="exact"/>
              <w:jc w:val="center"/>
              <w:rPr>
                <w:rFonts w:ascii="宋体" w:hAnsi="宋体" w:cs="宋体"/>
                <w:sz w:val="24"/>
                <w:szCs w:val="24"/>
              </w:rPr>
            </w:pPr>
            <w:r>
              <w:rPr>
                <w:rFonts w:hint="eastAsia" w:ascii="宋体" w:hAnsi="宋体" w:cs="宋体"/>
                <w:sz w:val="24"/>
                <w:szCs w:val="24"/>
              </w:rPr>
              <w:t>项目所在地</w:t>
            </w:r>
          </w:p>
        </w:tc>
        <w:tc>
          <w:tcPr>
            <w:tcW w:w="6244" w:type="dxa"/>
            <w:tcBorders>
              <w:top w:val="single" w:color="auto" w:sz="4" w:space="0"/>
              <w:left w:val="nil"/>
              <w:bottom w:val="single" w:color="auto" w:sz="4" w:space="0"/>
              <w:right w:val="single" w:color="auto" w:sz="4" w:space="0"/>
            </w:tcBorders>
          </w:tcPr>
          <w:p w14:paraId="3B56B4AA">
            <w:pPr>
              <w:topLinePunct/>
              <w:spacing w:line="440" w:lineRule="exact"/>
              <w:rPr>
                <w:rFonts w:ascii="宋体" w:hAnsi="宋体" w:cs="宋体"/>
                <w:sz w:val="24"/>
                <w:szCs w:val="24"/>
              </w:rPr>
            </w:pPr>
          </w:p>
        </w:tc>
      </w:tr>
      <w:tr w14:paraId="29830A6C">
        <w:tblPrEx>
          <w:tblCellMar>
            <w:top w:w="0" w:type="dxa"/>
            <w:left w:w="108" w:type="dxa"/>
            <w:bottom w:w="0" w:type="dxa"/>
            <w:right w:w="108" w:type="dxa"/>
          </w:tblCellMar>
        </w:tblPrEx>
        <w:trPr>
          <w:trHeight w:val="616"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4DEC5A28">
            <w:pPr>
              <w:topLinePunct/>
              <w:spacing w:line="440" w:lineRule="exact"/>
              <w:jc w:val="center"/>
              <w:rPr>
                <w:rFonts w:ascii="宋体" w:hAnsi="宋体" w:cs="宋体"/>
                <w:sz w:val="24"/>
                <w:szCs w:val="24"/>
              </w:rPr>
            </w:pPr>
            <w:r>
              <w:rPr>
                <w:rFonts w:hint="eastAsia" w:ascii="宋体" w:hAnsi="宋体" w:cs="宋体"/>
                <w:sz w:val="24"/>
                <w:szCs w:val="24"/>
              </w:rPr>
              <w:t>采购人名称</w:t>
            </w:r>
          </w:p>
        </w:tc>
        <w:tc>
          <w:tcPr>
            <w:tcW w:w="6244" w:type="dxa"/>
            <w:tcBorders>
              <w:top w:val="single" w:color="auto" w:sz="4" w:space="0"/>
              <w:left w:val="nil"/>
              <w:bottom w:val="single" w:color="auto" w:sz="4" w:space="0"/>
              <w:right w:val="single" w:color="auto" w:sz="4" w:space="0"/>
            </w:tcBorders>
          </w:tcPr>
          <w:p w14:paraId="7AA73C5B">
            <w:pPr>
              <w:topLinePunct/>
              <w:spacing w:line="440" w:lineRule="exact"/>
              <w:rPr>
                <w:rFonts w:ascii="宋体" w:hAnsi="宋体" w:cs="宋体"/>
                <w:sz w:val="24"/>
                <w:szCs w:val="24"/>
              </w:rPr>
            </w:pPr>
          </w:p>
        </w:tc>
      </w:tr>
      <w:tr w14:paraId="038F3578">
        <w:tblPrEx>
          <w:tblCellMar>
            <w:top w:w="0" w:type="dxa"/>
            <w:left w:w="108" w:type="dxa"/>
            <w:bottom w:w="0" w:type="dxa"/>
            <w:right w:w="108" w:type="dxa"/>
          </w:tblCellMar>
        </w:tblPrEx>
        <w:trPr>
          <w:trHeight w:val="610"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0D9395F1">
            <w:pPr>
              <w:topLinePunct/>
              <w:spacing w:line="440" w:lineRule="exact"/>
              <w:jc w:val="center"/>
              <w:rPr>
                <w:rFonts w:ascii="宋体" w:hAnsi="宋体" w:cs="宋体"/>
                <w:sz w:val="24"/>
                <w:szCs w:val="24"/>
              </w:rPr>
            </w:pPr>
            <w:r>
              <w:rPr>
                <w:rFonts w:hint="eastAsia" w:ascii="宋体" w:hAnsi="宋体" w:cs="宋体"/>
                <w:sz w:val="24"/>
                <w:szCs w:val="24"/>
              </w:rPr>
              <w:t>采购人地址</w:t>
            </w:r>
          </w:p>
        </w:tc>
        <w:tc>
          <w:tcPr>
            <w:tcW w:w="6244" w:type="dxa"/>
            <w:tcBorders>
              <w:top w:val="single" w:color="auto" w:sz="4" w:space="0"/>
              <w:left w:val="nil"/>
              <w:bottom w:val="single" w:color="auto" w:sz="4" w:space="0"/>
              <w:right w:val="single" w:color="auto" w:sz="4" w:space="0"/>
            </w:tcBorders>
          </w:tcPr>
          <w:p w14:paraId="78943813">
            <w:pPr>
              <w:topLinePunct/>
              <w:spacing w:line="440" w:lineRule="exact"/>
              <w:rPr>
                <w:rFonts w:ascii="宋体" w:hAnsi="宋体" w:cs="宋体"/>
                <w:sz w:val="24"/>
                <w:szCs w:val="24"/>
              </w:rPr>
            </w:pPr>
          </w:p>
        </w:tc>
      </w:tr>
      <w:tr w14:paraId="4348BC48">
        <w:tblPrEx>
          <w:tblCellMar>
            <w:top w:w="0" w:type="dxa"/>
            <w:left w:w="108" w:type="dxa"/>
            <w:bottom w:w="0" w:type="dxa"/>
            <w:right w:w="108" w:type="dxa"/>
          </w:tblCellMar>
        </w:tblPrEx>
        <w:trPr>
          <w:trHeight w:val="618"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5567987C">
            <w:pPr>
              <w:topLinePunct/>
              <w:spacing w:line="440" w:lineRule="exact"/>
              <w:jc w:val="center"/>
              <w:rPr>
                <w:rFonts w:ascii="宋体" w:hAnsi="宋体" w:cs="宋体"/>
                <w:sz w:val="24"/>
                <w:szCs w:val="24"/>
              </w:rPr>
            </w:pPr>
            <w:r>
              <w:rPr>
                <w:rFonts w:hint="eastAsia" w:ascii="宋体" w:hAnsi="宋体" w:cs="宋体"/>
                <w:sz w:val="24"/>
                <w:szCs w:val="24"/>
              </w:rPr>
              <w:t>采购人电话</w:t>
            </w:r>
          </w:p>
        </w:tc>
        <w:tc>
          <w:tcPr>
            <w:tcW w:w="6244" w:type="dxa"/>
            <w:tcBorders>
              <w:top w:val="single" w:color="auto" w:sz="4" w:space="0"/>
              <w:left w:val="nil"/>
              <w:bottom w:val="single" w:color="auto" w:sz="4" w:space="0"/>
              <w:right w:val="single" w:color="auto" w:sz="4" w:space="0"/>
            </w:tcBorders>
          </w:tcPr>
          <w:p w14:paraId="15FCB54A">
            <w:pPr>
              <w:topLinePunct/>
              <w:spacing w:line="440" w:lineRule="exact"/>
              <w:rPr>
                <w:rFonts w:ascii="宋体" w:hAnsi="宋体" w:cs="宋体"/>
                <w:sz w:val="24"/>
                <w:szCs w:val="24"/>
              </w:rPr>
            </w:pPr>
          </w:p>
        </w:tc>
      </w:tr>
      <w:tr w14:paraId="57DB0052">
        <w:tblPrEx>
          <w:tblCellMar>
            <w:top w:w="0" w:type="dxa"/>
            <w:left w:w="108" w:type="dxa"/>
            <w:bottom w:w="0" w:type="dxa"/>
            <w:right w:w="108" w:type="dxa"/>
          </w:tblCellMar>
        </w:tblPrEx>
        <w:trPr>
          <w:trHeight w:val="612"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7A04531E">
            <w:pPr>
              <w:topLinePunct/>
              <w:spacing w:line="440" w:lineRule="exact"/>
              <w:jc w:val="center"/>
              <w:rPr>
                <w:rFonts w:ascii="宋体" w:hAnsi="宋体" w:cs="宋体"/>
                <w:sz w:val="24"/>
                <w:szCs w:val="24"/>
              </w:rPr>
            </w:pPr>
            <w:r>
              <w:rPr>
                <w:rFonts w:hint="eastAsia" w:ascii="宋体" w:hAnsi="宋体" w:cs="宋体"/>
                <w:sz w:val="24"/>
                <w:szCs w:val="24"/>
              </w:rPr>
              <w:t>合同价格</w:t>
            </w:r>
          </w:p>
        </w:tc>
        <w:tc>
          <w:tcPr>
            <w:tcW w:w="6244" w:type="dxa"/>
            <w:tcBorders>
              <w:top w:val="single" w:color="auto" w:sz="4" w:space="0"/>
              <w:left w:val="nil"/>
              <w:bottom w:val="single" w:color="auto" w:sz="4" w:space="0"/>
              <w:right w:val="single" w:color="auto" w:sz="4" w:space="0"/>
            </w:tcBorders>
          </w:tcPr>
          <w:p w14:paraId="750EAF0F">
            <w:pPr>
              <w:topLinePunct/>
              <w:spacing w:line="440" w:lineRule="exact"/>
              <w:rPr>
                <w:rFonts w:ascii="宋体" w:hAnsi="宋体" w:cs="宋体"/>
                <w:sz w:val="24"/>
                <w:szCs w:val="24"/>
              </w:rPr>
            </w:pPr>
          </w:p>
        </w:tc>
      </w:tr>
      <w:tr w14:paraId="3553803C">
        <w:tblPrEx>
          <w:tblCellMar>
            <w:top w:w="0" w:type="dxa"/>
            <w:left w:w="108" w:type="dxa"/>
            <w:bottom w:w="0" w:type="dxa"/>
            <w:right w:w="108" w:type="dxa"/>
          </w:tblCellMar>
        </w:tblPrEx>
        <w:trPr>
          <w:trHeight w:val="612"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5FEA5A44">
            <w:pPr>
              <w:topLinePunct/>
              <w:spacing w:line="440" w:lineRule="exact"/>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开、竣工日期</w:t>
            </w:r>
          </w:p>
        </w:tc>
        <w:tc>
          <w:tcPr>
            <w:tcW w:w="6244" w:type="dxa"/>
            <w:tcBorders>
              <w:top w:val="single" w:color="auto" w:sz="4" w:space="0"/>
              <w:left w:val="nil"/>
              <w:bottom w:val="single" w:color="auto" w:sz="4" w:space="0"/>
              <w:right w:val="single" w:color="auto" w:sz="4" w:space="0"/>
            </w:tcBorders>
          </w:tcPr>
          <w:p w14:paraId="6A582DE0">
            <w:pPr>
              <w:topLinePunct/>
              <w:spacing w:line="440" w:lineRule="exact"/>
              <w:rPr>
                <w:rFonts w:ascii="宋体" w:hAnsi="宋体" w:cs="宋体"/>
                <w:sz w:val="24"/>
                <w:szCs w:val="24"/>
              </w:rPr>
            </w:pPr>
          </w:p>
        </w:tc>
      </w:tr>
      <w:tr w14:paraId="5B35D2DF">
        <w:tblPrEx>
          <w:tblCellMar>
            <w:top w:w="0" w:type="dxa"/>
            <w:left w:w="108" w:type="dxa"/>
            <w:bottom w:w="0" w:type="dxa"/>
            <w:right w:w="108" w:type="dxa"/>
          </w:tblCellMar>
        </w:tblPrEx>
        <w:trPr>
          <w:trHeight w:val="629"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5149BE56">
            <w:pPr>
              <w:topLinePunct/>
              <w:spacing w:line="440" w:lineRule="exact"/>
              <w:jc w:val="center"/>
              <w:rPr>
                <w:rFonts w:hint="eastAsia" w:ascii="宋体" w:hAnsi="宋体" w:cs="宋体" w:eastAsiaTheme="minorEastAsia"/>
                <w:sz w:val="24"/>
                <w:szCs w:val="24"/>
                <w:lang w:eastAsia="zh-CN"/>
              </w:rPr>
            </w:pPr>
            <w:r>
              <w:rPr>
                <w:rFonts w:hint="eastAsia" w:ascii="宋体" w:hAnsi="宋体" w:cs="宋体"/>
                <w:sz w:val="24"/>
                <w:szCs w:val="24"/>
                <w:lang w:val="en-US" w:eastAsia="zh-CN"/>
              </w:rPr>
              <w:t>工程质量</w:t>
            </w:r>
          </w:p>
        </w:tc>
        <w:tc>
          <w:tcPr>
            <w:tcW w:w="6244" w:type="dxa"/>
            <w:tcBorders>
              <w:top w:val="single" w:color="auto" w:sz="4" w:space="0"/>
              <w:left w:val="nil"/>
              <w:bottom w:val="single" w:color="auto" w:sz="4" w:space="0"/>
              <w:right w:val="single" w:color="auto" w:sz="4" w:space="0"/>
            </w:tcBorders>
            <w:vAlign w:val="center"/>
          </w:tcPr>
          <w:p w14:paraId="0BB1A117">
            <w:pPr>
              <w:topLinePunct/>
              <w:spacing w:line="440" w:lineRule="exact"/>
              <w:jc w:val="center"/>
              <w:rPr>
                <w:rFonts w:ascii="宋体" w:hAnsi="宋体" w:cs="宋体"/>
                <w:sz w:val="24"/>
                <w:szCs w:val="24"/>
              </w:rPr>
            </w:pPr>
          </w:p>
        </w:tc>
      </w:tr>
      <w:tr w14:paraId="57C3C709">
        <w:tblPrEx>
          <w:tblCellMar>
            <w:top w:w="0" w:type="dxa"/>
            <w:left w:w="108" w:type="dxa"/>
            <w:bottom w:w="0" w:type="dxa"/>
            <w:right w:w="108" w:type="dxa"/>
          </w:tblCellMar>
        </w:tblPrEx>
        <w:trPr>
          <w:trHeight w:val="629"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1CD3C199">
            <w:pPr>
              <w:topLinePunct/>
              <w:spacing w:line="440" w:lineRule="exact"/>
              <w:jc w:val="center"/>
              <w:rPr>
                <w:rFonts w:hint="default" w:ascii="宋体" w:hAnsi="宋体" w:cs="宋体"/>
                <w:sz w:val="24"/>
                <w:szCs w:val="24"/>
                <w:lang w:val="en-US" w:eastAsia="zh-CN"/>
              </w:rPr>
            </w:pPr>
            <w:r>
              <w:rPr>
                <w:rFonts w:hint="eastAsia" w:ascii="宋体" w:hAnsi="宋体" w:cs="宋体"/>
                <w:sz w:val="24"/>
                <w:szCs w:val="24"/>
                <w:lang w:val="en-US" w:eastAsia="zh-CN"/>
              </w:rPr>
              <w:t>项目负责人</w:t>
            </w:r>
          </w:p>
        </w:tc>
        <w:tc>
          <w:tcPr>
            <w:tcW w:w="6244" w:type="dxa"/>
            <w:tcBorders>
              <w:top w:val="single" w:color="auto" w:sz="4" w:space="0"/>
              <w:left w:val="nil"/>
              <w:bottom w:val="single" w:color="auto" w:sz="4" w:space="0"/>
              <w:right w:val="single" w:color="auto" w:sz="4" w:space="0"/>
            </w:tcBorders>
            <w:vAlign w:val="center"/>
          </w:tcPr>
          <w:p w14:paraId="04862D7D">
            <w:pPr>
              <w:topLinePunct/>
              <w:spacing w:line="440" w:lineRule="exact"/>
              <w:jc w:val="center"/>
              <w:rPr>
                <w:rFonts w:ascii="宋体" w:hAnsi="宋体" w:cs="宋体"/>
                <w:sz w:val="24"/>
                <w:szCs w:val="24"/>
              </w:rPr>
            </w:pPr>
          </w:p>
        </w:tc>
      </w:tr>
      <w:tr w14:paraId="448416F1">
        <w:tblPrEx>
          <w:tblCellMar>
            <w:top w:w="0" w:type="dxa"/>
            <w:left w:w="108" w:type="dxa"/>
            <w:bottom w:w="0" w:type="dxa"/>
            <w:right w:w="108" w:type="dxa"/>
          </w:tblCellMar>
        </w:tblPrEx>
        <w:trPr>
          <w:trHeight w:val="2480"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22C527C8">
            <w:pPr>
              <w:topLinePunct/>
              <w:spacing w:line="440" w:lineRule="exact"/>
              <w:jc w:val="center"/>
              <w:rPr>
                <w:rFonts w:hint="eastAsia" w:ascii="宋体" w:hAnsi="宋体" w:cs="宋体" w:eastAsiaTheme="minorEastAsia"/>
                <w:sz w:val="24"/>
                <w:szCs w:val="24"/>
                <w:lang w:eastAsia="zh-CN"/>
              </w:rPr>
            </w:pPr>
            <w:r>
              <w:rPr>
                <w:rFonts w:hint="eastAsia" w:ascii="宋体" w:hAnsi="宋体" w:cs="宋体"/>
                <w:sz w:val="24"/>
                <w:szCs w:val="24"/>
                <w:lang w:val="en-US" w:eastAsia="zh-CN"/>
              </w:rPr>
              <w:t>项目描述</w:t>
            </w:r>
          </w:p>
        </w:tc>
        <w:tc>
          <w:tcPr>
            <w:tcW w:w="6244" w:type="dxa"/>
            <w:tcBorders>
              <w:top w:val="single" w:color="auto" w:sz="4" w:space="0"/>
              <w:left w:val="nil"/>
              <w:bottom w:val="single" w:color="auto" w:sz="4" w:space="0"/>
              <w:right w:val="single" w:color="auto" w:sz="4" w:space="0"/>
            </w:tcBorders>
          </w:tcPr>
          <w:p w14:paraId="03DB1383">
            <w:pPr>
              <w:topLinePunct/>
              <w:spacing w:line="440" w:lineRule="exact"/>
              <w:rPr>
                <w:rFonts w:ascii="宋体" w:hAnsi="宋体" w:cs="宋体"/>
                <w:sz w:val="24"/>
                <w:szCs w:val="24"/>
              </w:rPr>
            </w:pPr>
          </w:p>
        </w:tc>
      </w:tr>
      <w:tr w14:paraId="0DCFE072">
        <w:tblPrEx>
          <w:tblCellMar>
            <w:top w:w="0" w:type="dxa"/>
            <w:left w:w="108" w:type="dxa"/>
            <w:bottom w:w="0" w:type="dxa"/>
            <w:right w:w="108" w:type="dxa"/>
          </w:tblCellMar>
        </w:tblPrEx>
        <w:trPr>
          <w:trHeight w:val="626"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1253D27A">
            <w:pPr>
              <w:topLinePunct/>
              <w:spacing w:line="440" w:lineRule="exact"/>
              <w:jc w:val="center"/>
              <w:rPr>
                <w:rFonts w:ascii="宋体" w:hAnsi="宋体" w:cs="宋体"/>
                <w:sz w:val="24"/>
                <w:szCs w:val="24"/>
              </w:rPr>
            </w:pPr>
            <w:r>
              <w:rPr>
                <w:rFonts w:hint="eastAsia" w:ascii="宋体" w:hAnsi="宋体" w:cs="宋体"/>
                <w:sz w:val="24"/>
                <w:szCs w:val="24"/>
              </w:rPr>
              <w:t>备注</w:t>
            </w:r>
          </w:p>
        </w:tc>
        <w:tc>
          <w:tcPr>
            <w:tcW w:w="6244" w:type="dxa"/>
            <w:tcBorders>
              <w:top w:val="single" w:color="auto" w:sz="4" w:space="0"/>
              <w:left w:val="nil"/>
              <w:bottom w:val="single" w:color="auto" w:sz="4" w:space="0"/>
              <w:right w:val="single" w:color="auto" w:sz="4" w:space="0"/>
            </w:tcBorders>
          </w:tcPr>
          <w:p w14:paraId="4673BE4B">
            <w:pPr>
              <w:topLinePunct/>
              <w:spacing w:line="440" w:lineRule="exact"/>
              <w:rPr>
                <w:rFonts w:ascii="宋体" w:hAnsi="宋体" w:cs="宋体"/>
                <w:sz w:val="24"/>
                <w:szCs w:val="24"/>
              </w:rPr>
            </w:pPr>
          </w:p>
        </w:tc>
      </w:tr>
    </w:tbl>
    <w:p w14:paraId="1EFCECAB">
      <w:pPr>
        <w:spacing w:line="360" w:lineRule="auto"/>
        <w:rPr>
          <w:rFonts w:hint="eastAsia" w:ascii="宋体" w:hAnsi="宋体"/>
          <w:b/>
          <w:bCs/>
          <w:sz w:val="24"/>
          <w:szCs w:val="24"/>
          <w:lang w:val="en-US" w:eastAsia="zh-CN"/>
        </w:rPr>
      </w:pPr>
      <w:r>
        <w:rPr>
          <w:rFonts w:hint="eastAsia" w:ascii="宋体" w:hAnsi="宋体"/>
          <w:b/>
          <w:bCs/>
          <w:sz w:val="24"/>
          <w:szCs w:val="24"/>
          <w:lang w:val="en-US" w:eastAsia="zh-CN"/>
        </w:rPr>
        <w:t>注：1、响应文件中须提供中标通知书或合同扫描件，以合同签订时间为准</w:t>
      </w:r>
    </w:p>
    <w:p w14:paraId="040750AB">
      <w:pPr>
        <w:spacing w:line="360" w:lineRule="auto"/>
        <w:ind w:firstLine="482" w:firstLineChars="200"/>
        <w:rPr>
          <w:rFonts w:hint="eastAsia" w:ascii="宋体" w:hAnsi="宋体"/>
          <w:b/>
          <w:bCs/>
          <w:sz w:val="24"/>
          <w:szCs w:val="24"/>
        </w:rPr>
      </w:pPr>
      <w:r>
        <w:rPr>
          <w:rFonts w:hint="eastAsia" w:ascii="宋体" w:hAnsi="宋体"/>
          <w:b/>
          <w:bCs/>
          <w:sz w:val="24"/>
          <w:szCs w:val="24"/>
        </w:rPr>
        <w:t>2、每张表格只填写一个项目</w:t>
      </w:r>
      <w:r>
        <w:rPr>
          <w:rFonts w:hint="eastAsia" w:ascii="宋体" w:hAnsi="宋体"/>
          <w:b/>
          <w:bCs/>
          <w:sz w:val="24"/>
          <w:szCs w:val="24"/>
          <w:lang w:val="en-US" w:eastAsia="zh-CN"/>
        </w:rPr>
        <w:t>并标明序号</w:t>
      </w:r>
      <w:r>
        <w:rPr>
          <w:rFonts w:hint="eastAsia" w:ascii="宋体" w:hAnsi="宋体"/>
          <w:b/>
          <w:bCs/>
          <w:sz w:val="24"/>
          <w:szCs w:val="24"/>
        </w:rPr>
        <w:t>。</w:t>
      </w:r>
    </w:p>
    <w:p w14:paraId="4D426EC0">
      <w:pPr>
        <w:pStyle w:val="10"/>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5961E3D3">
      <w:pPr>
        <w:keepNext w:val="0"/>
        <w:keepLines w:val="0"/>
        <w:pageBreakBefore w:val="0"/>
        <w:kinsoku/>
        <w:wordWrap/>
        <w:overflowPunct/>
        <w:topLinePunct w:val="0"/>
        <w:autoSpaceDE/>
        <w:autoSpaceDN/>
        <w:bidi w:val="0"/>
        <w:adjustRightInd/>
        <w:snapToGrid w:val="0"/>
        <w:spacing w:line="360" w:lineRule="auto"/>
        <w:ind w:firstLine="480" w:firstLineChars="200"/>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lang w:val="en-US" w:eastAsia="zh-CN"/>
        </w:rPr>
        <w:t xml:space="preserve">                </w:t>
      </w:r>
      <w:r>
        <w:rPr>
          <w:rFonts w:cs="宋体" w:asciiTheme="minorEastAsia" w:hAnsiTheme="minorEastAsia"/>
          <w:color w:val="auto"/>
          <w:sz w:val="24"/>
          <w:szCs w:val="24"/>
        </w:rPr>
        <w:t>供应商：</w:t>
      </w:r>
      <w:r>
        <w:rPr>
          <w:rFonts w:hint="eastAsia" w:cs="宋体" w:asciiTheme="minorEastAsia" w:hAnsiTheme="minorEastAsia"/>
          <w:color w:val="auto"/>
          <w:sz w:val="24"/>
          <w:szCs w:val="24"/>
          <w:u w:val="single"/>
          <w:lang w:val="en-US" w:eastAsia="zh-CN"/>
        </w:rPr>
        <w:t xml:space="preserve">                       </w:t>
      </w:r>
      <w:r>
        <w:rPr>
          <w:rFonts w:hint="eastAsia" w:ascii="宋体" w:hAnsi="宋体" w:cs="宋体"/>
          <w:kern w:val="0"/>
          <w:sz w:val="24"/>
        </w:rPr>
        <w:t>（电子签章）</w:t>
      </w:r>
    </w:p>
    <w:p w14:paraId="29320D06">
      <w:pPr>
        <w:pStyle w:val="16"/>
        <w:spacing w:line="360" w:lineRule="auto"/>
        <w:ind w:firstLine="2400" w:firstLineChars="1000"/>
        <w:rPr>
          <w:sz w:val="24"/>
          <w:szCs w:val="24"/>
        </w:rPr>
      </w:pPr>
      <w:r>
        <w:rPr>
          <w:rFonts w:cs="宋体" w:asciiTheme="minorEastAsia" w:hAnsiTheme="minorEastAsia"/>
          <w:color w:val="auto"/>
          <w:sz w:val="24"/>
          <w:szCs w:val="24"/>
        </w:rPr>
        <w:t>法定代表人：</w:t>
      </w:r>
      <w:r>
        <w:rPr>
          <w:rFonts w:hint="eastAsia" w:cs="宋体" w:asciiTheme="minorEastAsia" w:hAnsiTheme="minorEastAsia"/>
          <w:color w:val="auto"/>
          <w:sz w:val="24"/>
          <w:szCs w:val="24"/>
          <w:u w:val="single"/>
          <w:lang w:val="en-US" w:eastAsia="zh-CN"/>
        </w:rPr>
        <w:t xml:space="preserve">                 </w:t>
      </w:r>
      <w:r>
        <w:rPr>
          <w:rFonts w:hint="eastAsia" w:cs="宋体" w:asciiTheme="minorEastAsia" w:hAnsiTheme="minorEastAsia"/>
          <w:color w:val="auto"/>
          <w:sz w:val="24"/>
          <w:szCs w:val="24"/>
        </w:rPr>
        <w:t>（</w:t>
      </w:r>
      <w:r>
        <w:rPr>
          <w:rFonts w:hint="eastAsia" w:cs="宋体" w:asciiTheme="minorEastAsia" w:hAnsiTheme="minorEastAsia"/>
          <w:color w:val="auto"/>
          <w:sz w:val="24"/>
          <w:szCs w:val="24"/>
          <w:lang w:val="en-US" w:eastAsia="zh-CN"/>
        </w:rPr>
        <w:t>签</w:t>
      </w:r>
      <w:r>
        <w:rPr>
          <w:rFonts w:hint="eastAsia" w:cs="宋体" w:asciiTheme="minorEastAsia" w:hAnsiTheme="minorEastAsia"/>
          <w:color w:val="auto"/>
          <w:sz w:val="24"/>
          <w:szCs w:val="24"/>
        </w:rPr>
        <w:t>章）</w:t>
      </w:r>
    </w:p>
    <w:p w14:paraId="31DC10BC">
      <w:pPr>
        <w:pStyle w:val="16"/>
        <w:spacing w:line="360" w:lineRule="auto"/>
        <w:ind w:firstLine="2400" w:firstLineChars="1000"/>
        <w:rPr>
          <w:rFonts w:hint="eastAsia"/>
          <w:sz w:val="24"/>
          <w:szCs w:val="24"/>
        </w:rPr>
      </w:pPr>
      <w:r>
        <w:rPr>
          <w:rFonts w:hint="eastAsia" w:ascii="宋体" w:hAnsi="宋体" w:eastAsia="宋体" w:cs="宋体"/>
          <w:color w:val="auto"/>
          <w:kern w:val="0"/>
          <w:sz w:val="24"/>
          <w:szCs w:val="24"/>
        </w:rPr>
        <w:t xml:space="preserve">日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期：</w:t>
      </w:r>
      <w:r>
        <w:rPr>
          <w:rFonts w:hint="eastAsia" w:cs="宋体" w:asciiTheme="minorEastAsia" w:hAnsiTheme="minorEastAsia"/>
          <w:color w:val="auto"/>
          <w:sz w:val="24"/>
          <w:szCs w:val="24"/>
          <w:u w:val="single"/>
          <w:lang w:val="en-US" w:eastAsia="zh-CN"/>
        </w:rPr>
        <w:t xml:space="preserve">      </w:t>
      </w:r>
      <w:r>
        <w:rPr>
          <w:rFonts w:hint="eastAsia" w:ascii="宋体" w:hAnsi="宋体" w:eastAsia="宋体" w:cs="宋体"/>
          <w:color w:val="auto"/>
          <w:kern w:val="0"/>
          <w:sz w:val="24"/>
          <w:szCs w:val="24"/>
        </w:rPr>
        <w:t>年</w:t>
      </w:r>
      <w:r>
        <w:rPr>
          <w:rFonts w:hint="eastAsia" w:cs="宋体" w:asciiTheme="minorEastAsia" w:hAnsiTheme="minorEastAsia"/>
          <w:color w:val="auto"/>
          <w:sz w:val="24"/>
          <w:szCs w:val="24"/>
          <w:u w:val="single"/>
          <w:lang w:val="en-US" w:eastAsia="zh-CN"/>
        </w:rPr>
        <w:t xml:space="preserve">      </w:t>
      </w:r>
      <w:r>
        <w:rPr>
          <w:rFonts w:hint="eastAsia" w:ascii="宋体" w:hAnsi="宋体" w:eastAsia="宋体" w:cs="宋体"/>
          <w:color w:val="auto"/>
          <w:kern w:val="0"/>
          <w:sz w:val="24"/>
          <w:szCs w:val="24"/>
        </w:rPr>
        <w:t>月</w:t>
      </w:r>
      <w:r>
        <w:rPr>
          <w:rFonts w:hint="eastAsia" w:cs="宋体" w:asciiTheme="minorEastAsia" w:hAnsiTheme="minorEastAsia"/>
          <w:color w:val="auto"/>
          <w:sz w:val="24"/>
          <w:szCs w:val="24"/>
          <w:u w:val="single"/>
          <w:lang w:val="en-US" w:eastAsia="zh-CN"/>
        </w:rPr>
        <w:t xml:space="preserve">      </w:t>
      </w:r>
      <w:r>
        <w:rPr>
          <w:rFonts w:hint="eastAsia" w:ascii="宋体" w:hAnsi="宋体" w:eastAsia="宋体" w:cs="宋体"/>
          <w:color w:val="auto"/>
          <w:kern w:val="0"/>
          <w:sz w:val="24"/>
          <w:szCs w:val="24"/>
        </w:rPr>
        <w:t>日</w:t>
      </w:r>
    </w:p>
    <w:p w14:paraId="5223C830">
      <w:pPr>
        <w:pStyle w:val="16"/>
        <w:spacing w:line="360" w:lineRule="auto"/>
        <w:ind w:firstLine="2400" w:firstLineChars="1000"/>
        <w:rPr>
          <w:rFonts w:hint="eastAsia" w:ascii="宋体" w:hAnsi="宋体" w:eastAsia="宋体" w:cs="宋体"/>
          <w:color w:val="auto"/>
          <w:kern w:val="0"/>
          <w:sz w:val="24"/>
          <w:szCs w:val="24"/>
        </w:rPr>
      </w:pPr>
    </w:p>
    <w:p w14:paraId="203BC0E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b/>
          <w:color w:val="auto"/>
          <w:kern w:val="0"/>
          <w:sz w:val="28"/>
          <w:szCs w:val="28"/>
        </w:rPr>
      </w:pPr>
      <w:r>
        <w:rPr>
          <w:rFonts w:hint="eastAsia" w:cs="宋体" w:asciiTheme="minorEastAsia" w:hAnsiTheme="minorEastAsia"/>
          <w:b/>
          <w:color w:val="auto"/>
          <w:kern w:val="0"/>
          <w:sz w:val="28"/>
          <w:szCs w:val="28"/>
          <w:lang w:val="en-US" w:eastAsia="zh-CN"/>
        </w:rPr>
        <w:t>九</w:t>
      </w:r>
      <w:r>
        <w:rPr>
          <w:rFonts w:hint="eastAsia" w:cs="宋体" w:asciiTheme="minorEastAsia" w:hAnsiTheme="minorEastAsia"/>
          <w:b/>
          <w:color w:val="auto"/>
          <w:kern w:val="0"/>
          <w:sz w:val="28"/>
          <w:szCs w:val="28"/>
        </w:rPr>
        <w:t>、</w:t>
      </w:r>
      <w:r>
        <w:rPr>
          <w:rFonts w:hint="eastAsia" w:cs="Times New Roman" w:asciiTheme="minorEastAsia" w:hAnsiTheme="minorEastAsia"/>
          <w:b/>
          <w:bCs/>
          <w:color w:val="auto"/>
          <w:kern w:val="0"/>
          <w:sz w:val="28"/>
          <w:szCs w:val="28"/>
          <w:lang w:val="en-US" w:eastAsia="zh-CN"/>
        </w:rPr>
        <w:t>供应商</w:t>
      </w:r>
      <w:r>
        <w:rPr>
          <w:rFonts w:hint="eastAsia" w:cs="Times New Roman" w:asciiTheme="minorEastAsia" w:hAnsiTheme="minorEastAsia"/>
          <w:b/>
          <w:bCs/>
          <w:color w:val="auto"/>
          <w:kern w:val="0"/>
          <w:sz w:val="28"/>
          <w:szCs w:val="28"/>
        </w:rPr>
        <w:t>认为需要提供的其他材料</w:t>
      </w:r>
    </w:p>
    <w:p w14:paraId="1C4EF5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p>
    <w:p w14:paraId="4720BE07">
      <w:pPr>
        <w:widowControl/>
        <w:kinsoku/>
        <w:overflowPunct/>
        <w:topLinePunct w:val="0"/>
        <w:bidi w:val="0"/>
        <w:spacing w:line="360" w:lineRule="auto"/>
        <w:ind w:firstLine="562"/>
        <w:textAlignment w:val="auto"/>
        <w:outlineLvl w:val="9"/>
        <w:rPr>
          <w:rFonts w:cs="Times New Roman" w:asciiTheme="minorEastAsia" w:hAnsiTheme="minorEastAsia"/>
          <w:b/>
          <w:bCs/>
          <w:color w:val="auto"/>
          <w:kern w:val="0"/>
          <w:sz w:val="28"/>
          <w:szCs w:val="28"/>
        </w:rPr>
      </w:pPr>
    </w:p>
    <w:p w14:paraId="59E9EAFD">
      <w:pPr>
        <w:widowControl/>
        <w:kinsoku/>
        <w:overflowPunct/>
        <w:topLinePunct w:val="0"/>
        <w:bidi w:val="0"/>
        <w:spacing w:line="360" w:lineRule="auto"/>
        <w:jc w:val="center"/>
        <w:textAlignment w:val="auto"/>
        <w:outlineLvl w:val="9"/>
        <w:rPr>
          <w:rFonts w:cs="Times New Roman" w:asciiTheme="minorEastAsia" w:hAnsiTheme="minorEastAsia"/>
          <w:color w:val="auto"/>
          <w:kern w:val="0"/>
          <w:sz w:val="28"/>
          <w:szCs w:val="28"/>
        </w:rPr>
      </w:pPr>
    </w:p>
    <w:p w14:paraId="0D22F9E8">
      <w:pPr>
        <w:widowControl/>
        <w:kinsoku/>
        <w:overflowPunct/>
        <w:topLinePunct w:val="0"/>
        <w:bidi w:val="0"/>
        <w:spacing w:line="360" w:lineRule="auto"/>
        <w:jc w:val="center"/>
        <w:textAlignment w:val="auto"/>
        <w:outlineLvl w:val="9"/>
        <w:rPr>
          <w:rFonts w:cs="Times New Roman" w:asciiTheme="minorEastAsia" w:hAnsiTheme="minorEastAsia"/>
          <w:color w:val="auto"/>
          <w:kern w:val="0"/>
          <w:sz w:val="28"/>
          <w:szCs w:val="28"/>
        </w:rPr>
      </w:pPr>
    </w:p>
    <w:p w14:paraId="7C05FECC">
      <w:pPr>
        <w:widowControl/>
        <w:kinsoku/>
        <w:overflowPunct/>
        <w:topLinePunct w:val="0"/>
        <w:bidi w:val="0"/>
        <w:ind w:firstLine="560"/>
        <w:jc w:val="center"/>
        <w:textAlignment w:val="auto"/>
        <w:outlineLvl w:val="9"/>
        <w:rPr>
          <w:rFonts w:asciiTheme="minorEastAsia" w:hAnsiTheme="minorEastAsia"/>
          <w:color w:val="auto"/>
        </w:rPr>
      </w:pPr>
    </w:p>
    <w:p w14:paraId="2A66F445">
      <w:pPr>
        <w:pStyle w:val="9"/>
        <w:kinsoku/>
        <w:overflowPunct/>
        <w:topLinePunct w:val="0"/>
        <w:bidi w:val="0"/>
        <w:ind w:firstLine="400"/>
        <w:textAlignment w:val="auto"/>
        <w:outlineLvl w:val="9"/>
        <w:rPr>
          <w:rFonts w:asciiTheme="minorEastAsia" w:hAnsiTheme="minorEastAsia" w:eastAsiaTheme="minorEastAsia"/>
          <w:color w:val="auto"/>
        </w:rPr>
      </w:pPr>
    </w:p>
    <w:p w14:paraId="0FAF0886">
      <w:pPr>
        <w:pStyle w:val="9"/>
        <w:kinsoku/>
        <w:overflowPunct/>
        <w:topLinePunct w:val="0"/>
        <w:bidi w:val="0"/>
        <w:ind w:firstLine="400"/>
        <w:textAlignment w:val="auto"/>
        <w:outlineLvl w:val="9"/>
        <w:rPr>
          <w:rFonts w:asciiTheme="minorEastAsia" w:hAnsiTheme="minorEastAsia" w:eastAsiaTheme="minorEastAsia"/>
          <w:color w:val="auto"/>
        </w:rPr>
      </w:pPr>
    </w:p>
    <w:p w14:paraId="565C8627">
      <w:pPr>
        <w:pStyle w:val="9"/>
        <w:kinsoku/>
        <w:overflowPunct/>
        <w:topLinePunct w:val="0"/>
        <w:bidi w:val="0"/>
        <w:ind w:firstLine="400"/>
        <w:textAlignment w:val="auto"/>
        <w:outlineLvl w:val="9"/>
        <w:rPr>
          <w:rFonts w:asciiTheme="minorEastAsia" w:hAnsiTheme="minorEastAsia" w:eastAsiaTheme="minorEastAsia"/>
          <w:color w:val="auto"/>
        </w:rPr>
      </w:pPr>
    </w:p>
    <w:p w14:paraId="6EBF7F1C">
      <w:pPr>
        <w:pStyle w:val="9"/>
        <w:kinsoku/>
        <w:overflowPunct/>
        <w:topLinePunct w:val="0"/>
        <w:bidi w:val="0"/>
        <w:ind w:firstLine="400"/>
        <w:textAlignment w:val="auto"/>
        <w:outlineLvl w:val="9"/>
        <w:rPr>
          <w:rFonts w:asciiTheme="minorEastAsia" w:hAnsiTheme="minorEastAsia" w:eastAsiaTheme="minorEastAsia"/>
          <w:color w:val="auto"/>
        </w:rPr>
      </w:pPr>
    </w:p>
    <w:p w14:paraId="145CD849">
      <w:pPr>
        <w:pStyle w:val="9"/>
        <w:kinsoku/>
        <w:overflowPunct/>
        <w:topLinePunct w:val="0"/>
        <w:bidi w:val="0"/>
        <w:ind w:firstLine="400"/>
        <w:textAlignment w:val="auto"/>
        <w:outlineLvl w:val="9"/>
        <w:rPr>
          <w:rFonts w:asciiTheme="minorEastAsia" w:hAnsiTheme="minorEastAsia" w:eastAsiaTheme="minorEastAsia"/>
          <w:color w:val="auto"/>
        </w:rPr>
      </w:pPr>
    </w:p>
    <w:p w14:paraId="32C47C0B">
      <w:pPr>
        <w:pStyle w:val="9"/>
        <w:kinsoku/>
        <w:overflowPunct/>
        <w:topLinePunct w:val="0"/>
        <w:bidi w:val="0"/>
        <w:ind w:firstLine="400"/>
        <w:textAlignment w:val="auto"/>
        <w:outlineLvl w:val="9"/>
        <w:rPr>
          <w:rFonts w:asciiTheme="minorEastAsia" w:hAnsiTheme="minorEastAsia" w:eastAsiaTheme="minorEastAsia"/>
          <w:color w:val="auto"/>
        </w:rPr>
      </w:pPr>
    </w:p>
    <w:p w14:paraId="57387ADF">
      <w:pPr>
        <w:pStyle w:val="9"/>
        <w:kinsoku/>
        <w:overflowPunct/>
        <w:topLinePunct w:val="0"/>
        <w:bidi w:val="0"/>
        <w:ind w:firstLine="400"/>
        <w:textAlignment w:val="auto"/>
        <w:outlineLvl w:val="9"/>
        <w:rPr>
          <w:rFonts w:asciiTheme="minorEastAsia" w:hAnsiTheme="minorEastAsia" w:eastAsiaTheme="minorEastAsia"/>
          <w:color w:val="auto"/>
        </w:rPr>
      </w:pPr>
    </w:p>
    <w:p w14:paraId="6953C5C2">
      <w:pPr>
        <w:pStyle w:val="9"/>
        <w:kinsoku/>
        <w:overflowPunct/>
        <w:topLinePunct w:val="0"/>
        <w:bidi w:val="0"/>
        <w:ind w:firstLine="400"/>
        <w:textAlignment w:val="auto"/>
        <w:outlineLvl w:val="9"/>
        <w:rPr>
          <w:rFonts w:asciiTheme="minorEastAsia" w:hAnsiTheme="minorEastAsia" w:eastAsiaTheme="minorEastAsia"/>
          <w:color w:val="auto"/>
        </w:rPr>
      </w:pPr>
    </w:p>
    <w:p w14:paraId="4D0A06CB">
      <w:pPr>
        <w:pStyle w:val="9"/>
        <w:kinsoku/>
        <w:overflowPunct/>
        <w:topLinePunct w:val="0"/>
        <w:bidi w:val="0"/>
        <w:ind w:firstLine="400"/>
        <w:textAlignment w:val="auto"/>
        <w:outlineLvl w:val="9"/>
        <w:rPr>
          <w:rFonts w:asciiTheme="minorEastAsia" w:hAnsiTheme="minorEastAsia" w:eastAsiaTheme="minorEastAsia"/>
          <w:color w:val="auto"/>
        </w:rPr>
      </w:pPr>
    </w:p>
    <w:p w14:paraId="5CB0994E">
      <w:pPr>
        <w:pStyle w:val="9"/>
        <w:kinsoku/>
        <w:overflowPunct/>
        <w:topLinePunct w:val="0"/>
        <w:bidi w:val="0"/>
        <w:ind w:firstLine="400"/>
        <w:textAlignment w:val="auto"/>
        <w:outlineLvl w:val="9"/>
        <w:rPr>
          <w:rFonts w:asciiTheme="minorEastAsia" w:hAnsiTheme="minorEastAsia" w:eastAsiaTheme="minorEastAsia"/>
          <w:color w:val="auto"/>
        </w:rPr>
      </w:pPr>
    </w:p>
    <w:p w14:paraId="0550CFCB">
      <w:pPr>
        <w:pStyle w:val="9"/>
        <w:kinsoku/>
        <w:overflowPunct/>
        <w:topLinePunct w:val="0"/>
        <w:bidi w:val="0"/>
        <w:ind w:firstLine="400"/>
        <w:textAlignment w:val="auto"/>
        <w:outlineLvl w:val="9"/>
        <w:rPr>
          <w:rFonts w:asciiTheme="minorEastAsia" w:hAnsiTheme="minorEastAsia" w:eastAsiaTheme="minorEastAsia"/>
          <w:color w:val="auto"/>
        </w:rPr>
      </w:pPr>
    </w:p>
    <w:p w14:paraId="791C7AB2">
      <w:pPr>
        <w:pStyle w:val="9"/>
        <w:kinsoku/>
        <w:overflowPunct/>
        <w:topLinePunct w:val="0"/>
        <w:bidi w:val="0"/>
        <w:ind w:firstLine="400"/>
        <w:textAlignment w:val="auto"/>
        <w:outlineLvl w:val="9"/>
        <w:rPr>
          <w:rFonts w:asciiTheme="minorEastAsia" w:hAnsiTheme="minorEastAsia" w:eastAsiaTheme="minorEastAsia"/>
          <w:color w:val="auto"/>
        </w:rPr>
      </w:pPr>
    </w:p>
    <w:p w14:paraId="58F58B8D">
      <w:pPr>
        <w:pStyle w:val="9"/>
        <w:kinsoku/>
        <w:overflowPunct/>
        <w:topLinePunct w:val="0"/>
        <w:bidi w:val="0"/>
        <w:ind w:firstLine="400"/>
        <w:textAlignment w:val="auto"/>
        <w:outlineLvl w:val="9"/>
        <w:rPr>
          <w:rFonts w:asciiTheme="minorEastAsia" w:hAnsiTheme="minorEastAsia" w:eastAsiaTheme="minorEastAsia"/>
          <w:color w:val="auto"/>
        </w:rPr>
      </w:pPr>
    </w:p>
    <w:p w14:paraId="0AA2C3AD">
      <w:pPr>
        <w:pStyle w:val="9"/>
        <w:kinsoku/>
        <w:overflowPunct/>
        <w:topLinePunct w:val="0"/>
        <w:bidi w:val="0"/>
        <w:ind w:firstLine="400"/>
        <w:textAlignment w:val="auto"/>
        <w:outlineLvl w:val="9"/>
        <w:rPr>
          <w:rFonts w:asciiTheme="minorEastAsia" w:hAnsiTheme="minorEastAsia" w:eastAsiaTheme="minorEastAsia"/>
          <w:color w:val="auto"/>
        </w:rPr>
      </w:pPr>
    </w:p>
    <w:p w14:paraId="6A22C850">
      <w:pPr>
        <w:pageBreakBefore w:val="0"/>
        <w:widowControl/>
        <w:kinsoku/>
        <w:wordWrap/>
        <w:overflowPunct/>
        <w:topLinePunct w:val="0"/>
        <w:autoSpaceDE/>
        <w:autoSpaceDN/>
        <w:bidi w:val="0"/>
        <w:adjustRightInd/>
        <w:snapToGrid/>
        <w:spacing w:line="360" w:lineRule="auto"/>
        <w:ind w:firstLine="482"/>
        <w:jc w:val="left"/>
        <w:textAlignment w:val="auto"/>
        <w:outlineLvl w:val="9"/>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附件1：</w:t>
      </w:r>
    </w:p>
    <w:p w14:paraId="595E6FF4">
      <w:pPr>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kern w:val="0"/>
          <w:sz w:val="24"/>
          <w:szCs w:val="24"/>
        </w:rPr>
      </w:pPr>
      <w:bookmarkStart w:id="322" w:name="_Toc27377"/>
      <w:r>
        <w:rPr>
          <w:rFonts w:hint="eastAsia" w:ascii="宋体" w:hAnsi="宋体" w:eastAsia="宋体" w:cs="宋体"/>
          <w:b/>
          <w:bCs/>
          <w:color w:val="auto"/>
          <w:kern w:val="0"/>
          <w:sz w:val="24"/>
          <w:szCs w:val="24"/>
        </w:rPr>
        <w:t>中小企业声明函</w:t>
      </w:r>
    </w:p>
    <w:bookmarkEnd w:id="322"/>
    <w:p w14:paraId="1D0D43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bookmarkStart w:id="323" w:name="_Toc145065235"/>
      <w:bookmarkStart w:id="324" w:name="_Toc145065064"/>
      <w:bookmarkStart w:id="325" w:name="OLE_LINK13"/>
      <w:bookmarkStart w:id="326" w:name="OLE_LINK14"/>
      <w:bookmarkStart w:id="327" w:name="_Toc23336"/>
      <w:r>
        <w:rPr>
          <w:rFonts w:hint="eastAsia" w:ascii="宋体" w:hAnsi="宋体" w:eastAsia="宋体" w:cs="宋体"/>
          <w:color w:val="auto"/>
          <w:sz w:val="24"/>
          <w:szCs w:val="24"/>
        </w:rPr>
        <w:t>本公司郑重声明， 根据《政府采购促进中小企业发展管理办法》（财库﹝ 2020﹞ 46 号） 的规定， 本公司参加</w:t>
      </w:r>
      <w:r>
        <w:rPr>
          <w:rFonts w:hint="eastAsia" w:ascii="宋体" w:hAnsi="宋体" w:eastAsia="宋体" w:cs="宋体"/>
          <w:color w:val="auto"/>
          <w:sz w:val="24"/>
          <w:szCs w:val="24"/>
          <w:u w:val="single"/>
        </w:rPr>
        <w:t xml:space="preserve">    （单位名称）</w:t>
      </w:r>
      <w:r>
        <w:rPr>
          <w:rFonts w:hint="eastAsia" w:ascii="宋体" w:hAnsi="宋体" w:eastAsia="宋体" w:cs="宋体"/>
          <w:color w:val="auto"/>
          <w:sz w:val="24"/>
          <w:szCs w:val="24"/>
        </w:rPr>
        <w:t xml:space="preserve"> 的</w:t>
      </w:r>
      <w:r>
        <w:rPr>
          <w:rFonts w:hint="eastAsia" w:ascii="宋体" w:hAnsi="宋体" w:eastAsia="宋体" w:cs="宋体"/>
          <w:color w:val="auto"/>
          <w:sz w:val="24"/>
          <w:szCs w:val="24"/>
          <w:u w:val="single"/>
        </w:rPr>
        <w:t xml:space="preserve">    （项目名称）</w:t>
      </w:r>
      <w:r>
        <w:rPr>
          <w:rFonts w:hint="eastAsia" w:ascii="宋体" w:hAnsi="宋体" w:eastAsia="宋体" w:cs="宋体"/>
          <w:color w:val="auto"/>
          <w:sz w:val="24"/>
          <w:szCs w:val="24"/>
        </w:rPr>
        <w:t xml:space="preserve"> 采购活动，服务全部由符合政策要求的中小企业承接，具体情况如下：</w:t>
      </w:r>
    </w:p>
    <w:p w14:paraId="6C5D65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 xml:space="preserve"> ， 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；承接企业为</w:t>
      </w:r>
      <w:r>
        <w:rPr>
          <w:rFonts w:hint="eastAsia" w:ascii="宋体" w:hAnsi="宋体" w:eastAsia="宋体" w:cs="宋体"/>
          <w:color w:val="auto"/>
          <w:sz w:val="24"/>
          <w:szCs w:val="24"/>
          <w:u w:val="single"/>
        </w:rPr>
        <w:t>（ 企业名称）</w:t>
      </w:r>
      <w:r>
        <w:rPr>
          <w:rFonts w:hint="eastAsia" w:ascii="宋体" w:hAnsi="宋体" w:eastAsia="宋体" w:cs="宋体"/>
          <w:color w:val="auto"/>
          <w:sz w:val="24"/>
          <w:szCs w:val="24"/>
        </w:rPr>
        <w:t>， 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 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 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 属于</w:t>
      </w:r>
      <w:r>
        <w:rPr>
          <w:rFonts w:hint="eastAsia" w:ascii="宋体" w:hAnsi="宋体" w:eastAsia="宋体" w:cs="宋体"/>
          <w:color w:val="auto"/>
          <w:sz w:val="24"/>
          <w:szCs w:val="24"/>
          <w:u w:val="single"/>
        </w:rPr>
        <w:t>（中型企业、 小型企业、 微型企业）</w:t>
      </w:r>
      <w:r>
        <w:rPr>
          <w:rFonts w:hint="eastAsia" w:ascii="宋体" w:hAnsi="宋体" w:eastAsia="宋体" w:cs="宋体"/>
          <w:color w:val="auto"/>
          <w:sz w:val="24"/>
          <w:szCs w:val="24"/>
        </w:rPr>
        <w:t>；</w:t>
      </w:r>
    </w:p>
    <w:p w14:paraId="43B4C02B">
      <w:p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本企业不属于大企业的分支机构， 不存在控股股东为大企业的情形， 也不存在与大企业的负责人为同一人的情形。</w:t>
      </w:r>
    </w:p>
    <w:p w14:paraId="2A5FE9B9">
      <w:p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24F8AB9F">
      <w:p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p>
    <w:p w14:paraId="5E243F3F">
      <w:p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企业名称（</w:t>
      </w:r>
      <w:r>
        <w:rPr>
          <w:rFonts w:hint="eastAsia" w:ascii="宋体" w:hAnsi="宋体" w:eastAsia="宋体" w:cs="宋体"/>
          <w:color w:val="auto"/>
          <w:sz w:val="24"/>
          <w:szCs w:val="24"/>
          <w:lang w:val="en-US" w:eastAsia="zh-CN"/>
        </w:rPr>
        <w:t>电子签章</w:t>
      </w:r>
      <w:r>
        <w:rPr>
          <w:rFonts w:hint="eastAsia" w:ascii="宋体" w:hAnsi="宋体" w:eastAsia="宋体" w:cs="宋体"/>
          <w:color w:val="auto"/>
          <w:sz w:val="24"/>
          <w:szCs w:val="24"/>
        </w:rPr>
        <w:t>）：</w:t>
      </w:r>
    </w:p>
    <w:p w14:paraId="117C6CBF">
      <w:p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日 期：</w:t>
      </w:r>
    </w:p>
    <w:p w14:paraId="6B8071D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auto"/>
          <w:spacing w:val="10"/>
          <w:kern w:val="0"/>
          <w:sz w:val="24"/>
          <w:szCs w:val="24"/>
        </w:rPr>
      </w:pPr>
    </w:p>
    <w:p w14:paraId="3C0795A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auto"/>
          <w:spacing w:val="10"/>
          <w:kern w:val="0"/>
          <w:sz w:val="24"/>
          <w:szCs w:val="24"/>
        </w:rPr>
      </w:pPr>
    </w:p>
    <w:p w14:paraId="2DA16A00">
      <w:pPr>
        <w:keepNext/>
        <w:keepLines/>
        <w:pageBreakBefore w:val="0"/>
        <w:tabs>
          <w:tab w:val="left" w:pos="840"/>
        </w:tabs>
        <w:kinsoku/>
        <w:wordWrap/>
        <w:overflowPunct/>
        <w:topLinePunct w:val="0"/>
        <w:autoSpaceDE/>
        <w:autoSpaceDN/>
        <w:bidi w:val="0"/>
        <w:adjustRightInd/>
        <w:snapToGrid/>
        <w:spacing w:before="260" w:after="260" w:line="360" w:lineRule="auto"/>
        <w:ind w:firstLine="482"/>
        <w:jc w:val="left"/>
        <w:textAlignment w:val="auto"/>
        <w:outlineLvl w:val="9"/>
        <w:rPr>
          <w:rFonts w:hint="eastAsia" w:ascii="宋体" w:hAnsi="宋体" w:eastAsia="宋体" w:cs="宋体"/>
          <w:b/>
          <w:bCs/>
          <w:color w:val="auto"/>
          <w:kern w:val="0"/>
          <w:sz w:val="24"/>
          <w:szCs w:val="24"/>
        </w:rPr>
      </w:pPr>
    </w:p>
    <w:p w14:paraId="72962F55">
      <w:pPr>
        <w:keepNext/>
        <w:keepLines/>
        <w:pageBreakBefore/>
        <w:tabs>
          <w:tab w:val="left" w:pos="840"/>
        </w:tabs>
        <w:kinsoku/>
        <w:wordWrap/>
        <w:overflowPunct/>
        <w:topLinePunct w:val="0"/>
        <w:autoSpaceDE/>
        <w:autoSpaceDN/>
        <w:bidi w:val="0"/>
        <w:adjustRightInd/>
        <w:snapToGrid/>
        <w:spacing w:before="260" w:after="260" w:line="360" w:lineRule="auto"/>
        <w:ind w:firstLine="482"/>
        <w:jc w:val="left"/>
        <w:textAlignment w:val="auto"/>
        <w:outlineLvl w:val="9"/>
        <w:rPr>
          <w:rFonts w:hint="eastAsia" w:ascii="宋体" w:hAnsi="宋体" w:eastAsia="宋体" w:cs="宋体"/>
          <w:b/>
          <w:color w:val="auto"/>
          <w:kern w:val="0"/>
          <w:sz w:val="24"/>
          <w:szCs w:val="24"/>
        </w:rPr>
      </w:pPr>
      <w:r>
        <w:rPr>
          <w:rFonts w:hint="eastAsia" w:ascii="宋体" w:hAnsi="宋体" w:eastAsia="宋体" w:cs="宋体"/>
          <w:b/>
          <w:bCs/>
          <w:color w:val="auto"/>
          <w:kern w:val="0"/>
          <w:sz w:val="24"/>
          <w:szCs w:val="24"/>
        </w:rPr>
        <w:t>附件2：</w:t>
      </w:r>
      <w:bookmarkEnd w:id="323"/>
      <w:bookmarkEnd w:id="324"/>
    </w:p>
    <w:p w14:paraId="1FBD6CCD">
      <w:pPr>
        <w:keepNext/>
        <w:keepLines/>
        <w:tabs>
          <w:tab w:val="left" w:pos="840"/>
        </w:tabs>
        <w:kinsoku/>
        <w:wordWrap/>
        <w:overflowPunct/>
        <w:topLinePunct w:val="0"/>
        <w:autoSpaceDE/>
        <w:autoSpaceDN/>
        <w:bidi w:val="0"/>
        <w:adjustRightInd/>
        <w:snapToGrid/>
        <w:spacing w:before="260" w:after="260" w:line="360" w:lineRule="auto"/>
        <w:jc w:val="center"/>
        <w:textAlignment w:val="auto"/>
        <w:outlineLvl w:val="9"/>
        <w:rPr>
          <w:rFonts w:hint="eastAsia" w:ascii="宋体" w:hAnsi="宋体" w:eastAsia="宋体" w:cs="宋体"/>
          <w:b/>
          <w:color w:val="auto"/>
          <w:kern w:val="0"/>
          <w:sz w:val="24"/>
          <w:szCs w:val="24"/>
        </w:rPr>
      </w:pPr>
      <w:bookmarkStart w:id="328" w:name="_Toc145065236"/>
      <w:bookmarkStart w:id="329" w:name="_Toc145065065"/>
      <w:r>
        <w:rPr>
          <w:rFonts w:hint="eastAsia" w:ascii="宋体" w:hAnsi="宋体" w:eastAsia="宋体" w:cs="宋体"/>
          <w:b/>
          <w:color w:val="auto"/>
          <w:kern w:val="0"/>
          <w:sz w:val="24"/>
          <w:szCs w:val="24"/>
        </w:rPr>
        <w:t>残疾人福利性单位声明函</w:t>
      </w:r>
      <w:bookmarkEnd w:id="325"/>
      <w:bookmarkEnd w:id="326"/>
      <w:bookmarkEnd w:id="327"/>
      <w:bookmarkEnd w:id="328"/>
      <w:bookmarkEnd w:id="329"/>
    </w:p>
    <w:p w14:paraId="7D7ED8FE">
      <w:pPr>
        <w:kinsoku/>
        <w:wordWrap/>
        <w:overflowPunct/>
        <w:topLinePunct w:val="0"/>
        <w:autoSpaceDE/>
        <w:autoSpaceDN/>
        <w:bidi w:val="0"/>
        <w:adjustRightInd/>
        <w:snapToGrid/>
        <w:spacing w:line="360" w:lineRule="auto"/>
        <w:ind w:firstLine="504" w:firstLineChars="200"/>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本单位郑重声明，根据《财政部 民政部 中国残疾人联合会关于促进残疾人就业政府采购政策的通知》（财库</w:t>
      </w:r>
      <w:r>
        <w:rPr>
          <w:rFonts w:hint="eastAsia" w:ascii="宋体" w:hAnsi="宋体" w:eastAsia="宋体" w:cs="宋体"/>
          <w:color w:val="auto"/>
          <w:sz w:val="24"/>
          <w:szCs w:val="24"/>
        </w:rPr>
        <w:t>〔2017〕 141</w:t>
      </w:r>
      <w:r>
        <w:rPr>
          <w:rFonts w:hint="eastAsia" w:ascii="宋体" w:hAnsi="宋体" w:eastAsia="宋体" w:cs="宋体"/>
          <w:color w:val="auto"/>
          <w:spacing w:val="6"/>
          <w:sz w:val="24"/>
          <w:szCs w:val="24"/>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540B6A91">
      <w:pPr>
        <w:kinsoku/>
        <w:wordWrap/>
        <w:overflowPunct/>
        <w:topLinePunct w:val="0"/>
        <w:autoSpaceDE/>
        <w:autoSpaceDN/>
        <w:bidi w:val="0"/>
        <w:adjustRightInd/>
        <w:snapToGrid/>
        <w:spacing w:line="360" w:lineRule="auto"/>
        <w:ind w:firstLine="504" w:firstLineChars="200"/>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本单位对上述声明的真实性负责。如有虚假，将依法承担相应责任。</w:t>
      </w:r>
    </w:p>
    <w:p w14:paraId="256964D2">
      <w:pPr>
        <w:kinsoku/>
        <w:wordWrap/>
        <w:overflowPunct/>
        <w:topLinePunct w:val="0"/>
        <w:autoSpaceDE/>
        <w:autoSpaceDN/>
        <w:bidi w:val="0"/>
        <w:adjustRightInd/>
        <w:snapToGrid/>
        <w:spacing w:line="360" w:lineRule="auto"/>
        <w:ind w:firstLine="504"/>
        <w:textAlignment w:val="auto"/>
        <w:outlineLvl w:val="9"/>
        <w:rPr>
          <w:rFonts w:hint="eastAsia" w:ascii="宋体" w:hAnsi="宋体" w:eastAsia="宋体" w:cs="宋体"/>
          <w:color w:val="auto"/>
          <w:spacing w:val="6"/>
          <w:sz w:val="24"/>
          <w:szCs w:val="24"/>
        </w:rPr>
      </w:pPr>
    </w:p>
    <w:p w14:paraId="6C1EE18A">
      <w:pPr>
        <w:tabs>
          <w:tab w:val="left" w:pos="4860"/>
        </w:tabs>
        <w:kinsoku/>
        <w:wordWrap/>
        <w:overflowPunct/>
        <w:topLinePunct w:val="0"/>
        <w:autoSpaceDE/>
        <w:autoSpaceDN/>
        <w:bidi w:val="0"/>
        <w:adjustRightInd/>
        <w:snapToGrid/>
        <w:spacing w:line="360" w:lineRule="auto"/>
        <w:ind w:right="1560" w:firstLine="504" w:firstLineChars="200"/>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6"/>
          <w:sz w:val="24"/>
          <w:szCs w:val="24"/>
          <w:lang w:val="en-US" w:eastAsia="zh-CN"/>
        </w:rPr>
        <w:t xml:space="preserve"> </w:t>
      </w:r>
      <w:r>
        <w:rPr>
          <w:rFonts w:hint="eastAsia" w:ascii="宋体" w:hAnsi="宋体" w:eastAsia="宋体" w:cs="宋体"/>
          <w:color w:val="auto"/>
          <w:spacing w:val="6"/>
          <w:sz w:val="24"/>
          <w:szCs w:val="24"/>
        </w:rPr>
        <w:t>单位名称（盖章）：</w:t>
      </w:r>
    </w:p>
    <w:p w14:paraId="2E8037E0">
      <w:pPr>
        <w:tabs>
          <w:tab w:val="left" w:pos="4860"/>
        </w:tabs>
        <w:kinsoku/>
        <w:wordWrap/>
        <w:overflowPunct/>
        <w:topLinePunct w:val="0"/>
        <w:autoSpaceDE/>
        <w:autoSpaceDN/>
        <w:bidi w:val="0"/>
        <w:adjustRightInd/>
        <w:snapToGrid/>
        <w:spacing w:line="360" w:lineRule="auto"/>
        <w:ind w:right="1560" w:firstLine="504" w:firstLineChars="200"/>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 xml:space="preserve">       日  期：</w:t>
      </w:r>
    </w:p>
    <w:p w14:paraId="67F21604">
      <w:pPr>
        <w:widowControl/>
        <w:kinsoku/>
        <w:wordWrap/>
        <w:overflowPunct/>
        <w:topLinePunct w:val="0"/>
        <w:autoSpaceDE/>
        <w:autoSpaceDN/>
        <w:bidi w:val="0"/>
        <w:adjustRightInd/>
        <w:snapToGrid/>
        <w:spacing w:line="360" w:lineRule="auto"/>
        <w:ind w:firstLine="482"/>
        <w:textAlignment w:val="auto"/>
        <w:outlineLvl w:val="9"/>
        <w:rPr>
          <w:rFonts w:hint="eastAsia" w:ascii="宋体" w:hAnsi="宋体" w:eastAsia="宋体" w:cs="宋体"/>
          <w:b/>
          <w:color w:val="auto"/>
          <w:sz w:val="24"/>
          <w:szCs w:val="24"/>
        </w:rPr>
      </w:pPr>
    </w:p>
    <w:p w14:paraId="2672E552">
      <w:pPr>
        <w:keepNext/>
        <w:keepLines/>
        <w:tabs>
          <w:tab w:val="left" w:pos="840"/>
        </w:tabs>
        <w:kinsoku/>
        <w:wordWrap/>
        <w:overflowPunct/>
        <w:topLinePunct w:val="0"/>
        <w:autoSpaceDE/>
        <w:autoSpaceDN/>
        <w:bidi w:val="0"/>
        <w:adjustRightInd/>
        <w:snapToGrid/>
        <w:spacing w:before="260" w:after="260" w:line="360" w:lineRule="auto"/>
        <w:ind w:firstLine="482"/>
        <w:textAlignment w:val="auto"/>
        <w:outlineLvl w:val="9"/>
        <w:rPr>
          <w:rFonts w:hint="eastAsia" w:ascii="宋体" w:hAnsi="宋体" w:eastAsia="宋体" w:cs="宋体"/>
          <w:color w:val="auto"/>
          <w:sz w:val="24"/>
          <w:szCs w:val="24"/>
        </w:rPr>
      </w:pPr>
      <w:bookmarkStart w:id="330" w:name="_Toc145065237"/>
      <w:bookmarkStart w:id="331" w:name="_Toc145065066"/>
      <w:bookmarkStart w:id="332" w:name="_Toc15900"/>
      <w:r>
        <w:rPr>
          <w:rFonts w:hint="eastAsia" w:ascii="宋体" w:hAnsi="宋体" w:eastAsia="宋体" w:cs="宋体"/>
          <w:color w:val="auto"/>
          <w:sz w:val="24"/>
          <w:szCs w:val="24"/>
        </w:rPr>
        <w:t>说明：符合要求的单位，按照上述格式进行填写并提供相关证明材料；不属于残疾人福利性单位的无需填写此表</w:t>
      </w:r>
      <w:r>
        <w:rPr>
          <w:rFonts w:hint="eastAsia" w:ascii="宋体" w:hAnsi="宋体" w:eastAsia="宋体" w:cs="宋体"/>
          <w:color w:val="auto"/>
          <w:sz w:val="24"/>
          <w:szCs w:val="24"/>
          <w:lang w:eastAsia="zh-CN"/>
        </w:rPr>
        <w:t>，此声明函可删除</w:t>
      </w:r>
      <w:r>
        <w:rPr>
          <w:rFonts w:hint="eastAsia" w:ascii="宋体" w:hAnsi="宋体" w:eastAsia="宋体" w:cs="宋体"/>
          <w:color w:val="auto"/>
          <w:sz w:val="24"/>
          <w:szCs w:val="24"/>
        </w:rPr>
        <w:t>。</w:t>
      </w:r>
    </w:p>
    <w:p w14:paraId="595983D1">
      <w:pPr>
        <w:keepNext/>
        <w:keepLines/>
        <w:pageBreakBefore/>
        <w:tabs>
          <w:tab w:val="left" w:pos="840"/>
        </w:tabs>
        <w:kinsoku/>
        <w:wordWrap/>
        <w:overflowPunct/>
        <w:topLinePunct w:val="0"/>
        <w:autoSpaceDE/>
        <w:autoSpaceDN/>
        <w:bidi w:val="0"/>
        <w:adjustRightInd/>
        <w:snapToGrid/>
        <w:spacing w:before="260" w:after="260" w:line="360" w:lineRule="auto"/>
        <w:ind w:firstLine="482"/>
        <w:textAlignment w:val="auto"/>
        <w:outlineLvl w:val="9"/>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GB"/>
        </w:rPr>
        <w:t>附件</w:t>
      </w:r>
      <w:r>
        <w:rPr>
          <w:rFonts w:hint="eastAsia" w:ascii="宋体" w:hAnsi="宋体" w:eastAsia="宋体" w:cs="宋体"/>
          <w:b/>
          <w:bCs/>
          <w:color w:val="auto"/>
          <w:kern w:val="0"/>
          <w:sz w:val="24"/>
          <w:szCs w:val="24"/>
        </w:rPr>
        <w:t>3：</w:t>
      </w:r>
      <w:bookmarkEnd w:id="330"/>
      <w:bookmarkEnd w:id="331"/>
    </w:p>
    <w:p w14:paraId="2A30809C">
      <w:pPr>
        <w:keepNext/>
        <w:keepLines/>
        <w:tabs>
          <w:tab w:val="left" w:pos="840"/>
        </w:tabs>
        <w:kinsoku/>
        <w:wordWrap/>
        <w:overflowPunct/>
        <w:topLinePunct w:val="0"/>
        <w:autoSpaceDE/>
        <w:autoSpaceDN/>
        <w:bidi w:val="0"/>
        <w:adjustRightInd/>
        <w:snapToGrid/>
        <w:spacing w:before="260" w:after="260" w:line="360" w:lineRule="auto"/>
        <w:jc w:val="center"/>
        <w:textAlignment w:val="auto"/>
        <w:outlineLvl w:val="9"/>
        <w:rPr>
          <w:rFonts w:hint="eastAsia" w:ascii="宋体" w:hAnsi="宋体" w:eastAsia="宋体" w:cs="宋体"/>
          <w:b/>
          <w:color w:val="auto"/>
          <w:kern w:val="0"/>
          <w:sz w:val="24"/>
          <w:szCs w:val="24"/>
          <w:lang w:val="en-GB"/>
        </w:rPr>
      </w:pPr>
      <w:bookmarkStart w:id="333" w:name="_Toc145065067"/>
      <w:bookmarkStart w:id="334" w:name="_Toc145065238"/>
      <w:r>
        <w:rPr>
          <w:rFonts w:hint="eastAsia" w:ascii="宋体" w:hAnsi="宋体" w:eastAsia="宋体" w:cs="宋体"/>
          <w:b/>
          <w:color w:val="auto"/>
          <w:kern w:val="0"/>
          <w:sz w:val="24"/>
          <w:szCs w:val="24"/>
          <w:lang w:val="en-GB"/>
        </w:rPr>
        <w:t>监狱企业证明材料</w:t>
      </w:r>
      <w:bookmarkEnd w:id="332"/>
      <w:bookmarkEnd w:id="333"/>
      <w:bookmarkEnd w:id="334"/>
    </w:p>
    <w:p w14:paraId="3F15A703">
      <w:pPr>
        <w:kinsoku/>
        <w:wordWrap/>
        <w:overflowPunct/>
        <w:topLinePunct w:val="0"/>
        <w:autoSpaceDE/>
        <w:autoSpaceDN/>
        <w:bidi w:val="0"/>
        <w:adjustRightInd/>
        <w:snapToGrid/>
        <w:spacing w:line="360" w:lineRule="auto"/>
        <w:ind w:firstLine="560"/>
        <w:textAlignment w:val="auto"/>
        <w:outlineLvl w:val="9"/>
        <w:rPr>
          <w:rFonts w:hint="eastAsia" w:ascii="宋体" w:hAnsi="宋体" w:eastAsia="宋体" w:cs="宋体"/>
          <w:color w:val="auto"/>
          <w:sz w:val="24"/>
          <w:szCs w:val="24"/>
          <w:lang w:val="en-GB"/>
        </w:rPr>
      </w:pPr>
    </w:p>
    <w:p w14:paraId="18AB84EC">
      <w:p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监狱企业参加政府采购活动时，应当提供由省级以上监狱管理局、戒毒管理局（含新疆生产建设兵团）出具的属于监狱企业的证明文件。</w:t>
      </w:r>
    </w:p>
    <w:p w14:paraId="70CB158E">
      <w:pPr>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auto"/>
          <w:sz w:val="24"/>
          <w:szCs w:val="24"/>
          <w:lang w:val="en-GB"/>
        </w:rPr>
      </w:pPr>
    </w:p>
    <w:p w14:paraId="16ECDED9">
      <w:pPr>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auto"/>
          <w:sz w:val="24"/>
          <w:szCs w:val="24"/>
          <w:lang w:val="en-GB"/>
        </w:rPr>
      </w:pPr>
    </w:p>
    <w:p w14:paraId="52E0FA68">
      <w:p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说明：如果</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val="en-GB"/>
        </w:rPr>
        <w:t>不是监狱企业，写“非监狱企业”即可。</w:t>
      </w:r>
    </w:p>
    <w:p w14:paraId="7ACCAABB">
      <w:p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GB"/>
        </w:rPr>
      </w:pPr>
    </w:p>
    <w:p w14:paraId="02B00C0D">
      <w:pPr>
        <w:widowControl/>
        <w:kinsoku/>
        <w:wordWrap/>
        <w:overflowPunct/>
        <w:topLinePunct w:val="0"/>
        <w:autoSpaceDE/>
        <w:autoSpaceDN/>
        <w:bidi w:val="0"/>
        <w:adjustRightInd/>
        <w:snapToGrid/>
        <w:spacing w:before="100" w:beforeAutospacing="1" w:after="100" w:afterAutospacing="1" w:line="360" w:lineRule="auto"/>
        <w:ind w:firstLine="480"/>
        <w:jc w:val="left"/>
        <w:textAlignment w:val="auto"/>
        <w:outlineLvl w:val="9"/>
        <w:rPr>
          <w:rFonts w:hint="eastAsia" w:ascii="宋体" w:hAnsi="宋体" w:eastAsia="宋体" w:cs="宋体"/>
          <w:color w:val="auto"/>
          <w:kern w:val="0"/>
          <w:sz w:val="24"/>
          <w:szCs w:val="24"/>
        </w:rPr>
      </w:pPr>
    </w:p>
    <w:p w14:paraId="36568446">
      <w:pPr>
        <w:kinsoku/>
        <w:wordWrap/>
        <w:overflowPunct/>
        <w:topLinePunct w:val="0"/>
        <w:autoSpaceDE/>
        <w:autoSpaceDN/>
        <w:bidi w:val="0"/>
        <w:adjustRightInd/>
        <w:snapToGrid/>
        <w:spacing w:line="360" w:lineRule="auto"/>
        <w:ind w:firstLine="560"/>
        <w:textAlignment w:val="auto"/>
        <w:outlineLvl w:val="9"/>
        <w:rPr>
          <w:rFonts w:hint="eastAsia" w:ascii="宋体" w:hAnsi="宋体" w:eastAsia="宋体" w:cs="宋体"/>
          <w:color w:val="auto"/>
          <w:sz w:val="24"/>
          <w:szCs w:val="24"/>
        </w:rPr>
      </w:pPr>
    </w:p>
    <w:p w14:paraId="54AA2C95">
      <w:pPr>
        <w:kinsoku/>
        <w:wordWrap/>
        <w:overflowPunct/>
        <w:topLinePunct w:val="0"/>
        <w:autoSpaceDE/>
        <w:autoSpaceDN/>
        <w:bidi w:val="0"/>
        <w:adjustRightInd/>
        <w:snapToGrid/>
        <w:spacing w:line="360" w:lineRule="auto"/>
        <w:ind w:firstLine="560"/>
        <w:textAlignment w:val="auto"/>
        <w:outlineLvl w:val="9"/>
        <w:rPr>
          <w:rFonts w:hint="eastAsia" w:ascii="宋体" w:hAnsi="宋体" w:eastAsia="宋体" w:cs="宋体"/>
          <w:color w:val="auto"/>
          <w:sz w:val="24"/>
          <w:szCs w:val="24"/>
        </w:rPr>
      </w:pPr>
    </w:p>
    <w:p w14:paraId="654D9ED9">
      <w:pPr>
        <w:keepNext/>
        <w:keepLines/>
        <w:kinsoku/>
        <w:wordWrap/>
        <w:overflowPunct/>
        <w:topLinePunct w:val="0"/>
        <w:autoSpaceDE w:val="0"/>
        <w:autoSpaceDN w:val="0"/>
        <w:bidi w:val="0"/>
        <w:adjustRightInd/>
        <w:snapToGrid/>
        <w:spacing w:line="360" w:lineRule="auto"/>
        <w:ind w:firstLine="562"/>
        <w:jc w:val="center"/>
        <w:textAlignment w:val="auto"/>
        <w:outlineLvl w:val="9"/>
        <w:rPr>
          <w:rFonts w:cs="Times New Roman" w:asciiTheme="minorEastAsia" w:hAnsiTheme="minorEastAsia"/>
          <w:b/>
          <w:color w:val="auto"/>
          <w:kern w:val="0"/>
          <w:sz w:val="24"/>
          <w:szCs w:val="24"/>
        </w:rPr>
      </w:pPr>
    </w:p>
    <w:p w14:paraId="1188BF87">
      <w:pPr>
        <w:pStyle w:val="9"/>
        <w:kinsoku/>
        <w:wordWrap/>
        <w:overflowPunct/>
        <w:topLinePunct w:val="0"/>
        <w:bidi w:val="0"/>
        <w:adjustRightInd/>
        <w:snapToGrid/>
        <w:spacing w:line="360" w:lineRule="auto"/>
        <w:ind w:firstLine="400"/>
        <w:textAlignment w:val="auto"/>
        <w:outlineLvl w:val="9"/>
        <w:rPr>
          <w:rFonts w:asciiTheme="minorEastAsia" w:hAnsiTheme="minorEastAsia" w:eastAsiaTheme="minorEastAsia"/>
          <w:color w:val="auto"/>
          <w:sz w:val="24"/>
          <w:szCs w:val="24"/>
        </w:rPr>
      </w:pPr>
    </w:p>
    <w:p w14:paraId="46EF8E2C">
      <w:pPr>
        <w:kinsoku/>
        <w:wordWrap/>
        <w:overflowPunct/>
        <w:topLinePunct w:val="0"/>
        <w:bidi w:val="0"/>
        <w:adjustRightInd/>
        <w:snapToGrid/>
        <w:spacing w:line="360" w:lineRule="auto"/>
        <w:ind w:firstLine="560"/>
        <w:textAlignment w:val="auto"/>
        <w:outlineLvl w:val="9"/>
        <w:rPr>
          <w:rFonts w:asciiTheme="minorEastAsia" w:hAnsiTheme="minorEastAsia"/>
          <w:color w:val="auto"/>
          <w:sz w:val="24"/>
          <w:szCs w:val="24"/>
        </w:rPr>
      </w:pPr>
    </w:p>
    <w:p w14:paraId="502BBF58">
      <w:pPr>
        <w:kinsoku/>
        <w:wordWrap/>
        <w:overflowPunct/>
        <w:topLinePunct w:val="0"/>
        <w:bidi w:val="0"/>
        <w:adjustRightInd/>
        <w:snapToGrid/>
        <w:spacing w:line="360" w:lineRule="auto"/>
        <w:ind w:firstLine="560"/>
        <w:textAlignment w:val="auto"/>
        <w:outlineLvl w:val="9"/>
        <w:rPr>
          <w:color w:val="auto"/>
          <w:sz w:val="24"/>
          <w:szCs w:val="24"/>
        </w:rPr>
      </w:pPr>
    </w:p>
    <w:p w14:paraId="19F4E192">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auto"/>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70D8A">
    <w:pPr>
      <w:pStyle w:val="10"/>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40</w:t>
    </w:r>
    <w:r>
      <w:rP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D5ECA">
    <w:pPr>
      <w:pStyle w:val="10"/>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40</w:t>
    </w:r>
    <w:r>
      <w:rPr>
        <w:rFonts w:ascii="Times New Roman" w:hAnsi="Times New Roma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D6C12"/>
    <w:multiLevelType w:val="singleLevel"/>
    <w:tmpl w:val="804D6C12"/>
    <w:lvl w:ilvl="0" w:tentative="0">
      <w:start w:val="1"/>
      <w:numFmt w:val="decimal"/>
      <w:suff w:val="nothing"/>
      <w:lvlText w:val="%1、"/>
      <w:lvlJc w:val="left"/>
    </w:lvl>
  </w:abstractNum>
  <w:abstractNum w:abstractNumId="1">
    <w:nsid w:val="B43DD8FE"/>
    <w:multiLevelType w:val="singleLevel"/>
    <w:tmpl w:val="B43DD8FE"/>
    <w:lvl w:ilvl="0" w:tentative="0">
      <w:start w:val="1"/>
      <w:numFmt w:val="decimal"/>
      <w:suff w:val="nothing"/>
      <w:lvlText w:val="%1、"/>
      <w:lvlJc w:val="left"/>
    </w:lvl>
  </w:abstractNum>
  <w:abstractNum w:abstractNumId="2">
    <w:nsid w:val="C50A662C"/>
    <w:multiLevelType w:val="singleLevel"/>
    <w:tmpl w:val="C50A662C"/>
    <w:lvl w:ilvl="0" w:tentative="0">
      <w:start w:val="1"/>
      <w:numFmt w:val="chineseCounting"/>
      <w:suff w:val="nothing"/>
      <w:lvlText w:val="%1、"/>
      <w:lvlJc w:val="left"/>
      <w:rPr>
        <w:rFonts w:hint="eastAsia"/>
      </w:rPr>
    </w:lvl>
  </w:abstractNum>
  <w:abstractNum w:abstractNumId="3">
    <w:nsid w:val="D3A03C6C"/>
    <w:multiLevelType w:val="singleLevel"/>
    <w:tmpl w:val="D3A03C6C"/>
    <w:lvl w:ilvl="0" w:tentative="0">
      <w:start w:val="5"/>
      <w:numFmt w:val="chineseCounting"/>
      <w:suff w:val="nothing"/>
      <w:lvlText w:val="%1、"/>
      <w:lvlJc w:val="left"/>
      <w:rPr>
        <w:rFonts w:hint="eastAsia"/>
      </w:rPr>
    </w:lvl>
  </w:abstractNum>
  <w:abstractNum w:abstractNumId="4">
    <w:nsid w:val="D6CC2C1E"/>
    <w:multiLevelType w:val="singleLevel"/>
    <w:tmpl w:val="D6CC2C1E"/>
    <w:lvl w:ilvl="0" w:tentative="0">
      <w:start w:val="6"/>
      <w:numFmt w:val="decimal"/>
      <w:suff w:val="nothing"/>
      <w:lvlText w:val="（%1）"/>
      <w:lvlJc w:val="left"/>
    </w:lvl>
  </w:abstractNum>
  <w:abstractNum w:abstractNumId="5">
    <w:nsid w:val="EB445E5E"/>
    <w:multiLevelType w:val="singleLevel"/>
    <w:tmpl w:val="EB445E5E"/>
    <w:lvl w:ilvl="0" w:tentative="0">
      <w:start w:val="1"/>
      <w:numFmt w:val="decimal"/>
      <w:suff w:val="nothing"/>
      <w:lvlText w:val="%1、"/>
      <w:lvlJc w:val="left"/>
      <w:pPr>
        <w:ind w:left="-34"/>
      </w:pPr>
    </w:lvl>
  </w:abstractNum>
  <w:abstractNum w:abstractNumId="6">
    <w:nsid w:val="ED643EC3"/>
    <w:multiLevelType w:val="singleLevel"/>
    <w:tmpl w:val="ED643EC3"/>
    <w:lvl w:ilvl="0" w:tentative="0">
      <w:start w:val="3"/>
      <w:numFmt w:val="chineseCounting"/>
      <w:suff w:val="space"/>
      <w:lvlText w:val="第%1章"/>
      <w:lvlJc w:val="left"/>
      <w:rPr>
        <w:rFonts w:hint="eastAsia"/>
      </w:rPr>
    </w:lvl>
  </w:abstractNum>
  <w:abstractNum w:abstractNumId="7">
    <w:nsid w:val="F9C812F1"/>
    <w:multiLevelType w:val="singleLevel"/>
    <w:tmpl w:val="F9C812F1"/>
    <w:lvl w:ilvl="0" w:tentative="0">
      <w:start w:val="1"/>
      <w:numFmt w:val="decimal"/>
      <w:suff w:val="nothing"/>
      <w:lvlText w:val="（%1）"/>
      <w:lvlJc w:val="left"/>
    </w:lvl>
  </w:abstractNum>
  <w:abstractNum w:abstractNumId="8">
    <w:nsid w:val="012D4940"/>
    <w:multiLevelType w:val="multilevel"/>
    <w:tmpl w:val="012D4940"/>
    <w:lvl w:ilvl="0" w:tentative="0">
      <w:start w:val="3"/>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0F463AD"/>
    <w:multiLevelType w:val="singleLevel"/>
    <w:tmpl w:val="30F463AD"/>
    <w:lvl w:ilvl="0" w:tentative="0">
      <w:start w:val="1"/>
      <w:numFmt w:val="decimal"/>
      <w:suff w:val="nothing"/>
      <w:lvlText w:val="%1、"/>
      <w:lvlJc w:val="left"/>
    </w:lvl>
  </w:abstractNum>
  <w:abstractNum w:abstractNumId="10">
    <w:nsid w:val="49B740BC"/>
    <w:multiLevelType w:val="singleLevel"/>
    <w:tmpl w:val="49B740BC"/>
    <w:lvl w:ilvl="0" w:tentative="0">
      <w:start w:val="1"/>
      <w:numFmt w:val="decimal"/>
      <w:suff w:val="nothing"/>
      <w:lvlText w:val="%1、"/>
      <w:lvlJc w:val="left"/>
    </w:lvl>
  </w:abstractNum>
  <w:abstractNum w:abstractNumId="11">
    <w:nsid w:val="4ACDC229"/>
    <w:multiLevelType w:val="singleLevel"/>
    <w:tmpl w:val="4ACDC229"/>
    <w:lvl w:ilvl="0" w:tentative="0">
      <w:start w:val="1"/>
      <w:numFmt w:val="decimal"/>
      <w:suff w:val="nothing"/>
      <w:lvlText w:val="%1、"/>
      <w:lvlJc w:val="left"/>
    </w:lvl>
  </w:abstractNum>
  <w:abstractNum w:abstractNumId="12">
    <w:nsid w:val="521555AC"/>
    <w:multiLevelType w:val="singleLevel"/>
    <w:tmpl w:val="521555AC"/>
    <w:lvl w:ilvl="0" w:tentative="0">
      <w:start w:val="1"/>
      <w:numFmt w:val="decimal"/>
      <w:suff w:val="nothing"/>
      <w:lvlText w:val="%1、"/>
      <w:lvlJc w:val="left"/>
    </w:lvl>
  </w:abstractNum>
  <w:num w:numId="1">
    <w:abstractNumId w:val="4"/>
  </w:num>
  <w:num w:numId="2">
    <w:abstractNumId w:val="7"/>
  </w:num>
  <w:num w:numId="3">
    <w:abstractNumId w:val="6"/>
  </w:num>
  <w:num w:numId="4">
    <w:abstractNumId w:val="0"/>
  </w:num>
  <w:num w:numId="5">
    <w:abstractNumId w:val="11"/>
  </w:num>
  <w:num w:numId="6">
    <w:abstractNumId w:val="9"/>
  </w:num>
  <w:num w:numId="7">
    <w:abstractNumId w:val="10"/>
  </w:num>
  <w:num w:numId="8">
    <w:abstractNumId w:val="5"/>
  </w:num>
  <w:num w:numId="9">
    <w:abstractNumId w:val="12"/>
  </w:num>
  <w:num w:numId="10">
    <w:abstractNumId w:val="1"/>
  </w:num>
  <w:num w:numId="11">
    <w:abstractNumId w:val="8"/>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640C5"/>
    <w:rsid w:val="006B3EBE"/>
    <w:rsid w:val="025A18E8"/>
    <w:rsid w:val="025A529E"/>
    <w:rsid w:val="028642E4"/>
    <w:rsid w:val="02FE069B"/>
    <w:rsid w:val="0314369E"/>
    <w:rsid w:val="04510298"/>
    <w:rsid w:val="048D747B"/>
    <w:rsid w:val="04E377CC"/>
    <w:rsid w:val="05143B80"/>
    <w:rsid w:val="057228FE"/>
    <w:rsid w:val="05974547"/>
    <w:rsid w:val="05D47203"/>
    <w:rsid w:val="06367DD0"/>
    <w:rsid w:val="06710E08"/>
    <w:rsid w:val="06E25D3E"/>
    <w:rsid w:val="06E83923"/>
    <w:rsid w:val="085B1D6F"/>
    <w:rsid w:val="08F55D20"/>
    <w:rsid w:val="091706AF"/>
    <w:rsid w:val="091A7535"/>
    <w:rsid w:val="09497E1A"/>
    <w:rsid w:val="09A11A04"/>
    <w:rsid w:val="0B3C294E"/>
    <w:rsid w:val="0BE300B2"/>
    <w:rsid w:val="0CCB1BA0"/>
    <w:rsid w:val="0D731909"/>
    <w:rsid w:val="0E2D7D0A"/>
    <w:rsid w:val="0E3746E5"/>
    <w:rsid w:val="0E58026E"/>
    <w:rsid w:val="0F225395"/>
    <w:rsid w:val="0F783207"/>
    <w:rsid w:val="102962AF"/>
    <w:rsid w:val="103A670E"/>
    <w:rsid w:val="1097590F"/>
    <w:rsid w:val="10E1375F"/>
    <w:rsid w:val="115312D0"/>
    <w:rsid w:val="129A3494"/>
    <w:rsid w:val="129D2BCD"/>
    <w:rsid w:val="12D60970"/>
    <w:rsid w:val="13050DF6"/>
    <w:rsid w:val="13522FA3"/>
    <w:rsid w:val="135D4BEE"/>
    <w:rsid w:val="13FF5CA5"/>
    <w:rsid w:val="1410303C"/>
    <w:rsid w:val="142C636E"/>
    <w:rsid w:val="14447FA6"/>
    <w:rsid w:val="14860174"/>
    <w:rsid w:val="14BF5434"/>
    <w:rsid w:val="14FD71C3"/>
    <w:rsid w:val="15404F38"/>
    <w:rsid w:val="15E50ECA"/>
    <w:rsid w:val="16297EE3"/>
    <w:rsid w:val="163A5A40"/>
    <w:rsid w:val="166C0C25"/>
    <w:rsid w:val="16734728"/>
    <w:rsid w:val="16D36F75"/>
    <w:rsid w:val="16D927DD"/>
    <w:rsid w:val="17127A9D"/>
    <w:rsid w:val="17AF1790"/>
    <w:rsid w:val="17B232A4"/>
    <w:rsid w:val="17FD6A90"/>
    <w:rsid w:val="18C80D5B"/>
    <w:rsid w:val="19831126"/>
    <w:rsid w:val="19D36242"/>
    <w:rsid w:val="19DF7305"/>
    <w:rsid w:val="1A275FCD"/>
    <w:rsid w:val="1A4346A4"/>
    <w:rsid w:val="1A643794"/>
    <w:rsid w:val="1AF446CC"/>
    <w:rsid w:val="1B7F09A3"/>
    <w:rsid w:val="1B8D003A"/>
    <w:rsid w:val="1B99253B"/>
    <w:rsid w:val="1BAA299A"/>
    <w:rsid w:val="1BD418B6"/>
    <w:rsid w:val="1BD93D70"/>
    <w:rsid w:val="1CF739BD"/>
    <w:rsid w:val="1DB21FDA"/>
    <w:rsid w:val="1E39410D"/>
    <w:rsid w:val="1EFA59E6"/>
    <w:rsid w:val="1F0E3240"/>
    <w:rsid w:val="1F3E1D77"/>
    <w:rsid w:val="1FB02549"/>
    <w:rsid w:val="200D34F7"/>
    <w:rsid w:val="201E74B3"/>
    <w:rsid w:val="20D45FF1"/>
    <w:rsid w:val="215F4227"/>
    <w:rsid w:val="218E2416"/>
    <w:rsid w:val="22115DF1"/>
    <w:rsid w:val="22431777"/>
    <w:rsid w:val="226030DD"/>
    <w:rsid w:val="22645EEA"/>
    <w:rsid w:val="232F76C9"/>
    <w:rsid w:val="238E1814"/>
    <w:rsid w:val="23957A8C"/>
    <w:rsid w:val="23AD74CB"/>
    <w:rsid w:val="241430A6"/>
    <w:rsid w:val="242E1C8E"/>
    <w:rsid w:val="24B858CA"/>
    <w:rsid w:val="24E4247E"/>
    <w:rsid w:val="24F829C8"/>
    <w:rsid w:val="2560231B"/>
    <w:rsid w:val="26903AC9"/>
    <w:rsid w:val="277C5D20"/>
    <w:rsid w:val="278133AD"/>
    <w:rsid w:val="278D7C4B"/>
    <w:rsid w:val="27BC47E5"/>
    <w:rsid w:val="280653FC"/>
    <w:rsid w:val="285A1BEC"/>
    <w:rsid w:val="28AA5C7C"/>
    <w:rsid w:val="29530169"/>
    <w:rsid w:val="29B42C36"/>
    <w:rsid w:val="29E163BB"/>
    <w:rsid w:val="2A571F3F"/>
    <w:rsid w:val="2A587A65"/>
    <w:rsid w:val="2A7C19A5"/>
    <w:rsid w:val="2AA157D4"/>
    <w:rsid w:val="2AE77360"/>
    <w:rsid w:val="2AFB4FC0"/>
    <w:rsid w:val="2B3C1135"/>
    <w:rsid w:val="2BC43604"/>
    <w:rsid w:val="2C23203F"/>
    <w:rsid w:val="2C723060"/>
    <w:rsid w:val="2D0217E1"/>
    <w:rsid w:val="2DD9710F"/>
    <w:rsid w:val="2E3F3416"/>
    <w:rsid w:val="2E8D62ED"/>
    <w:rsid w:val="2F963509"/>
    <w:rsid w:val="2FAE63D5"/>
    <w:rsid w:val="300F039B"/>
    <w:rsid w:val="31623972"/>
    <w:rsid w:val="324E00CB"/>
    <w:rsid w:val="326E7E26"/>
    <w:rsid w:val="335C6818"/>
    <w:rsid w:val="33AF1903"/>
    <w:rsid w:val="33E83C08"/>
    <w:rsid w:val="33F425AD"/>
    <w:rsid w:val="3411103B"/>
    <w:rsid w:val="346C2A8B"/>
    <w:rsid w:val="35956B72"/>
    <w:rsid w:val="35B30245"/>
    <w:rsid w:val="35CE22EB"/>
    <w:rsid w:val="367B6FB5"/>
    <w:rsid w:val="36CE5337"/>
    <w:rsid w:val="36E671AF"/>
    <w:rsid w:val="37126BC7"/>
    <w:rsid w:val="37261986"/>
    <w:rsid w:val="37CD334A"/>
    <w:rsid w:val="380F69FC"/>
    <w:rsid w:val="3845325C"/>
    <w:rsid w:val="39A607ED"/>
    <w:rsid w:val="39DA3FF3"/>
    <w:rsid w:val="39FE23D7"/>
    <w:rsid w:val="3A086DB2"/>
    <w:rsid w:val="3A663A45"/>
    <w:rsid w:val="3A687850"/>
    <w:rsid w:val="3B0E6926"/>
    <w:rsid w:val="3B744C20"/>
    <w:rsid w:val="3B8C3A12"/>
    <w:rsid w:val="3BC958F8"/>
    <w:rsid w:val="3BD8105D"/>
    <w:rsid w:val="3C0A03A8"/>
    <w:rsid w:val="3C380145"/>
    <w:rsid w:val="3C487939"/>
    <w:rsid w:val="3C8B5A78"/>
    <w:rsid w:val="3D3B749E"/>
    <w:rsid w:val="3DF8538F"/>
    <w:rsid w:val="3E8F1850"/>
    <w:rsid w:val="3EAF1EF2"/>
    <w:rsid w:val="3EF47905"/>
    <w:rsid w:val="3F2F3033"/>
    <w:rsid w:val="4174388F"/>
    <w:rsid w:val="42164036"/>
    <w:rsid w:val="4266441E"/>
    <w:rsid w:val="42C83582"/>
    <w:rsid w:val="42CE4911"/>
    <w:rsid w:val="4347329D"/>
    <w:rsid w:val="44BC7E40"/>
    <w:rsid w:val="450A60D4"/>
    <w:rsid w:val="454B049A"/>
    <w:rsid w:val="45842DEA"/>
    <w:rsid w:val="45962386"/>
    <w:rsid w:val="46276812"/>
    <w:rsid w:val="4651388E"/>
    <w:rsid w:val="467852BF"/>
    <w:rsid w:val="46F26E20"/>
    <w:rsid w:val="470A192F"/>
    <w:rsid w:val="47360BFD"/>
    <w:rsid w:val="47716FC6"/>
    <w:rsid w:val="484C6A03"/>
    <w:rsid w:val="48831CF9"/>
    <w:rsid w:val="48AE321A"/>
    <w:rsid w:val="492B486B"/>
    <w:rsid w:val="492E7EB7"/>
    <w:rsid w:val="495E7463"/>
    <w:rsid w:val="4AC76815"/>
    <w:rsid w:val="4BF03B4A"/>
    <w:rsid w:val="4C481290"/>
    <w:rsid w:val="4CD40D75"/>
    <w:rsid w:val="4D695962"/>
    <w:rsid w:val="4DE4148C"/>
    <w:rsid w:val="4EE96B58"/>
    <w:rsid w:val="4F292454"/>
    <w:rsid w:val="4F3B50DC"/>
    <w:rsid w:val="4F7D2C53"/>
    <w:rsid w:val="50BD6410"/>
    <w:rsid w:val="50C01D3C"/>
    <w:rsid w:val="51346287"/>
    <w:rsid w:val="514E559A"/>
    <w:rsid w:val="51595CED"/>
    <w:rsid w:val="51CE285D"/>
    <w:rsid w:val="534F6A09"/>
    <w:rsid w:val="53794425"/>
    <w:rsid w:val="53A47585"/>
    <w:rsid w:val="53B06502"/>
    <w:rsid w:val="53C9715A"/>
    <w:rsid w:val="53D55AFF"/>
    <w:rsid w:val="54392CF6"/>
    <w:rsid w:val="547F3CBD"/>
    <w:rsid w:val="549E7C38"/>
    <w:rsid w:val="54CC5154"/>
    <w:rsid w:val="54D04518"/>
    <w:rsid w:val="54E92359"/>
    <w:rsid w:val="55124091"/>
    <w:rsid w:val="551E00BF"/>
    <w:rsid w:val="5536081F"/>
    <w:rsid w:val="556F5ADF"/>
    <w:rsid w:val="55935C72"/>
    <w:rsid w:val="55A44A0C"/>
    <w:rsid w:val="56503B63"/>
    <w:rsid w:val="56521689"/>
    <w:rsid w:val="56574B80"/>
    <w:rsid w:val="56B539C6"/>
    <w:rsid w:val="56CD51B3"/>
    <w:rsid w:val="56D77DE0"/>
    <w:rsid w:val="56D83D2F"/>
    <w:rsid w:val="57190332"/>
    <w:rsid w:val="57A2219C"/>
    <w:rsid w:val="58150BC0"/>
    <w:rsid w:val="5842572D"/>
    <w:rsid w:val="586D62C7"/>
    <w:rsid w:val="58B06B3A"/>
    <w:rsid w:val="58CE1027"/>
    <w:rsid w:val="58EB1921"/>
    <w:rsid w:val="59AA17DC"/>
    <w:rsid w:val="59AC7302"/>
    <w:rsid w:val="59F86345"/>
    <w:rsid w:val="5ABA5A4E"/>
    <w:rsid w:val="5B490B80"/>
    <w:rsid w:val="5B6A1223"/>
    <w:rsid w:val="5B8F2D04"/>
    <w:rsid w:val="5BAF6C35"/>
    <w:rsid w:val="5BD91F04"/>
    <w:rsid w:val="5C204CC9"/>
    <w:rsid w:val="5C27577D"/>
    <w:rsid w:val="5CA96851"/>
    <w:rsid w:val="5CD86660"/>
    <w:rsid w:val="5CEC197B"/>
    <w:rsid w:val="5D2C10CD"/>
    <w:rsid w:val="5D2C42B6"/>
    <w:rsid w:val="5D7F6CE0"/>
    <w:rsid w:val="5DF45C6A"/>
    <w:rsid w:val="5E1F2538"/>
    <w:rsid w:val="5F4516F6"/>
    <w:rsid w:val="5F487ACD"/>
    <w:rsid w:val="5F7A755A"/>
    <w:rsid w:val="5F942D12"/>
    <w:rsid w:val="5FA568C3"/>
    <w:rsid w:val="5FC67B3D"/>
    <w:rsid w:val="607848E1"/>
    <w:rsid w:val="61241E74"/>
    <w:rsid w:val="612477AC"/>
    <w:rsid w:val="617526CF"/>
    <w:rsid w:val="61E56803"/>
    <w:rsid w:val="61FA2BD4"/>
    <w:rsid w:val="620D46B6"/>
    <w:rsid w:val="62397BA1"/>
    <w:rsid w:val="62D850E1"/>
    <w:rsid w:val="63D407E9"/>
    <w:rsid w:val="63EB6508"/>
    <w:rsid w:val="63F024E1"/>
    <w:rsid w:val="63FF23D3"/>
    <w:rsid w:val="648E139E"/>
    <w:rsid w:val="653603C7"/>
    <w:rsid w:val="653A1C66"/>
    <w:rsid w:val="65E6594A"/>
    <w:rsid w:val="65E8256B"/>
    <w:rsid w:val="66171FA7"/>
    <w:rsid w:val="66195F86"/>
    <w:rsid w:val="662A1835"/>
    <w:rsid w:val="66377F53"/>
    <w:rsid w:val="668F5275"/>
    <w:rsid w:val="669929BC"/>
    <w:rsid w:val="67492634"/>
    <w:rsid w:val="6787315C"/>
    <w:rsid w:val="68061E48"/>
    <w:rsid w:val="682A4B22"/>
    <w:rsid w:val="685B2C02"/>
    <w:rsid w:val="685E210F"/>
    <w:rsid w:val="68B25FB7"/>
    <w:rsid w:val="6908207B"/>
    <w:rsid w:val="694C640B"/>
    <w:rsid w:val="698A0CE2"/>
    <w:rsid w:val="69C67F6C"/>
    <w:rsid w:val="69F13225"/>
    <w:rsid w:val="6A9523AC"/>
    <w:rsid w:val="6AC81AC2"/>
    <w:rsid w:val="6AEA7C8A"/>
    <w:rsid w:val="6AF503DD"/>
    <w:rsid w:val="6B3C7440"/>
    <w:rsid w:val="6BEC29AB"/>
    <w:rsid w:val="6C68355C"/>
    <w:rsid w:val="6CD7423E"/>
    <w:rsid w:val="6D6F45CA"/>
    <w:rsid w:val="6D82064E"/>
    <w:rsid w:val="6DF07EA0"/>
    <w:rsid w:val="6E934195"/>
    <w:rsid w:val="6EB34837"/>
    <w:rsid w:val="6EF2710D"/>
    <w:rsid w:val="6EFE30AA"/>
    <w:rsid w:val="6F0203A3"/>
    <w:rsid w:val="6F6116FE"/>
    <w:rsid w:val="6F821DA0"/>
    <w:rsid w:val="6F9B59F7"/>
    <w:rsid w:val="70814BED"/>
    <w:rsid w:val="709B5583"/>
    <w:rsid w:val="710650F2"/>
    <w:rsid w:val="713C0B14"/>
    <w:rsid w:val="714B637E"/>
    <w:rsid w:val="71844269"/>
    <w:rsid w:val="7201184C"/>
    <w:rsid w:val="72034D25"/>
    <w:rsid w:val="72911ADB"/>
    <w:rsid w:val="731D7D68"/>
    <w:rsid w:val="73410663"/>
    <w:rsid w:val="73D80D52"/>
    <w:rsid w:val="73F13E37"/>
    <w:rsid w:val="746F1200"/>
    <w:rsid w:val="74FF4418"/>
    <w:rsid w:val="7555552D"/>
    <w:rsid w:val="755E393F"/>
    <w:rsid w:val="75C24FD3"/>
    <w:rsid w:val="76CC46E8"/>
    <w:rsid w:val="773318A4"/>
    <w:rsid w:val="774B1AB0"/>
    <w:rsid w:val="77EB3293"/>
    <w:rsid w:val="782B4954"/>
    <w:rsid w:val="78801C2E"/>
    <w:rsid w:val="78827754"/>
    <w:rsid w:val="798B03F2"/>
    <w:rsid w:val="79B80F53"/>
    <w:rsid w:val="79D00993"/>
    <w:rsid w:val="7AEA15E0"/>
    <w:rsid w:val="7B024B7C"/>
    <w:rsid w:val="7B0633B2"/>
    <w:rsid w:val="7B2745E3"/>
    <w:rsid w:val="7B917CAE"/>
    <w:rsid w:val="7BB32B20"/>
    <w:rsid w:val="7BEC1388"/>
    <w:rsid w:val="7BF73FB5"/>
    <w:rsid w:val="7C517836"/>
    <w:rsid w:val="7C686C61"/>
    <w:rsid w:val="7C6A52C0"/>
    <w:rsid w:val="7CE976CB"/>
    <w:rsid w:val="7ED618D2"/>
    <w:rsid w:val="7EDC5844"/>
    <w:rsid w:val="7FE9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qFormat="1" w:uiPriority="99"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9"/>
    <w:pPr>
      <w:keepNext/>
      <w:keepLines/>
      <w:spacing w:line="360" w:lineRule="auto"/>
      <w:jc w:val="left"/>
      <w:outlineLvl w:val="1"/>
    </w:pPr>
    <w:rPr>
      <w:rFonts w:ascii="Times New Roman" w:hAnsi="Times New Roman" w:eastAsia="宋体"/>
      <w:b/>
      <w:bCs/>
      <w:sz w:val="28"/>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Salutation"/>
    <w:basedOn w:val="1"/>
    <w:next w:val="1"/>
    <w:unhideWhenUsed/>
    <w:qFormat/>
    <w:uiPriority w:val="99"/>
    <w:rPr>
      <w:rFonts w:ascii="宋体" w:hAnsi="宋体" w:eastAsia="仿宋_GB2312" w:cs="Times New Roman"/>
      <w:kern w:val="0"/>
      <w:sz w:val="20"/>
      <w:szCs w:val="21"/>
    </w:rPr>
  </w:style>
  <w:style w:type="paragraph" w:styleId="5">
    <w:name w:val="Body Text"/>
    <w:basedOn w:val="1"/>
    <w:next w:val="1"/>
    <w:qFormat/>
    <w:uiPriority w:val="0"/>
    <w:pPr>
      <w:spacing w:line="520" w:lineRule="exact"/>
    </w:pPr>
    <w:rPr>
      <w:rFonts w:ascii="仿宋_GB2312" w:hAnsi="宋体" w:eastAsia="仿宋_GB2312" w:cs="Times New Roman"/>
      <w:color w:val="008000"/>
      <w:kern w:val="0"/>
      <w:sz w:val="24"/>
      <w:szCs w:val="24"/>
    </w:rPr>
  </w:style>
  <w:style w:type="paragraph" w:styleId="6">
    <w:name w:val="Body Text Indent"/>
    <w:basedOn w:val="1"/>
    <w:next w:val="7"/>
    <w:qFormat/>
    <w:uiPriority w:val="0"/>
    <w:pPr>
      <w:widowControl/>
      <w:spacing w:after="120"/>
      <w:ind w:left="420" w:leftChars="200" w:firstLine="360"/>
    </w:pPr>
    <w:rPr>
      <w:rFonts w:eastAsia="宋体"/>
      <w:kern w:val="0"/>
      <w:sz w:val="22"/>
      <w:szCs w:val="20"/>
      <w:lang w:eastAsia="en-US" w:bidi="en-US"/>
    </w:rPr>
  </w:style>
  <w:style w:type="paragraph" w:styleId="7">
    <w:name w:val="envelope return"/>
    <w:basedOn w:val="1"/>
    <w:qFormat/>
    <w:uiPriority w:val="0"/>
    <w:pPr>
      <w:snapToGrid w:val="0"/>
    </w:pPr>
    <w:rPr>
      <w:rFonts w:ascii="Arial" w:hAnsi="Arial" w:eastAsia="宋体" w:cs="Times New Roman"/>
    </w:rPr>
  </w:style>
  <w:style w:type="paragraph" w:styleId="8">
    <w:name w:val="Block Text"/>
    <w:basedOn w:val="1"/>
    <w:qFormat/>
    <w:uiPriority w:val="0"/>
    <w:pPr>
      <w:spacing w:line="480" w:lineRule="exact"/>
      <w:ind w:left="100" w:right="111" w:firstLine="556" w:firstLineChars="0"/>
    </w:pPr>
    <w:rPr>
      <w:sz w:val="28"/>
      <w:szCs w:val="20"/>
    </w:rPr>
  </w:style>
  <w:style w:type="paragraph" w:styleId="9">
    <w:name w:val="Body Text Indent 2"/>
    <w:basedOn w:val="1"/>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toc 1"/>
    <w:basedOn w:val="1"/>
    <w:next w:val="1"/>
    <w:qFormat/>
    <w:uiPriority w:val="0"/>
  </w:style>
  <w:style w:type="paragraph" w:styleId="12">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1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4">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15">
    <w:name w:val="Body Text First Indent"/>
    <w:basedOn w:val="5"/>
    <w:unhideWhenUsed/>
    <w:qFormat/>
    <w:uiPriority w:val="99"/>
    <w:pPr>
      <w:spacing w:after="120" w:line="240" w:lineRule="auto"/>
      <w:ind w:firstLine="420" w:firstLineChars="100"/>
    </w:pPr>
  </w:style>
  <w:style w:type="paragraph" w:styleId="16">
    <w:name w:val="Body Text First Indent 2"/>
    <w:basedOn w:val="6"/>
    <w:next w:val="1"/>
    <w:qFormat/>
    <w:uiPriority w:val="0"/>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FollowedHyperlink"/>
    <w:basedOn w:val="19"/>
    <w:qFormat/>
    <w:uiPriority w:val="0"/>
    <w:rPr>
      <w:color w:val="800080"/>
      <w:u w:val="none"/>
    </w:rPr>
  </w:style>
  <w:style w:type="character" w:styleId="22">
    <w:name w:val="Emphasis"/>
    <w:basedOn w:val="19"/>
    <w:qFormat/>
    <w:uiPriority w:val="0"/>
    <w:rPr>
      <w:b/>
      <w:bCs/>
      <w:bdr w:val="single" w:color="888888" w:sz="2" w:space="0"/>
      <w:shd w:val="clear" w:fill="F2F4F9"/>
    </w:rPr>
  </w:style>
  <w:style w:type="character" w:styleId="23">
    <w:name w:val="HTML Definition"/>
    <w:basedOn w:val="19"/>
    <w:qFormat/>
    <w:uiPriority w:val="0"/>
  </w:style>
  <w:style w:type="character" w:styleId="24">
    <w:name w:val="HTML Typewriter"/>
    <w:basedOn w:val="19"/>
    <w:qFormat/>
    <w:uiPriority w:val="0"/>
    <w:rPr>
      <w:rFonts w:hint="default" w:ascii="monospace" w:hAnsi="monospace" w:eastAsia="monospace" w:cs="monospace"/>
      <w:sz w:val="20"/>
    </w:rPr>
  </w:style>
  <w:style w:type="character" w:styleId="25">
    <w:name w:val="HTML Acronym"/>
    <w:basedOn w:val="19"/>
    <w:qFormat/>
    <w:uiPriority w:val="0"/>
  </w:style>
  <w:style w:type="character" w:styleId="26">
    <w:name w:val="HTML Variable"/>
    <w:basedOn w:val="19"/>
    <w:qFormat/>
    <w:uiPriority w:val="0"/>
  </w:style>
  <w:style w:type="character" w:styleId="27">
    <w:name w:val="Hyperlink"/>
    <w:basedOn w:val="19"/>
    <w:qFormat/>
    <w:uiPriority w:val="0"/>
    <w:rPr>
      <w:color w:val="0000FF"/>
      <w:u w:val="none"/>
    </w:rPr>
  </w:style>
  <w:style w:type="character" w:styleId="28">
    <w:name w:val="HTML Code"/>
    <w:basedOn w:val="19"/>
    <w:qFormat/>
    <w:uiPriority w:val="0"/>
    <w:rPr>
      <w:rFonts w:hint="default" w:ascii="monospace" w:hAnsi="monospace" w:eastAsia="monospace" w:cs="monospace"/>
      <w:sz w:val="20"/>
    </w:rPr>
  </w:style>
  <w:style w:type="character" w:styleId="29">
    <w:name w:val="HTML Cite"/>
    <w:basedOn w:val="19"/>
    <w:qFormat/>
    <w:uiPriority w:val="0"/>
  </w:style>
  <w:style w:type="character" w:styleId="30">
    <w:name w:val="HTML Keyboard"/>
    <w:basedOn w:val="19"/>
    <w:qFormat/>
    <w:uiPriority w:val="0"/>
    <w:rPr>
      <w:rFonts w:ascii="monospace" w:hAnsi="monospace" w:eastAsia="monospace" w:cs="monospace"/>
      <w:sz w:val="20"/>
    </w:rPr>
  </w:style>
  <w:style w:type="character" w:styleId="31">
    <w:name w:val="HTML Sample"/>
    <w:basedOn w:val="19"/>
    <w:qFormat/>
    <w:uiPriority w:val="0"/>
    <w:rPr>
      <w:rFonts w:hint="default" w:ascii="monospace" w:hAnsi="monospace" w:eastAsia="monospace" w:cs="monospace"/>
    </w:rPr>
  </w:style>
  <w:style w:type="paragraph" w:customStyle="1" w:styleId="32">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3">
    <w:name w:val="大标题"/>
    <w:basedOn w:val="1"/>
    <w:next w:val="16"/>
    <w:qFormat/>
    <w:uiPriority w:val="0"/>
    <w:pPr>
      <w:pageBreakBefore/>
      <w:spacing w:after="200" w:line="720" w:lineRule="auto"/>
      <w:jc w:val="center"/>
      <w:outlineLvl w:val="0"/>
    </w:pPr>
    <w:rPr>
      <w:rFonts w:ascii="黑体" w:hAnsi="Calibri" w:eastAsia="黑体"/>
      <w:sz w:val="32"/>
      <w:szCs w:val="30"/>
      <w:lang w:eastAsia="en-US" w:bidi="en-US"/>
    </w:rPr>
  </w:style>
  <w:style w:type="character" w:customStyle="1" w:styleId="34">
    <w:name w:val="first-child"/>
    <w:basedOn w:val="19"/>
    <w:qFormat/>
    <w:uiPriority w:val="0"/>
  </w:style>
  <w:style w:type="character" w:customStyle="1" w:styleId="35">
    <w:name w:val="layui-layer-tabnow"/>
    <w:basedOn w:val="19"/>
    <w:qFormat/>
    <w:uiPriority w:val="0"/>
    <w:rPr>
      <w:bdr w:val="single" w:color="CCCCCC" w:sz="6" w:space="0"/>
      <w:shd w:val="clear" w:fill="FFFFFF"/>
    </w:rPr>
  </w:style>
  <w:style w:type="paragraph" w:customStyle="1" w:styleId="36">
    <w:name w:val="*正文_1_0_0_0_0"/>
    <w:basedOn w:val="1"/>
    <w:next w:val="1"/>
    <w:qFormat/>
    <w:uiPriority w:val="0"/>
    <w:pPr>
      <w:widowControl/>
      <w:ind w:firstLine="482"/>
    </w:pPr>
    <w:rPr>
      <w:rFonts w:ascii="微软雅黑" w:hAnsi="微软雅黑" w:eastAsia="微软雅黑" w:cs="Times New Roman"/>
    </w:rPr>
  </w:style>
  <w:style w:type="paragraph" w:customStyle="1" w:styleId="37">
    <w:name w:val="Table Text"/>
    <w:basedOn w:val="1"/>
    <w:semiHidden/>
    <w:qFormat/>
    <w:uiPriority w:val="0"/>
    <w:rPr>
      <w:rFonts w:ascii="宋体" w:hAnsi="宋体" w:eastAsia="宋体" w:cs="宋体"/>
      <w:sz w:val="28"/>
      <w:szCs w:val="28"/>
      <w:lang w:val="en-US" w:eastAsia="en-US" w:bidi="ar-SA"/>
    </w:rPr>
  </w:style>
  <w:style w:type="character" w:customStyle="1" w:styleId="38">
    <w:name w:val="hover18"/>
    <w:basedOn w:val="19"/>
    <w:qFormat/>
    <w:uiPriority w:val="0"/>
  </w:style>
  <w:style w:type="character" w:customStyle="1" w:styleId="39">
    <w:name w:val="hover16"/>
    <w:basedOn w:val="19"/>
    <w:qFormat/>
    <w:uiPriority w:val="0"/>
  </w:style>
  <w:style w:type="character" w:customStyle="1" w:styleId="40">
    <w:name w:val="hover1"/>
    <w:basedOn w:val="19"/>
    <w:qFormat/>
    <w:uiPriority w:val="0"/>
    <w:rPr>
      <w:color w:val="2590EB"/>
    </w:rPr>
  </w:style>
  <w:style w:type="character" w:customStyle="1" w:styleId="41">
    <w:name w:val="hover2"/>
    <w:basedOn w:val="19"/>
    <w:qFormat/>
    <w:uiPriority w:val="0"/>
    <w:rPr>
      <w:color w:val="2590EB"/>
    </w:rPr>
  </w:style>
  <w:style w:type="character" w:customStyle="1" w:styleId="42">
    <w:name w:val="hover3"/>
    <w:basedOn w:val="19"/>
    <w:qFormat/>
    <w:uiPriority w:val="0"/>
  </w:style>
  <w:style w:type="character" w:customStyle="1" w:styleId="43">
    <w:name w:val="mini-outputtext1"/>
    <w:basedOn w:val="19"/>
    <w:qFormat/>
    <w:uiPriority w:val="0"/>
  </w:style>
  <w:style w:type="character" w:customStyle="1" w:styleId="44">
    <w:name w:val="hover"/>
    <w:basedOn w:val="19"/>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63</Pages>
  <Words>18563</Words>
  <Characters>20254</Characters>
  <Lines>0</Lines>
  <Paragraphs>0</Paragraphs>
  <TotalTime>2</TotalTime>
  <ScaleCrop>false</ScaleCrop>
  <LinksUpToDate>false</LinksUpToDate>
  <CharactersWithSpaces>20368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2025-09-17T07:49:00Z</dcterms:created>
  <dc:creator>ASUS</dc:creator>
  <cp:lastModifiedBy>心平气和</cp:lastModifiedBy>
  <cp:lastPrinted>2025-09-24T00:19:00Z</cp:lastPrinted>
  <dcterms:modified xsi:type="dcterms:W3CDTF">2025-11-07T06:01:42Z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eyJoZGlkIjoiN2M5NmM1MTNjMWZjMzMyNTNjYjMxOWZjOTBlZmI2ZmEiLCJ1c2VySWQiOiIxNzI4MzY4MDQwIn0=</vt:lpwstr>
  </property>
  <property fmtid="{D5CDD505-2E9C-101B-9397-08002B2CF9AE}" pid="4" name="ICV">
    <vt:lpwstr>FF32F80F62F74C37903F6DD373C2426D_13</vt:lpwstr>
  </property>
</Properties>
</file>