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10BDA">
      <w:pPr>
        <w:adjustRightInd w:val="0"/>
        <w:snapToGrid w:val="0"/>
        <w:spacing w:line="360" w:lineRule="auto"/>
        <w:jc w:val="center"/>
        <w:rPr>
          <w:rFonts w:hint="eastAsia" w:ascii="宋体" w:hAnsi="宋体" w:cs="宋体"/>
          <w:b/>
          <w:bCs/>
          <w:color w:val="000000"/>
          <w:sz w:val="52"/>
          <w:szCs w:val="56"/>
          <w:lang w:eastAsia="zh-CN"/>
        </w:rPr>
      </w:pPr>
      <w:bookmarkStart w:id="491" w:name="_GoBack"/>
      <w:bookmarkEnd w:id="491"/>
      <w:r>
        <w:rPr>
          <w:rFonts w:hint="eastAsia" w:ascii="宋体" w:hAnsi="宋体" w:cs="宋体"/>
          <w:b/>
          <w:bCs/>
          <w:color w:val="000000"/>
          <w:sz w:val="52"/>
          <w:szCs w:val="56"/>
          <w:lang w:eastAsia="zh-CN"/>
        </w:rPr>
        <w:t>灵宝市矿山税收一体化综合服务中心信息化改造项目</w:t>
      </w:r>
    </w:p>
    <w:p w14:paraId="2304A926">
      <w:pPr>
        <w:adjustRightInd w:val="0"/>
        <w:snapToGrid w:val="0"/>
        <w:spacing w:line="360" w:lineRule="auto"/>
        <w:jc w:val="both"/>
        <w:rPr>
          <w:rFonts w:hint="eastAsia" w:ascii="宋体" w:hAnsi="宋体" w:cs="宋体"/>
          <w:b/>
          <w:bCs/>
          <w:color w:val="000000"/>
          <w:sz w:val="60"/>
          <w:szCs w:val="72"/>
          <w:lang w:eastAsia="zh-CN"/>
        </w:rPr>
      </w:pPr>
    </w:p>
    <w:p w14:paraId="6E2371C2">
      <w:pPr>
        <w:adjustRightInd w:val="0"/>
        <w:snapToGrid w:val="0"/>
        <w:spacing w:line="360" w:lineRule="auto"/>
        <w:jc w:val="both"/>
        <w:rPr>
          <w:rFonts w:hint="eastAsia" w:ascii="宋体" w:hAnsi="宋体" w:cs="宋体"/>
          <w:b/>
          <w:bCs/>
          <w:color w:val="000000"/>
          <w:sz w:val="60"/>
          <w:szCs w:val="72"/>
          <w:lang w:eastAsia="zh-CN"/>
        </w:rPr>
      </w:pPr>
    </w:p>
    <w:p w14:paraId="19ACDB89">
      <w:pPr>
        <w:adjustRightInd w:val="0"/>
        <w:snapToGrid w:val="0"/>
        <w:spacing w:line="360" w:lineRule="auto"/>
        <w:jc w:val="center"/>
        <w:rPr>
          <w:rFonts w:hint="eastAsia" w:ascii="宋体" w:hAnsi="宋体" w:cs="宋体"/>
          <w:b/>
          <w:bCs/>
          <w:color w:val="000000"/>
          <w:sz w:val="40"/>
          <w:szCs w:val="48"/>
        </w:rPr>
      </w:pPr>
      <w:r>
        <w:rPr>
          <w:rFonts w:hint="eastAsia" w:ascii="宋体" w:hAnsi="宋体" w:cs="宋体"/>
          <w:b/>
          <w:bCs/>
          <w:color w:val="000000"/>
          <w:sz w:val="72"/>
          <w:szCs w:val="72"/>
        </w:rPr>
        <w:t>竞争性磋商文件</w:t>
      </w:r>
    </w:p>
    <w:p w14:paraId="3BB81F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562" w:firstLineChars="200"/>
        <w:jc w:val="left"/>
        <w:rPr>
          <w:rFonts w:hint="eastAsia" w:ascii="宋体" w:hAnsi="宋体" w:eastAsia="宋体" w:cs="宋体"/>
          <w:b/>
          <w:bCs/>
          <w:color w:val="000000"/>
          <w:sz w:val="28"/>
          <w:szCs w:val="28"/>
        </w:rPr>
      </w:pPr>
    </w:p>
    <w:p w14:paraId="6FD9F9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562" w:firstLineChars="200"/>
        <w:jc w:val="left"/>
        <w:rPr>
          <w:rFonts w:hint="eastAsia" w:ascii="宋体" w:hAnsi="宋体" w:eastAsia="宋体" w:cs="宋体"/>
          <w:b/>
          <w:bCs/>
          <w:color w:val="000000"/>
          <w:sz w:val="28"/>
          <w:szCs w:val="28"/>
        </w:rPr>
      </w:pPr>
    </w:p>
    <w:p w14:paraId="2EF48E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right="0" w:firstLine="2530" w:firstLineChars="900"/>
        <w:jc w:val="left"/>
        <w:rPr>
          <w:rFonts w:hint="eastAsia" w:ascii="宋体" w:hAnsi="宋体" w:cs="宋体"/>
          <w:b/>
          <w:bCs/>
          <w:color w:val="000000"/>
          <w:sz w:val="28"/>
          <w:szCs w:val="28"/>
          <w:highlight w:val="yellow"/>
          <w:lang w:eastAsia="zh-CN"/>
        </w:rPr>
      </w:pPr>
      <w:r>
        <w:rPr>
          <w:rFonts w:hint="eastAsia" w:ascii="宋体" w:hAnsi="宋体" w:eastAsia="宋体" w:cs="宋体"/>
          <w:b/>
          <w:bCs/>
          <w:color w:val="000000"/>
          <w:sz w:val="28"/>
          <w:szCs w:val="28"/>
        </w:rPr>
        <w:t>项目编号：</w:t>
      </w:r>
      <w:r>
        <w:rPr>
          <w:rFonts w:hint="eastAsia" w:ascii="宋体" w:hAnsi="宋体" w:cs="宋体"/>
          <w:b/>
          <w:bCs/>
          <w:color w:val="000000"/>
          <w:sz w:val="28"/>
          <w:szCs w:val="28"/>
          <w:highlight w:val="none"/>
          <w:lang w:eastAsia="zh-CN"/>
        </w:rPr>
        <w:t>灵宝竞磋采购-2026-14</w:t>
      </w:r>
    </w:p>
    <w:p w14:paraId="2E2657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3935" w:firstLineChars="1400"/>
        <w:jc w:val="left"/>
        <w:rPr>
          <w:rFonts w:ascii="微软雅黑" w:hAnsi="微软雅黑" w:eastAsia="微软雅黑" w:cs="微软雅黑"/>
          <w:color w:val="3D4B64"/>
          <w:sz w:val="16"/>
          <w:szCs w:val="16"/>
          <w:highlight w:val="none"/>
        </w:rPr>
      </w:pPr>
      <w:r>
        <w:rPr>
          <w:rFonts w:hint="eastAsia" w:ascii="宋体" w:hAnsi="宋体" w:cs="宋体"/>
          <w:b/>
          <w:bCs/>
          <w:color w:val="000000"/>
          <w:sz w:val="28"/>
          <w:szCs w:val="28"/>
          <w:highlight w:val="none"/>
          <w:lang w:eastAsia="zh-CN"/>
        </w:rPr>
        <w:t>LBGZ[2026]024-ZC023</w:t>
      </w:r>
    </w:p>
    <w:p w14:paraId="4426DF49">
      <w:pPr>
        <w:adjustRightInd w:val="0"/>
        <w:snapToGrid w:val="0"/>
        <w:spacing w:line="360" w:lineRule="auto"/>
        <w:jc w:val="both"/>
        <w:rPr>
          <w:sz w:val="28"/>
          <w:szCs w:val="28"/>
        </w:rPr>
      </w:pPr>
    </w:p>
    <w:p w14:paraId="5539E06B">
      <w:pPr>
        <w:pStyle w:val="12"/>
        <w:spacing w:line="240" w:lineRule="auto"/>
        <w:ind w:firstLine="0" w:firstLineChars="0"/>
        <w:jc w:val="center"/>
        <w:rPr>
          <w:rFonts w:hint="eastAsia"/>
        </w:rPr>
      </w:pPr>
    </w:p>
    <w:p w14:paraId="7A8658B4">
      <w:pPr>
        <w:pStyle w:val="12"/>
        <w:rPr>
          <w:rFonts w:hint="eastAsia"/>
        </w:rPr>
      </w:pPr>
    </w:p>
    <w:p w14:paraId="52D2B11F">
      <w:pPr>
        <w:adjustRightInd w:val="0"/>
        <w:snapToGrid w:val="0"/>
        <w:spacing w:line="360" w:lineRule="auto"/>
        <w:rPr>
          <w:rFonts w:hint="eastAsia" w:ascii="宋体" w:hAnsi="宋体" w:cs="宋体"/>
          <w:b/>
          <w:bCs/>
          <w:color w:val="000000"/>
          <w:sz w:val="30"/>
          <w:szCs w:val="30"/>
        </w:rPr>
      </w:pPr>
    </w:p>
    <w:p w14:paraId="0470E0E3">
      <w:pPr>
        <w:pStyle w:val="5"/>
        <w:rPr>
          <w:rFonts w:hint="eastAsia"/>
        </w:rPr>
      </w:pPr>
    </w:p>
    <w:p w14:paraId="68E6E6BD">
      <w:pPr>
        <w:adjustRightInd w:val="0"/>
        <w:snapToGrid w:val="0"/>
        <w:spacing w:line="360" w:lineRule="auto"/>
        <w:rPr>
          <w:rFonts w:hint="eastAsia" w:ascii="宋体" w:hAnsi="宋体" w:cs="宋体"/>
          <w:b/>
          <w:bCs/>
          <w:color w:val="000000"/>
          <w:sz w:val="30"/>
          <w:szCs w:val="30"/>
        </w:rPr>
      </w:pPr>
    </w:p>
    <w:p w14:paraId="631FC457">
      <w:pPr>
        <w:adjustRightInd w:val="0"/>
        <w:snapToGrid w:val="0"/>
        <w:spacing w:line="360" w:lineRule="auto"/>
        <w:ind w:firstLine="2409" w:firstLineChars="800"/>
        <w:jc w:val="both"/>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rPr>
        <w:t>采 购 人：</w:t>
      </w:r>
      <w:r>
        <w:rPr>
          <w:rFonts w:hint="eastAsia" w:ascii="宋体" w:hAnsi="宋体" w:cs="宋体"/>
          <w:b/>
          <w:bCs/>
          <w:color w:val="000000"/>
          <w:sz w:val="30"/>
          <w:szCs w:val="30"/>
          <w:lang w:eastAsia="zh-CN"/>
        </w:rPr>
        <w:t>灵宝市财政局</w:t>
      </w:r>
    </w:p>
    <w:p w14:paraId="1BA53438">
      <w:pPr>
        <w:adjustRightInd w:val="0"/>
        <w:snapToGrid w:val="0"/>
        <w:spacing w:line="360" w:lineRule="auto"/>
        <w:jc w:val="center"/>
        <w:rPr>
          <w:rFonts w:hint="eastAsia" w:ascii="宋体" w:hAnsi="宋体" w:eastAsia="宋体" w:cs="宋体"/>
          <w:b/>
          <w:bCs/>
          <w:color w:val="000000"/>
          <w:sz w:val="30"/>
          <w:szCs w:val="30"/>
        </w:rPr>
      </w:pPr>
      <w:r>
        <w:rPr>
          <w:rFonts w:hint="eastAsia" w:ascii="宋体" w:hAnsi="宋体" w:cs="宋体"/>
          <w:b/>
          <w:bCs/>
          <w:color w:val="000000"/>
          <w:sz w:val="30"/>
          <w:szCs w:val="30"/>
          <w:lang w:val="en-US" w:eastAsia="zh-CN"/>
        </w:rPr>
        <w:t xml:space="preserve">         </w:t>
      </w:r>
      <w:r>
        <w:rPr>
          <w:rFonts w:hint="eastAsia" w:ascii="宋体" w:hAnsi="宋体" w:eastAsia="宋体" w:cs="宋体"/>
          <w:b/>
          <w:bCs/>
          <w:color w:val="000000"/>
          <w:sz w:val="30"/>
          <w:szCs w:val="30"/>
        </w:rPr>
        <w:t>代理机构：</w:t>
      </w:r>
      <w:r>
        <w:rPr>
          <w:rFonts w:hint="eastAsia" w:ascii="宋体" w:hAnsi="宋体" w:cs="宋体"/>
          <w:b/>
          <w:bCs/>
          <w:color w:val="000000"/>
          <w:sz w:val="30"/>
          <w:szCs w:val="30"/>
          <w:lang w:eastAsia="zh-CN"/>
        </w:rPr>
        <w:t>河南祥沃企业管理咨询有限公司</w:t>
      </w:r>
    </w:p>
    <w:p w14:paraId="26DE7056">
      <w:pPr>
        <w:adjustRightInd w:val="0"/>
        <w:snapToGrid w:val="0"/>
        <w:spacing w:line="360" w:lineRule="auto"/>
        <w:ind w:firstLine="2409" w:firstLineChars="800"/>
        <w:jc w:val="both"/>
        <w:rPr>
          <w:rFonts w:hint="eastAsia" w:ascii="宋体" w:hAnsi="宋体" w:eastAsia="宋体" w:cs="宋体"/>
          <w:b/>
          <w:bCs/>
          <w:color w:val="000000"/>
          <w:sz w:val="30"/>
          <w:szCs w:val="30"/>
        </w:rPr>
      </w:pPr>
      <w:r>
        <w:rPr>
          <w:rFonts w:hint="eastAsia" w:ascii="宋体" w:hAnsi="宋体" w:eastAsia="宋体" w:cs="宋体"/>
          <w:b/>
          <w:bCs/>
          <w:color w:val="000000"/>
          <w:sz w:val="30"/>
          <w:szCs w:val="30"/>
        </w:rPr>
        <w:t>日    期：二零二</w:t>
      </w:r>
      <w:r>
        <w:rPr>
          <w:rFonts w:hint="eastAsia" w:ascii="宋体" w:hAnsi="宋体" w:cs="宋体"/>
          <w:b/>
          <w:bCs/>
          <w:color w:val="000000"/>
          <w:sz w:val="30"/>
          <w:szCs w:val="30"/>
          <w:lang w:val="en-US" w:eastAsia="zh-CN"/>
        </w:rPr>
        <w:t>六</w:t>
      </w:r>
      <w:r>
        <w:rPr>
          <w:rFonts w:hint="eastAsia" w:ascii="宋体" w:hAnsi="宋体" w:eastAsia="宋体" w:cs="宋体"/>
          <w:b/>
          <w:bCs/>
          <w:color w:val="000000"/>
          <w:sz w:val="30"/>
          <w:szCs w:val="30"/>
        </w:rPr>
        <w:t>年</w:t>
      </w:r>
      <w:r>
        <w:rPr>
          <w:rFonts w:hint="eastAsia" w:ascii="宋体" w:hAnsi="宋体" w:cs="宋体"/>
          <w:b/>
          <w:bCs/>
          <w:color w:val="000000"/>
          <w:sz w:val="30"/>
          <w:szCs w:val="30"/>
          <w:lang w:val="en-US" w:eastAsia="zh-CN"/>
        </w:rPr>
        <w:t>二</w:t>
      </w:r>
      <w:r>
        <w:rPr>
          <w:rFonts w:hint="eastAsia" w:ascii="宋体" w:hAnsi="宋体" w:eastAsia="宋体" w:cs="宋体"/>
          <w:b/>
          <w:bCs/>
          <w:color w:val="000000"/>
          <w:sz w:val="30"/>
          <w:szCs w:val="30"/>
        </w:rPr>
        <w:t>月</w:t>
      </w:r>
    </w:p>
    <w:p w14:paraId="517919BA">
      <w:pPr>
        <w:spacing w:line="520" w:lineRule="exact"/>
        <w:jc w:val="center"/>
        <w:rPr>
          <w:rFonts w:hint="eastAsia" w:ascii="宋体" w:hAnsi="宋体" w:cs="宋体"/>
          <w:sz w:val="44"/>
          <w:szCs w:val="44"/>
        </w:rPr>
      </w:pPr>
      <w:bookmarkStart w:id="0" w:name="_Toc488052432"/>
      <w:bookmarkStart w:id="1" w:name="_Toc24062"/>
    </w:p>
    <w:p w14:paraId="10574808">
      <w:pPr>
        <w:spacing w:line="520" w:lineRule="exact"/>
        <w:jc w:val="center"/>
        <w:rPr>
          <w:rFonts w:hint="eastAsia" w:ascii="宋体" w:hAnsi="宋体" w:cs="宋体"/>
          <w:sz w:val="44"/>
          <w:szCs w:val="44"/>
        </w:rPr>
      </w:pPr>
    </w:p>
    <w:p w14:paraId="5FDA4737">
      <w:pPr>
        <w:spacing w:line="520" w:lineRule="exact"/>
        <w:jc w:val="center"/>
        <w:rPr>
          <w:rFonts w:hint="eastAsia" w:ascii="宋体" w:hAnsi="宋体" w:cs="宋体"/>
          <w:sz w:val="44"/>
          <w:szCs w:val="44"/>
        </w:rPr>
      </w:pPr>
      <w:r>
        <w:rPr>
          <w:rFonts w:hint="eastAsia" w:ascii="宋体" w:hAnsi="宋体" w:cs="宋体"/>
          <w:sz w:val="44"/>
          <w:szCs w:val="44"/>
        </w:rPr>
        <w:t>目  录</w:t>
      </w:r>
    </w:p>
    <w:p w14:paraId="12BFCCAB">
      <w:pPr>
        <w:spacing w:line="520" w:lineRule="exact"/>
        <w:jc w:val="center"/>
        <w:rPr>
          <w:rFonts w:hint="eastAsia" w:ascii="宋体" w:hAnsi="宋体" w:cs="宋体"/>
          <w:sz w:val="36"/>
          <w:szCs w:val="36"/>
        </w:rPr>
      </w:pPr>
    </w:p>
    <w:p w14:paraId="1C1B99DB">
      <w:pPr>
        <w:pStyle w:val="15"/>
        <w:tabs>
          <w:tab w:val="right" w:leader="dot" w:pos="9072"/>
        </w:tabs>
        <w:rPr>
          <w:sz w:val="32"/>
          <w:szCs w:val="32"/>
        </w:rPr>
      </w:pPr>
      <w:bookmarkStart w:id="2" w:name="_Toc144905360"/>
      <w:r>
        <w:rPr>
          <w:rFonts w:hint="eastAsia" w:ascii="宋体" w:hAnsi="宋体" w:cs="宋体"/>
          <w:bCs/>
          <w:color w:val="000000"/>
          <w:sz w:val="32"/>
          <w:szCs w:val="32"/>
        </w:rPr>
        <w:fldChar w:fldCharType="begin"/>
      </w:r>
      <w:r>
        <w:rPr>
          <w:rFonts w:hint="eastAsia" w:ascii="宋体" w:hAnsi="宋体" w:cs="宋体"/>
          <w:bCs/>
          <w:color w:val="000000"/>
          <w:sz w:val="32"/>
          <w:szCs w:val="32"/>
        </w:rPr>
        <w:instrText xml:space="preserve">TOC \o "1-3" \h \u </w:instrText>
      </w:r>
      <w:r>
        <w:rPr>
          <w:rFonts w:hint="eastAsia" w:ascii="宋体" w:hAnsi="宋体" w:cs="宋体"/>
          <w:bCs/>
          <w:color w:val="000000"/>
          <w:sz w:val="32"/>
          <w:szCs w:val="32"/>
        </w:rPr>
        <w:fldChar w:fldCharType="separate"/>
      </w:r>
      <w:r>
        <w:rPr>
          <w:rFonts w:hint="eastAsia" w:ascii="宋体" w:hAnsi="宋体" w:cs="宋体"/>
          <w:bCs/>
          <w:color w:val="000000"/>
          <w:sz w:val="32"/>
          <w:szCs w:val="32"/>
        </w:rPr>
        <w:fldChar w:fldCharType="begin"/>
      </w:r>
      <w:r>
        <w:rPr>
          <w:rFonts w:hint="eastAsia" w:ascii="宋体" w:hAnsi="宋体" w:cs="宋体"/>
          <w:bCs/>
          <w:sz w:val="32"/>
          <w:szCs w:val="32"/>
        </w:rPr>
        <w:instrText xml:space="preserve"> HYPERLINK \l _Toc21034 </w:instrText>
      </w:r>
      <w:r>
        <w:rPr>
          <w:rFonts w:hint="eastAsia" w:ascii="宋体" w:hAnsi="宋体" w:cs="宋体"/>
          <w:bCs/>
          <w:sz w:val="32"/>
          <w:szCs w:val="32"/>
        </w:rPr>
        <w:fldChar w:fldCharType="separate"/>
      </w:r>
      <w:r>
        <w:rPr>
          <w:rFonts w:hint="eastAsia"/>
          <w:sz w:val="32"/>
          <w:szCs w:val="32"/>
        </w:rPr>
        <w:t>第一章 竞争性磋商公告</w:t>
      </w:r>
      <w:r>
        <w:rPr>
          <w:sz w:val="32"/>
          <w:szCs w:val="32"/>
        </w:rPr>
        <w:tab/>
      </w:r>
      <w:r>
        <w:rPr>
          <w:sz w:val="32"/>
          <w:szCs w:val="32"/>
        </w:rPr>
        <w:fldChar w:fldCharType="begin"/>
      </w:r>
      <w:r>
        <w:rPr>
          <w:sz w:val="32"/>
          <w:szCs w:val="32"/>
        </w:rPr>
        <w:instrText xml:space="preserve"> PAGEREF _Toc21034 \h </w:instrText>
      </w:r>
      <w:r>
        <w:rPr>
          <w:sz w:val="32"/>
          <w:szCs w:val="32"/>
        </w:rPr>
        <w:fldChar w:fldCharType="separate"/>
      </w:r>
      <w:r>
        <w:rPr>
          <w:sz w:val="32"/>
          <w:szCs w:val="32"/>
        </w:rPr>
        <w:t>1</w:t>
      </w:r>
      <w:r>
        <w:rPr>
          <w:sz w:val="32"/>
          <w:szCs w:val="32"/>
        </w:rPr>
        <w:fldChar w:fldCharType="end"/>
      </w:r>
      <w:r>
        <w:rPr>
          <w:rFonts w:hint="eastAsia" w:ascii="宋体" w:hAnsi="宋体" w:cs="宋体"/>
          <w:bCs/>
          <w:color w:val="000000"/>
          <w:sz w:val="32"/>
          <w:szCs w:val="32"/>
        </w:rPr>
        <w:fldChar w:fldCharType="end"/>
      </w:r>
    </w:p>
    <w:p w14:paraId="28240510">
      <w:pPr>
        <w:pStyle w:val="15"/>
        <w:tabs>
          <w:tab w:val="right" w:leader="dot" w:pos="9072"/>
        </w:tabs>
        <w:rPr>
          <w:sz w:val="32"/>
          <w:szCs w:val="32"/>
        </w:rPr>
      </w:pPr>
      <w:r>
        <w:rPr>
          <w:rFonts w:hint="eastAsia" w:ascii="宋体" w:hAnsi="宋体" w:eastAsia="宋体" w:cs="宋体"/>
          <w:bCs/>
          <w:color w:val="000000"/>
          <w:sz w:val="32"/>
          <w:szCs w:val="32"/>
        </w:rPr>
        <w:fldChar w:fldCharType="begin"/>
      </w:r>
      <w:r>
        <w:rPr>
          <w:rFonts w:hint="eastAsia" w:ascii="宋体" w:hAnsi="宋体" w:eastAsia="宋体" w:cs="宋体"/>
          <w:bCs/>
          <w:sz w:val="32"/>
          <w:szCs w:val="32"/>
        </w:rPr>
        <w:instrText xml:space="preserve"> HYPERLINK \l _Toc7542 </w:instrText>
      </w:r>
      <w:r>
        <w:rPr>
          <w:rFonts w:hint="eastAsia" w:ascii="宋体" w:hAnsi="宋体" w:eastAsia="宋体" w:cs="宋体"/>
          <w:bCs/>
          <w:sz w:val="32"/>
          <w:szCs w:val="32"/>
        </w:rPr>
        <w:fldChar w:fldCharType="separate"/>
      </w:r>
      <w:r>
        <w:rPr>
          <w:rFonts w:hint="eastAsia" w:ascii="宋体" w:hAnsi="宋体" w:cs="宋体"/>
          <w:bCs/>
          <w:sz w:val="32"/>
          <w:szCs w:val="32"/>
        </w:rPr>
        <w:t>第二章 供应商须知</w:t>
      </w:r>
      <w:r>
        <w:rPr>
          <w:sz w:val="32"/>
          <w:szCs w:val="32"/>
        </w:rPr>
        <w:tab/>
      </w:r>
      <w:r>
        <w:rPr>
          <w:sz w:val="32"/>
          <w:szCs w:val="32"/>
        </w:rPr>
        <w:fldChar w:fldCharType="begin"/>
      </w:r>
      <w:r>
        <w:rPr>
          <w:sz w:val="32"/>
          <w:szCs w:val="32"/>
        </w:rPr>
        <w:instrText xml:space="preserve"> PAGEREF _Toc7542 \h </w:instrText>
      </w:r>
      <w:r>
        <w:rPr>
          <w:sz w:val="32"/>
          <w:szCs w:val="32"/>
        </w:rPr>
        <w:fldChar w:fldCharType="separate"/>
      </w:r>
      <w:r>
        <w:rPr>
          <w:sz w:val="32"/>
          <w:szCs w:val="32"/>
        </w:rPr>
        <w:t>5</w:t>
      </w:r>
      <w:r>
        <w:rPr>
          <w:sz w:val="32"/>
          <w:szCs w:val="32"/>
        </w:rPr>
        <w:fldChar w:fldCharType="end"/>
      </w:r>
      <w:r>
        <w:rPr>
          <w:rFonts w:hint="eastAsia" w:ascii="宋体" w:hAnsi="宋体" w:eastAsia="宋体" w:cs="宋体"/>
          <w:bCs/>
          <w:color w:val="000000"/>
          <w:sz w:val="32"/>
          <w:szCs w:val="32"/>
        </w:rPr>
        <w:fldChar w:fldCharType="end"/>
      </w:r>
    </w:p>
    <w:p w14:paraId="1115067F">
      <w:pPr>
        <w:pStyle w:val="15"/>
        <w:tabs>
          <w:tab w:val="right" w:leader="dot" w:pos="9072"/>
        </w:tabs>
        <w:rPr>
          <w:sz w:val="32"/>
          <w:szCs w:val="32"/>
        </w:rPr>
      </w:pPr>
      <w:r>
        <w:rPr>
          <w:rFonts w:hint="eastAsia" w:ascii="宋体" w:hAnsi="宋体" w:eastAsia="宋体" w:cs="宋体"/>
          <w:bCs/>
          <w:color w:val="000000"/>
          <w:sz w:val="32"/>
          <w:szCs w:val="32"/>
        </w:rPr>
        <w:fldChar w:fldCharType="begin"/>
      </w:r>
      <w:r>
        <w:rPr>
          <w:rFonts w:hint="eastAsia" w:ascii="宋体" w:hAnsi="宋体" w:eastAsia="宋体" w:cs="宋体"/>
          <w:bCs/>
          <w:sz w:val="32"/>
          <w:szCs w:val="32"/>
        </w:rPr>
        <w:instrText xml:space="preserve"> HYPERLINK \l _Toc6399 </w:instrText>
      </w:r>
      <w:r>
        <w:rPr>
          <w:rFonts w:hint="eastAsia" w:ascii="宋体" w:hAnsi="宋体" w:eastAsia="宋体" w:cs="宋体"/>
          <w:bCs/>
          <w:sz w:val="32"/>
          <w:szCs w:val="32"/>
        </w:rPr>
        <w:fldChar w:fldCharType="separate"/>
      </w:r>
      <w:r>
        <w:rPr>
          <w:rFonts w:hint="eastAsia" w:ascii="宋体" w:hAnsi="宋体" w:cs="宋体"/>
          <w:bCs/>
          <w:sz w:val="32"/>
          <w:szCs w:val="32"/>
        </w:rPr>
        <w:t>第三章 评审办法</w:t>
      </w:r>
      <w:r>
        <w:rPr>
          <w:sz w:val="32"/>
          <w:szCs w:val="32"/>
        </w:rPr>
        <w:tab/>
      </w:r>
      <w:r>
        <w:rPr>
          <w:sz w:val="32"/>
          <w:szCs w:val="32"/>
        </w:rPr>
        <w:fldChar w:fldCharType="begin"/>
      </w:r>
      <w:r>
        <w:rPr>
          <w:sz w:val="32"/>
          <w:szCs w:val="32"/>
        </w:rPr>
        <w:instrText xml:space="preserve"> PAGEREF _Toc6399 \h </w:instrText>
      </w:r>
      <w:r>
        <w:rPr>
          <w:sz w:val="32"/>
          <w:szCs w:val="32"/>
        </w:rPr>
        <w:fldChar w:fldCharType="separate"/>
      </w:r>
      <w:r>
        <w:rPr>
          <w:sz w:val="32"/>
          <w:szCs w:val="32"/>
        </w:rPr>
        <w:t>21</w:t>
      </w:r>
      <w:r>
        <w:rPr>
          <w:sz w:val="32"/>
          <w:szCs w:val="32"/>
        </w:rPr>
        <w:fldChar w:fldCharType="end"/>
      </w:r>
      <w:r>
        <w:rPr>
          <w:rFonts w:hint="eastAsia" w:ascii="宋体" w:hAnsi="宋体" w:eastAsia="宋体" w:cs="宋体"/>
          <w:bCs/>
          <w:color w:val="000000"/>
          <w:sz w:val="32"/>
          <w:szCs w:val="32"/>
        </w:rPr>
        <w:fldChar w:fldCharType="end"/>
      </w:r>
    </w:p>
    <w:p w14:paraId="0C08EBD9">
      <w:pPr>
        <w:pStyle w:val="15"/>
        <w:tabs>
          <w:tab w:val="right" w:leader="dot" w:pos="9072"/>
        </w:tabs>
        <w:rPr>
          <w:sz w:val="32"/>
          <w:szCs w:val="32"/>
        </w:rPr>
      </w:pPr>
      <w:r>
        <w:rPr>
          <w:rFonts w:hint="eastAsia" w:ascii="宋体" w:hAnsi="宋体" w:eastAsia="宋体" w:cs="宋体"/>
          <w:bCs/>
          <w:color w:val="000000"/>
          <w:sz w:val="32"/>
          <w:szCs w:val="32"/>
        </w:rPr>
        <w:fldChar w:fldCharType="begin"/>
      </w:r>
      <w:r>
        <w:rPr>
          <w:rFonts w:hint="eastAsia" w:ascii="宋体" w:hAnsi="宋体" w:eastAsia="宋体" w:cs="宋体"/>
          <w:bCs/>
          <w:sz w:val="32"/>
          <w:szCs w:val="32"/>
        </w:rPr>
        <w:instrText xml:space="preserve"> HYPERLINK \l _Toc29446 </w:instrText>
      </w:r>
      <w:r>
        <w:rPr>
          <w:rFonts w:hint="eastAsia" w:ascii="宋体" w:hAnsi="宋体" w:eastAsia="宋体" w:cs="宋体"/>
          <w:bCs/>
          <w:sz w:val="32"/>
          <w:szCs w:val="32"/>
        </w:rPr>
        <w:fldChar w:fldCharType="separate"/>
      </w:r>
      <w:r>
        <w:rPr>
          <w:rFonts w:hint="eastAsia" w:ascii="宋体" w:hAnsi="宋体" w:cs="宋体"/>
          <w:bCs/>
          <w:sz w:val="32"/>
          <w:szCs w:val="32"/>
        </w:rPr>
        <w:t>第</w:t>
      </w:r>
      <w:r>
        <w:rPr>
          <w:rFonts w:hint="eastAsia" w:ascii="宋体" w:hAnsi="宋体" w:cs="宋体"/>
          <w:bCs/>
          <w:sz w:val="32"/>
          <w:szCs w:val="32"/>
          <w:lang w:val="en-US" w:eastAsia="zh-CN"/>
        </w:rPr>
        <w:t>四</w:t>
      </w:r>
      <w:r>
        <w:rPr>
          <w:rFonts w:hint="eastAsia" w:ascii="宋体" w:hAnsi="宋体" w:cs="宋体"/>
          <w:bCs/>
          <w:sz w:val="32"/>
          <w:szCs w:val="32"/>
        </w:rPr>
        <w:t>章 采购内容及要求</w:t>
      </w:r>
      <w:r>
        <w:rPr>
          <w:sz w:val="32"/>
          <w:szCs w:val="32"/>
        </w:rPr>
        <w:tab/>
      </w:r>
      <w:r>
        <w:rPr>
          <w:sz w:val="32"/>
          <w:szCs w:val="32"/>
        </w:rPr>
        <w:fldChar w:fldCharType="begin"/>
      </w:r>
      <w:r>
        <w:rPr>
          <w:sz w:val="32"/>
          <w:szCs w:val="32"/>
        </w:rPr>
        <w:instrText xml:space="preserve"> PAGEREF _Toc29446 \h </w:instrText>
      </w:r>
      <w:r>
        <w:rPr>
          <w:sz w:val="32"/>
          <w:szCs w:val="32"/>
        </w:rPr>
        <w:fldChar w:fldCharType="separate"/>
      </w:r>
      <w:r>
        <w:rPr>
          <w:sz w:val="32"/>
          <w:szCs w:val="32"/>
        </w:rPr>
        <w:t>28</w:t>
      </w:r>
      <w:r>
        <w:rPr>
          <w:sz w:val="32"/>
          <w:szCs w:val="32"/>
        </w:rPr>
        <w:fldChar w:fldCharType="end"/>
      </w:r>
      <w:r>
        <w:rPr>
          <w:rFonts w:hint="eastAsia" w:ascii="宋体" w:hAnsi="宋体" w:eastAsia="宋体" w:cs="宋体"/>
          <w:bCs/>
          <w:color w:val="000000"/>
          <w:sz w:val="32"/>
          <w:szCs w:val="32"/>
        </w:rPr>
        <w:fldChar w:fldCharType="end"/>
      </w:r>
    </w:p>
    <w:p w14:paraId="627E42FF">
      <w:pPr>
        <w:pStyle w:val="15"/>
        <w:tabs>
          <w:tab w:val="right" w:leader="dot" w:pos="9072"/>
        </w:tabs>
        <w:rPr>
          <w:sz w:val="32"/>
          <w:szCs w:val="32"/>
        </w:rPr>
      </w:pPr>
      <w:r>
        <w:rPr>
          <w:rFonts w:hint="eastAsia" w:ascii="宋体" w:hAnsi="宋体" w:eastAsia="宋体" w:cs="宋体"/>
          <w:bCs/>
          <w:color w:val="000000"/>
          <w:sz w:val="32"/>
          <w:szCs w:val="32"/>
        </w:rPr>
        <w:fldChar w:fldCharType="begin"/>
      </w:r>
      <w:r>
        <w:rPr>
          <w:rFonts w:hint="eastAsia" w:ascii="宋体" w:hAnsi="宋体" w:eastAsia="宋体" w:cs="宋体"/>
          <w:bCs/>
          <w:sz w:val="32"/>
          <w:szCs w:val="32"/>
        </w:rPr>
        <w:instrText xml:space="preserve"> HYPERLINK \l _Toc3852 </w:instrText>
      </w:r>
      <w:r>
        <w:rPr>
          <w:rFonts w:hint="eastAsia" w:ascii="宋体" w:hAnsi="宋体" w:eastAsia="宋体" w:cs="宋体"/>
          <w:bCs/>
          <w:sz w:val="32"/>
          <w:szCs w:val="32"/>
        </w:rPr>
        <w:fldChar w:fldCharType="separate"/>
      </w:r>
      <w:r>
        <w:rPr>
          <w:rFonts w:hint="eastAsia" w:ascii="宋体" w:hAnsi="宋体" w:cs="宋体"/>
          <w:bCs/>
          <w:sz w:val="32"/>
          <w:szCs w:val="32"/>
        </w:rPr>
        <w:t>第</w:t>
      </w:r>
      <w:r>
        <w:rPr>
          <w:rFonts w:hint="eastAsia" w:ascii="宋体" w:hAnsi="宋体" w:cs="宋体"/>
          <w:bCs/>
          <w:sz w:val="32"/>
          <w:szCs w:val="32"/>
          <w:lang w:val="en-US" w:eastAsia="zh-CN"/>
        </w:rPr>
        <w:t>五</w:t>
      </w:r>
      <w:r>
        <w:rPr>
          <w:rFonts w:hint="eastAsia" w:ascii="宋体" w:hAnsi="宋体" w:cs="宋体"/>
          <w:bCs/>
          <w:sz w:val="32"/>
          <w:szCs w:val="32"/>
        </w:rPr>
        <w:t>章 合同条款及格式</w:t>
      </w:r>
      <w:r>
        <w:rPr>
          <w:sz w:val="32"/>
          <w:szCs w:val="32"/>
        </w:rPr>
        <w:tab/>
      </w:r>
      <w:r>
        <w:rPr>
          <w:sz w:val="32"/>
          <w:szCs w:val="32"/>
        </w:rPr>
        <w:fldChar w:fldCharType="begin"/>
      </w:r>
      <w:r>
        <w:rPr>
          <w:sz w:val="32"/>
          <w:szCs w:val="32"/>
        </w:rPr>
        <w:instrText xml:space="preserve"> PAGEREF _Toc3852 \h </w:instrText>
      </w:r>
      <w:r>
        <w:rPr>
          <w:sz w:val="32"/>
          <w:szCs w:val="32"/>
        </w:rPr>
        <w:fldChar w:fldCharType="separate"/>
      </w:r>
      <w:r>
        <w:rPr>
          <w:sz w:val="32"/>
          <w:szCs w:val="32"/>
        </w:rPr>
        <w:t>39</w:t>
      </w:r>
      <w:r>
        <w:rPr>
          <w:sz w:val="32"/>
          <w:szCs w:val="32"/>
        </w:rPr>
        <w:fldChar w:fldCharType="end"/>
      </w:r>
      <w:r>
        <w:rPr>
          <w:rFonts w:hint="eastAsia" w:ascii="宋体" w:hAnsi="宋体" w:eastAsia="宋体" w:cs="宋体"/>
          <w:bCs/>
          <w:color w:val="000000"/>
          <w:sz w:val="32"/>
          <w:szCs w:val="32"/>
        </w:rPr>
        <w:fldChar w:fldCharType="end"/>
      </w:r>
    </w:p>
    <w:p w14:paraId="3479D7BC">
      <w:pPr>
        <w:pStyle w:val="15"/>
        <w:tabs>
          <w:tab w:val="right" w:leader="dot" w:pos="9072"/>
        </w:tabs>
        <w:rPr>
          <w:sz w:val="32"/>
          <w:szCs w:val="32"/>
        </w:rPr>
      </w:pPr>
      <w:r>
        <w:rPr>
          <w:rFonts w:hint="eastAsia" w:ascii="宋体" w:hAnsi="宋体" w:eastAsia="宋体" w:cs="宋体"/>
          <w:bCs/>
          <w:color w:val="000000"/>
          <w:sz w:val="32"/>
          <w:szCs w:val="32"/>
        </w:rPr>
        <w:fldChar w:fldCharType="begin"/>
      </w:r>
      <w:r>
        <w:rPr>
          <w:rFonts w:hint="eastAsia" w:ascii="宋体" w:hAnsi="宋体" w:eastAsia="宋体" w:cs="宋体"/>
          <w:bCs/>
          <w:sz w:val="32"/>
          <w:szCs w:val="32"/>
        </w:rPr>
        <w:instrText xml:space="preserve"> HYPERLINK \l _Toc17245 </w:instrText>
      </w:r>
      <w:r>
        <w:rPr>
          <w:rFonts w:hint="eastAsia" w:ascii="宋体" w:hAnsi="宋体" w:eastAsia="宋体" w:cs="宋体"/>
          <w:bCs/>
          <w:sz w:val="32"/>
          <w:szCs w:val="32"/>
        </w:rPr>
        <w:fldChar w:fldCharType="separate"/>
      </w:r>
      <w:r>
        <w:rPr>
          <w:rFonts w:hint="eastAsia"/>
          <w:sz w:val="32"/>
          <w:szCs w:val="32"/>
        </w:rPr>
        <w:t>第六章 响应性文件格式</w:t>
      </w:r>
      <w:r>
        <w:rPr>
          <w:sz w:val="32"/>
          <w:szCs w:val="32"/>
        </w:rPr>
        <w:tab/>
      </w:r>
      <w:r>
        <w:rPr>
          <w:sz w:val="32"/>
          <w:szCs w:val="32"/>
        </w:rPr>
        <w:fldChar w:fldCharType="begin"/>
      </w:r>
      <w:r>
        <w:rPr>
          <w:sz w:val="32"/>
          <w:szCs w:val="32"/>
        </w:rPr>
        <w:instrText xml:space="preserve"> PAGEREF _Toc17245 \h </w:instrText>
      </w:r>
      <w:r>
        <w:rPr>
          <w:sz w:val="32"/>
          <w:szCs w:val="32"/>
        </w:rPr>
        <w:fldChar w:fldCharType="separate"/>
      </w:r>
      <w:r>
        <w:rPr>
          <w:sz w:val="32"/>
          <w:szCs w:val="32"/>
        </w:rPr>
        <w:t>45</w:t>
      </w:r>
      <w:r>
        <w:rPr>
          <w:sz w:val="32"/>
          <w:szCs w:val="32"/>
        </w:rPr>
        <w:fldChar w:fldCharType="end"/>
      </w:r>
      <w:r>
        <w:rPr>
          <w:rFonts w:hint="eastAsia" w:ascii="宋体" w:hAnsi="宋体" w:eastAsia="宋体" w:cs="宋体"/>
          <w:bCs/>
          <w:color w:val="000000"/>
          <w:sz w:val="32"/>
          <w:szCs w:val="32"/>
        </w:rPr>
        <w:fldChar w:fldCharType="end"/>
      </w:r>
    </w:p>
    <w:p w14:paraId="069FE5E9">
      <w:pPr>
        <w:pStyle w:val="12"/>
        <w:spacing w:line="360" w:lineRule="auto"/>
        <w:ind w:firstLine="0" w:firstLineChars="0"/>
        <w:jc w:val="center"/>
        <w:rPr>
          <w:rFonts w:ascii="宋体" w:hAnsi="宋体" w:eastAsia="宋体" w:cs="宋体"/>
          <w:bCs/>
          <w:color w:val="000000"/>
          <w:sz w:val="32"/>
          <w:szCs w:val="32"/>
        </w:rPr>
      </w:pPr>
      <w:r>
        <w:rPr>
          <w:rFonts w:hint="eastAsia" w:ascii="宋体" w:hAnsi="宋体" w:eastAsia="宋体" w:cs="宋体"/>
          <w:bCs/>
          <w:color w:val="000000"/>
          <w:sz w:val="32"/>
          <w:szCs w:val="32"/>
        </w:rPr>
        <w:fldChar w:fldCharType="end"/>
      </w:r>
    </w:p>
    <w:p w14:paraId="396A09F4">
      <w:pPr>
        <w:pStyle w:val="12"/>
        <w:spacing w:line="600" w:lineRule="auto"/>
        <w:ind w:firstLine="0" w:firstLineChars="0"/>
        <w:jc w:val="center"/>
        <w:rPr>
          <w:rFonts w:ascii="宋体" w:hAnsi="宋体" w:eastAsia="宋体" w:cs="宋体"/>
          <w:bCs/>
          <w:color w:val="000000"/>
          <w:sz w:val="40"/>
          <w:szCs w:val="28"/>
        </w:rPr>
      </w:pPr>
    </w:p>
    <w:p w14:paraId="6637C377">
      <w:pPr>
        <w:jc w:val="center"/>
        <w:rPr>
          <w:rFonts w:hint="eastAsia" w:ascii="宋体" w:hAnsi="宋体" w:eastAsia="宋体" w:cs="宋体"/>
          <w:b/>
          <w:bCs/>
          <w:color w:val="000000"/>
          <w:sz w:val="44"/>
          <w:szCs w:val="44"/>
        </w:rPr>
        <w:sectPr>
          <w:headerReference r:id="rId3" w:type="default"/>
          <w:footerReference r:id="rId4" w:type="default"/>
          <w:pgSz w:w="11906" w:h="16838"/>
          <w:pgMar w:top="1134" w:right="1417" w:bottom="1134" w:left="1417" w:header="720" w:footer="720" w:gutter="0"/>
          <w:pgNumType w:start="0"/>
          <w:cols w:space="720" w:num="1"/>
          <w:titlePg/>
          <w:docGrid w:type="lines" w:linePitch="312" w:charSpace="0"/>
        </w:sectPr>
      </w:pPr>
    </w:p>
    <w:p w14:paraId="57D8CEAA">
      <w:pPr>
        <w:pStyle w:val="2"/>
        <w:bidi w:val="0"/>
        <w:rPr>
          <w:rFonts w:hint="eastAsia"/>
        </w:rPr>
      </w:pPr>
      <w:bookmarkStart w:id="3" w:name="_Toc21034"/>
      <w:r>
        <w:rPr>
          <w:rFonts w:hint="eastAsia"/>
        </w:rPr>
        <w:t>第一章 竞争性磋商公告</w:t>
      </w:r>
      <w:bookmarkEnd w:id="0"/>
      <w:bookmarkEnd w:id="1"/>
      <w:bookmarkEnd w:id="2"/>
      <w:bookmarkEnd w:id="3"/>
    </w:p>
    <w:p w14:paraId="58CDA5BF">
      <w:pPr>
        <w:spacing w:line="276" w:lineRule="auto"/>
        <w:ind w:firstLine="480" w:firstLineChars="200"/>
        <w:rPr>
          <w:rFonts w:hint="eastAsia" w:ascii="宋体" w:hAnsi="宋体"/>
          <w:b w:val="0"/>
          <w:bCs/>
          <w:sz w:val="24"/>
          <w:szCs w:val="24"/>
          <w:highlight w:val="none"/>
        </w:rPr>
      </w:pPr>
      <w:bookmarkStart w:id="4" w:name="_Toc488052440"/>
      <w:bookmarkStart w:id="5" w:name="_Toc30773"/>
      <w:bookmarkStart w:id="6" w:name="_Toc144905361"/>
      <w:r>
        <w:rPr>
          <w:rFonts w:hint="eastAsia" w:ascii="宋体" w:hAnsi="宋体"/>
          <w:b w:val="0"/>
          <w:bCs/>
          <w:sz w:val="24"/>
          <w:szCs w:val="24"/>
          <w:highlight w:val="none"/>
        </w:rPr>
        <w:t>项目概况</w:t>
      </w:r>
    </w:p>
    <w:p w14:paraId="645C7A69">
      <w:pPr>
        <w:tabs>
          <w:tab w:val="left" w:pos="142"/>
        </w:tabs>
        <w:spacing w:line="440" w:lineRule="exact"/>
        <w:ind w:firstLine="463" w:firstLineChars="193"/>
        <w:rPr>
          <w:rFonts w:hint="eastAsia" w:ascii="宋体" w:hAnsi="宋体" w:cs="宋体"/>
          <w:sz w:val="24"/>
          <w:szCs w:val="24"/>
          <w:highlight w:val="none"/>
        </w:rPr>
      </w:pPr>
      <w:r>
        <w:rPr>
          <w:rFonts w:hint="eastAsia" w:ascii="宋体" w:hAnsi="宋体" w:cs="宋体"/>
          <w:sz w:val="24"/>
          <w:szCs w:val="24"/>
          <w:highlight w:val="none"/>
          <w:lang w:eastAsia="zh-CN"/>
        </w:rPr>
        <w:t>灵宝市矿山税收一体化综合服务中心信息化改造项目</w:t>
      </w:r>
      <w:r>
        <w:rPr>
          <w:rFonts w:hint="eastAsia" w:ascii="宋体" w:hAnsi="宋体" w:cs="宋体"/>
          <w:sz w:val="24"/>
          <w:szCs w:val="24"/>
          <w:highlight w:val="none"/>
        </w:rPr>
        <w:t>的潜在供应商应在三门峡市公共资源交易中心（http://gzjy.smx.gov.cn/）获取招标文件，并于202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06</w:t>
      </w:r>
      <w:r>
        <w:rPr>
          <w:rFonts w:hint="eastAsia" w:ascii="宋体" w:hAnsi="宋体" w:cs="宋体"/>
          <w:sz w:val="24"/>
          <w:szCs w:val="24"/>
          <w:highlight w:val="none"/>
        </w:rPr>
        <w:t>日08时</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分（北京时间）前递交响应文件。</w:t>
      </w:r>
    </w:p>
    <w:p w14:paraId="4AD0E8CF">
      <w:pPr>
        <w:spacing w:line="44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一、项目基本情况</w:t>
      </w:r>
    </w:p>
    <w:p w14:paraId="1B3CA11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333333"/>
          <w:kern w:val="0"/>
          <w:sz w:val="24"/>
          <w:szCs w:val="24"/>
          <w:lang w:eastAsia="zh-CN"/>
        </w:rPr>
      </w:pPr>
      <w:r>
        <w:rPr>
          <w:rFonts w:hint="eastAsia" w:asciiTheme="majorEastAsia" w:hAnsiTheme="majorEastAsia" w:eastAsiaTheme="majorEastAsia" w:cstheme="majorEastAsia"/>
          <w:color w:val="333333"/>
          <w:kern w:val="0"/>
          <w:sz w:val="24"/>
          <w:szCs w:val="24"/>
        </w:rPr>
        <w:t>1、项目名称：</w:t>
      </w:r>
      <w:r>
        <w:rPr>
          <w:rFonts w:hint="eastAsia" w:asciiTheme="majorEastAsia" w:hAnsiTheme="majorEastAsia" w:eastAsiaTheme="majorEastAsia" w:cstheme="majorEastAsia"/>
          <w:color w:val="333333"/>
          <w:kern w:val="0"/>
          <w:sz w:val="24"/>
          <w:szCs w:val="24"/>
          <w:lang w:eastAsia="zh-CN"/>
        </w:rPr>
        <w:t>灵宝市矿山税收一体化综合服务中心信息化改造项目</w:t>
      </w:r>
    </w:p>
    <w:p w14:paraId="3A0195C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333333"/>
          <w:kern w:val="0"/>
          <w:sz w:val="24"/>
          <w:szCs w:val="24"/>
          <w:highlight w:val="none"/>
          <w:lang w:eastAsia="zh-CN"/>
        </w:rPr>
      </w:pPr>
      <w:r>
        <w:rPr>
          <w:rFonts w:hint="eastAsia" w:asciiTheme="majorEastAsia" w:hAnsiTheme="majorEastAsia" w:eastAsiaTheme="majorEastAsia" w:cstheme="majorEastAsia"/>
          <w:color w:val="333333"/>
          <w:kern w:val="0"/>
          <w:sz w:val="24"/>
          <w:szCs w:val="24"/>
          <w:lang w:eastAsia="zh-CN"/>
        </w:rPr>
        <w:t>2、项目编号：</w:t>
      </w:r>
      <w:r>
        <w:rPr>
          <w:rFonts w:hint="eastAsia" w:asciiTheme="majorEastAsia" w:hAnsiTheme="majorEastAsia" w:eastAsiaTheme="majorEastAsia" w:cstheme="majorEastAsia"/>
          <w:color w:val="333333"/>
          <w:kern w:val="0"/>
          <w:sz w:val="24"/>
          <w:szCs w:val="24"/>
          <w:highlight w:val="none"/>
          <w:lang w:eastAsia="zh-CN"/>
        </w:rPr>
        <w:t>灵宝竞磋采购-2026-14、LBGZ[2026]024-ZC023</w:t>
      </w:r>
    </w:p>
    <w:p w14:paraId="429B7DB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333333"/>
          <w:kern w:val="0"/>
          <w:sz w:val="24"/>
          <w:szCs w:val="24"/>
          <w:highlight w:val="none"/>
        </w:rPr>
      </w:pPr>
      <w:r>
        <w:rPr>
          <w:rFonts w:hint="eastAsia" w:asciiTheme="majorEastAsia" w:hAnsiTheme="majorEastAsia" w:eastAsiaTheme="majorEastAsia" w:cstheme="majorEastAsia"/>
          <w:color w:val="333333"/>
          <w:kern w:val="0"/>
          <w:sz w:val="24"/>
          <w:szCs w:val="24"/>
          <w:highlight w:val="none"/>
        </w:rPr>
        <w:t>3、采购方式：竞争性磋商</w:t>
      </w:r>
    </w:p>
    <w:p w14:paraId="28A1587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333333"/>
          <w:kern w:val="0"/>
          <w:sz w:val="24"/>
          <w:szCs w:val="24"/>
          <w:highlight w:val="none"/>
        </w:rPr>
      </w:pPr>
      <w:r>
        <w:rPr>
          <w:rFonts w:hint="eastAsia" w:asciiTheme="majorEastAsia" w:hAnsiTheme="majorEastAsia" w:eastAsiaTheme="majorEastAsia" w:cstheme="majorEastAsia"/>
          <w:color w:val="333333"/>
          <w:kern w:val="0"/>
          <w:sz w:val="24"/>
          <w:szCs w:val="24"/>
          <w:highlight w:val="none"/>
        </w:rPr>
        <w:t>4、预算金额：</w:t>
      </w:r>
      <w:r>
        <w:rPr>
          <w:rFonts w:hint="eastAsia" w:asciiTheme="majorEastAsia" w:hAnsiTheme="majorEastAsia" w:eastAsiaTheme="majorEastAsia" w:cstheme="majorEastAsia"/>
          <w:color w:val="333333"/>
          <w:kern w:val="0"/>
          <w:sz w:val="24"/>
          <w:szCs w:val="24"/>
          <w:highlight w:val="none"/>
          <w:lang w:eastAsia="zh-CN"/>
        </w:rPr>
        <w:t>1978433.24</w:t>
      </w:r>
      <w:r>
        <w:rPr>
          <w:rFonts w:hint="eastAsia" w:asciiTheme="majorEastAsia" w:hAnsiTheme="majorEastAsia" w:eastAsiaTheme="majorEastAsia" w:cstheme="majorEastAsia"/>
          <w:color w:val="333333"/>
          <w:kern w:val="0"/>
          <w:sz w:val="24"/>
          <w:szCs w:val="24"/>
          <w:highlight w:val="none"/>
        </w:rPr>
        <w:t xml:space="preserve">元 </w:t>
      </w:r>
    </w:p>
    <w:p w14:paraId="50CCA94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333333"/>
          <w:kern w:val="0"/>
          <w:sz w:val="24"/>
          <w:szCs w:val="24"/>
          <w:highlight w:val="none"/>
        </w:rPr>
      </w:pPr>
      <w:r>
        <w:rPr>
          <w:rFonts w:hint="eastAsia" w:asciiTheme="majorEastAsia" w:hAnsiTheme="majorEastAsia" w:eastAsiaTheme="majorEastAsia" w:cstheme="majorEastAsia"/>
          <w:color w:val="333333"/>
          <w:kern w:val="0"/>
          <w:sz w:val="24"/>
          <w:szCs w:val="24"/>
          <w:highlight w:val="none"/>
        </w:rPr>
        <w:t>最高限价：</w:t>
      </w:r>
      <w:r>
        <w:rPr>
          <w:rFonts w:hint="eastAsia" w:asciiTheme="majorEastAsia" w:hAnsiTheme="majorEastAsia" w:eastAsiaTheme="majorEastAsia" w:cstheme="majorEastAsia"/>
          <w:color w:val="333333"/>
          <w:kern w:val="0"/>
          <w:sz w:val="24"/>
          <w:szCs w:val="24"/>
          <w:highlight w:val="none"/>
          <w:lang w:eastAsia="zh-CN"/>
        </w:rPr>
        <w:t>1978433.24</w:t>
      </w:r>
      <w:r>
        <w:rPr>
          <w:rFonts w:hint="eastAsia" w:asciiTheme="majorEastAsia" w:hAnsiTheme="majorEastAsia" w:eastAsiaTheme="majorEastAsia" w:cstheme="majorEastAsia"/>
          <w:color w:val="333333"/>
          <w:kern w:val="0"/>
          <w:sz w:val="24"/>
          <w:szCs w:val="24"/>
          <w:highlight w:val="none"/>
        </w:rPr>
        <w:t>元</w:t>
      </w:r>
    </w:p>
    <w:tbl>
      <w:tblPr>
        <w:tblStyle w:val="21"/>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909"/>
        <w:gridCol w:w="3177"/>
        <w:gridCol w:w="1485"/>
        <w:gridCol w:w="1680"/>
      </w:tblGrid>
      <w:tr w14:paraId="752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Align w:val="center"/>
          </w:tcPr>
          <w:p w14:paraId="5686B18E">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序号</w:t>
            </w:r>
          </w:p>
        </w:tc>
        <w:tc>
          <w:tcPr>
            <w:tcW w:w="1909" w:type="dxa"/>
            <w:vAlign w:val="center"/>
          </w:tcPr>
          <w:p w14:paraId="0856673C">
            <w:pPr>
              <w:widowControl w:val="0"/>
              <w:tabs>
                <w:tab w:val="left" w:pos="142"/>
              </w:tabs>
              <w:ind w:firstLine="19" w:firstLineChars="8"/>
              <w:jc w:val="center"/>
              <w:rPr>
                <w:rFonts w:hint="eastAsia" w:ascii="宋体" w:hAnsi="宋体"/>
                <w:sz w:val="24"/>
                <w:szCs w:val="24"/>
                <w:highlight w:val="none"/>
              </w:rPr>
            </w:pPr>
            <w:r>
              <w:rPr>
                <w:rFonts w:hint="eastAsia" w:ascii="宋体" w:hAnsi="宋体"/>
                <w:sz w:val="24"/>
                <w:szCs w:val="24"/>
                <w:highlight w:val="none"/>
              </w:rPr>
              <w:t>包号</w:t>
            </w:r>
          </w:p>
        </w:tc>
        <w:tc>
          <w:tcPr>
            <w:tcW w:w="3177" w:type="dxa"/>
            <w:vAlign w:val="center"/>
          </w:tcPr>
          <w:p w14:paraId="75C329AF">
            <w:pPr>
              <w:widowControl w:val="0"/>
              <w:tabs>
                <w:tab w:val="left" w:pos="142"/>
              </w:tabs>
              <w:ind w:firstLine="26" w:firstLineChars="11"/>
              <w:jc w:val="center"/>
              <w:rPr>
                <w:rFonts w:hint="eastAsia" w:ascii="宋体" w:hAnsi="宋体"/>
                <w:sz w:val="24"/>
                <w:szCs w:val="24"/>
                <w:highlight w:val="none"/>
              </w:rPr>
            </w:pPr>
            <w:r>
              <w:rPr>
                <w:rFonts w:hint="eastAsia" w:ascii="宋体" w:hAnsi="宋体"/>
                <w:sz w:val="24"/>
                <w:szCs w:val="24"/>
                <w:highlight w:val="none"/>
              </w:rPr>
              <w:t>包名称</w:t>
            </w:r>
          </w:p>
        </w:tc>
        <w:tc>
          <w:tcPr>
            <w:tcW w:w="1485" w:type="dxa"/>
            <w:vAlign w:val="center"/>
          </w:tcPr>
          <w:p w14:paraId="5B2303F3">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包预算（元）</w:t>
            </w:r>
          </w:p>
        </w:tc>
        <w:tc>
          <w:tcPr>
            <w:tcW w:w="1680" w:type="dxa"/>
            <w:vAlign w:val="center"/>
          </w:tcPr>
          <w:p w14:paraId="695B7856">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包最高限价（元）</w:t>
            </w:r>
          </w:p>
        </w:tc>
      </w:tr>
      <w:tr w14:paraId="6D0F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02" w:type="dxa"/>
            <w:vAlign w:val="center"/>
          </w:tcPr>
          <w:p w14:paraId="117B8ECA">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1</w:t>
            </w:r>
          </w:p>
        </w:tc>
        <w:tc>
          <w:tcPr>
            <w:tcW w:w="1909" w:type="dxa"/>
            <w:vAlign w:val="center"/>
          </w:tcPr>
          <w:p w14:paraId="71587922">
            <w:pPr>
              <w:widowControl w:val="0"/>
              <w:jc w:val="both"/>
              <w:rPr>
                <w:rFonts w:hint="eastAsia" w:ascii="宋体" w:hAnsi="宋体"/>
                <w:sz w:val="24"/>
                <w:szCs w:val="24"/>
                <w:highlight w:val="none"/>
                <w:lang w:val="en-US" w:eastAsia="zh-CN"/>
              </w:rPr>
            </w:pPr>
          </w:p>
          <w:p w14:paraId="3379807C">
            <w:pPr>
              <w:widowControl w:val="0"/>
              <w:jc w:val="both"/>
              <w:rPr>
                <w:rFonts w:hint="default" w:ascii="宋体" w:hAnsi="宋体" w:eastAsia="宋体" w:cs="宋体"/>
                <w:sz w:val="32"/>
                <w:szCs w:val="32"/>
                <w:highlight w:val="none"/>
                <w:lang w:val="en-US" w:eastAsia="zh-CN"/>
              </w:rPr>
            </w:pPr>
            <w:r>
              <w:rPr>
                <w:rFonts w:hint="eastAsia" w:ascii="宋体" w:hAnsi="宋体"/>
                <w:sz w:val="24"/>
                <w:szCs w:val="24"/>
                <w:highlight w:val="none"/>
                <w:lang w:val="en-US" w:eastAsia="zh-CN"/>
              </w:rPr>
              <w:t>LBGZ[2026]024-ZC023-1</w:t>
            </w:r>
          </w:p>
          <w:p w14:paraId="288CEFF7">
            <w:pPr>
              <w:widowControl w:val="0"/>
              <w:tabs>
                <w:tab w:val="left" w:pos="142"/>
              </w:tabs>
              <w:ind w:firstLine="19" w:firstLineChars="8"/>
              <w:jc w:val="center"/>
              <w:rPr>
                <w:rFonts w:hint="eastAsia" w:ascii="宋体" w:hAnsi="宋体"/>
                <w:sz w:val="24"/>
                <w:szCs w:val="24"/>
                <w:highlight w:val="none"/>
              </w:rPr>
            </w:pPr>
          </w:p>
        </w:tc>
        <w:tc>
          <w:tcPr>
            <w:tcW w:w="3177" w:type="dxa"/>
            <w:vAlign w:val="center"/>
          </w:tcPr>
          <w:p w14:paraId="415DBDF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333333"/>
                <w:kern w:val="0"/>
                <w:sz w:val="24"/>
                <w:szCs w:val="24"/>
                <w:highlight w:val="none"/>
                <w:lang w:eastAsia="zh-CN"/>
              </w:rPr>
            </w:pPr>
            <w:r>
              <w:rPr>
                <w:rFonts w:hint="eastAsia" w:asciiTheme="majorEastAsia" w:hAnsiTheme="majorEastAsia" w:eastAsiaTheme="majorEastAsia" w:cstheme="majorEastAsia"/>
                <w:color w:val="333333"/>
                <w:kern w:val="0"/>
                <w:sz w:val="24"/>
                <w:szCs w:val="24"/>
                <w:highlight w:val="none"/>
                <w:lang w:eastAsia="zh-CN"/>
              </w:rPr>
              <w:t>灵宝市矿山税收一体化综合服务中心信息化改造项目</w:t>
            </w:r>
          </w:p>
        </w:tc>
        <w:tc>
          <w:tcPr>
            <w:tcW w:w="1485" w:type="dxa"/>
            <w:vAlign w:val="center"/>
          </w:tcPr>
          <w:p w14:paraId="444DAF2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333333"/>
                <w:kern w:val="0"/>
                <w:sz w:val="24"/>
                <w:szCs w:val="24"/>
                <w:highlight w:val="none"/>
                <w:lang w:eastAsia="zh-CN"/>
              </w:rPr>
            </w:pPr>
            <w:r>
              <w:rPr>
                <w:rFonts w:hint="eastAsia" w:asciiTheme="majorEastAsia" w:hAnsiTheme="majorEastAsia" w:eastAsiaTheme="majorEastAsia" w:cstheme="majorEastAsia"/>
                <w:color w:val="333333"/>
                <w:kern w:val="0"/>
                <w:sz w:val="24"/>
                <w:szCs w:val="24"/>
                <w:highlight w:val="none"/>
                <w:lang w:eastAsia="zh-CN"/>
              </w:rPr>
              <w:t>1978433.24</w:t>
            </w:r>
          </w:p>
        </w:tc>
        <w:tc>
          <w:tcPr>
            <w:tcW w:w="1680" w:type="dxa"/>
            <w:vAlign w:val="center"/>
          </w:tcPr>
          <w:p w14:paraId="73465A9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333333"/>
                <w:kern w:val="0"/>
                <w:sz w:val="24"/>
                <w:szCs w:val="24"/>
                <w:highlight w:val="none"/>
                <w:lang w:eastAsia="zh-CN"/>
              </w:rPr>
            </w:pPr>
            <w:r>
              <w:rPr>
                <w:rFonts w:hint="eastAsia" w:asciiTheme="majorEastAsia" w:hAnsiTheme="majorEastAsia" w:eastAsiaTheme="majorEastAsia" w:cstheme="majorEastAsia"/>
                <w:color w:val="333333"/>
                <w:kern w:val="0"/>
                <w:sz w:val="24"/>
                <w:szCs w:val="24"/>
                <w:highlight w:val="none"/>
                <w:lang w:eastAsia="zh-CN"/>
              </w:rPr>
              <w:t>1978433.24</w:t>
            </w:r>
          </w:p>
        </w:tc>
      </w:tr>
    </w:tbl>
    <w:p w14:paraId="7ABABA6C">
      <w:pPr>
        <w:keepNext w:val="0"/>
        <w:keepLines w:val="0"/>
        <w:pageBreakBefore w:val="0"/>
        <w:tabs>
          <w:tab w:val="left" w:pos="142"/>
          <w:tab w:val="left" w:pos="993"/>
          <w:tab w:val="left" w:pos="1276"/>
          <w:tab w:val="left" w:pos="1701"/>
          <w:tab w:val="left" w:pos="1843"/>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5、采购需求（包括但不限于标的的名称、数量、简要技术需求或服务要求等）</w:t>
      </w:r>
      <w:r>
        <w:rPr>
          <w:rFonts w:hint="eastAsia" w:ascii="宋体" w:hAnsi="宋体" w:cs="宋体"/>
          <w:sz w:val="24"/>
          <w:szCs w:val="24"/>
          <w:highlight w:val="none"/>
          <w:lang w:eastAsia="zh-CN"/>
        </w:rPr>
        <w:t>；</w:t>
      </w:r>
    </w:p>
    <w:p w14:paraId="688EC3D5">
      <w:pPr>
        <w:keepNext w:val="0"/>
        <w:keepLines w:val="0"/>
        <w:pageBreakBefore w:val="0"/>
        <w:tabs>
          <w:tab w:val="left" w:pos="142"/>
          <w:tab w:val="left" w:pos="993"/>
          <w:tab w:val="left" w:pos="1276"/>
          <w:tab w:val="left" w:pos="1701"/>
          <w:tab w:val="left" w:pos="1843"/>
        </w:tabs>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rPr>
        <w:t>5.1.采购内容：</w:t>
      </w:r>
      <w:r>
        <w:rPr>
          <w:rFonts w:hint="eastAsia" w:ascii="宋体" w:hAnsi="宋体" w:cs="宋体"/>
          <w:sz w:val="24"/>
          <w:szCs w:val="24"/>
          <w:highlight w:val="none"/>
          <w:lang w:eastAsia="zh-CN"/>
        </w:rPr>
        <w:t>本项目包含</w:t>
      </w:r>
      <w:r>
        <w:rPr>
          <w:rFonts w:hint="eastAsia" w:ascii="宋体" w:hAnsi="宋体" w:cs="宋体"/>
          <w:sz w:val="24"/>
          <w:szCs w:val="24"/>
          <w:highlight w:val="none"/>
          <w:lang w:val="en-US" w:eastAsia="zh-CN"/>
        </w:rPr>
        <w:t>指挥</w:t>
      </w:r>
      <w:r>
        <w:rPr>
          <w:rFonts w:hint="eastAsia" w:ascii="宋体" w:hAnsi="宋体" w:cs="宋体"/>
          <w:sz w:val="24"/>
          <w:szCs w:val="24"/>
          <w:highlight w:val="none"/>
          <w:lang w:eastAsia="zh-CN"/>
        </w:rPr>
        <w:t>中心展示屏、指挥中心机房、指挥中心办公弱电三部分。</w:t>
      </w:r>
      <w:r>
        <w:rPr>
          <w:rFonts w:hint="eastAsia" w:ascii="宋体" w:hAnsi="宋体" w:cs="宋体"/>
          <w:sz w:val="24"/>
          <w:szCs w:val="24"/>
          <w:highlight w:val="none"/>
        </w:rPr>
        <w:t>具体内容详见竞争性磋商文件</w:t>
      </w:r>
      <w:r>
        <w:rPr>
          <w:rFonts w:hint="eastAsia" w:ascii="宋体" w:hAnsi="宋体" w:cs="宋体"/>
          <w:sz w:val="24"/>
          <w:szCs w:val="24"/>
          <w:highlight w:val="none"/>
          <w:lang w:eastAsia="zh-CN"/>
        </w:rPr>
        <w:t>；</w:t>
      </w:r>
    </w:p>
    <w:p w14:paraId="40813451">
      <w:pPr>
        <w:keepNext w:val="0"/>
        <w:keepLines w:val="0"/>
        <w:pageBreakBefore w:val="0"/>
        <w:tabs>
          <w:tab w:val="left" w:pos="142"/>
          <w:tab w:val="left" w:pos="993"/>
          <w:tab w:val="left" w:pos="1276"/>
          <w:tab w:val="left" w:pos="1701"/>
          <w:tab w:val="left" w:pos="1843"/>
        </w:tabs>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5.2.</w:t>
      </w:r>
      <w:r>
        <w:rPr>
          <w:rFonts w:hint="eastAsia" w:ascii="宋体" w:hAnsi="宋体" w:cs="宋体"/>
          <w:sz w:val="24"/>
          <w:szCs w:val="24"/>
          <w:highlight w:val="none"/>
        </w:rPr>
        <w:t>资金来源：财政资金，已落实</w:t>
      </w:r>
    </w:p>
    <w:p w14:paraId="69825B2F">
      <w:pPr>
        <w:keepNext w:val="0"/>
        <w:keepLines w:val="0"/>
        <w:pageBreakBefore w:val="0"/>
        <w:tabs>
          <w:tab w:val="left" w:pos="142"/>
          <w:tab w:val="left" w:pos="993"/>
          <w:tab w:val="left" w:pos="1276"/>
          <w:tab w:val="left" w:pos="1701"/>
          <w:tab w:val="left" w:pos="1843"/>
        </w:tabs>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 xml:space="preserve">5.3 </w:t>
      </w:r>
      <w:r>
        <w:rPr>
          <w:rFonts w:hint="eastAsia" w:ascii="宋体" w:hAnsi="宋体" w:cs="宋体"/>
          <w:sz w:val="24"/>
          <w:szCs w:val="24"/>
          <w:highlight w:val="none"/>
        </w:rPr>
        <w:t>交</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货</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期：</w:t>
      </w:r>
      <w:r>
        <w:rPr>
          <w:rFonts w:hint="eastAsia" w:ascii="宋体" w:hAnsi="宋体" w:cs="宋体"/>
          <w:sz w:val="24"/>
          <w:szCs w:val="24"/>
          <w:highlight w:val="none"/>
          <w:lang w:eastAsia="zh-CN"/>
        </w:rPr>
        <w:t>合同签订后20天内完成（完成安装及调试）</w:t>
      </w:r>
    </w:p>
    <w:p w14:paraId="47FBB34C">
      <w:pPr>
        <w:keepNext w:val="0"/>
        <w:keepLines w:val="0"/>
        <w:pageBreakBefore w:val="0"/>
        <w:tabs>
          <w:tab w:val="left" w:pos="142"/>
          <w:tab w:val="left" w:pos="993"/>
          <w:tab w:val="left" w:pos="1276"/>
          <w:tab w:val="left" w:pos="1701"/>
          <w:tab w:val="left" w:pos="1843"/>
        </w:tabs>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rPr>
        <w:t>5.</w:t>
      </w:r>
      <w:r>
        <w:rPr>
          <w:rFonts w:hint="eastAsia" w:ascii="宋体" w:hAnsi="宋体" w:cs="宋体"/>
          <w:sz w:val="24"/>
          <w:szCs w:val="24"/>
          <w:highlight w:val="none"/>
          <w:lang w:val="en-US" w:eastAsia="zh-CN"/>
        </w:rPr>
        <w:t>4</w:t>
      </w:r>
      <w:r>
        <w:rPr>
          <w:rFonts w:hint="eastAsia" w:ascii="宋体" w:hAnsi="宋体" w:cs="宋体"/>
          <w:sz w:val="24"/>
          <w:szCs w:val="24"/>
          <w:highlight w:val="none"/>
        </w:rPr>
        <w:t>.交货地点：采购人指定地点</w:t>
      </w:r>
    </w:p>
    <w:p w14:paraId="2A1B8726">
      <w:pPr>
        <w:keepNext w:val="0"/>
        <w:keepLines w:val="0"/>
        <w:pageBreakBefore w:val="0"/>
        <w:tabs>
          <w:tab w:val="left" w:pos="142"/>
          <w:tab w:val="left" w:pos="993"/>
          <w:tab w:val="left" w:pos="1276"/>
          <w:tab w:val="left" w:pos="1701"/>
          <w:tab w:val="left" w:pos="1843"/>
        </w:tabs>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rPr>
        <w:t>5.5.质量要求：符合国家相关行业标准且满足采购人需求</w:t>
      </w:r>
    </w:p>
    <w:p w14:paraId="2BB37BB3">
      <w:pPr>
        <w:keepNext w:val="0"/>
        <w:keepLines w:val="0"/>
        <w:pageBreakBefore w:val="0"/>
        <w:tabs>
          <w:tab w:val="left" w:pos="142"/>
          <w:tab w:val="left" w:pos="993"/>
          <w:tab w:val="left" w:pos="1276"/>
          <w:tab w:val="left" w:pos="1701"/>
          <w:tab w:val="left" w:pos="1843"/>
        </w:tabs>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5.6.</w:t>
      </w:r>
      <w:r>
        <w:rPr>
          <w:rFonts w:hint="eastAsia" w:ascii="宋体" w:hAnsi="宋体" w:cs="宋体"/>
          <w:sz w:val="24"/>
          <w:szCs w:val="24"/>
          <w:highlight w:val="none"/>
        </w:rPr>
        <w:t>质</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保</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期：</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p>
    <w:p w14:paraId="491D3408">
      <w:pPr>
        <w:keepNext w:val="0"/>
        <w:keepLines w:val="0"/>
        <w:pageBreakBefore w:val="0"/>
        <w:tabs>
          <w:tab w:val="left" w:pos="142"/>
          <w:tab w:val="left" w:pos="993"/>
          <w:tab w:val="left" w:pos="1276"/>
          <w:tab w:val="left" w:pos="1701"/>
          <w:tab w:val="left" w:pos="1843"/>
        </w:tabs>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rPr>
        <w:t>6、合同履行期限：</w:t>
      </w:r>
      <w:r>
        <w:rPr>
          <w:rFonts w:hint="eastAsia" w:ascii="宋体" w:hAnsi="宋体" w:cs="宋体"/>
          <w:sz w:val="24"/>
          <w:szCs w:val="24"/>
          <w:highlight w:val="none"/>
          <w:lang w:eastAsia="zh-CN"/>
        </w:rPr>
        <w:t>合同签订后20天内完成（完成安装及调试）；</w:t>
      </w:r>
    </w:p>
    <w:p w14:paraId="0061F971">
      <w:pPr>
        <w:keepNext w:val="0"/>
        <w:keepLines w:val="0"/>
        <w:pageBreakBefore w:val="0"/>
        <w:tabs>
          <w:tab w:val="left" w:pos="142"/>
          <w:tab w:val="left" w:pos="993"/>
          <w:tab w:val="left" w:pos="1276"/>
          <w:tab w:val="left" w:pos="1701"/>
          <w:tab w:val="left" w:pos="1843"/>
        </w:tabs>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rPr>
        <w:t>7、本项目是否接受联合体：否</w:t>
      </w:r>
      <w:r>
        <w:rPr>
          <w:rFonts w:hint="eastAsia" w:ascii="宋体" w:hAnsi="宋体" w:cs="宋体"/>
          <w:sz w:val="24"/>
          <w:szCs w:val="24"/>
          <w:highlight w:val="none"/>
          <w:lang w:eastAsia="zh-CN"/>
        </w:rPr>
        <w:t>；</w:t>
      </w:r>
    </w:p>
    <w:p w14:paraId="49AB120E">
      <w:pPr>
        <w:keepNext w:val="0"/>
        <w:keepLines w:val="0"/>
        <w:pageBreakBefore w:val="0"/>
        <w:tabs>
          <w:tab w:val="left" w:pos="142"/>
          <w:tab w:val="left" w:pos="993"/>
          <w:tab w:val="left" w:pos="1276"/>
          <w:tab w:val="left" w:pos="1701"/>
          <w:tab w:val="left" w:pos="1843"/>
        </w:tabs>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rPr>
        <w:t>8、是否接受进口产品：否</w:t>
      </w:r>
      <w:r>
        <w:rPr>
          <w:rFonts w:hint="eastAsia" w:ascii="宋体" w:hAnsi="宋体" w:cs="宋体"/>
          <w:sz w:val="24"/>
          <w:szCs w:val="24"/>
          <w:highlight w:val="none"/>
          <w:lang w:eastAsia="zh-CN"/>
        </w:rPr>
        <w:t>；</w:t>
      </w:r>
    </w:p>
    <w:p w14:paraId="42E09128">
      <w:pPr>
        <w:keepNext w:val="0"/>
        <w:keepLines w:val="0"/>
        <w:pageBreakBefore w:val="0"/>
        <w:tabs>
          <w:tab w:val="left" w:pos="142"/>
          <w:tab w:val="left" w:pos="993"/>
          <w:tab w:val="left" w:pos="1276"/>
          <w:tab w:val="left" w:pos="1701"/>
          <w:tab w:val="left" w:pos="1843"/>
        </w:tabs>
        <w:kinsoku/>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rPr>
        <w:t>9、是否专门面向中小企业：</w:t>
      </w:r>
      <w:r>
        <w:rPr>
          <w:rFonts w:hint="eastAsia" w:ascii="宋体" w:hAnsi="宋体" w:cs="宋体"/>
          <w:sz w:val="24"/>
          <w:szCs w:val="24"/>
          <w:highlight w:val="none"/>
          <w:lang w:val="en-US" w:eastAsia="zh-CN"/>
        </w:rPr>
        <w:t>否</w:t>
      </w:r>
      <w:r>
        <w:rPr>
          <w:rFonts w:hint="eastAsia" w:ascii="宋体" w:hAnsi="宋体" w:cs="宋体"/>
          <w:sz w:val="24"/>
          <w:szCs w:val="24"/>
          <w:highlight w:val="none"/>
          <w:lang w:eastAsia="zh-CN"/>
        </w:rPr>
        <w:t>。</w:t>
      </w:r>
    </w:p>
    <w:p w14:paraId="3C2D8D3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szCs w:val="24"/>
          <w:highlight w:val="none"/>
        </w:rPr>
      </w:pPr>
      <w:r>
        <w:rPr>
          <w:rFonts w:hint="eastAsia" w:ascii="宋体" w:hAnsi="宋体" w:cs="宋体"/>
          <w:b w:val="0"/>
          <w:bCs/>
          <w:sz w:val="24"/>
          <w:szCs w:val="24"/>
          <w:highlight w:val="none"/>
        </w:rPr>
        <w:t>二、申请人的资格要求</w:t>
      </w:r>
    </w:p>
    <w:p w14:paraId="0DECF8C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kern w:val="0"/>
          <w:sz w:val="24"/>
          <w:szCs w:val="24"/>
        </w:rPr>
      </w:pPr>
      <w:r>
        <w:rPr>
          <w:rFonts w:hint="eastAsia" w:asciiTheme="majorEastAsia" w:hAnsiTheme="majorEastAsia" w:eastAsiaTheme="majorEastAsia" w:cstheme="majorEastAsia"/>
          <w:i w:val="0"/>
          <w:iCs w:val="0"/>
          <w:caps w:val="0"/>
          <w:color w:val="333333"/>
          <w:spacing w:val="0"/>
          <w:kern w:val="0"/>
          <w:sz w:val="24"/>
          <w:szCs w:val="24"/>
        </w:rPr>
        <w:t>1、满足《中华人民共和国政府采购法》第二十二条规定：</w:t>
      </w:r>
    </w:p>
    <w:p w14:paraId="3B62148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kern w:val="0"/>
          <w:sz w:val="24"/>
          <w:szCs w:val="24"/>
          <w:lang w:eastAsia="zh-CN"/>
        </w:rPr>
      </w:pPr>
      <w:r>
        <w:rPr>
          <w:rFonts w:hint="eastAsia" w:asciiTheme="majorEastAsia" w:hAnsiTheme="majorEastAsia" w:eastAsiaTheme="majorEastAsia" w:cstheme="majorEastAsia"/>
          <w:i w:val="0"/>
          <w:iCs w:val="0"/>
          <w:caps w:val="0"/>
          <w:color w:val="333333"/>
          <w:spacing w:val="0"/>
          <w:kern w:val="0"/>
          <w:sz w:val="24"/>
          <w:szCs w:val="24"/>
        </w:rPr>
        <w:t>2、落实政府采购政策满足的资格要求：</w:t>
      </w:r>
      <w:r>
        <w:rPr>
          <w:rFonts w:hint="eastAsia" w:asciiTheme="majorEastAsia" w:hAnsiTheme="majorEastAsia" w:eastAsiaTheme="majorEastAsia" w:cstheme="majorEastAsia"/>
          <w:i w:val="0"/>
          <w:iCs w:val="0"/>
          <w:caps w:val="0"/>
          <w:color w:val="333333"/>
          <w:spacing w:val="0"/>
          <w:kern w:val="0"/>
          <w:sz w:val="24"/>
          <w:szCs w:val="24"/>
          <w:lang w:eastAsia="zh-CN"/>
        </w:rPr>
        <w:t>本项目支持中小型企业发展政策（残疾人福利性企业、监狱企业视同小微企业）、优先采购节能环保产品等政府采购政策。</w:t>
      </w:r>
    </w:p>
    <w:p w14:paraId="1A29811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kern w:val="0"/>
          <w:sz w:val="24"/>
          <w:szCs w:val="24"/>
        </w:rPr>
      </w:pPr>
      <w:r>
        <w:rPr>
          <w:rFonts w:hint="eastAsia" w:asciiTheme="majorEastAsia" w:hAnsiTheme="majorEastAsia" w:eastAsiaTheme="majorEastAsia" w:cstheme="majorEastAsia"/>
          <w:i w:val="0"/>
          <w:iCs w:val="0"/>
          <w:caps w:val="0"/>
          <w:color w:val="333333"/>
          <w:spacing w:val="0"/>
          <w:kern w:val="0"/>
          <w:sz w:val="24"/>
          <w:szCs w:val="24"/>
        </w:rPr>
        <w:t>3、本项目的特定资格要求</w:t>
      </w:r>
    </w:p>
    <w:p w14:paraId="4645CA2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kern w:val="0"/>
          <w:sz w:val="24"/>
          <w:szCs w:val="24"/>
        </w:rPr>
      </w:pPr>
      <w:r>
        <w:rPr>
          <w:rFonts w:hint="eastAsia" w:asciiTheme="majorEastAsia" w:hAnsiTheme="majorEastAsia" w:eastAsiaTheme="majorEastAsia" w:cstheme="majorEastAsia"/>
          <w:i w:val="0"/>
          <w:iCs w:val="0"/>
          <w:caps w:val="0"/>
          <w:color w:val="333333"/>
          <w:spacing w:val="0"/>
          <w:kern w:val="0"/>
          <w:sz w:val="24"/>
          <w:szCs w:val="24"/>
        </w:rPr>
        <w:t>3.1供应商具有独立承担民事责任的能力，持有有效的营业执照或事业单位法人证书；</w:t>
      </w:r>
    </w:p>
    <w:p w14:paraId="6E6027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kern w:val="0"/>
          <w:sz w:val="24"/>
          <w:szCs w:val="24"/>
        </w:rPr>
      </w:pPr>
      <w:r>
        <w:rPr>
          <w:rFonts w:hint="eastAsia" w:asciiTheme="majorEastAsia" w:hAnsiTheme="majorEastAsia" w:eastAsiaTheme="majorEastAsia" w:cstheme="majorEastAsia"/>
          <w:i w:val="0"/>
          <w:iCs w:val="0"/>
          <w:caps w:val="0"/>
          <w:color w:val="333333"/>
          <w:spacing w:val="0"/>
          <w:kern w:val="0"/>
          <w:sz w:val="24"/>
          <w:szCs w:val="24"/>
        </w:rPr>
        <w:t>3.2供应商自行出具本企业无商业贿赂和不正当竞争行为承诺书；</w:t>
      </w:r>
    </w:p>
    <w:p w14:paraId="2BE6884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kern w:val="0"/>
          <w:sz w:val="24"/>
          <w:szCs w:val="24"/>
        </w:rPr>
      </w:pPr>
      <w:r>
        <w:rPr>
          <w:rFonts w:hint="eastAsia" w:asciiTheme="majorEastAsia" w:hAnsiTheme="majorEastAsia" w:eastAsiaTheme="majorEastAsia" w:cstheme="majorEastAsia"/>
          <w:i w:val="0"/>
          <w:iCs w:val="0"/>
          <w:caps w:val="0"/>
          <w:color w:val="333333"/>
          <w:spacing w:val="0"/>
          <w:kern w:val="0"/>
          <w:sz w:val="24"/>
          <w:szCs w:val="24"/>
        </w:rPr>
        <w:t>3.3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s://zxgk.court.gov.cn/shixin/）“信用中国”网站（www.creditchina.gov.cn）、中国政府采购网（www.ccgp.gov.cn），采购人或采购代理机构将在开标后通过以上网站进行查询，信用信息查询记录和证据将同采购文件等资料一同归档保存（相关网站有最新规定的，按最新规定执行）。</w:t>
      </w:r>
    </w:p>
    <w:p w14:paraId="5DB0DCB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kern w:val="0"/>
          <w:sz w:val="24"/>
          <w:szCs w:val="24"/>
        </w:rPr>
      </w:pPr>
      <w:r>
        <w:rPr>
          <w:rFonts w:hint="eastAsia" w:asciiTheme="majorEastAsia" w:hAnsiTheme="majorEastAsia" w:eastAsiaTheme="majorEastAsia" w:cstheme="majorEastAsia"/>
          <w:i w:val="0"/>
          <w:iCs w:val="0"/>
          <w:caps w:val="0"/>
          <w:color w:val="333333"/>
          <w:spacing w:val="0"/>
          <w:kern w:val="0"/>
          <w:sz w:val="24"/>
          <w:szCs w:val="24"/>
        </w:rPr>
        <w:t>3.4本项目不接受联合体投标（提供非联合体声明函）。</w:t>
      </w:r>
    </w:p>
    <w:p w14:paraId="1DED19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kern w:val="0"/>
          <w:sz w:val="24"/>
          <w:szCs w:val="24"/>
        </w:rPr>
        <w:t>4、本次磋商实行资格后审，资格审查的具体要求见磋商文件。</w:t>
      </w:r>
    </w:p>
    <w:p w14:paraId="66ACD8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b w:val="0"/>
          <w:bCs w:val="0"/>
          <w:i w:val="0"/>
          <w:iCs w:val="0"/>
          <w:caps w:val="0"/>
          <w:color w:val="333333"/>
          <w:spacing w:val="0"/>
          <w:sz w:val="24"/>
          <w:szCs w:val="24"/>
        </w:rPr>
      </w:pPr>
      <w:r>
        <w:rPr>
          <w:rFonts w:hint="eastAsia" w:asciiTheme="majorEastAsia" w:hAnsiTheme="majorEastAsia" w:eastAsiaTheme="majorEastAsia" w:cstheme="majorEastAsia"/>
          <w:b w:val="0"/>
          <w:bCs w:val="0"/>
          <w:i w:val="0"/>
          <w:iCs w:val="0"/>
          <w:caps w:val="0"/>
          <w:color w:val="333333"/>
          <w:spacing w:val="0"/>
          <w:sz w:val="24"/>
          <w:szCs w:val="24"/>
        </w:rPr>
        <w:t>三、获取采购文件</w:t>
      </w:r>
    </w:p>
    <w:p w14:paraId="34B52C2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sz w:val="24"/>
          <w:szCs w:val="24"/>
          <w:lang w:val="en-US" w:eastAsia="zh-CN"/>
        </w:rPr>
      </w:pPr>
      <w:r>
        <w:rPr>
          <w:rFonts w:hint="eastAsia" w:asciiTheme="majorEastAsia" w:hAnsiTheme="majorEastAsia" w:eastAsiaTheme="majorEastAsia" w:cstheme="majorEastAsia"/>
          <w:i w:val="0"/>
          <w:iCs w:val="0"/>
          <w:caps w:val="0"/>
          <w:color w:val="333333"/>
          <w:spacing w:val="0"/>
          <w:sz w:val="24"/>
          <w:szCs w:val="24"/>
          <w:lang w:val="en-US" w:eastAsia="zh-CN"/>
        </w:rPr>
        <w:t>1、时间：</w:t>
      </w:r>
      <w:r>
        <w:rPr>
          <w:rFonts w:hint="eastAsia" w:asciiTheme="majorEastAsia" w:hAnsiTheme="majorEastAsia" w:eastAsiaTheme="majorEastAsia" w:cstheme="majorEastAsia"/>
          <w:i w:val="0"/>
          <w:iCs w:val="0"/>
          <w:caps w:val="0"/>
          <w:color w:val="333333"/>
          <w:spacing w:val="0"/>
          <w:sz w:val="24"/>
          <w:szCs w:val="24"/>
          <w:highlight w:val="none"/>
          <w:lang w:val="en-US" w:eastAsia="zh-CN"/>
        </w:rPr>
        <w:t>2026年02月13日至2026年03月05</w:t>
      </w:r>
      <w:r>
        <w:rPr>
          <w:rFonts w:hint="eastAsia" w:asciiTheme="majorEastAsia" w:hAnsiTheme="majorEastAsia" w:eastAsiaTheme="majorEastAsia" w:cstheme="majorEastAsia"/>
          <w:i w:val="0"/>
          <w:iCs w:val="0"/>
          <w:caps w:val="0"/>
          <w:color w:val="333333"/>
          <w:spacing w:val="0"/>
          <w:sz w:val="24"/>
          <w:szCs w:val="24"/>
          <w:lang w:val="en-US" w:eastAsia="zh-CN"/>
        </w:rPr>
        <w:t>日，每天上午00:00至12:00，下午12:00至23:59（北京时间，法定节假日除外。）</w:t>
      </w:r>
    </w:p>
    <w:p w14:paraId="72BB56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2、地点：三门峡市公共资源交易中心网（网址：gzjy.smx.gov.cn）；</w:t>
      </w:r>
    </w:p>
    <w:p w14:paraId="47AA7AF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sz w:val="24"/>
          <w:szCs w:val="24"/>
          <w:lang w:val="en-US" w:eastAsia="zh-CN"/>
        </w:rPr>
      </w:pPr>
      <w:r>
        <w:rPr>
          <w:rFonts w:hint="eastAsia" w:asciiTheme="majorEastAsia" w:hAnsiTheme="majorEastAsia" w:eastAsiaTheme="majorEastAsia" w:cstheme="majorEastAsia"/>
          <w:i w:val="0"/>
          <w:iCs w:val="0"/>
          <w:caps w:val="0"/>
          <w:color w:val="333333"/>
          <w:spacing w:val="0"/>
          <w:sz w:val="24"/>
          <w:szCs w:val="24"/>
          <w:lang w:val="en-US" w:eastAsia="zh-CN"/>
        </w:rPr>
        <w:t>3、方式：本项目没有报名环节，供应商凭CA数字证书通过三门峡市公共资源交易中心网（网 址：http://gzjy.smx.gov.cn/），点击交易平台选择“交易主体登录”，在所参与项目右侧点击参与投标，即可直接下载本项目磋商文件。</w:t>
      </w:r>
    </w:p>
    <w:p w14:paraId="158CD22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sz w:val="24"/>
          <w:szCs w:val="24"/>
          <w:lang w:val="en-US" w:eastAsia="zh-CN"/>
        </w:rPr>
      </w:pPr>
      <w:r>
        <w:rPr>
          <w:rFonts w:hint="eastAsia" w:asciiTheme="majorEastAsia" w:hAnsiTheme="majorEastAsia" w:eastAsiaTheme="majorEastAsia" w:cstheme="majorEastAsia"/>
          <w:i w:val="0"/>
          <w:iCs w:val="0"/>
          <w:caps w:val="0"/>
          <w:color w:val="333333"/>
          <w:spacing w:val="0"/>
          <w:sz w:val="24"/>
          <w:szCs w:val="24"/>
          <w:lang w:val="en-US" w:eastAsia="zh-CN"/>
        </w:rPr>
        <w:t>办理CA证书：</w:t>
      </w:r>
    </w:p>
    <w:p w14:paraId="2D0201F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sz w:val="24"/>
          <w:szCs w:val="24"/>
          <w:lang w:val="en-US" w:eastAsia="zh-CN"/>
        </w:rPr>
      </w:pPr>
      <w:r>
        <w:rPr>
          <w:rFonts w:hint="eastAsia" w:asciiTheme="majorEastAsia" w:hAnsiTheme="majorEastAsia" w:eastAsiaTheme="majorEastAsia" w:cstheme="majorEastAsia"/>
          <w:i w:val="0"/>
          <w:iCs w:val="0"/>
          <w:caps w:val="0"/>
          <w:color w:val="333333"/>
          <w:spacing w:val="0"/>
          <w:sz w:val="24"/>
          <w:szCs w:val="24"/>
          <w:lang w:val="en-US" w:eastAsia="zh-CN"/>
        </w:rPr>
        <w:fldChar w:fldCharType="begin"/>
      </w:r>
      <w:r>
        <w:rPr>
          <w:rFonts w:hint="eastAsia" w:asciiTheme="majorEastAsia" w:hAnsiTheme="majorEastAsia" w:eastAsiaTheme="majorEastAsia" w:cstheme="majorEastAsia"/>
          <w:i w:val="0"/>
          <w:iCs w:val="0"/>
          <w:caps w:val="0"/>
          <w:color w:val="333333"/>
          <w:spacing w:val="0"/>
          <w:sz w:val="24"/>
          <w:szCs w:val="24"/>
          <w:lang w:val="en-US" w:eastAsia="zh-CN"/>
        </w:rPr>
        <w:instrText xml:space="preserve"> HYPERLINK "http://gzjy.smx.gov.cn/bzzx/008001/20211105/57b16af9-ab87-4395-a723-7758c628a3f8.html" </w:instrText>
      </w:r>
      <w:r>
        <w:rPr>
          <w:rFonts w:hint="eastAsia" w:asciiTheme="majorEastAsia" w:hAnsiTheme="majorEastAsia" w:eastAsiaTheme="majorEastAsia" w:cstheme="majorEastAsia"/>
          <w:i w:val="0"/>
          <w:iCs w:val="0"/>
          <w:caps w:val="0"/>
          <w:color w:val="333333"/>
          <w:spacing w:val="0"/>
          <w:sz w:val="24"/>
          <w:szCs w:val="24"/>
          <w:lang w:val="en-US" w:eastAsia="zh-CN"/>
        </w:rPr>
        <w:fldChar w:fldCharType="separate"/>
      </w:r>
      <w:r>
        <w:rPr>
          <w:rFonts w:hint="eastAsia" w:asciiTheme="majorEastAsia" w:hAnsiTheme="majorEastAsia" w:eastAsiaTheme="majorEastAsia" w:cstheme="majorEastAsia"/>
          <w:i w:val="0"/>
          <w:iCs w:val="0"/>
          <w:caps w:val="0"/>
          <w:color w:val="333333"/>
          <w:spacing w:val="0"/>
          <w:sz w:val="24"/>
          <w:szCs w:val="24"/>
          <w:lang w:val="en-US" w:eastAsia="zh-CN"/>
        </w:rPr>
        <w:t>http://gzjy.smx.gov.cn/bzzx/008001/20211105/57b16af9-ab87-4395-a723-7758c628a3f8.html</w:t>
      </w:r>
      <w:r>
        <w:rPr>
          <w:rFonts w:hint="eastAsia" w:asciiTheme="majorEastAsia" w:hAnsiTheme="majorEastAsia" w:eastAsiaTheme="majorEastAsia" w:cstheme="majorEastAsia"/>
          <w:i w:val="0"/>
          <w:iCs w:val="0"/>
          <w:caps w:val="0"/>
          <w:color w:val="333333"/>
          <w:spacing w:val="0"/>
          <w:sz w:val="24"/>
          <w:szCs w:val="24"/>
          <w:lang w:val="en-US" w:eastAsia="zh-CN"/>
        </w:rPr>
        <w:fldChar w:fldCharType="end"/>
      </w:r>
    </w:p>
    <w:p w14:paraId="033690D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4、售价：0元。</w:t>
      </w:r>
    </w:p>
    <w:p w14:paraId="09F45F3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b w:val="0"/>
          <w:bCs w:val="0"/>
          <w:i w:val="0"/>
          <w:iCs w:val="0"/>
          <w:caps w:val="0"/>
          <w:color w:val="333333"/>
          <w:spacing w:val="0"/>
          <w:sz w:val="24"/>
          <w:szCs w:val="24"/>
        </w:rPr>
      </w:pPr>
      <w:r>
        <w:rPr>
          <w:rFonts w:hint="eastAsia" w:asciiTheme="majorEastAsia" w:hAnsiTheme="majorEastAsia" w:eastAsiaTheme="majorEastAsia" w:cstheme="majorEastAsia"/>
          <w:b w:val="0"/>
          <w:bCs w:val="0"/>
          <w:i w:val="0"/>
          <w:iCs w:val="0"/>
          <w:caps w:val="0"/>
          <w:color w:val="333333"/>
          <w:spacing w:val="0"/>
          <w:sz w:val="24"/>
          <w:szCs w:val="24"/>
        </w:rPr>
        <w:t>四、响应文件提交</w:t>
      </w:r>
    </w:p>
    <w:p w14:paraId="078EEEA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highlight w:val="none"/>
        </w:rPr>
      </w:pPr>
      <w:r>
        <w:rPr>
          <w:rFonts w:hint="eastAsia" w:asciiTheme="majorEastAsia" w:hAnsiTheme="majorEastAsia" w:eastAsiaTheme="majorEastAsia" w:cstheme="majorEastAsia"/>
          <w:i w:val="0"/>
          <w:iCs w:val="0"/>
          <w:caps w:val="0"/>
          <w:color w:val="333333"/>
          <w:spacing w:val="0"/>
          <w:sz w:val="24"/>
          <w:szCs w:val="24"/>
          <w:lang w:val="en-US" w:eastAsia="zh-CN"/>
        </w:rPr>
        <w:t>1、截止时</w:t>
      </w:r>
      <w:r>
        <w:rPr>
          <w:rFonts w:hint="eastAsia" w:asciiTheme="majorEastAsia" w:hAnsiTheme="majorEastAsia" w:eastAsiaTheme="majorEastAsia" w:cstheme="majorEastAsia"/>
          <w:i w:val="0"/>
          <w:iCs w:val="0"/>
          <w:caps w:val="0"/>
          <w:color w:val="333333"/>
          <w:spacing w:val="0"/>
          <w:sz w:val="24"/>
          <w:szCs w:val="24"/>
          <w:highlight w:val="none"/>
          <w:lang w:val="en-US" w:eastAsia="zh-CN"/>
        </w:rPr>
        <w:t>间：2026年03月06日08时30分；</w:t>
      </w:r>
    </w:p>
    <w:p w14:paraId="36AA07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highlight w:val="none"/>
        </w:rPr>
      </w:pPr>
      <w:r>
        <w:rPr>
          <w:rFonts w:hint="eastAsia" w:asciiTheme="majorEastAsia" w:hAnsiTheme="majorEastAsia" w:eastAsiaTheme="majorEastAsia" w:cstheme="majorEastAsia"/>
          <w:i w:val="0"/>
          <w:iCs w:val="0"/>
          <w:caps w:val="0"/>
          <w:color w:val="333333"/>
          <w:spacing w:val="0"/>
          <w:sz w:val="24"/>
          <w:szCs w:val="24"/>
          <w:highlight w:val="none"/>
          <w:lang w:val="en-US" w:eastAsia="zh-CN"/>
        </w:rPr>
        <w:t>2、地点：加密电子投标文件须在投标截止时间前通过三门峡市公共资源交易中心电子交易平台加密上传。逾期上传的或者未上传指定地点的投标文件，采购人不予受理；</w:t>
      </w:r>
    </w:p>
    <w:p w14:paraId="35E518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b w:val="0"/>
          <w:bCs w:val="0"/>
          <w:i w:val="0"/>
          <w:iCs w:val="0"/>
          <w:caps w:val="0"/>
          <w:color w:val="333333"/>
          <w:spacing w:val="0"/>
          <w:sz w:val="24"/>
          <w:szCs w:val="24"/>
          <w:highlight w:val="none"/>
        </w:rPr>
      </w:pPr>
      <w:r>
        <w:rPr>
          <w:rFonts w:hint="eastAsia" w:asciiTheme="majorEastAsia" w:hAnsiTheme="majorEastAsia" w:eastAsiaTheme="majorEastAsia" w:cstheme="majorEastAsia"/>
          <w:b w:val="0"/>
          <w:bCs w:val="0"/>
          <w:i w:val="0"/>
          <w:iCs w:val="0"/>
          <w:caps w:val="0"/>
          <w:color w:val="333333"/>
          <w:spacing w:val="0"/>
          <w:sz w:val="24"/>
          <w:szCs w:val="24"/>
          <w:highlight w:val="none"/>
          <w:lang w:val="en-US" w:eastAsia="zh-CN"/>
        </w:rPr>
        <w:t>五、响应文件开启</w:t>
      </w:r>
    </w:p>
    <w:p w14:paraId="3E69AF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highlight w:val="none"/>
        </w:rPr>
      </w:pPr>
      <w:r>
        <w:rPr>
          <w:rFonts w:hint="eastAsia" w:asciiTheme="majorEastAsia" w:hAnsiTheme="majorEastAsia" w:eastAsiaTheme="majorEastAsia" w:cstheme="majorEastAsia"/>
          <w:i w:val="0"/>
          <w:iCs w:val="0"/>
          <w:caps w:val="0"/>
          <w:color w:val="333333"/>
          <w:spacing w:val="0"/>
          <w:sz w:val="24"/>
          <w:szCs w:val="24"/>
          <w:highlight w:val="none"/>
          <w:lang w:val="en-US" w:eastAsia="zh-CN"/>
        </w:rPr>
        <w:t>1、时间：2026年03月06日08时30分；</w:t>
      </w:r>
    </w:p>
    <w:p w14:paraId="16DEC1B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highlight w:val="none"/>
          <w:lang w:val="en-US" w:eastAsia="zh-CN"/>
        </w:rPr>
        <w:t>2、地点：灵宝市公共资源交易中心开标二室、评标二室</w:t>
      </w:r>
      <w:r>
        <w:rPr>
          <w:rFonts w:hint="eastAsia" w:asciiTheme="majorEastAsia" w:hAnsiTheme="majorEastAsia" w:eastAsiaTheme="majorEastAsia" w:cstheme="majorEastAsia"/>
          <w:i w:val="0"/>
          <w:iCs w:val="0"/>
          <w:caps w:val="0"/>
          <w:color w:val="333333"/>
          <w:spacing w:val="0"/>
          <w:sz w:val="24"/>
          <w:szCs w:val="24"/>
          <w:lang w:val="en-US" w:eastAsia="zh-CN"/>
        </w:rPr>
        <w:t>（灵宝市金城大道信用联社12楼）。开标时，供应商必须持CA密钥在规定时间内对本单位的加密电子响应文件进行远程解密。本次项目实行远程不见面磋商。</w:t>
      </w:r>
    </w:p>
    <w:p w14:paraId="6767D88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b w:val="0"/>
          <w:bCs w:val="0"/>
          <w:i w:val="0"/>
          <w:iCs w:val="0"/>
          <w:caps w:val="0"/>
          <w:color w:val="333333"/>
          <w:spacing w:val="0"/>
          <w:sz w:val="24"/>
          <w:szCs w:val="24"/>
        </w:rPr>
      </w:pPr>
      <w:r>
        <w:rPr>
          <w:rFonts w:hint="eastAsia" w:asciiTheme="majorEastAsia" w:hAnsiTheme="majorEastAsia" w:eastAsiaTheme="majorEastAsia" w:cstheme="majorEastAsia"/>
          <w:b w:val="0"/>
          <w:bCs w:val="0"/>
          <w:i w:val="0"/>
          <w:iCs w:val="0"/>
          <w:caps w:val="0"/>
          <w:color w:val="333333"/>
          <w:spacing w:val="0"/>
          <w:sz w:val="24"/>
          <w:szCs w:val="24"/>
          <w:lang w:val="en-US" w:eastAsia="zh-CN"/>
        </w:rPr>
        <w:t>3、逾期送达的或者未送达到指定地点的投标文件，招标人不予受理。</w:t>
      </w:r>
    </w:p>
    <w:p w14:paraId="0A33DA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b w:val="0"/>
          <w:bCs w:val="0"/>
          <w:i w:val="0"/>
          <w:iCs w:val="0"/>
          <w:caps w:val="0"/>
          <w:color w:val="333333"/>
          <w:spacing w:val="0"/>
          <w:sz w:val="24"/>
          <w:szCs w:val="24"/>
        </w:rPr>
      </w:pPr>
      <w:r>
        <w:rPr>
          <w:rFonts w:hint="eastAsia" w:asciiTheme="majorEastAsia" w:hAnsiTheme="majorEastAsia" w:eastAsiaTheme="majorEastAsia" w:cstheme="majorEastAsia"/>
          <w:b w:val="0"/>
          <w:bCs w:val="0"/>
          <w:i w:val="0"/>
          <w:iCs w:val="0"/>
          <w:caps w:val="0"/>
          <w:color w:val="333333"/>
          <w:spacing w:val="0"/>
          <w:sz w:val="24"/>
          <w:szCs w:val="24"/>
          <w:lang w:val="en-US" w:eastAsia="zh-CN"/>
        </w:rPr>
        <w:t>六、发布公告的媒介</w:t>
      </w:r>
    </w:p>
    <w:p w14:paraId="0CBAA6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本次公告同时在《三门峡市公共资源交易中心》、《河南省政府采购网》、《中国招标投标公共服务平台》发布。</w:t>
      </w:r>
    </w:p>
    <w:p w14:paraId="3EC4669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b w:val="0"/>
          <w:bCs w:val="0"/>
          <w:i w:val="0"/>
          <w:iCs w:val="0"/>
          <w:caps w:val="0"/>
          <w:color w:val="333333"/>
          <w:spacing w:val="0"/>
          <w:sz w:val="24"/>
          <w:szCs w:val="24"/>
        </w:rPr>
      </w:pPr>
      <w:r>
        <w:rPr>
          <w:rFonts w:hint="eastAsia" w:asciiTheme="majorEastAsia" w:hAnsiTheme="majorEastAsia" w:eastAsiaTheme="majorEastAsia" w:cstheme="majorEastAsia"/>
          <w:b w:val="0"/>
          <w:bCs w:val="0"/>
          <w:i w:val="0"/>
          <w:iCs w:val="0"/>
          <w:caps w:val="0"/>
          <w:color w:val="333333"/>
          <w:spacing w:val="0"/>
          <w:sz w:val="24"/>
          <w:szCs w:val="24"/>
          <w:lang w:val="en-US" w:eastAsia="zh-CN"/>
        </w:rPr>
        <w:t>七、其他补充事宜</w:t>
      </w:r>
    </w:p>
    <w:p w14:paraId="29E2CCA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1、按照《河南省财政厅关于优化政府采购营商环境有关问题的通知》（豫财购[2019]4号文）的要求本项目不再收取投标保证金。</w:t>
      </w:r>
    </w:p>
    <w:p w14:paraId="658DC13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2、本项目资格审查内容以响应文件为准，响应人可使用电子营业执照，其资料真实性由响应人自行承担，同时，响应人要完善主体库。</w:t>
      </w:r>
    </w:p>
    <w:p w14:paraId="7034C65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3、评审打分部分：评审打分部分仍按照100分制原则进行，涉及到资格审查、企业荣誉、人员业绩、企业业绩等计分部分时，以响应人自行上传到响应文件中的相应内容为准。</w:t>
      </w:r>
    </w:p>
    <w:p w14:paraId="08DEC7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4、响应人按照响应文件格式进行响应文件编制，在响应文件编制时，应明确将响应人企业基本情况、资质情况、人员情况、财务情况、业绩情况等信息编入响应文件，便于进行资格审查及评审打分。</w:t>
      </w:r>
    </w:p>
    <w:p w14:paraId="7DFAE8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5、响应人应仔细阅读操作手册，在本公告中要求的截止时间前完成文件下载、响应文件的递交等工作，因响应人操作不当等问题造成的无法下载采购文件、无法投标等一切后果，由响应人自行承担。</w:t>
      </w:r>
    </w:p>
    <w:p w14:paraId="73B4AB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6、公告内容与采购文件内容如有出入，以公告为准,给各响应人带来不便敬请谅解。</w:t>
      </w:r>
    </w:p>
    <w:p w14:paraId="471AC8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温馨提示：注：本项目为不见面开标项目。开标当日，响应人无需到现场参加开标会议，响应人应当在响应文件递交截止时间前，登陆不见面开标大厅选择三门峡市公共资源电子招投标系统进行操作（网址为http://120.194.249.36:10094/BidOpening/bidopeninghallaction/hall/login）,在线准时参加开标活动并进行响应文件解密等。每位响应人的解密时间为开标时间起30分钟内完成。因响应人原因未能解密、解密失败或解密超时的将被拒绝 ，为保证您能投标成功，请仔细阅读采购文件和三门峡市公共资源交易中心网站业务办理指南。</w:t>
      </w:r>
    </w:p>
    <w:p w14:paraId="420A30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7、我单位（采购人）严格按照三财购【2021】9号文要求的时限发布成交结果公告，发出成交通知书，签订采购合同，上传采购合同。</w:t>
      </w:r>
    </w:p>
    <w:p w14:paraId="3707D0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ajorEastAsia" w:hAnsiTheme="majorEastAsia" w:eastAsiaTheme="majorEastAsia" w:cstheme="majorEastAsia"/>
          <w:b w:val="0"/>
          <w:bCs w:val="0"/>
          <w:i w:val="0"/>
          <w:iCs w:val="0"/>
          <w:caps w:val="0"/>
          <w:color w:val="333333"/>
          <w:spacing w:val="0"/>
          <w:sz w:val="24"/>
          <w:szCs w:val="24"/>
          <w:lang w:eastAsia="zh-CN"/>
        </w:rPr>
      </w:pPr>
      <w:r>
        <w:rPr>
          <w:rFonts w:hint="eastAsia" w:asciiTheme="majorEastAsia" w:hAnsiTheme="majorEastAsia" w:eastAsiaTheme="majorEastAsia" w:cstheme="majorEastAsia"/>
          <w:b w:val="0"/>
          <w:bCs w:val="0"/>
          <w:i w:val="0"/>
          <w:iCs w:val="0"/>
          <w:caps w:val="0"/>
          <w:color w:val="333333"/>
          <w:spacing w:val="0"/>
          <w:sz w:val="24"/>
          <w:szCs w:val="24"/>
          <w:lang w:val="en-US" w:eastAsia="zh-CN"/>
        </w:rPr>
        <w:t>八</w:t>
      </w:r>
      <w:r>
        <w:rPr>
          <w:rFonts w:hint="eastAsia" w:asciiTheme="majorEastAsia" w:hAnsiTheme="majorEastAsia" w:eastAsiaTheme="majorEastAsia" w:cstheme="majorEastAsia"/>
          <w:b w:val="0"/>
          <w:bCs w:val="0"/>
          <w:i w:val="0"/>
          <w:iCs w:val="0"/>
          <w:caps w:val="0"/>
          <w:color w:val="333333"/>
          <w:spacing w:val="0"/>
          <w:sz w:val="24"/>
          <w:szCs w:val="24"/>
          <w:lang w:eastAsia="zh-CN"/>
        </w:rPr>
        <w:t>、联系方式</w:t>
      </w:r>
    </w:p>
    <w:p w14:paraId="6499DD87">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lang w:val="en-US" w:eastAsia="zh-CN" w:bidi="ar-SA"/>
        </w:rPr>
        <w:t>1、采购人信息</w:t>
      </w:r>
    </w:p>
    <w:p w14:paraId="4B74E67F">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lang w:val="en-US" w:eastAsia="zh-CN" w:bidi="ar-SA"/>
        </w:rPr>
        <w:t>采购人：</w:t>
      </w:r>
      <w:r>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t>灵宝市财政局</w:t>
      </w:r>
    </w:p>
    <w:p w14:paraId="2CB86F42">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lang w:val="en-US" w:eastAsia="zh-CN" w:bidi="ar-SA"/>
        </w:rPr>
        <w:t>地址：</w:t>
      </w:r>
      <w:r>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t>灵宝市金城大道3号</w:t>
      </w:r>
    </w:p>
    <w:p w14:paraId="7FBDB182">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t>联系人：梁先生</w:t>
      </w:r>
    </w:p>
    <w:p w14:paraId="30E79375">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t>联系电话：15855216780</w:t>
      </w:r>
    </w:p>
    <w:p w14:paraId="606E6E92">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lang w:val="en-US" w:eastAsia="zh-CN" w:bidi="ar-SA"/>
        </w:rPr>
        <w:t>2、采购代理机构信息</w:t>
      </w:r>
    </w:p>
    <w:p w14:paraId="32F49550">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lang w:val="en-US" w:eastAsia="zh-CN" w:bidi="ar-SA"/>
        </w:rPr>
        <w:t>代理机构：河南祥沃企业管理咨询有限公司</w:t>
      </w:r>
    </w:p>
    <w:p w14:paraId="73417167">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lang w:val="en-US" w:eastAsia="zh-CN" w:bidi="ar-SA"/>
        </w:rPr>
        <w:t>地址：河南自贸试验区郑州片区（经开）第八大街108号20层2007 </w:t>
      </w:r>
    </w:p>
    <w:p w14:paraId="4F9F371F">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lang w:val="en-US" w:eastAsia="zh-CN" w:bidi="ar-SA"/>
        </w:rPr>
        <w:t>联系人：</w:t>
      </w:r>
      <w:r>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t>张女士</w:t>
      </w:r>
    </w:p>
    <w:p w14:paraId="3C19EAA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i w:val="0"/>
          <w:iCs w:val="0"/>
          <w:caps w:val="0"/>
          <w:color w:val="333333"/>
          <w:spacing w:val="0"/>
          <w:kern w:val="0"/>
          <w:sz w:val="24"/>
          <w:szCs w:val="24"/>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t>联系电话：19339912664</w:t>
      </w:r>
    </w:p>
    <w:p w14:paraId="352BF165">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0"/>
        <w:textAlignment w:val="auto"/>
        <w:rPr>
          <w:rFonts w:hint="eastAsia" w:asciiTheme="majorEastAsia" w:hAnsiTheme="majorEastAsia" w:eastAsiaTheme="majorEastAsia" w:cstheme="majorEastAsia"/>
          <w:i w:val="0"/>
          <w:iCs w:val="0"/>
          <w:caps w:val="0"/>
          <w:color w:val="333333"/>
          <w:spacing w:val="0"/>
          <w:kern w:val="0"/>
          <w:sz w:val="24"/>
          <w:szCs w:val="24"/>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lang w:val="en-US" w:eastAsia="zh-CN" w:bidi="ar-SA"/>
        </w:rPr>
        <w:t>3、项目联系方式</w:t>
      </w:r>
    </w:p>
    <w:p w14:paraId="28E0057A">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lang w:val="en-US" w:eastAsia="zh-CN" w:bidi="ar-SA"/>
        </w:rPr>
        <w:t>联系人：</w:t>
      </w:r>
      <w:r>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t>张女士</w:t>
      </w:r>
    </w:p>
    <w:p w14:paraId="41825D1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i w:val="0"/>
          <w:iCs w:val="0"/>
          <w:caps w:val="0"/>
          <w:color w:val="333333"/>
          <w:spacing w:val="0"/>
          <w:kern w:val="0"/>
          <w:sz w:val="24"/>
          <w:szCs w:val="24"/>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highlight w:val="none"/>
          <w:lang w:val="en-US" w:eastAsia="zh-CN" w:bidi="ar-SA"/>
        </w:rPr>
        <w:t>联系电话：19339912664</w:t>
      </w:r>
    </w:p>
    <w:p w14:paraId="793D0370">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lang w:val="en-US" w:eastAsia="zh-CN" w:bidi="ar-SA"/>
        </w:rPr>
        <w:t>4、监督单位：灵宝市财政局政府采购监督管理科</w:t>
      </w:r>
    </w:p>
    <w:p w14:paraId="1C763B46">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heme="majorEastAsia" w:hAnsiTheme="majorEastAsia" w:eastAsiaTheme="majorEastAsia" w:cstheme="majorEastAsia"/>
          <w:i w:val="0"/>
          <w:iCs w:val="0"/>
          <w:caps w:val="0"/>
          <w:color w:val="333333"/>
          <w:spacing w:val="0"/>
          <w:kern w:val="0"/>
          <w:sz w:val="24"/>
          <w:szCs w:val="24"/>
          <w:lang w:val="en-US" w:eastAsia="zh-CN" w:bidi="ar-SA"/>
        </w:rPr>
      </w:pPr>
      <w:r>
        <w:rPr>
          <w:rFonts w:hint="eastAsia" w:asciiTheme="majorEastAsia" w:hAnsiTheme="majorEastAsia" w:eastAsiaTheme="majorEastAsia" w:cstheme="majorEastAsia"/>
          <w:i w:val="0"/>
          <w:iCs w:val="0"/>
          <w:caps w:val="0"/>
          <w:color w:val="333333"/>
          <w:spacing w:val="0"/>
          <w:kern w:val="0"/>
          <w:sz w:val="24"/>
          <w:szCs w:val="24"/>
          <w:lang w:val="en-US" w:eastAsia="zh-CN" w:bidi="ar-SA"/>
        </w:rPr>
        <w:t>联系电话：0398-8852670</w:t>
      </w:r>
    </w:p>
    <w:p w14:paraId="7217ADD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br w:type="page"/>
      </w:r>
    </w:p>
    <w:p w14:paraId="32B84550">
      <w:pPr>
        <w:pStyle w:val="2"/>
        <w:rPr>
          <w:rFonts w:hint="eastAsia" w:ascii="宋体" w:hAnsi="宋体" w:cs="宋体"/>
          <w:bCs/>
          <w:color w:val="000000"/>
          <w:szCs w:val="32"/>
        </w:rPr>
      </w:pPr>
      <w:bookmarkStart w:id="7" w:name="_Toc7542"/>
      <w:r>
        <w:rPr>
          <w:rFonts w:hint="eastAsia" w:ascii="宋体" w:hAnsi="宋体" w:cs="宋体"/>
          <w:bCs/>
          <w:color w:val="000000"/>
          <w:szCs w:val="32"/>
        </w:rPr>
        <w:t>第二章 供应商须知</w:t>
      </w:r>
      <w:bookmarkEnd w:id="4"/>
      <w:bookmarkEnd w:id="5"/>
      <w:bookmarkEnd w:id="6"/>
      <w:bookmarkEnd w:id="7"/>
    </w:p>
    <w:p w14:paraId="1E41C5AE">
      <w:pPr>
        <w:adjustRightInd w:val="0"/>
        <w:snapToGrid w:val="0"/>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供应商须知前附表</w:t>
      </w:r>
    </w:p>
    <w:tbl>
      <w:tblPr>
        <w:tblStyle w:val="20"/>
        <w:tblW w:w="9410" w:type="dxa"/>
        <w:jc w:val="center"/>
        <w:tblLayout w:type="fixed"/>
        <w:tblCellMar>
          <w:top w:w="0" w:type="dxa"/>
          <w:left w:w="108" w:type="dxa"/>
          <w:bottom w:w="0" w:type="dxa"/>
          <w:right w:w="108" w:type="dxa"/>
        </w:tblCellMar>
      </w:tblPr>
      <w:tblGrid>
        <w:gridCol w:w="1095"/>
        <w:gridCol w:w="1799"/>
        <w:gridCol w:w="6516"/>
      </w:tblGrid>
      <w:tr w14:paraId="37C09B54">
        <w:tblPrEx>
          <w:tblCellMar>
            <w:top w:w="0" w:type="dxa"/>
            <w:left w:w="108" w:type="dxa"/>
            <w:bottom w:w="0" w:type="dxa"/>
            <w:right w:w="108" w:type="dxa"/>
          </w:tblCellMar>
        </w:tblPrEx>
        <w:trPr>
          <w:trHeight w:val="463"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A60C410">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color w:val="000000"/>
                <w:spacing w:val="11"/>
                <w:sz w:val="24"/>
                <w:szCs w:val="24"/>
              </w:rPr>
            </w:pPr>
            <w:r>
              <w:rPr>
                <w:rFonts w:hint="eastAsia" w:ascii="宋体" w:hAnsi="宋体" w:eastAsia="宋体" w:cs="宋体"/>
                <w:b/>
                <w:bCs/>
                <w:color w:val="000000"/>
                <w:spacing w:val="11"/>
                <w:sz w:val="24"/>
                <w:szCs w:val="24"/>
              </w:rPr>
              <w:t>条款号</w:t>
            </w:r>
          </w:p>
        </w:tc>
        <w:tc>
          <w:tcPr>
            <w:tcW w:w="1799" w:type="dxa"/>
            <w:tcBorders>
              <w:top w:val="single" w:color="auto" w:sz="4" w:space="0"/>
              <w:left w:val="nil"/>
              <w:bottom w:val="single" w:color="auto" w:sz="4" w:space="0"/>
              <w:right w:val="single" w:color="auto" w:sz="4" w:space="0"/>
            </w:tcBorders>
            <w:noWrap w:val="0"/>
            <w:vAlign w:val="center"/>
          </w:tcPr>
          <w:p w14:paraId="4F3D036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color w:val="000000"/>
                <w:spacing w:val="11"/>
                <w:sz w:val="24"/>
                <w:szCs w:val="24"/>
              </w:rPr>
            </w:pPr>
            <w:r>
              <w:rPr>
                <w:rFonts w:hint="eastAsia" w:ascii="宋体" w:hAnsi="宋体" w:eastAsia="宋体" w:cs="宋体"/>
                <w:b/>
                <w:bCs/>
                <w:color w:val="000000"/>
                <w:spacing w:val="11"/>
                <w:sz w:val="24"/>
                <w:szCs w:val="24"/>
              </w:rPr>
              <w:t>条 款 名 称</w:t>
            </w:r>
          </w:p>
        </w:tc>
        <w:tc>
          <w:tcPr>
            <w:tcW w:w="6516" w:type="dxa"/>
            <w:tcBorders>
              <w:top w:val="single" w:color="auto" w:sz="4" w:space="0"/>
              <w:left w:val="nil"/>
              <w:bottom w:val="single" w:color="auto" w:sz="4" w:space="0"/>
              <w:right w:val="single" w:color="auto" w:sz="4" w:space="0"/>
            </w:tcBorders>
            <w:noWrap w:val="0"/>
            <w:vAlign w:val="center"/>
          </w:tcPr>
          <w:p w14:paraId="7F30EF4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color w:val="000000"/>
                <w:spacing w:val="11"/>
                <w:sz w:val="24"/>
                <w:szCs w:val="24"/>
              </w:rPr>
            </w:pPr>
            <w:r>
              <w:rPr>
                <w:rFonts w:hint="eastAsia" w:ascii="宋体" w:hAnsi="宋体" w:eastAsia="宋体" w:cs="宋体"/>
                <w:b/>
                <w:bCs/>
                <w:color w:val="000000"/>
                <w:spacing w:val="11"/>
                <w:sz w:val="24"/>
                <w:szCs w:val="24"/>
              </w:rPr>
              <w:t>编 列 内 容</w:t>
            </w:r>
          </w:p>
        </w:tc>
      </w:tr>
      <w:tr w14:paraId="4B70BFD9">
        <w:tblPrEx>
          <w:tblCellMar>
            <w:top w:w="0" w:type="dxa"/>
            <w:left w:w="108" w:type="dxa"/>
            <w:bottom w:w="0" w:type="dxa"/>
            <w:right w:w="108" w:type="dxa"/>
          </w:tblCellMar>
        </w:tblPrEx>
        <w:trPr>
          <w:trHeight w:val="1346"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E670A0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1</w:t>
            </w:r>
          </w:p>
        </w:tc>
        <w:tc>
          <w:tcPr>
            <w:tcW w:w="1799" w:type="dxa"/>
            <w:tcBorders>
              <w:top w:val="single" w:color="auto" w:sz="4" w:space="0"/>
              <w:left w:val="nil"/>
              <w:bottom w:val="single" w:color="auto" w:sz="4" w:space="0"/>
              <w:right w:val="single" w:color="auto" w:sz="4" w:space="0"/>
            </w:tcBorders>
            <w:noWrap w:val="0"/>
            <w:vAlign w:val="center"/>
          </w:tcPr>
          <w:p w14:paraId="1F9ACC3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采 购 人</w:t>
            </w:r>
          </w:p>
        </w:tc>
        <w:tc>
          <w:tcPr>
            <w:tcW w:w="6516" w:type="dxa"/>
            <w:tcBorders>
              <w:top w:val="single" w:color="auto" w:sz="4" w:space="0"/>
              <w:left w:val="nil"/>
              <w:bottom w:val="single" w:color="auto" w:sz="4" w:space="0"/>
              <w:right w:val="single" w:color="auto" w:sz="4" w:space="0"/>
            </w:tcBorders>
            <w:noWrap w:val="0"/>
            <w:vAlign w:val="center"/>
          </w:tcPr>
          <w:p w14:paraId="0E893B2C">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采购人：</w:t>
            </w:r>
            <w:r>
              <w:rPr>
                <w:rFonts w:hint="eastAsia" w:ascii="宋体" w:hAnsi="宋体" w:cs="宋体"/>
                <w:color w:val="000000"/>
                <w:sz w:val="24"/>
                <w:szCs w:val="24"/>
                <w:lang w:val="en-US" w:eastAsia="zh-CN"/>
              </w:rPr>
              <w:t>灵宝市财政局</w:t>
            </w:r>
          </w:p>
          <w:p w14:paraId="45F7A06B">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联系人：</w:t>
            </w:r>
            <w:r>
              <w:rPr>
                <w:rFonts w:hint="eastAsia" w:ascii="宋体" w:hAnsi="宋体" w:cs="宋体"/>
                <w:color w:val="000000"/>
                <w:sz w:val="24"/>
                <w:szCs w:val="24"/>
                <w:lang w:val="en-US" w:eastAsia="zh-CN"/>
              </w:rPr>
              <w:t>梁先生</w:t>
            </w:r>
          </w:p>
          <w:p w14:paraId="5506F4E5">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联系电话：</w:t>
            </w:r>
            <w:r>
              <w:rPr>
                <w:rFonts w:hint="eastAsia" w:ascii="宋体" w:hAnsi="宋体" w:cs="宋体"/>
                <w:color w:val="000000"/>
                <w:sz w:val="24"/>
                <w:szCs w:val="24"/>
                <w:lang w:val="en-US" w:eastAsia="zh-CN"/>
              </w:rPr>
              <w:t>15855216780</w:t>
            </w:r>
          </w:p>
          <w:p w14:paraId="60B66F98">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地址：</w:t>
            </w:r>
            <w:r>
              <w:rPr>
                <w:rFonts w:hint="eastAsia" w:ascii="宋体" w:hAnsi="宋体" w:cs="宋体"/>
                <w:color w:val="000000"/>
                <w:sz w:val="24"/>
                <w:szCs w:val="24"/>
                <w:lang w:val="en-US" w:eastAsia="zh-CN"/>
              </w:rPr>
              <w:t>灵宝市金城大道3号</w:t>
            </w:r>
          </w:p>
        </w:tc>
      </w:tr>
      <w:tr w14:paraId="73A85B94">
        <w:tblPrEx>
          <w:tblCellMar>
            <w:top w:w="0" w:type="dxa"/>
            <w:left w:w="108" w:type="dxa"/>
            <w:bottom w:w="0" w:type="dxa"/>
            <w:right w:w="108" w:type="dxa"/>
          </w:tblCellMar>
        </w:tblPrEx>
        <w:trPr>
          <w:trHeight w:val="1837"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FE4CD27">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2</w:t>
            </w:r>
          </w:p>
        </w:tc>
        <w:tc>
          <w:tcPr>
            <w:tcW w:w="1799" w:type="dxa"/>
            <w:tcBorders>
              <w:top w:val="single" w:color="auto" w:sz="4" w:space="0"/>
              <w:left w:val="nil"/>
              <w:bottom w:val="single" w:color="auto" w:sz="4" w:space="0"/>
              <w:right w:val="single" w:color="auto" w:sz="4" w:space="0"/>
            </w:tcBorders>
            <w:noWrap w:val="0"/>
            <w:vAlign w:val="center"/>
          </w:tcPr>
          <w:p w14:paraId="307BDA65">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代理机构</w:t>
            </w:r>
          </w:p>
        </w:tc>
        <w:tc>
          <w:tcPr>
            <w:tcW w:w="6516" w:type="dxa"/>
            <w:tcBorders>
              <w:top w:val="single" w:color="auto" w:sz="4" w:space="0"/>
              <w:left w:val="nil"/>
              <w:bottom w:val="single" w:color="auto" w:sz="4" w:space="0"/>
              <w:right w:val="single" w:color="auto" w:sz="4" w:space="0"/>
            </w:tcBorders>
            <w:noWrap w:val="0"/>
            <w:vAlign w:val="center"/>
          </w:tcPr>
          <w:p w14:paraId="3B5DB585">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代理机构：河南祥沃企业管理咨询有限公司  </w:t>
            </w:r>
          </w:p>
          <w:p w14:paraId="3EA4ABB5">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联系人：张女士</w:t>
            </w:r>
          </w:p>
          <w:p w14:paraId="2F9A76CD">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联系电话：19339912664</w:t>
            </w:r>
          </w:p>
          <w:p w14:paraId="2427A41F">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z w:val="24"/>
                <w:szCs w:val="24"/>
                <w:lang w:val="en-US" w:eastAsia="zh-CN"/>
              </w:rPr>
              <w:t>地址：河南自贸试验区郑州片区（经开）第八大街108号20层2007 </w:t>
            </w:r>
            <w:r>
              <w:rPr>
                <w:rFonts w:hint="eastAsia" w:ascii="宋体" w:hAnsi="宋体" w:eastAsia="宋体" w:cs="宋体"/>
                <w:color w:val="000000"/>
                <w:spacing w:val="0"/>
                <w:sz w:val="24"/>
                <w:szCs w:val="24"/>
                <w:lang w:val="en-US" w:eastAsia="zh-CN"/>
              </w:rPr>
              <w:t xml:space="preserve"> </w:t>
            </w:r>
          </w:p>
        </w:tc>
      </w:tr>
      <w:tr w14:paraId="4EDE6810">
        <w:tblPrEx>
          <w:tblCellMar>
            <w:top w:w="0" w:type="dxa"/>
            <w:left w:w="108" w:type="dxa"/>
            <w:bottom w:w="0" w:type="dxa"/>
            <w:right w:w="108" w:type="dxa"/>
          </w:tblCellMar>
        </w:tblPrEx>
        <w:trPr>
          <w:trHeight w:val="461"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A44484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3</w:t>
            </w:r>
          </w:p>
        </w:tc>
        <w:tc>
          <w:tcPr>
            <w:tcW w:w="1799" w:type="dxa"/>
            <w:tcBorders>
              <w:top w:val="single" w:color="auto" w:sz="4" w:space="0"/>
              <w:left w:val="nil"/>
              <w:bottom w:val="single" w:color="auto" w:sz="4" w:space="0"/>
              <w:right w:val="single" w:color="auto" w:sz="4" w:space="0"/>
            </w:tcBorders>
            <w:noWrap w:val="0"/>
            <w:vAlign w:val="center"/>
          </w:tcPr>
          <w:p w14:paraId="7FB75E1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项目名称</w:t>
            </w:r>
          </w:p>
        </w:tc>
        <w:tc>
          <w:tcPr>
            <w:tcW w:w="6516" w:type="dxa"/>
            <w:tcBorders>
              <w:top w:val="single" w:color="auto" w:sz="4" w:space="0"/>
              <w:left w:val="nil"/>
              <w:bottom w:val="single" w:color="auto" w:sz="4" w:space="0"/>
              <w:right w:val="single" w:color="auto" w:sz="4" w:space="0"/>
            </w:tcBorders>
            <w:noWrap w:val="0"/>
            <w:vAlign w:val="center"/>
          </w:tcPr>
          <w:p w14:paraId="127C3DDC">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lang w:eastAsia="zh-CN"/>
              </w:rPr>
            </w:pPr>
            <w:r>
              <w:rPr>
                <w:rFonts w:hint="eastAsia" w:ascii="宋体" w:hAnsi="宋体" w:cs="宋体"/>
                <w:sz w:val="24"/>
                <w:lang w:eastAsia="zh-CN"/>
              </w:rPr>
              <w:t>灵宝市矿山税收一体化综合服务中心信息化改造项目</w:t>
            </w:r>
          </w:p>
        </w:tc>
      </w:tr>
      <w:tr w14:paraId="3E4BBBAE">
        <w:tblPrEx>
          <w:tblCellMar>
            <w:top w:w="0" w:type="dxa"/>
            <w:left w:w="108" w:type="dxa"/>
            <w:bottom w:w="0" w:type="dxa"/>
            <w:right w:w="108" w:type="dxa"/>
          </w:tblCellMar>
        </w:tblPrEx>
        <w:trPr>
          <w:trHeight w:val="9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16EA388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4</w:t>
            </w:r>
          </w:p>
        </w:tc>
        <w:tc>
          <w:tcPr>
            <w:tcW w:w="1799" w:type="dxa"/>
            <w:tcBorders>
              <w:top w:val="single" w:color="auto" w:sz="4" w:space="0"/>
              <w:left w:val="nil"/>
              <w:bottom w:val="single" w:color="auto" w:sz="4" w:space="0"/>
              <w:right w:val="single" w:color="auto" w:sz="4" w:space="0"/>
            </w:tcBorders>
            <w:noWrap w:val="0"/>
            <w:vAlign w:val="center"/>
          </w:tcPr>
          <w:p w14:paraId="68B505B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资金来源</w:t>
            </w:r>
          </w:p>
        </w:tc>
        <w:tc>
          <w:tcPr>
            <w:tcW w:w="6516" w:type="dxa"/>
            <w:tcBorders>
              <w:top w:val="single" w:color="auto" w:sz="4" w:space="0"/>
              <w:left w:val="nil"/>
              <w:bottom w:val="single" w:color="auto" w:sz="4" w:space="0"/>
              <w:right w:val="single" w:color="auto" w:sz="4" w:space="0"/>
            </w:tcBorders>
            <w:noWrap w:val="0"/>
            <w:vAlign w:val="center"/>
          </w:tcPr>
          <w:p w14:paraId="08FCDB3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lang w:eastAsia="zh-CN"/>
              </w:rPr>
            </w:pPr>
            <w:r>
              <w:rPr>
                <w:rFonts w:hint="eastAsia" w:ascii="宋体" w:hAnsi="宋体" w:eastAsia="宋体" w:cs="宋体"/>
                <w:sz w:val="24"/>
                <w:lang w:eastAsia="zh-CN"/>
              </w:rPr>
              <w:t>财政资金，已落实</w:t>
            </w:r>
          </w:p>
        </w:tc>
      </w:tr>
      <w:tr w14:paraId="5CB4BB69">
        <w:tblPrEx>
          <w:tblCellMar>
            <w:top w:w="0" w:type="dxa"/>
            <w:left w:w="108" w:type="dxa"/>
            <w:bottom w:w="0" w:type="dxa"/>
            <w:right w:w="108" w:type="dxa"/>
          </w:tblCellMar>
        </w:tblPrEx>
        <w:trPr>
          <w:trHeight w:val="555"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5537EA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5</w:t>
            </w:r>
          </w:p>
        </w:tc>
        <w:tc>
          <w:tcPr>
            <w:tcW w:w="1799" w:type="dxa"/>
            <w:tcBorders>
              <w:top w:val="single" w:color="auto" w:sz="4" w:space="0"/>
              <w:left w:val="nil"/>
              <w:bottom w:val="single" w:color="auto" w:sz="4" w:space="0"/>
              <w:right w:val="single" w:color="auto" w:sz="4" w:space="0"/>
            </w:tcBorders>
            <w:noWrap w:val="0"/>
            <w:vAlign w:val="center"/>
          </w:tcPr>
          <w:p w14:paraId="3C24B6C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采购内容</w:t>
            </w:r>
          </w:p>
        </w:tc>
        <w:tc>
          <w:tcPr>
            <w:tcW w:w="6516" w:type="dxa"/>
            <w:tcBorders>
              <w:top w:val="single" w:color="auto" w:sz="4" w:space="0"/>
              <w:left w:val="nil"/>
              <w:bottom w:val="single" w:color="auto" w:sz="4" w:space="0"/>
              <w:right w:val="single" w:color="auto" w:sz="4" w:space="0"/>
            </w:tcBorders>
            <w:noWrap w:val="0"/>
            <w:vAlign w:val="center"/>
          </w:tcPr>
          <w:p w14:paraId="17434BDB">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lang w:eastAsia="zh-CN"/>
              </w:rPr>
              <w:t>本项目包含</w:t>
            </w:r>
            <w:r>
              <w:rPr>
                <w:rFonts w:hint="eastAsia" w:ascii="宋体" w:hAnsi="宋体" w:cs="宋体"/>
                <w:sz w:val="24"/>
                <w:lang w:val="en-US" w:eastAsia="zh-CN"/>
              </w:rPr>
              <w:t>指挥</w:t>
            </w:r>
            <w:r>
              <w:rPr>
                <w:rFonts w:hint="eastAsia" w:ascii="宋体" w:hAnsi="宋体" w:eastAsia="宋体" w:cs="宋体"/>
                <w:sz w:val="24"/>
                <w:lang w:eastAsia="zh-CN"/>
              </w:rPr>
              <w:t>中心展示屏、指挥中心机房、</w:t>
            </w:r>
            <w:r>
              <w:rPr>
                <w:rFonts w:hint="eastAsia" w:ascii="宋体" w:hAnsi="宋体" w:cs="宋体"/>
                <w:sz w:val="24"/>
                <w:lang w:eastAsia="zh-CN"/>
              </w:rPr>
              <w:t>指挥中心办公弱电</w:t>
            </w:r>
            <w:r>
              <w:rPr>
                <w:rFonts w:hint="eastAsia" w:ascii="宋体" w:hAnsi="宋体" w:eastAsia="宋体" w:cs="宋体"/>
                <w:sz w:val="24"/>
                <w:lang w:eastAsia="zh-CN"/>
              </w:rPr>
              <w:t>三部分。</w:t>
            </w:r>
            <w:r>
              <w:rPr>
                <w:rFonts w:hint="eastAsia" w:ascii="宋体" w:hAnsi="宋体" w:eastAsia="宋体" w:cs="宋体"/>
                <w:sz w:val="24"/>
              </w:rPr>
              <w:t>具体内容详见竞争性磋商文件。</w:t>
            </w:r>
          </w:p>
        </w:tc>
      </w:tr>
      <w:tr w14:paraId="44A1B68D">
        <w:tblPrEx>
          <w:tblCellMar>
            <w:top w:w="0" w:type="dxa"/>
            <w:left w:w="108" w:type="dxa"/>
            <w:bottom w:w="0" w:type="dxa"/>
            <w:right w:w="108" w:type="dxa"/>
          </w:tblCellMar>
        </w:tblPrEx>
        <w:trPr>
          <w:trHeight w:val="592"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5C7D072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6</w:t>
            </w:r>
          </w:p>
        </w:tc>
        <w:tc>
          <w:tcPr>
            <w:tcW w:w="1799" w:type="dxa"/>
            <w:tcBorders>
              <w:top w:val="single" w:color="auto" w:sz="4" w:space="0"/>
              <w:left w:val="nil"/>
              <w:bottom w:val="single" w:color="auto" w:sz="4" w:space="0"/>
              <w:right w:val="single" w:color="auto" w:sz="4" w:space="0"/>
            </w:tcBorders>
            <w:noWrap w:val="0"/>
            <w:vAlign w:val="center"/>
          </w:tcPr>
          <w:p w14:paraId="4E76C1E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交货期</w:t>
            </w:r>
          </w:p>
        </w:tc>
        <w:tc>
          <w:tcPr>
            <w:tcW w:w="6516" w:type="dxa"/>
            <w:tcBorders>
              <w:top w:val="single" w:color="auto" w:sz="4" w:space="0"/>
              <w:left w:val="nil"/>
              <w:bottom w:val="single" w:color="auto" w:sz="4" w:space="0"/>
              <w:right w:val="single" w:color="auto" w:sz="4" w:space="0"/>
            </w:tcBorders>
            <w:noWrap w:val="0"/>
            <w:vAlign w:val="center"/>
          </w:tcPr>
          <w:p w14:paraId="24CA8BE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合同签订后20天内完成（完成安装及调试）</w:t>
            </w:r>
          </w:p>
        </w:tc>
      </w:tr>
      <w:tr w14:paraId="30B517CF">
        <w:tblPrEx>
          <w:tblCellMar>
            <w:top w:w="0" w:type="dxa"/>
            <w:left w:w="108" w:type="dxa"/>
            <w:bottom w:w="0" w:type="dxa"/>
            <w:right w:w="108" w:type="dxa"/>
          </w:tblCellMar>
        </w:tblPrEx>
        <w:trPr>
          <w:trHeight w:val="477"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009CA7D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7</w:t>
            </w:r>
          </w:p>
        </w:tc>
        <w:tc>
          <w:tcPr>
            <w:tcW w:w="1799" w:type="dxa"/>
            <w:tcBorders>
              <w:top w:val="single" w:color="auto" w:sz="4" w:space="0"/>
              <w:left w:val="nil"/>
              <w:bottom w:val="single" w:color="auto" w:sz="4" w:space="0"/>
              <w:right w:val="single" w:color="auto" w:sz="4" w:space="0"/>
            </w:tcBorders>
            <w:noWrap w:val="0"/>
            <w:vAlign w:val="center"/>
          </w:tcPr>
          <w:p w14:paraId="7F4FB1D8">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质保期</w:t>
            </w:r>
          </w:p>
        </w:tc>
        <w:tc>
          <w:tcPr>
            <w:tcW w:w="6516" w:type="dxa"/>
            <w:tcBorders>
              <w:top w:val="single" w:color="auto" w:sz="4" w:space="0"/>
              <w:left w:val="nil"/>
              <w:bottom w:val="single" w:color="auto" w:sz="4" w:space="0"/>
              <w:right w:val="single" w:color="auto" w:sz="4" w:space="0"/>
            </w:tcBorders>
            <w:noWrap w:val="0"/>
            <w:vAlign w:val="center"/>
          </w:tcPr>
          <w:p w14:paraId="7F5BDF19">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年</w:t>
            </w:r>
          </w:p>
        </w:tc>
      </w:tr>
      <w:tr w14:paraId="36F5A859">
        <w:tblPrEx>
          <w:tblCellMar>
            <w:top w:w="0" w:type="dxa"/>
            <w:left w:w="108" w:type="dxa"/>
            <w:bottom w:w="0" w:type="dxa"/>
            <w:right w:w="108" w:type="dxa"/>
          </w:tblCellMar>
        </w:tblPrEx>
        <w:trPr>
          <w:trHeight w:val="519"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B5B92B6">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8</w:t>
            </w:r>
          </w:p>
        </w:tc>
        <w:tc>
          <w:tcPr>
            <w:tcW w:w="1799" w:type="dxa"/>
            <w:tcBorders>
              <w:top w:val="single" w:color="auto" w:sz="4" w:space="0"/>
              <w:left w:val="nil"/>
              <w:bottom w:val="single" w:color="auto" w:sz="4" w:space="0"/>
              <w:right w:val="single" w:color="auto" w:sz="4" w:space="0"/>
            </w:tcBorders>
            <w:noWrap w:val="0"/>
            <w:vAlign w:val="center"/>
          </w:tcPr>
          <w:p w14:paraId="0A64A81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质量要求</w:t>
            </w:r>
          </w:p>
        </w:tc>
        <w:tc>
          <w:tcPr>
            <w:tcW w:w="6516" w:type="dxa"/>
            <w:tcBorders>
              <w:top w:val="single" w:color="auto" w:sz="4" w:space="0"/>
              <w:left w:val="nil"/>
              <w:bottom w:val="single" w:color="auto" w:sz="4" w:space="0"/>
              <w:right w:val="single" w:color="auto" w:sz="4" w:space="0"/>
            </w:tcBorders>
            <w:noWrap w:val="0"/>
            <w:vAlign w:val="center"/>
          </w:tcPr>
          <w:p w14:paraId="4625B81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highlight w:val="none"/>
              </w:rPr>
              <w:t>符合国家相关行业标准且满足采购人需求</w:t>
            </w:r>
          </w:p>
        </w:tc>
      </w:tr>
      <w:tr w14:paraId="326E466C">
        <w:tblPrEx>
          <w:tblCellMar>
            <w:top w:w="0" w:type="dxa"/>
            <w:left w:w="108" w:type="dxa"/>
            <w:bottom w:w="0" w:type="dxa"/>
            <w:right w:w="108" w:type="dxa"/>
          </w:tblCellMar>
        </w:tblPrEx>
        <w:trPr>
          <w:trHeight w:val="455"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4C7BC6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9</w:t>
            </w:r>
          </w:p>
        </w:tc>
        <w:tc>
          <w:tcPr>
            <w:tcW w:w="1799" w:type="dxa"/>
            <w:tcBorders>
              <w:top w:val="single" w:color="auto" w:sz="4" w:space="0"/>
              <w:left w:val="nil"/>
              <w:bottom w:val="single" w:color="auto" w:sz="4" w:space="0"/>
              <w:right w:val="single" w:color="auto" w:sz="4" w:space="0"/>
            </w:tcBorders>
            <w:noWrap w:val="0"/>
            <w:vAlign w:val="center"/>
          </w:tcPr>
          <w:p w14:paraId="78533886">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交货地点</w:t>
            </w:r>
          </w:p>
        </w:tc>
        <w:tc>
          <w:tcPr>
            <w:tcW w:w="6516" w:type="dxa"/>
            <w:tcBorders>
              <w:top w:val="single" w:color="auto" w:sz="4" w:space="0"/>
              <w:left w:val="nil"/>
              <w:bottom w:val="single" w:color="auto" w:sz="4" w:space="0"/>
              <w:right w:val="single" w:color="auto" w:sz="4" w:space="0"/>
            </w:tcBorders>
            <w:noWrap w:val="0"/>
            <w:vAlign w:val="center"/>
          </w:tcPr>
          <w:p w14:paraId="16E3CB3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采购人指定地点</w:t>
            </w:r>
          </w:p>
        </w:tc>
      </w:tr>
      <w:tr w14:paraId="0E776AC2">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B809ADA">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10</w:t>
            </w:r>
          </w:p>
        </w:tc>
        <w:tc>
          <w:tcPr>
            <w:tcW w:w="1799" w:type="dxa"/>
            <w:tcBorders>
              <w:top w:val="single" w:color="auto" w:sz="4" w:space="0"/>
              <w:left w:val="nil"/>
              <w:bottom w:val="single" w:color="auto" w:sz="4" w:space="0"/>
              <w:right w:val="single" w:color="auto" w:sz="4" w:space="0"/>
            </w:tcBorders>
            <w:noWrap w:val="0"/>
            <w:vAlign w:val="center"/>
          </w:tcPr>
          <w:p w14:paraId="4631150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付款方式</w:t>
            </w:r>
          </w:p>
        </w:tc>
        <w:tc>
          <w:tcPr>
            <w:tcW w:w="6516" w:type="dxa"/>
            <w:tcBorders>
              <w:top w:val="single" w:color="auto" w:sz="4" w:space="0"/>
              <w:left w:val="nil"/>
              <w:bottom w:val="single" w:color="auto" w:sz="4" w:space="0"/>
              <w:right w:val="single" w:color="auto" w:sz="4" w:space="0"/>
            </w:tcBorders>
            <w:noWrap w:val="0"/>
            <w:vAlign w:val="center"/>
          </w:tcPr>
          <w:p w14:paraId="59BA1B5C">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甲乙双方协商确定</w:t>
            </w:r>
          </w:p>
        </w:tc>
      </w:tr>
      <w:tr w14:paraId="69C93406">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620E6F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cs="宋体"/>
                <w:color w:val="000000"/>
                <w:spacing w:val="11"/>
                <w:sz w:val="24"/>
                <w:szCs w:val="24"/>
              </w:rPr>
            </w:pPr>
            <w:r>
              <w:rPr>
                <w:rFonts w:hint="eastAsia" w:ascii="宋体" w:hAnsi="宋体" w:cs="宋体"/>
                <w:color w:val="000000"/>
                <w:spacing w:val="11"/>
                <w:sz w:val="24"/>
                <w:szCs w:val="24"/>
              </w:rPr>
              <w:t>11</w:t>
            </w:r>
          </w:p>
        </w:tc>
        <w:tc>
          <w:tcPr>
            <w:tcW w:w="1799" w:type="dxa"/>
            <w:tcBorders>
              <w:top w:val="single" w:color="auto" w:sz="4" w:space="0"/>
              <w:left w:val="nil"/>
              <w:bottom w:val="single" w:color="auto" w:sz="4" w:space="0"/>
              <w:right w:val="single" w:color="auto" w:sz="4" w:space="0"/>
            </w:tcBorders>
            <w:noWrap w:val="0"/>
            <w:vAlign w:val="center"/>
          </w:tcPr>
          <w:p w14:paraId="541DEE0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cs="宋体"/>
                <w:color w:val="000000"/>
                <w:spacing w:val="11"/>
                <w:sz w:val="24"/>
                <w:szCs w:val="24"/>
              </w:rPr>
            </w:pPr>
          </w:p>
          <w:p w14:paraId="002B7D1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cs="宋体"/>
                <w:color w:val="000000"/>
                <w:spacing w:val="11"/>
                <w:sz w:val="24"/>
                <w:szCs w:val="24"/>
              </w:rPr>
            </w:pPr>
            <w:r>
              <w:rPr>
                <w:rFonts w:hint="eastAsia" w:ascii="宋体" w:hAnsi="宋体" w:cs="宋体"/>
                <w:color w:val="000000"/>
                <w:spacing w:val="11"/>
                <w:sz w:val="24"/>
                <w:szCs w:val="24"/>
              </w:rPr>
              <w:t>供应商资质条件、能力和信誉</w:t>
            </w:r>
          </w:p>
        </w:tc>
        <w:tc>
          <w:tcPr>
            <w:tcW w:w="6516" w:type="dxa"/>
            <w:tcBorders>
              <w:top w:val="single" w:color="auto" w:sz="4" w:space="0"/>
              <w:left w:val="nil"/>
              <w:bottom w:val="single" w:color="auto" w:sz="4" w:space="0"/>
              <w:right w:val="single" w:color="auto" w:sz="4" w:space="0"/>
            </w:tcBorders>
            <w:noWrap w:val="0"/>
            <w:vAlign w:val="center"/>
          </w:tcPr>
          <w:p w14:paraId="4CAA0037">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iCs w:val="0"/>
                <w:caps w:val="0"/>
                <w:color w:val="333333"/>
                <w:spacing w:val="0"/>
                <w:kern w:val="0"/>
                <w:sz w:val="24"/>
                <w:szCs w:val="24"/>
              </w:rPr>
            </w:pPr>
            <w:r>
              <w:rPr>
                <w:rFonts w:hint="eastAsia" w:asciiTheme="majorEastAsia" w:hAnsiTheme="majorEastAsia" w:eastAsiaTheme="majorEastAsia" w:cstheme="majorEastAsia"/>
                <w:i w:val="0"/>
                <w:iCs w:val="0"/>
                <w:caps w:val="0"/>
                <w:color w:val="333333"/>
                <w:spacing w:val="0"/>
                <w:kern w:val="0"/>
                <w:sz w:val="24"/>
                <w:szCs w:val="24"/>
              </w:rPr>
              <w:t>1、满足《中华人民共和国政府采购法》第二十二条规定：</w:t>
            </w:r>
          </w:p>
          <w:p w14:paraId="14391247">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iCs w:val="0"/>
                <w:caps w:val="0"/>
                <w:color w:val="333333"/>
                <w:spacing w:val="0"/>
                <w:kern w:val="0"/>
                <w:sz w:val="24"/>
                <w:szCs w:val="24"/>
                <w:lang w:eastAsia="zh-CN"/>
              </w:rPr>
            </w:pPr>
            <w:r>
              <w:rPr>
                <w:rFonts w:hint="eastAsia" w:asciiTheme="majorEastAsia" w:hAnsiTheme="majorEastAsia" w:eastAsiaTheme="majorEastAsia" w:cstheme="majorEastAsia"/>
                <w:i w:val="0"/>
                <w:iCs w:val="0"/>
                <w:caps w:val="0"/>
                <w:color w:val="333333"/>
                <w:spacing w:val="0"/>
                <w:kern w:val="0"/>
                <w:sz w:val="24"/>
                <w:szCs w:val="24"/>
              </w:rPr>
              <w:t>2、落实政府采购政策满足的资格要求：</w:t>
            </w:r>
            <w:r>
              <w:rPr>
                <w:rFonts w:hint="eastAsia" w:asciiTheme="majorEastAsia" w:hAnsiTheme="majorEastAsia" w:eastAsiaTheme="majorEastAsia" w:cstheme="majorEastAsia"/>
                <w:i w:val="0"/>
                <w:iCs w:val="0"/>
                <w:caps w:val="0"/>
                <w:color w:val="333333"/>
                <w:spacing w:val="0"/>
                <w:kern w:val="0"/>
                <w:sz w:val="24"/>
                <w:szCs w:val="24"/>
                <w:lang w:eastAsia="zh-CN"/>
              </w:rPr>
              <w:t>本项目支持中小型企业发展政策（残疾人福利性企业、监狱企业视同小微企业）、优先采购节能环保产品等政府采购政策。</w:t>
            </w:r>
          </w:p>
          <w:p w14:paraId="44BD70D3">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iCs w:val="0"/>
                <w:caps w:val="0"/>
                <w:color w:val="333333"/>
                <w:spacing w:val="0"/>
                <w:kern w:val="0"/>
                <w:sz w:val="24"/>
                <w:szCs w:val="24"/>
              </w:rPr>
            </w:pPr>
            <w:r>
              <w:rPr>
                <w:rFonts w:hint="eastAsia" w:asciiTheme="majorEastAsia" w:hAnsiTheme="majorEastAsia" w:eastAsiaTheme="majorEastAsia" w:cstheme="majorEastAsia"/>
                <w:i w:val="0"/>
                <w:iCs w:val="0"/>
                <w:caps w:val="0"/>
                <w:color w:val="333333"/>
                <w:spacing w:val="0"/>
                <w:kern w:val="0"/>
                <w:sz w:val="24"/>
                <w:szCs w:val="24"/>
              </w:rPr>
              <w:t>3、本项目的特定资格要求</w:t>
            </w:r>
          </w:p>
          <w:p w14:paraId="280E3FE8">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iCs w:val="0"/>
                <w:caps w:val="0"/>
                <w:color w:val="333333"/>
                <w:spacing w:val="0"/>
                <w:kern w:val="0"/>
                <w:sz w:val="24"/>
                <w:szCs w:val="24"/>
              </w:rPr>
            </w:pPr>
            <w:r>
              <w:rPr>
                <w:rFonts w:hint="eastAsia" w:asciiTheme="majorEastAsia" w:hAnsiTheme="majorEastAsia" w:eastAsiaTheme="majorEastAsia" w:cstheme="majorEastAsia"/>
                <w:i w:val="0"/>
                <w:iCs w:val="0"/>
                <w:caps w:val="0"/>
                <w:color w:val="333333"/>
                <w:spacing w:val="0"/>
                <w:kern w:val="0"/>
                <w:sz w:val="24"/>
                <w:szCs w:val="24"/>
              </w:rPr>
              <w:t>3.1</w:t>
            </w:r>
            <w:r>
              <w:rPr>
                <w:rFonts w:hint="eastAsia" w:asciiTheme="majorEastAsia" w:hAnsiTheme="majorEastAsia" w:eastAsiaTheme="majorEastAsia" w:cstheme="majorEastAsia"/>
                <w:i w:val="0"/>
                <w:iCs w:val="0"/>
                <w:caps w:val="0"/>
                <w:color w:val="333333"/>
                <w:spacing w:val="0"/>
                <w:kern w:val="0"/>
                <w:sz w:val="24"/>
                <w:szCs w:val="24"/>
                <w:lang w:eastAsia="zh-CN"/>
              </w:rPr>
              <w:t>供应商具有独立承担民事责任的能力，持有有效的营业执照或事业单位法人证书</w:t>
            </w:r>
            <w:r>
              <w:rPr>
                <w:rFonts w:hint="eastAsia" w:asciiTheme="majorEastAsia" w:hAnsiTheme="majorEastAsia" w:eastAsiaTheme="majorEastAsia" w:cstheme="majorEastAsia"/>
                <w:i w:val="0"/>
                <w:iCs w:val="0"/>
                <w:caps w:val="0"/>
                <w:color w:val="333333"/>
                <w:spacing w:val="0"/>
                <w:kern w:val="0"/>
                <w:sz w:val="24"/>
                <w:szCs w:val="24"/>
              </w:rPr>
              <w:t>；</w:t>
            </w:r>
          </w:p>
          <w:p w14:paraId="20CA03E8">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iCs w:val="0"/>
                <w:caps w:val="0"/>
                <w:color w:val="333333"/>
                <w:spacing w:val="0"/>
                <w:kern w:val="0"/>
                <w:sz w:val="24"/>
                <w:szCs w:val="24"/>
              </w:rPr>
            </w:pPr>
            <w:r>
              <w:rPr>
                <w:rFonts w:hint="eastAsia" w:asciiTheme="majorEastAsia" w:hAnsiTheme="majorEastAsia" w:eastAsiaTheme="majorEastAsia" w:cstheme="majorEastAsia"/>
                <w:i w:val="0"/>
                <w:iCs w:val="0"/>
                <w:caps w:val="0"/>
                <w:color w:val="333333"/>
                <w:spacing w:val="0"/>
                <w:kern w:val="0"/>
                <w:sz w:val="24"/>
                <w:szCs w:val="24"/>
              </w:rPr>
              <w:t>3.2</w:t>
            </w:r>
            <w:r>
              <w:rPr>
                <w:rFonts w:hint="eastAsia" w:asciiTheme="majorEastAsia" w:hAnsiTheme="majorEastAsia" w:eastAsiaTheme="majorEastAsia" w:cstheme="majorEastAsia"/>
                <w:i w:val="0"/>
                <w:iCs w:val="0"/>
                <w:caps w:val="0"/>
                <w:color w:val="333333"/>
                <w:spacing w:val="0"/>
                <w:kern w:val="0"/>
                <w:sz w:val="24"/>
                <w:szCs w:val="24"/>
                <w:lang w:eastAsia="zh-CN"/>
              </w:rPr>
              <w:t>供应商自行出具本企业无商业贿赂和不正当竞争行为承诺书</w:t>
            </w:r>
            <w:r>
              <w:rPr>
                <w:rFonts w:hint="eastAsia" w:asciiTheme="majorEastAsia" w:hAnsiTheme="majorEastAsia" w:eastAsiaTheme="majorEastAsia" w:cstheme="majorEastAsia"/>
                <w:i w:val="0"/>
                <w:iCs w:val="0"/>
                <w:caps w:val="0"/>
                <w:color w:val="333333"/>
                <w:spacing w:val="0"/>
                <w:kern w:val="0"/>
                <w:sz w:val="24"/>
                <w:szCs w:val="24"/>
              </w:rPr>
              <w:t>；</w:t>
            </w:r>
          </w:p>
          <w:p w14:paraId="683B76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iCs w:val="0"/>
                <w:caps w:val="0"/>
                <w:color w:val="333333"/>
                <w:spacing w:val="0"/>
                <w:kern w:val="0"/>
                <w:sz w:val="24"/>
                <w:szCs w:val="24"/>
              </w:rPr>
            </w:pPr>
            <w:r>
              <w:rPr>
                <w:rFonts w:hint="eastAsia" w:asciiTheme="majorEastAsia" w:hAnsiTheme="majorEastAsia" w:eastAsiaTheme="majorEastAsia" w:cstheme="majorEastAsia"/>
                <w:i w:val="0"/>
                <w:iCs w:val="0"/>
                <w:caps w:val="0"/>
                <w:color w:val="333333"/>
                <w:spacing w:val="0"/>
                <w:sz w:val="24"/>
                <w:szCs w:val="24"/>
              </w:rPr>
              <w:t>3.</w:t>
            </w:r>
            <w:r>
              <w:rPr>
                <w:rFonts w:hint="eastAsia" w:asciiTheme="majorEastAsia" w:hAnsiTheme="majorEastAsia" w:eastAsiaTheme="majorEastAsia" w:cstheme="majorEastAsia"/>
                <w:i w:val="0"/>
                <w:iCs w:val="0"/>
                <w:caps w:val="0"/>
                <w:color w:val="333333"/>
                <w:spacing w:val="0"/>
                <w:sz w:val="24"/>
                <w:szCs w:val="24"/>
                <w:lang w:val="en-US" w:eastAsia="zh-CN"/>
              </w:rPr>
              <w:t>3</w:t>
            </w:r>
            <w:r>
              <w:rPr>
                <w:rFonts w:hint="eastAsia" w:asciiTheme="majorEastAsia" w:hAnsiTheme="majorEastAsia" w:eastAsiaTheme="majorEastAsia" w:cstheme="majorEastAsia"/>
                <w:i w:val="0"/>
                <w:iCs w:val="0"/>
                <w:caps w:val="0"/>
                <w:color w:val="333333"/>
                <w:spacing w:val="0"/>
                <w:sz w:val="24"/>
                <w:szCs w:val="24"/>
                <w:lang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s://zxgk.court.gov.cn/shixin/）“信用中国”网站（www.creditchina.gov.cn）、中国政府采购网（www.ccgp.gov.cn），采购人或采购代理机构将在开标后通过以上网站进行查询，信用信息查询记录和证据将同采购文件等资料一同归档保存（相关网站有最新规定的，按最新规定执行）</w:t>
            </w:r>
            <w:r>
              <w:rPr>
                <w:rFonts w:hint="eastAsia" w:asciiTheme="majorEastAsia" w:hAnsiTheme="majorEastAsia" w:eastAsiaTheme="majorEastAsia" w:cstheme="majorEastAsia"/>
                <w:i w:val="0"/>
                <w:iCs w:val="0"/>
                <w:caps w:val="0"/>
                <w:color w:val="333333"/>
                <w:spacing w:val="0"/>
                <w:kern w:val="0"/>
                <w:sz w:val="24"/>
                <w:szCs w:val="24"/>
              </w:rPr>
              <w:t>。</w:t>
            </w:r>
          </w:p>
          <w:p w14:paraId="06AAFB0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3.4</w:t>
            </w:r>
            <w:r>
              <w:rPr>
                <w:rFonts w:hint="eastAsia" w:ascii="宋体" w:hAnsi="宋体" w:eastAsia="宋体" w:cs="宋体"/>
                <w:color w:val="auto"/>
                <w:kern w:val="0"/>
                <w:sz w:val="24"/>
                <w:szCs w:val="24"/>
                <w:highlight w:val="none"/>
              </w:rPr>
              <w:t>本项目不接受联合体投标（提供非联合体声明函）</w:t>
            </w:r>
            <w:r>
              <w:rPr>
                <w:rFonts w:hint="eastAsia" w:asciiTheme="majorEastAsia" w:hAnsiTheme="majorEastAsia" w:eastAsiaTheme="majorEastAsia" w:cstheme="majorEastAsia"/>
                <w:i w:val="0"/>
                <w:iCs w:val="0"/>
                <w:caps w:val="0"/>
                <w:color w:val="333333"/>
                <w:spacing w:val="0"/>
                <w:sz w:val="24"/>
                <w:szCs w:val="24"/>
              </w:rPr>
              <w:t>。</w:t>
            </w:r>
          </w:p>
          <w:p w14:paraId="5A5D57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cs="宋体"/>
                <w:color w:val="000000"/>
                <w:sz w:val="24"/>
                <w:szCs w:val="24"/>
              </w:rPr>
            </w:pPr>
            <w:r>
              <w:rPr>
                <w:rFonts w:hint="eastAsia" w:asciiTheme="majorEastAsia" w:hAnsiTheme="majorEastAsia" w:eastAsiaTheme="majorEastAsia" w:cstheme="majorEastAsia"/>
                <w:i w:val="0"/>
                <w:iCs w:val="0"/>
                <w:caps w:val="0"/>
                <w:color w:val="333333"/>
                <w:spacing w:val="0"/>
                <w:sz w:val="24"/>
                <w:szCs w:val="24"/>
                <w:lang w:val="en-US" w:eastAsia="zh-CN"/>
              </w:rPr>
              <w:t>4</w:t>
            </w:r>
            <w:r>
              <w:rPr>
                <w:rFonts w:hint="eastAsia" w:asciiTheme="majorEastAsia" w:hAnsiTheme="majorEastAsia" w:eastAsiaTheme="majorEastAsia" w:cstheme="majorEastAsia"/>
                <w:i w:val="0"/>
                <w:iCs w:val="0"/>
                <w:caps w:val="0"/>
                <w:color w:val="333333"/>
                <w:spacing w:val="0"/>
                <w:sz w:val="24"/>
                <w:szCs w:val="24"/>
              </w:rPr>
              <w:t>、本次磋商实行资格后审，资格审查的具体要求见磋商文件。</w:t>
            </w:r>
          </w:p>
        </w:tc>
      </w:tr>
      <w:tr w14:paraId="59CBB835">
        <w:tblPrEx>
          <w:tblCellMar>
            <w:top w:w="0" w:type="dxa"/>
            <w:left w:w="108" w:type="dxa"/>
            <w:bottom w:w="0" w:type="dxa"/>
            <w:right w:w="108" w:type="dxa"/>
          </w:tblCellMar>
        </w:tblPrEx>
        <w:trPr>
          <w:trHeight w:val="9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43CA700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12</w:t>
            </w:r>
          </w:p>
        </w:tc>
        <w:tc>
          <w:tcPr>
            <w:tcW w:w="1799" w:type="dxa"/>
            <w:tcBorders>
              <w:top w:val="single" w:color="auto" w:sz="4" w:space="0"/>
              <w:left w:val="nil"/>
              <w:bottom w:val="single" w:color="auto" w:sz="4" w:space="0"/>
              <w:right w:val="single" w:color="auto" w:sz="4" w:space="0"/>
            </w:tcBorders>
            <w:noWrap w:val="0"/>
            <w:vAlign w:val="center"/>
          </w:tcPr>
          <w:p w14:paraId="76A1D9DA">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是否接受联合体投标</w:t>
            </w:r>
          </w:p>
        </w:tc>
        <w:tc>
          <w:tcPr>
            <w:tcW w:w="6516" w:type="dxa"/>
            <w:tcBorders>
              <w:top w:val="single" w:color="auto" w:sz="4" w:space="0"/>
              <w:left w:val="nil"/>
              <w:bottom w:val="single" w:color="auto" w:sz="4" w:space="0"/>
              <w:right w:val="single" w:color="auto" w:sz="4" w:space="0"/>
            </w:tcBorders>
            <w:noWrap w:val="0"/>
            <w:vAlign w:val="center"/>
          </w:tcPr>
          <w:p w14:paraId="14C88FB4">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不接受</w:t>
            </w:r>
          </w:p>
        </w:tc>
      </w:tr>
      <w:tr w14:paraId="3CEF96BA">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4FBC200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13</w:t>
            </w:r>
          </w:p>
        </w:tc>
        <w:tc>
          <w:tcPr>
            <w:tcW w:w="1799" w:type="dxa"/>
            <w:tcBorders>
              <w:top w:val="single" w:color="auto" w:sz="4" w:space="0"/>
              <w:left w:val="nil"/>
              <w:bottom w:val="single" w:color="auto" w:sz="4" w:space="0"/>
              <w:right w:val="single" w:color="auto" w:sz="4" w:space="0"/>
            </w:tcBorders>
            <w:noWrap w:val="0"/>
            <w:vAlign w:val="center"/>
          </w:tcPr>
          <w:p w14:paraId="651194D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磋商预备会</w:t>
            </w:r>
          </w:p>
        </w:tc>
        <w:tc>
          <w:tcPr>
            <w:tcW w:w="6516" w:type="dxa"/>
            <w:tcBorders>
              <w:top w:val="single" w:color="auto" w:sz="4" w:space="0"/>
              <w:left w:val="nil"/>
              <w:bottom w:val="single" w:color="auto" w:sz="4" w:space="0"/>
              <w:right w:val="single" w:color="auto" w:sz="4" w:space="0"/>
            </w:tcBorders>
            <w:noWrap w:val="0"/>
            <w:vAlign w:val="center"/>
          </w:tcPr>
          <w:p w14:paraId="6A36655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不召开</w:t>
            </w:r>
          </w:p>
        </w:tc>
      </w:tr>
      <w:tr w14:paraId="015D01D8">
        <w:tblPrEx>
          <w:tblCellMar>
            <w:top w:w="0" w:type="dxa"/>
            <w:left w:w="108" w:type="dxa"/>
            <w:bottom w:w="0" w:type="dxa"/>
            <w:right w:w="108" w:type="dxa"/>
          </w:tblCellMar>
        </w:tblPrEx>
        <w:trPr>
          <w:trHeight w:val="6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012B14D">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14</w:t>
            </w:r>
          </w:p>
        </w:tc>
        <w:tc>
          <w:tcPr>
            <w:tcW w:w="1799" w:type="dxa"/>
            <w:tcBorders>
              <w:top w:val="single" w:color="auto" w:sz="4" w:space="0"/>
              <w:left w:val="nil"/>
              <w:bottom w:val="single" w:color="auto" w:sz="4" w:space="0"/>
              <w:right w:val="single" w:color="auto" w:sz="4" w:space="0"/>
            </w:tcBorders>
            <w:noWrap w:val="0"/>
            <w:vAlign w:val="center"/>
          </w:tcPr>
          <w:p w14:paraId="17B2BEAD">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供应商提出问题的截止时间</w:t>
            </w:r>
          </w:p>
        </w:tc>
        <w:tc>
          <w:tcPr>
            <w:tcW w:w="6516" w:type="dxa"/>
            <w:tcBorders>
              <w:top w:val="single" w:color="auto" w:sz="4" w:space="0"/>
              <w:left w:val="nil"/>
              <w:bottom w:val="single" w:color="auto" w:sz="4" w:space="0"/>
              <w:right w:val="single" w:color="auto" w:sz="4" w:space="0"/>
            </w:tcBorders>
            <w:noWrap w:val="0"/>
            <w:vAlign w:val="center"/>
          </w:tcPr>
          <w:p w14:paraId="3EAE6FF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响应性文件递交截止时间5天前</w:t>
            </w:r>
          </w:p>
        </w:tc>
      </w:tr>
      <w:tr w14:paraId="29821720">
        <w:tblPrEx>
          <w:tblCellMar>
            <w:top w:w="0" w:type="dxa"/>
            <w:left w:w="108" w:type="dxa"/>
            <w:bottom w:w="0" w:type="dxa"/>
            <w:right w:w="108" w:type="dxa"/>
          </w:tblCellMar>
        </w:tblPrEx>
        <w:trPr>
          <w:trHeight w:val="6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F7E2C1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15</w:t>
            </w:r>
          </w:p>
        </w:tc>
        <w:tc>
          <w:tcPr>
            <w:tcW w:w="1799" w:type="dxa"/>
            <w:tcBorders>
              <w:top w:val="single" w:color="auto" w:sz="4" w:space="0"/>
              <w:left w:val="nil"/>
              <w:bottom w:val="single" w:color="auto" w:sz="4" w:space="0"/>
              <w:right w:val="single" w:color="auto" w:sz="4" w:space="0"/>
            </w:tcBorders>
            <w:noWrap w:val="0"/>
            <w:vAlign w:val="center"/>
          </w:tcPr>
          <w:p w14:paraId="62E9F0E8">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采购人书面澄清的时间</w:t>
            </w:r>
          </w:p>
        </w:tc>
        <w:tc>
          <w:tcPr>
            <w:tcW w:w="6516" w:type="dxa"/>
            <w:tcBorders>
              <w:top w:val="single" w:color="auto" w:sz="4" w:space="0"/>
              <w:left w:val="nil"/>
              <w:bottom w:val="single" w:color="auto" w:sz="4" w:space="0"/>
              <w:right w:val="single" w:color="auto" w:sz="4" w:space="0"/>
            </w:tcBorders>
            <w:noWrap w:val="0"/>
            <w:vAlign w:val="center"/>
          </w:tcPr>
          <w:p w14:paraId="18F0125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响应性文件递交截止时间5天前</w:t>
            </w:r>
          </w:p>
        </w:tc>
      </w:tr>
      <w:tr w14:paraId="42996EAE">
        <w:tblPrEx>
          <w:tblCellMar>
            <w:top w:w="0" w:type="dxa"/>
            <w:left w:w="108" w:type="dxa"/>
            <w:bottom w:w="0" w:type="dxa"/>
            <w:right w:w="108" w:type="dxa"/>
          </w:tblCellMar>
        </w:tblPrEx>
        <w:trPr>
          <w:trHeight w:val="613"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6D8C22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16</w:t>
            </w:r>
          </w:p>
        </w:tc>
        <w:tc>
          <w:tcPr>
            <w:tcW w:w="1799" w:type="dxa"/>
            <w:tcBorders>
              <w:top w:val="single" w:color="auto" w:sz="4" w:space="0"/>
              <w:left w:val="nil"/>
              <w:bottom w:val="single" w:color="auto" w:sz="4" w:space="0"/>
              <w:right w:val="single" w:color="auto" w:sz="4" w:space="0"/>
            </w:tcBorders>
            <w:noWrap w:val="0"/>
            <w:vAlign w:val="center"/>
          </w:tcPr>
          <w:p w14:paraId="786045A8">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分包</w:t>
            </w:r>
          </w:p>
        </w:tc>
        <w:tc>
          <w:tcPr>
            <w:tcW w:w="6516" w:type="dxa"/>
            <w:tcBorders>
              <w:top w:val="single" w:color="auto" w:sz="4" w:space="0"/>
              <w:left w:val="nil"/>
              <w:bottom w:val="single" w:color="auto" w:sz="4" w:space="0"/>
              <w:right w:val="single" w:color="auto" w:sz="4" w:space="0"/>
            </w:tcBorders>
            <w:noWrap w:val="0"/>
            <w:vAlign w:val="center"/>
          </w:tcPr>
          <w:p w14:paraId="13F61FF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不允许（转包、分包均不允许）</w:t>
            </w:r>
          </w:p>
        </w:tc>
      </w:tr>
      <w:tr w14:paraId="6ED5CF15">
        <w:tblPrEx>
          <w:tblCellMar>
            <w:top w:w="0" w:type="dxa"/>
            <w:left w:w="108" w:type="dxa"/>
            <w:bottom w:w="0" w:type="dxa"/>
            <w:right w:w="108" w:type="dxa"/>
          </w:tblCellMar>
        </w:tblPrEx>
        <w:trPr>
          <w:trHeight w:val="613"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3D3DDB8">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17</w:t>
            </w:r>
          </w:p>
        </w:tc>
        <w:tc>
          <w:tcPr>
            <w:tcW w:w="1799" w:type="dxa"/>
            <w:tcBorders>
              <w:top w:val="single" w:color="auto" w:sz="4" w:space="0"/>
              <w:left w:val="nil"/>
              <w:bottom w:val="single" w:color="auto" w:sz="4" w:space="0"/>
              <w:right w:val="single" w:color="auto" w:sz="4" w:space="0"/>
            </w:tcBorders>
            <w:noWrap w:val="0"/>
            <w:vAlign w:val="center"/>
          </w:tcPr>
          <w:p w14:paraId="5016BE4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偏离</w:t>
            </w:r>
          </w:p>
        </w:tc>
        <w:tc>
          <w:tcPr>
            <w:tcW w:w="6516" w:type="dxa"/>
            <w:tcBorders>
              <w:top w:val="single" w:color="auto" w:sz="4" w:space="0"/>
              <w:left w:val="nil"/>
              <w:bottom w:val="single" w:color="auto" w:sz="4" w:space="0"/>
              <w:right w:val="single" w:color="auto" w:sz="4" w:space="0"/>
            </w:tcBorders>
            <w:noWrap w:val="0"/>
            <w:vAlign w:val="center"/>
          </w:tcPr>
          <w:p w14:paraId="5F578B51">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cs="宋体"/>
                <w:sz w:val="24"/>
                <w:highlight w:val="none"/>
                <w:lang w:val="en-US" w:eastAsia="zh-CN"/>
              </w:rPr>
              <w:t>不</w:t>
            </w:r>
            <w:r>
              <w:rPr>
                <w:rFonts w:hint="eastAsia" w:ascii="宋体" w:hAnsi="宋体" w:eastAsia="宋体" w:cs="宋体"/>
                <w:sz w:val="24"/>
                <w:highlight w:val="none"/>
              </w:rPr>
              <w:t>允许</w:t>
            </w:r>
          </w:p>
        </w:tc>
      </w:tr>
      <w:tr w14:paraId="15820AF1">
        <w:tblPrEx>
          <w:tblCellMar>
            <w:top w:w="0" w:type="dxa"/>
            <w:left w:w="108" w:type="dxa"/>
            <w:bottom w:w="0" w:type="dxa"/>
            <w:right w:w="108" w:type="dxa"/>
          </w:tblCellMar>
        </w:tblPrEx>
        <w:trPr>
          <w:trHeight w:val="607"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E1CEC6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18</w:t>
            </w:r>
          </w:p>
        </w:tc>
        <w:tc>
          <w:tcPr>
            <w:tcW w:w="1799" w:type="dxa"/>
            <w:tcBorders>
              <w:top w:val="single" w:color="auto" w:sz="4" w:space="0"/>
              <w:left w:val="nil"/>
              <w:bottom w:val="single" w:color="auto" w:sz="4" w:space="0"/>
              <w:right w:val="single" w:color="auto" w:sz="4" w:space="0"/>
            </w:tcBorders>
            <w:noWrap w:val="0"/>
            <w:vAlign w:val="center"/>
          </w:tcPr>
          <w:p w14:paraId="49EDFCDD">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构成磋商文件的其他材料</w:t>
            </w:r>
          </w:p>
        </w:tc>
        <w:tc>
          <w:tcPr>
            <w:tcW w:w="6516" w:type="dxa"/>
            <w:tcBorders>
              <w:top w:val="single" w:color="auto" w:sz="4" w:space="0"/>
              <w:left w:val="nil"/>
              <w:bottom w:val="single" w:color="auto" w:sz="4" w:space="0"/>
              <w:right w:val="single" w:color="auto" w:sz="4" w:space="0"/>
            </w:tcBorders>
            <w:noWrap w:val="0"/>
            <w:vAlign w:val="center"/>
          </w:tcPr>
          <w:p w14:paraId="12B3497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采购人在磋商期间发出的磋商文件修改、磋商答疑纪要及澄清等均是竞争性磋商文件的组成部分</w:t>
            </w:r>
          </w:p>
        </w:tc>
      </w:tr>
      <w:tr w14:paraId="0B8860B8">
        <w:tblPrEx>
          <w:tblCellMar>
            <w:top w:w="0" w:type="dxa"/>
            <w:left w:w="108" w:type="dxa"/>
            <w:bottom w:w="0" w:type="dxa"/>
            <w:right w:w="108" w:type="dxa"/>
          </w:tblCellMar>
        </w:tblPrEx>
        <w:trPr>
          <w:trHeight w:val="571"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07AADF7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19</w:t>
            </w:r>
          </w:p>
        </w:tc>
        <w:tc>
          <w:tcPr>
            <w:tcW w:w="1799" w:type="dxa"/>
            <w:tcBorders>
              <w:top w:val="single" w:color="auto" w:sz="4" w:space="0"/>
              <w:left w:val="nil"/>
              <w:bottom w:val="single" w:color="auto" w:sz="4" w:space="0"/>
              <w:right w:val="single" w:color="auto" w:sz="4" w:space="0"/>
            </w:tcBorders>
            <w:noWrap w:val="0"/>
            <w:vAlign w:val="center"/>
          </w:tcPr>
          <w:p w14:paraId="3033BC6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响应性文件递交截止时间和地点</w:t>
            </w:r>
          </w:p>
        </w:tc>
        <w:tc>
          <w:tcPr>
            <w:tcW w:w="6516" w:type="dxa"/>
            <w:tcBorders>
              <w:top w:val="single" w:color="auto" w:sz="4" w:space="0"/>
              <w:left w:val="nil"/>
              <w:bottom w:val="single" w:color="auto" w:sz="4" w:space="0"/>
              <w:right w:val="single" w:color="auto" w:sz="4" w:space="0"/>
            </w:tcBorders>
            <w:noWrap w:val="0"/>
            <w:vAlign w:val="center"/>
          </w:tcPr>
          <w:p w14:paraId="5C1C64FD">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截止时间</w:t>
            </w:r>
            <w:r>
              <w:rPr>
                <w:rFonts w:hint="eastAsia" w:ascii="宋体" w:hAnsi="宋体" w:cs="宋体"/>
                <w:sz w:val="24"/>
                <w:lang w:eastAsia="zh-CN"/>
              </w:rPr>
              <w:t>：</w:t>
            </w:r>
            <w:r>
              <w:rPr>
                <w:rFonts w:hint="eastAsia" w:ascii="宋体" w:hAnsi="宋体" w:eastAsia="宋体" w:cs="宋体"/>
                <w:sz w:val="24"/>
              </w:rPr>
              <w:t>2</w:t>
            </w:r>
            <w:r>
              <w:rPr>
                <w:rFonts w:hint="eastAsia" w:ascii="宋体" w:hAnsi="宋体" w:eastAsia="宋体" w:cs="宋体"/>
                <w:sz w:val="24"/>
                <w:highlight w:val="none"/>
              </w:rPr>
              <w:t>02</w:t>
            </w:r>
            <w:r>
              <w:rPr>
                <w:rFonts w:hint="eastAsia" w:ascii="宋体" w:hAnsi="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03</w:t>
            </w:r>
            <w:r>
              <w:rPr>
                <w:rFonts w:hint="eastAsia" w:ascii="宋体" w:hAnsi="宋体" w:eastAsia="宋体" w:cs="宋体"/>
                <w:sz w:val="24"/>
                <w:highlight w:val="none"/>
              </w:rPr>
              <w:t>月</w:t>
            </w:r>
            <w:r>
              <w:rPr>
                <w:rFonts w:hint="eastAsia" w:ascii="宋体" w:hAnsi="宋体" w:cs="宋体"/>
                <w:sz w:val="24"/>
                <w:highlight w:val="none"/>
                <w:lang w:val="en-US" w:eastAsia="zh-CN"/>
              </w:rPr>
              <w:t>06</w:t>
            </w:r>
            <w:r>
              <w:rPr>
                <w:rFonts w:hint="eastAsia" w:ascii="宋体" w:hAnsi="宋体" w:eastAsia="宋体" w:cs="宋体"/>
                <w:sz w:val="24"/>
                <w:highlight w:val="none"/>
              </w:rPr>
              <w:t>日</w:t>
            </w:r>
            <w:r>
              <w:rPr>
                <w:rFonts w:hint="eastAsia" w:ascii="宋体" w:hAnsi="宋体" w:cs="宋体"/>
                <w:sz w:val="24"/>
                <w:highlight w:val="none"/>
                <w:lang w:val="en-US" w:eastAsia="zh-CN"/>
              </w:rPr>
              <w:t>0</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 xml:space="preserve">时30分 </w:t>
            </w:r>
            <w:r>
              <w:rPr>
                <w:rFonts w:hint="eastAsia" w:ascii="宋体" w:hAnsi="宋体" w:eastAsia="宋体" w:cs="宋体"/>
                <w:sz w:val="24"/>
              </w:rPr>
              <w:t xml:space="preserve"> </w:t>
            </w:r>
          </w:p>
          <w:p w14:paraId="38F7954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 xml:space="preserve">地   </w:t>
            </w:r>
            <w:r>
              <w:rPr>
                <w:rFonts w:hint="eastAsia" w:ascii="宋体" w:hAnsi="宋体" w:cs="宋体"/>
                <w:sz w:val="24"/>
                <w:lang w:val="en-US" w:eastAsia="zh-CN"/>
              </w:rPr>
              <w:t xml:space="preserve"> </w:t>
            </w:r>
            <w:r>
              <w:rPr>
                <w:rFonts w:hint="eastAsia" w:ascii="宋体" w:hAnsi="宋体" w:eastAsia="宋体" w:cs="宋体"/>
                <w:sz w:val="24"/>
              </w:rPr>
              <w:t>点</w:t>
            </w:r>
            <w:r>
              <w:rPr>
                <w:rFonts w:hint="eastAsia" w:ascii="宋体" w:hAnsi="宋体" w:cs="宋体"/>
                <w:sz w:val="24"/>
                <w:lang w:eastAsia="zh-CN"/>
              </w:rPr>
              <w:t>：</w:t>
            </w:r>
            <w:r>
              <w:rPr>
                <w:rFonts w:hint="eastAsia" w:ascii="宋体" w:hAnsi="宋体" w:eastAsia="宋体" w:cs="宋体"/>
                <w:sz w:val="24"/>
                <w:highlight w:val="none"/>
              </w:rPr>
              <w:t>灵宝市公共资源交易中心开标</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室</w:t>
            </w:r>
          </w:p>
        </w:tc>
      </w:tr>
      <w:tr w14:paraId="592B2B17">
        <w:tblPrEx>
          <w:tblCellMar>
            <w:top w:w="0" w:type="dxa"/>
            <w:left w:w="108" w:type="dxa"/>
            <w:bottom w:w="0" w:type="dxa"/>
            <w:right w:w="108" w:type="dxa"/>
          </w:tblCellMar>
        </w:tblPrEx>
        <w:trPr>
          <w:trHeight w:val="732"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60A1F71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20</w:t>
            </w:r>
          </w:p>
        </w:tc>
        <w:tc>
          <w:tcPr>
            <w:tcW w:w="1799" w:type="dxa"/>
            <w:tcBorders>
              <w:top w:val="single" w:color="auto" w:sz="4" w:space="0"/>
              <w:left w:val="nil"/>
              <w:bottom w:val="single" w:color="auto" w:sz="4" w:space="0"/>
              <w:right w:val="single" w:color="auto" w:sz="4" w:space="0"/>
            </w:tcBorders>
            <w:noWrap w:val="0"/>
            <w:vAlign w:val="center"/>
          </w:tcPr>
          <w:p w14:paraId="374AF7F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供应商确认收到磋商文件澄清的时间</w:t>
            </w:r>
          </w:p>
        </w:tc>
        <w:tc>
          <w:tcPr>
            <w:tcW w:w="6516" w:type="dxa"/>
            <w:tcBorders>
              <w:top w:val="single" w:color="auto" w:sz="4" w:space="0"/>
              <w:left w:val="nil"/>
              <w:bottom w:val="single" w:color="auto" w:sz="4" w:space="0"/>
              <w:right w:val="single" w:color="auto" w:sz="4" w:space="0"/>
            </w:tcBorders>
            <w:noWrap w:val="0"/>
            <w:vAlign w:val="center"/>
          </w:tcPr>
          <w:p w14:paraId="3966A18D">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收到澄清后24小时内（以发出时间为准）</w:t>
            </w:r>
          </w:p>
        </w:tc>
      </w:tr>
      <w:tr w14:paraId="1ED04512">
        <w:tblPrEx>
          <w:tblCellMar>
            <w:top w:w="0" w:type="dxa"/>
            <w:left w:w="108" w:type="dxa"/>
            <w:bottom w:w="0" w:type="dxa"/>
            <w:right w:w="108" w:type="dxa"/>
          </w:tblCellMar>
        </w:tblPrEx>
        <w:trPr>
          <w:trHeight w:val="586"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0442AE0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21</w:t>
            </w:r>
          </w:p>
        </w:tc>
        <w:tc>
          <w:tcPr>
            <w:tcW w:w="1799" w:type="dxa"/>
            <w:tcBorders>
              <w:top w:val="single" w:color="auto" w:sz="4" w:space="0"/>
              <w:left w:val="nil"/>
              <w:bottom w:val="single" w:color="auto" w:sz="4" w:space="0"/>
              <w:right w:val="single" w:color="auto" w:sz="4" w:space="0"/>
            </w:tcBorders>
            <w:noWrap w:val="0"/>
            <w:vAlign w:val="center"/>
          </w:tcPr>
          <w:p w14:paraId="73E47837">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供应商确认收到磋商文件修改的时间</w:t>
            </w:r>
          </w:p>
        </w:tc>
        <w:tc>
          <w:tcPr>
            <w:tcW w:w="6516" w:type="dxa"/>
            <w:tcBorders>
              <w:top w:val="single" w:color="auto" w:sz="4" w:space="0"/>
              <w:left w:val="nil"/>
              <w:bottom w:val="single" w:color="auto" w:sz="4" w:space="0"/>
              <w:right w:val="single" w:color="auto" w:sz="4" w:space="0"/>
            </w:tcBorders>
            <w:noWrap w:val="0"/>
            <w:vAlign w:val="center"/>
          </w:tcPr>
          <w:p w14:paraId="4AA112C9">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收到澄清后24小时内（以发出时间为准）</w:t>
            </w:r>
          </w:p>
        </w:tc>
      </w:tr>
      <w:tr w14:paraId="7A5292E5">
        <w:tblPrEx>
          <w:tblCellMar>
            <w:top w:w="0" w:type="dxa"/>
            <w:left w:w="108" w:type="dxa"/>
            <w:bottom w:w="0" w:type="dxa"/>
            <w:right w:w="108" w:type="dxa"/>
          </w:tblCellMar>
        </w:tblPrEx>
        <w:trPr>
          <w:trHeight w:val="622"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345B0F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22</w:t>
            </w:r>
          </w:p>
        </w:tc>
        <w:tc>
          <w:tcPr>
            <w:tcW w:w="1799" w:type="dxa"/>
            <w:tcBorders>
              <w:top w:val="single" w:color="auto" w:sz="4" w:space="0"/>
              <w:left w:val="nil"/>
              <w:bottom w:val="single" w:color="auto" w:sz="4" w:space="0"/>
              <w:right w:val="single" w:color="auto" w:sz="4" w:space="0"/>
            </w:tcBorders>
            <w:noWrap w:val="0"/>
            <w:vAlign w:val="center"/>
          </w:tcPr>
          <w:p w14:paraId="4E79ACF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构成响应性文件的其他材料</w:t>
            </w:r>
          </w:p>
        </w:tc>
        <w:tc>
          <w:tcPr>
            <w:tcW w:w="6516" w:type="dxa"/>
            <w:tcBorders>
              <w:top w:val="single" w:color="auto" w:sz="4" w:space="0"/>
              <w:left w:val="nil"/>
              <w:bottom w:val="single" w:color="auto" w:sz="4" w:space="0"/>
              <w:right w:val="single" w:color="auto" w:sz="4" w:space="0"/>
            </w:tcBorders>
            <w:noWrap w:val="0"/>
            <w:vAlign w:val="center"/>
          </w:tcPr>
          <w:p w14:paraId="0112F39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供应商认为需要提供其他的资料</w:t>
            </w:r>
          </w:p>
        </w:tc>
      </w:tr>
      <w:tr w14:paraId="15CD9A9C">
        <w:tblPrEx>
          <w:tblCellMar>
            <w:top w:w="0" w:type="dxa"/>
            <w:left w:w="108" w:type="dxa"/>
            <w:bottom w:w="0" w:type="dxa"/>
            <w:right w:w="108" w:type="dxa"/>
          </w:tblCellMar>
        </w:tblPrEx>
        <w:trPr>
          <w:trHeight w:val="61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34C21ED">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000000"/>
                <w:spacing w:val="11"/>
                <w:sz w:val="24"/>
                <w:szCs w:val="24"/>
              </w:rPr>
            </w:pPr>
            <w:r>
              <w:rPr>
                <w:rFonts w:hint="eastAsia" w:ascii="宋体" w:hAnsi="宋体" w:eastAsia="宋体" w:cs="宋体"/>
                <w:sz w:val="24"/>
              </w:rPr>
              <w:t>23</w:t>
            </w:r>
          </w:p>
        </w:tc>
        <w:tc>
          <w:tcPr>
            <w:tcW w:w="1799" w:type="dxa"/>
            <w:tcBorders>
              <w:top w:val="single" w:color="auto" w:sz="4" w:space="0"/>
              <w:left w:val="nil"/>
              <w:bottom w:val="single" w:color="auto" w:sz="4" w:space="0"/>
              <w:right w:val="single" w:color="auto" w:sz="4" w:space="0"/>
            </w:tcBorders>
            <w:noWrap w:val="0"/>
            <w:vAlign w:val="center"/>
          </w:tcPr>
          <w:p w14:paraId="13725865">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000000"/>
                <w:spacing w:val="11"/>
                <w:sz w:val="24"/>
                <w:szCs w:val="24"/>
              </w:rPr>
            </w:pPr>
            <w:r>
              <w:rPr>
                <w:rFonts w:hint="eastAsia" w:ascii="宋体" w:hAnsi="宋体" w:eastAsia="宋体" w:cs="宋体"/>
                <w:sz w:val="24"/>
              </w:rPr>
              <w:t>磋商有效期</w:t>
            </w:r>
          </w:p>
        </w:tc>
        <w:tc>
          <w:tcPr>
            <w:tcW w:w="6516" w:type="dxa"/>
            <w:tcBorders>
              <w:top w:val="single" w:color="auto" w:sz="4" w:space="0"/>
              <w:left w:val="nil"/>
              <w:bottom w:val="single" w:color="auto" w:sz="4" w:space="0"/>
              <w:right w:val="single" w:color="auto" w:sz="4" w:space="0"/>
            </w:tcBorders>
            <w:noWrap w:val="0"/>
            <w:vAlign w:val="center"/>
          </w:tcPr>
          <w:p w14:paraId="6484438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lang w:eastAsia="zh-CN"/>
              </w:rPr>
            </w:pPr>
            <w:r>
              <w:rPr>
                <w:rFonts w:hint="eastAsia" w:ascii="宋体" w:hAnsi="宋体" w:eastAsia="宋体" w:cs="宋体"/>
                <w:sz w:val="24"/>
                <w:lang w:eastAsia="zh-CN"/>
              </w:rPr>
              <w:t>自磋商文件递交截止之日起60日历天</w:t>
            </w:r>
          </w:p>
        </w:tc>
      </w:tr>
      <w:tr w14:paraId="66428A3B">
        <w:tblPrEx>
          <w:tblCellMar>
            <w:top w:w="0" w:type="dxa"/>
            <w:left w:w="108" w:type="dxa"/>
            <w:bottom w:w="0" w:type="dxa"/>
            <w:right w:w="108" w:type="dxa"/>
          </w:tblCellMar>
        </w:tblPrEx>
        <w:trPr>
          <w:trHeight w:val="915"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0F1672B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000000"/>
                <w:spacing w:val="11"/>
                <w:sz w:val="24"/>
                <w:szCs w:val="24"/>
              </w:rPr>
            </w:pPr>
            <w:r>
              <w:rPr>
                <w:rFonts w:hint="eastAsia" w:ascii="宋体" w:hAnsi="宋体" w:eastAsia="宋体" w:cs="宋体"/>
                <w:color w:val="000000"/>
                <w:spacing w:val="11"/>
                <w:sz w:val="24"/>
                <w:szCs w:val="24"/>
              </w:rPr>
              <w:t>24</w:t>
            </w:r>
          </w:p>
        </w:tc>
        <w:tc>
          <w:tcPr>
            <w:tcW w:w="1799" w:type="dxa"/>
            <w:tcBorders>
              <w:top w:val="single" w:color="auto" w:sz="4" w:space="0"/>
              <w:left w:val="nil"/>
              <w:bottom w:val="single" w:color="auto" w:sz="4" w:space="0"/>
              <w:right w:val="single" w:color="auto" w:sz="4" w:space="0"/>
            </w:tcBorders>
            <w:noWrap w:val="0"/>
            <w:vAlign w:val="center"/>
          </w:tcPr>
          <w:p w14:paraId="0042DEDB">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000000"/>
                <w:spacing w:val="11"/>
                <w:sz w:val="24"/>
                <w:szCs w:val="24"/>
              </w:rPr>
            </w:pPr>
            <w:r>
              <w:rPr>
                <w:rFonts w:hint="eastAsia" w:ascii="宋体" w:hAnsi="宋体" w:eastAsia="宋体" w:cs="宋体"/>
                <w:sz w:val="24"/>
              </w:rPr>
              <w:t>磋商保证金</w:t>
            </w:r>
          </w:p>
        </w:tc>
        <w:tc>
          <w:tcPr>
            <w:tcW w:w="6516" w:type="dxa"/>
            <w:tcBorders>
              <w:top w:val="single" w:color="auto" w:sz="4" w:space="0"/>
              <w:left w:val="nil"/>
              <w:bottom w:val="single" w:color="auto" w:sz="4" w:space="0"/>
              <w:right w:val="single" w:color="auto" w:sz="4" w:space="0"/>
            </w:tcBorders>
            <w:noWrap w:val="0"/>
            <w:vAlign w:val="top"/>
          </w:tcPr>
          <w:p w14:paraId="5E19B584">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按照《河南省财政厅关于优化政府采购营商环境有关问题的通知》（豫财购[2019]4号文）的要求本项目不再收取磋商保证金。</w:t>
            </w:r>
          </w:p>
        </w:tc>
      </w:tr>
      <w:tr w14:paraId="0711882C">
        <w:tblPrEx>
          <w:tblCellMar>
            <w:top w:w="0" w:type="dxa"/>
            <w:left w:w="108" w:type="dxa"/>
            <w:bottom w:w="0" w:type="dxa"/>
            <w:right w:w="108" w:type="dxa"/>
          </w:tblCellMar>
        </w:tblPrEx>
        <w:trPr>
          <w:trHeight w:val="908"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2A68C7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000000"/>
                <w:spacing w:val="11"/>
                <w:sz w:val="24"/>
                <w:szCs w:val="24"/>
              </w:rPr>
            </w:pPr>
            <w:r>
              <w:rPr>
                <w:rFonts w:hint="eastAsia" w:ascii="宋体" w:hAnsi="宋体" w:eastAsia="宋体" w:cs="宋体"/>
                <w:color w:val="000000"/>
                <w:spacing w:val="11"/>
                <w:sz w:val="24"/>
                <w:szCs w:val="24"/>
              </w:rPr>
              <w:t>25</w:t>
            </w:r>
          </w:p>
        </w:tc>
        <w:tc>
          <w:tcPr>
            <w:tcW w:w="1799" w:type="dxa"/>
            <w:tcBorders>
              <w:top w:val="single" w:color="auto" w:sz="4" w:space="0"/>
              <w:left w:val="nil"/>
              <w:bottom w:val="single" w:color="auto" w:sz="4" w:space="0"/>
              <w:right w:val="single" w:color="auto" w:sz="4" w:space="0"/>
            </w:tcBorders>
            <w:noWrap w:val="0"/>
            <w:vAlign w:val="center"/>
          </w:tcPr>
          <w:p w14:paraId="1CAE501B">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000000"/>
                <w:spacing w:val="11"/>
                <w:sz w:val="24"/>
                <w:szCs w:val="24"/>
              </w:rPr>
            </w:pPr>
            <w:r>
              <w:rPr>
                <w:rFonts w:hint="eastAsia" w:ascii="宋体" w:hAnsi="宋体" w:eastAsia="宋体" w:cs="宋体"/>
                <w:sz w:val="24"/>
              </w:rPr>
              <w:t>磋商小组</w:t>
            </w:r>
          </w:p>
        </w:tc>
        <w:tc>
          <w:tcPr>
            <w:tcW w:w="6516" w:type="dxa"/>
            <w:tcBorders>
              <w:top w:val="single" w:color="auto" w:sz="4" w:space="0"/>
              <w:left w:val="nil"/>
              <w:bottom w:val="single" w:color="auto" w:sz="4" w:space="0"/>
              <w:right w:val="single" w:color="auto" w:sz="4" w:space="0"/>
            </w:tcBorders>
            <w:noWrap w:val="0"/>
            <w:vAlign w:val="center"/>
          </w:tcPr>
          <w:p w14:paraId="42DF508A">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textAlignment w:val="auto"/>
              <w:rPr>
                <w:rFonts w:hint="eastAsia" w:ascii="宋体" w:hAnsi="宋体" w:eastAsia="宋体" w:cs="宋体"/>
                <w:sz w:val="24"/>
              </w:rPr>
            </w:pPr>
            <w:r>
              <w:rPr>
                <w:rFonts w:hint="eastAsia" w:ascii="宋体" w:hAnsi="宋体" w:eastAsia="宋体" w:cs="宋体"/>
                <w:color w:val="auto"/>
                <w:kern w:val="2"/>
                <w:sz w:val="24"/>
                <w:szCs w:val="20"/>
                <w:lang w:val="en-US" w:eastAsia="zh-CN" w:bidi="ar-SA"/>
              </w:rPr>
              <w:t>磋商小组成员为3人，采购人代表1人，经济、技术专家2人，开标后从河南省政府采购评标专家库中随机抽取（采购人评标代表无评标劳务费用）。</w:t>
            </w:r>
          </w:p>
        </w:tc>
      </w:tr>
      <w:tr w14:paraId="00465881">
        <w:tblPrEx>
          <w:tblCellMar>
            <w:top w:w="0" w:type="dxa"/>
            <w:left w:w="108" w:type="dxa"/>
            <w:bottom w:w="0" w:type="dxa"/>
            <w:right w:w="108" w:type="dxa"/>
          </w:tblCellMar>
        </w:tblPrEx>
        <w:trPr>
          <w:trHeight w:val="288"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1D9F5D63">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000000"/>
                <w:spacing w:val="11"/>
                <w:sz w:val="24"/>
                <w:szCs w:val="24"/>
              </w:rPr>
            </w:pPr>
            <w:r>
              <w:rPr>
                <w:rFonts w:hint="eastAsia" w:ascii="宋体" w:hAnsi="宋体" w:eastAsia="宋体" w:cs="宋体"/>
                <w:color w:val="000000"/>
                <w:spacing w:val="11"/>
                <w:sz w:val="24"/>
                <w:szCs w:val="24"/>
              </w:rPr>
              <w:t>26</w:t>
            </w:r>
          </w:p>
        </w:tc>
        <w:tc>
          <w:tcPr>
            <w:tcW w:w="1799" w:type="dxa"/>
            <w:tcBorders>
              <w:top w:val="single" w:color="auto" w:sz="4" w:space="0"/>
              <w:left w:val="nil"/>
              <w:bottom w:val="single" w:color="auto" w:sz="4" w:space="0"/>
              <w:right w:val="single" w:color="auto" w:sz="4" w:space="0"/>
            </w:tcBorders>
            <w:noWrap w:val="0"/>
            <w:vAlign w:val="center"/>
          </w:tcPr>
          <w:p w14:paraId="3805BA34">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000000"/>
                <w:spacing w:val="11"/>
                <w:sz w:val="24"/>
                <w:szCs w:val="24"/>
              </w:rPr>
            </w:pPr>
            <w:r>
              <w:rPr>
                <w:rFonts w:hint="eastAsia" w:ascii="宋体" w:hAnsi="宋体" w:eastAsia="宋体" w:cs="宋体"/>
                <w:sz w:val="24"/>
              </w:rPr>
              <w:t>磋商标准及方法</w:t>
            </w:r>
          </w:p>
        </w:tc>
        <w:tc>
          <w:tcPr>
            <w:tcW w:w="6516" w:type="dxa"/>
            <w:tcBorders>
              <w:top w:val="single" w:color="auto" w:sz="4" w:space="0"/>
              <w:left w:val="nil"/>
              <w:bottom w:val="single" w:color="auto" w:sz="4" w:space="0"/>
              <w:right w:val="single" w:color="auto" w:sz="4" w:space="0"/>
            </w:tcBorders>
            <w:noWrap w:val="0"/>
            <w:vAlign w:val="center"/>
          </w:tcPr>
          <w:p w14:paraId="05F32E33">
            <w:pPr>
              <w:keepNext w:val="0"/>
              <w:keepLines w:val="0"/>
              <w:pageBreakBefore w:val="0"/>
              <w:kinsoku/>
              <w:wordWrap/>
              <w:overflowPunct/>
              <w:topLinePunct w:val="0"/>
              <w:bidi w:val="0"/>
              <w:spacing w:line="360" w:lineRule="auto"/>
              <w:jc w:val="left"/>
              <w:textAlignment w:val="auto"/>
              <w:rPr>
                <w:rFonts w:ascii="宋体" w:hAnsi="宋体"/>
                <w:spacing w:val="5"/>
                <w:sz w:val="24"/>
              </w:rPr>
            </w:pPr>
            <w:r>
              <w:rPr>
                <w:rFonts w:hint="eastAsia" w:ascii="宋体" w:hAnsi="宋体" w:eastAsia="宋体" w:cs="宋体"/>
                <w:sz w:val="24"/>
              </w:rPr>
              <w:t>由磋商小组采用综合评分法对提交最后报价的供应商的响应性文件和最后报价进行综合评分。综合评分法，是指响应性文件满足竞争性磋商文件全部实质性要求且按评审因素的量化指标评审得分最高的供应商为</w:t>
            </w:r>
            <w:r>
              <w:rPr>
                <w:rFonts w:hint="eastAsia" w:ascii="宋体" w:hAnsi="宋体" w:eastAsia="宋体" w:cs="宋体"/>
                <w:sz w:val="24"/>
                <w:lang w:eastAsia="zh-CN"/>
              </w:rPr>
              <w:t>成交</w:t>
            </w:r>
            <w:r>
              <w:rPr>
                <w:rFonts w:hint="eastAsia" w:ascii="宋体" w:hAnsi="宋体" w:eastAsia="宋体" w:cs="宋体"/>
                <w:sz w:val="24"/>
              </w:rPr>
              <w:t>候选供应商的磋商方法；综合评分相等时，按投标报价由低到高顺序排列。</w:t>
            </w:r>
          </w:p>
        </w:tc>
      </w:tr>
      <w:tr w14:paraId="3BC84F43">
        <w:tblPrEx>
          <w:tblCellMar>
            <w:top w:w="0" w:type="dxa"/>
            <w:left w:w="108" w:type="dxa"/>
            <w:bottom w:w="0" w:type="dxa"/>
            <w:right w:w="108" w:type="dxa"/>
          </w:tblCellMar>
        </w:tblPrEx>
        <w:trPr>
          <w:trHeight w:val="459"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406A9F8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27</w:t>
            </w:r>
          </w:p>
        </w:tc>
        <w:tc>
          <w:tcPr>
            <w:tcW w:w="1799" w:type="dxa"/>
            <w:tcBorders>
              <w:top w:val="single" w:color="auto" w:sz="4" w:space="0"/>
              <w:left w:val="nil"/>
              <w:bottom w:val="single" w:color="auto" w:sz="4" w:space="0"/>
              <w:right w:val="single" w:color="auto" w:sz="4" w:space="0"/>
            </w:tcBorders>
            <w:noWrap w:val="0"/>
            <w:vAlign w:val="center"/>
          </w:tcPr>
          <w:p w14:paraId="79EC6187">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是否授权磋商小组确定成交供应商</w:t>
            </w:r>
          </w:p>
        </w:tc>
        <w:tc>
          <w:tcPr>
            <w:tcW w:w="6516" w:type="dxa"/>
            <w:tcBorders>
              <w:top w:val="single" w:color="auto" w:sz="4" w:space="0"/>
              <w:left w:val="nil"/>
              <w:bottom w:val="single" w:color="auto" w:sz="4" w:space="0"/>
              <w:right w:val="single" w:color="auto" w:sz="4" w:space="0"/>
            </w:tcBorders>
            <w:noWrap w:val="0"/>
            <w:vAlign w:val="center"/>
          </w:tcPr>
          <w:p w14:paraId="1099CAF3">
            <w:pPr>
              <w:keepNext w:val="0"/>
              <w:keepLines w:val="0"/>
              <w:pageBreakBefore w:val="0"/>
              <w:kinsoku/>
              <w:wordWrap/>
              <w:overflowPunct/>
              <w:topLinePunct w:val="0"/>
              <w:bidi w:val="0"/>
              <w:spacing w:line="360" w:lineRule="auto"/>
              <w:jc w:val="both"/>
              <w:textAlignment w:val="auto"/>
              <w:rPr>
                <w:rFonts w:hint="eastAsia" w:ascii="宋体" w:hAnsi="宋体" w:cs="宋体"/>
                <w:sz w:val="24"/>
              </w:rPr>
            </w:pPr>
            <w:r>
              <w:rPr>
                <w:rFonts w:hint="eastAsia" w:ascii="宋体" w:hAnsi="宋体" w:cs="宋体"/>
                <w:sz w:val="24"/>
              </w:rPr>
              <w:t>■否，推荐成交候选人数： 3名</w:t>
            </w:r>
          </w:p>
        </w:tc>
      </w:tr>
      <w:tr w14:paraId="1A7FAC13">
        <w:tblPrEx>
          <w:tblCellMar>
            <w:top w:w="0" w:type="dxa"/>
            <w:left w:w="108" w:type="dxa"/>
            <w:bottom w:w="0" w:type="dxa"/>
            <w:right w:w="108" w:type="dxa"/>
          </w:tblCellMar>
        </w:tblPrEx>
        <w:trPr>
          <w:trHeight w:val="558"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48FF1BAA">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28</w:t>
            </w:r>
          </w:p>
        </w:tc>
        <w:tc>
          <w:tcPr>
            <w:tcW w:w="1799" w:type="dxa"/>
            <w:tcBorders>
              <w:top w:val="single" w:color="auto" w:sz="4" w:space="0"/>
              <w:left w:val="nil"/>
              <w:bottom w:val="single" w:color="auto" w:sz="4" w:space="0"/>
              <w:right w:val="single" w:color="auto" w:sz="4" w:space="0"/>
            </w:tcBorders>
            <w:noWrap w:val="0"/>
            <w:vAlign w:val="center"/>
          </w:tcPr>
          <w:p w14:paraId="201B34C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履约保证金</w:t>
            </w:r>
          </w:p>
        </w:tc>
        <w:tc>
          <w:tcPr>
            <w:tcW w:w="6516" w:type="dxa"/>
            <w:tcBorders>
              <w:top w:val="single" w:color="auto" w:sz="4" w:space="0"/>
              <w:left w:val="nil"/>
              <w:bottom w:val="single" w:color="auto" w:sz="4" w:space="0"/>
              <w:right w:val="single" w:color="auto" w:sz="4" w:space="0"/>
            </w:tcBorders>
            <w:noWrap w:val="0"/>
            <w:vAlign w:val="center"/>
          </w:tcPr>
          <w:p w14:paraId="27A4839D">
            <w:pPr>
              <w:keepNext w:val="0"/>
              <w:keepLines w:val="0"/>
              <w:pageBreakBefore w:val="0"/>
              <w:kinsoku/>
              <w:wordWrap/>
              <w:overflowPunct/>
              <w:topLinePunct w:val="0"/>
              <w:bidi w:val="0"/>
              <w:spacing w:line="360" w:lineRule="auto"/>
              <w:jc w:val="both"/>
              <w:textAlignment w:val="auto"/>
              <w:rPr>
                <w:rFonts w:hint="eastAsia" w:ascii="宋体" w:hAnsi="宋体" w:cs="宋体"/>
                <w:sz w:val="24"/>
              </w:rPr>
            </w:pPr>
            <w:r>
              <w:rPr>
                <w:rFonts w:hint="eastAsia" w:ascii="宋体" w:hAnsi="宋体" w:cs="宋体"/>
                <w:sz w:val="24"/>
              </w:rPr>
              <w:t>无</w:t>
            </w:r>
          </w:p>
        </w:tc>
      </w:tr>
      <w:tr w14:paraId="179F4818">
        <w:tblPrEx>
          <w:tblCellMar>
            <w:top w:w="0" w:type="dxa"/>
            <w:left w:w="108" w:type="dxa"/>
            <w:bottom w:w="0" w:type="dxa"/>
            <w:right w:w="108" w:type="dxa"/>
          </w:tblCellMar>
        </w:tblPrEx>
        <w:trPr>
          <w:trHeight w:val="558"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A57B40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29</w:t>
            </w:r>
          </w:p>
        </w:tc>
        <w:tc>
          <w:tcPr>
            <w:tcW w:w="1799" w:type="dxa"/>
            <w:tcBorders>
              <w:top w:val="single" w:color="auto" w:sz="4" w:space="0"/>
              <w:left w:val="nil"/>
              <w:bottom w:val="single" w:color="auto" w:sz="4" w:space="0"/>
              <w:right w:val="single" w:color="auto" w:sz="4" w:space="0"/>
            </w:tcBorders>
            <w:noWrap w:val="0"/>
            <w:vAlign w:val="center"/>
          </w:tcPr>
          <w:p w14:paraId="1541998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专门面向中小企业采购</w:t>
            </w:r>
          </w:p>
        </w:tc>
        <w:tc>
          <w:tcPr>
            <w:tcW w:w="6516" w:type="dxa"/>
            <w:tcBorders>
              <w:top w:val="single" w:color="auto" w:sz="4" w:space="0"/>
              <w:left w:val="nil"/>
              <w:bottom w:val="single" w:color="auto" w:sz="4" w:space="0"/>
              <w:right w:val="single" w:color="auto" w:sz="4" w:space="0"/>
            </w:tcBorders>
            <w:noWrap w:val="0"/>
            <w:vAlign w:val="center"/>
          </w:tcPr>
          <w:p w14:paraId="7BEE329E">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lang w:eastAsia="zh-CN"/>
              </w:rPr>
            </w:pPr>
            <w:r>
              <w:rPr>
                <w:rFonts w:hint="eastAsia" w:ascii="宋体" w:hAnsi="宋体" w:eastAsia="宋体" w:cs="宋体"/>
                <w:sz w:val="24"/>
              </w:rPr>
              <w:t>本项目或相关采购包是否专门面向中小企业采购：</w:t>
            </w:r>
            <w:r>
              <w:rPr>
                <w:rFonts w:hint="eastAsia" w:ascii="宋体" w:hAnsi="宋体" w:cs="宋体"/>
                <w:sz w:val="24"/>
                <w:lang w:val="en-US" w:eastAsia="zh-CN"/>
              </w:rPr>
              <w:t>否</w:t>
            </w:r>
          </w:p>
        </w:tc>
      </w:tr>
      <w:tr w14:paraId="371C3274">
        <w:tblPrEx>
          <w:tblCellMar>
            <w:top w:w="0" w:type="dxa"/>
            <w:left w:w="108" w:type="dxa"/>
            <w:bottom w:w="0" w:type="dxa"/>
            <w:right w:w="108" w:type="dxa"/>
          </w:tblCellMar>
        </w:tblPrEx>
        <w:trPr>
          <w:trHeight w:val="558"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B39A5D6">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30</w:t>
            </w:r>
          </w:p>
        </w:tc>
        <w:tc>
          <w:tcPr>
            <w:tcW w:w="1799" w:type="dxa"/>
            <w:tcBorders>
              <w:top w:val="single" w:color="auto" w:sz="4" w:space="0"/>
              <w:left w:val="nil"/>
              <w:bottom w:val="single" w:color="auto" w:sz="4" w:space="0"/>
              <w:right w:val="single" w:color="auto" w:sz="4" w:space="0"/>
            </w:tcBorders>
            <w:noWrap w:val="0"/>
            <w:vAlign w:val="center"/>
          </w:tcPr>
          <w:p w14:paraId="6B1504F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本项目对应的中小企业划分标准所属行业</w:t>
            </w:r>
          </w:p>
        </w:tc>
        <w:tc>
          <w:tcPr>
            <w:tcW w:w="6516" w:type="dxa"/>
            <w:tcBorders>
              <w:top w:val="single" w:color="auto" w:sz="4" w:space="0"/>
              <w:left w:val="nil"/>
              <w:bottom w:val="single" w:color="auto" w:sz="4" w:space="0"/>
              <w:right w:val="single" w:color="auto" w:sz="4" w:space="0"/>
            </w:tcBorders>
            <w:noWrap w:val="0"/>
            <w:vAlign w:val="center"/>
          </w:tcPr>
          <w:p w14:paraId="768CCC89">
            <w:pPr>
              <w:keepNext w:val="0"/>
              <w:keepLines w:val="0"/>
              <w:pageBreakBefore w:val="0"/>
              <w:kinsoku/>
              <w:wordWrap/>
              <w:overflowPunct/>
              <w:topLinePunct w:val="0"/>
              <w:bidi w:val="0"/>
              <w:spacing w:line="360" w:lineRule="auto"/>
              <w:jc w:val="both"/>
              <w:textAlignment w:val="auto"/>
              <w:rPr>
                <w:rFonts w:hint="eastAsia" w:ascii="宋体" w:hAnsi="宋体" w:cs="宋体"/>
                <w:sz w:val="24"/>
              </w:rPr>
            </w:pPr>
            <w:r>
              <w:rPr>
                <w:rFonts w:hint="eastAsia" w:ascii="宋体" w:hAnsi="宋体" w:cs="宋体"/>
                <w:sz w:val="24"/>
                <w:szCs w:val="24"/>
                <w:highlight w:val="none"/>
              </w:rPr>
              <w:t>工业</w:t>
            </w:r>
          </w:p>
        </w:tc>
      </w:tr>
      <w:tr w14:paraId="56417337">
        <w:tblPrEx>
          <w:tblCellMar>
            <w:top w:w="0" w:type="dxa"/>
            <w:left w:w="108" w:type="dxa"/>
            <w:bottom w:w="0" w:type="dxa"/>
            <w:right w:w="108" w:type="dxa"/>
          </w:tblCellMar>
        </w:tblPrEx>
        <w:trPr>
          <w:trHeight w:val="452"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256AE52">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000000"/>
                <w:spacing w:val="11"/>
                <w:sz w:val="24"/>
                <w:szCs w:val="24"/>
              </w:rPr>
            </w:pPr>
            <w:r>
              <w:rPr>
                <w:rFonts w:hint="eastAsia" w:ascii="宋体" w:hAnsi="宋体" w:eastAsia="宋体" w:cs="宋体"/>
                <w:color w:val="000000"/>
                <w:spacing w:val="11"/>
                <w:sz w:val="24"/>
                <w:szCs w:val="24"/>
              </w:rPr>
              <w:t>31</w:t>
            </w:r>
          </w:p>
        </w:tc>
        <w:tc>
          <w:tcPr>
            <w:tcW w:w="1799" w:type="dxa"/>
            <w:tcBorders>
              <w:top w:val="single" w:color="auto" w:sz="4" w:space="0"/>
              <w:left w:val="nil"/>
              <w:bottom w:val="single" w:color="auto" w:sz="4" w:space="0"/>
              <w:right w:val="single" w:color="auto" w:sz="4" w:space="0"/>
            </w:tcBorders>
            <w:noWrap w:val="0"/>
            <w:vAlign w:val="center"/>
          </w:tcPr>
          <w:p w14:paraId="3CC3F23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000000"/>
                <w:spacing w:val="11"/>
                <w:sz w:val="24"/>
                <w:szCs w:val="24"/>
              </w:rPr>
            </w:pPr>
            <w:r>
              <w:rPr>
                <w:rFonts w:hint="eastAsia" w:ascii="宋体" w:hAnsi="宋体" w:eastAsia="宋体" w:cs="宋体"/>
                <w:color w:val="000000"/>
                <w:spacing w:val="11"/>
                <w:sz w:val="24"/>
                <w:szCs w:val="24"/>
              </w:rPr>
              <w:t>磋商控制价</w:t>
            </w:r>
          </w:p>
        </w:tc>
        <w:tc>
          <w:tcPr>
            <w:tcW w:w="6516" w:type="dxa"/>
            <w:tcBorders>
              <w:top w:val="single" w:color="auto" w:sz="4" w:space="0"/>
              <w:left w:val="nil"/>
              <w:bottom w:val="single" w:color="auto" w:sz="4" w:space="0"/>
              <w:right w:val="single" w:color="auto" w:sz="4" w:space="0"/>
            </w:tcBorders>
            <w:noWrap w:val="0"/>
            <w:vAlign w:val="top"/>
          </w:tcPr>
          <w:p w14:paraId="6BD64FA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磋商控制价：</w:t>
            </w:r>
            <w:r>
              <w:rPr>
                <w:rFonts w:hint="eastAsia" w:ascii="宋体" w:hAnsi="宋体" w:eastAsia="宋体" w:cs="宋体"/>
                <w:sz w:val="24"/>
                <w:lang w:val="en-US" w:eastAsia="zh-CN"/>
              </w:rPr>
              <w:t>1978433.24元</w:t>
            </w:r>
          </w:p>
          <w:p w14:paraId="6E0544D4">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本次竞争性磋商分为两轮报价。供应商响应性文件中的报价作为第一次报价，不得高于磋商控制价且不公开；第二</w:t>
            </w:r>
            <w:r>
              <w:rPr>
                <w:rFonts w:hint="eastAsia" w:ascii="宋体" w:hAnsi="宋体" w:eastAsia="宋体" w:cs="宋体"/>
                <w:sz w:val="24"/>
                <w:lang w:val="en-US" w:eastAsia="zh-CN"/>
              </w:rPr>
              <w:t>次</w:t>
            </w:r>
            <w:r>
              <w:rPr>
                <w:rFonts w:hint="eastAsia" w:ascii="宋体" w:hAnsi="宋体" w:eastAsia="宋体" w:cs="宋体"/>
                <w:sz w:val="24"/>
              </w:rPr>
              <w:t>报价不得高于第一</w:t>
            </w:r>
            <w:r>
              <w:rPr>
                <w:rFonts w:hint="eastAsia" w:ascii="宋体" w:hAnsi="宋体" w:eastAsia="宋体" w:cs="宋体"/>
                <w:sz w:val="24"/>
                <w:lang w:val="en-US" w:eastAsia="zh-CN"/>
              </w:rPr>
              <w:t>次</w:t>
            </w:r>
            <w:r>
              <w:rPr>
                <w:rFonts w:hint="eastAsia" w:ascii="宋体" w:hAnsi="宋体" w:eastAsia="宋体" w:cs="宋体"/>
                <w:sz w:val="24"/>
              </w:rPr>
              <w:t>报价,参与评标报价以最终报价为准。</w:t>
            </w:r>
          </w:p>
          <w:p w14:paraId="034EC893">
            <w:pPr>
              <w:keepNext w:val="0"/>
              <w:keepLines w:val="0"/>
              <w:pageBreakBefore w:val="0"/>
              <w:kinsoku/>
              <w:wordWrap/>
              <w:overflowPunct/>
              <w:topLinePunct w:val="0"/>
              <w:bidi w:val="0"/>
              <w:spacing w:line="360" w:lineRule="auto"/>
              <w:jc w:val="left"/>
              <w:textAlignment w:val="auto"/>
              <w:rPr>
                <w:rFonts w:hint="eastAsia" w:ascii="宋体" w:hAnsi="宋体" w:cs="宋体"/>
                <w:b w:val="0"/>
                <w:bCs w:val="0"/>
                <w:color w:val="000000"/>
                <w:spacing w:val="11"/>
                <w:sz w:val="24"/>
                <w:szCs w:val="24"/>
              </w:rPr>
            </w:pPr>
            <w:r>
              <w:rPr>
                <w:rFonts w:hint="eastAsia" w:ascii="宋体" w:hAnsi="宋体" w:eastAsia="宋体" w:cs="宋体"/>
                <w:sz w:val="24"/>
                <w:lang w:val="en-US" w:eastAsia="zh-CN"/>
              </w:rPr>
              <w:t>2、</w:t>
            </w:r>
            <w:r>
              <w:rPr>
                <w:rFonts w:hint="eastAsia" w:ascii="宋体" w:hAnsi="宋体" w:eastAsia="宋体" w:cs="宋体"/>
                <w:sz w:val="24"/>
              </w:rPr>
              <w:t>供应商投标报价不得超出控制价，否则其磋商将被视为无效。</w:t>
            </w:r>
          </w:p>
        </w:tc>
      </w:tr>
      <w:tr w14:paraId="71B46C00">
        <w:tblPrEx>
          <w:tblCellMar>
            <w:top w:w="0" w:type="dxa"/>
            <w:left w:w="108" w:type="dxa"/>
            <w:bottom w:w="0" w:type="dxa"/>
            <w:right w:w="108" w:type="dxa"/>
          </w:tblCellMar>
        </w:tblPrEx>
        <w:trPr>
          <w:trHeight w:val="536"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4F27D2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32</w:t>
            </w:r>
          </w:p>
        </w:tc>
        <w:tc>
          <w:tcPr>
            <w:tcW w:w="1799" w:type="dxa"/>
            <w:tcBorders>
              <w:top w:val="single" w:color="auto" w:sz="4" w:space="0"/>
              <w:left w:val="nil"/>
              <w:bottom w:val="single" w:color="auto" w:sz="4" w:space="0"/>
              <w:right w:val="single" w:color="auto" w:sz="4" w:space="0"/>
            </w:tcBorders>
            <w:noWrap w:val="0"/>
            <w:vAlign w:val="center"/>
          </w:tcPr>
          <w:p w14:paraId="4E33A0D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报价</w:t>
            </w:r>
          </w:p>
        </w:tc>
        <w:tc>
          <w:tcPr>
            <w:tcW w:w="6516" w:type="dxa"/>
            <w:tcBorders>
              <w:top w:val="single" w:color="auto" w:sz="4" w:space="0"/>
              <w:left w:val="nil"/>
              <w:bottom w:val="single" w:color="auto" w:sz="4" w:space="0"/>
              <w:right w:val="single" w:color="auto" w:sz="4" w:space="0"/>
            </w:tcBorders>
            <w:noWrap w:val="0"/>
            <w:vAlign w:val="center"/>
          </w:tcPr>
          <w:p w14:paraId="5AA08CF8">
            <w:pPr>
              <w:keepNext w:val="0"/>
              <w:keepLines w:val="0"/>
              <w:pageBreakBefore w:val="0"/>
              <w:kinsoku/>
              <w:wordWrap/>
              <w:overflowPunct/>
              <w:topLinePunct w:val="0"/>
              <w:bidi w:val="0"/>
              <w:spacing w:line="360" w:lineRule="auto"/>
              <w:textAlignment w:val="auto"/>
              <w:rPr>
                <w:rFonts w:hint="eastAsia" w:ascii="宋体" w:hAnsi="宋体" w:eastAsia="宋体"/>
                <w:spacing w:val="5"/>
                <w:sz w:val="24"/>
                <w:lang w:eastAsia="zh-CN"/>
              </w:rPr>
            </w:pPr>
            <w:r>
              <w:rPr>
                <w:rFonts w:hint="eastAsia" w:ascii="宋体" w:hAnsi="宋体"/>
                <w:spacing w:val="5"/>
                <w:sz w:val="24"/>
              </w:rPr>
              <w:t>本次磋商应以人民币报价，分两次进行报价</w:t>
            </w:r>
            <w:r>
              <w:rPr>
                <w:rFonts w:hint="eastAsia" w:ascii="宋体" w:hAnsi="宋体"/>
                <w:spacing w:val="5"/>
                <w:sz w:val="24"/>
                <w:lang w:eastAsia="zh-CN"/>
              </w:rPr>
              <w:t>。</w:t>
            </w:r>
          </w:p>
        </w:tc>
      </w:tr>
      <w:tr w14:paraId="1F660190">
        <w:tblPrEx>
          <w:tblCellMar>
            <w:top w:w="0" w:type="dxa"/>
            <w:left w:w="108" w:type="dxa"/>
            <w:bottom w:w="0" w:type="dxa"/>
            <w:right w:w="108" w:type="dxa"/>
          </w:tblCellMar>
        </w:tblPrEx>
        <w:trPr>
          <w:trHeight w:val="9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6226F10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cs="宋体"/>
                <w:color w:val="000000"/>
                <w:spacing w:val="11"/>
                <w:sz w:val="24"/>
                <w:szCs w:val="24"/>
              </w:rPr>
            </w:pPr>
            <w:r>
              <w:rPr>
                <w:rFonts w:hint="eastAsia" w:ascii="宋体" w:hAnsi="宋体" w:cs="宋体"/>
                <w:color w:val="000000"/>
                <w:spacing w:val="11"/>
                <w:sz w:val="24"/>
                <w:szCs w:val="24"/>
              </w:rPr>
              <w:t>33</w:t>
            </w:r>
          </w:p>
        </w:tc>
        <w:tc>
          <w:tcPr>
            <w:tcW w:w="1799" w:type="dxa"/>
            <w:tcBorders>
              <w:top w:val="single" w:color="auto" w:sz="4" w:space="0"/>
              <w:left w:val="nil"/>
              <w:bottom w:val="single" w:color="auto" w:sz="4" w:space="0"/>
              <w:right w:val="single" w:color="auto" w:sz="4" w:space="0"/>
            </w:tcBorders>
            <w:noWrap w:val="0"/>
            <w:vAlign w:val="center"/>
          </w:tcPr>
          <w:p w14:paraId="74AF1F09">
            <w:pPr>
              <w:keepNext w:val="0"/>
              <w:keepLines w:val="0"/>
              <w:pageBreakBefore w:val="0"/>
              <w:kinsoku/>
              <w:wordWrap/>
              <w:overflowPunct/>
              <w:topLinePunct w:val="0"/>
              <w:bidi w:val="0"/>
              <w:spacing w:line="360" w:lineRule="auto"/>
              <w:jc w:val="center"/>
              <w:textAlignment w:val="auto"/>
              <w:rPr>
                <w:rFonts w:ascii="宋体" w:hAnsi="宋体" w:cs="宋体"/>
                <w:sz w:val="24"/>
              </w:rPr>
            </w:pPr>
            <w:r>
              <w:rPr>
                <w:rFonts w:hint="eastAsia" w:ascii="宋体" w:hAnsi="宋体" w:cs="宋体"/>
                <w:sz w:val="24"/>
              </w:rPr>
              <w:t>招标代理费</w:t>
            </w:r>
          </w:p>
        </w:tc>
        <w:tc>
          <w:tcPr>
            <w:tcW w:w="6516" w:type="dxa"/>
            <w:tcBorders>
              <w:top w:val="single" w:color="auto" w:sz="4" w:space="0"/>
              <w:left w:val="nil"/>
              <w:bottom w:val="single" w:color="auto" w:sz="4" w:space="0"/>
              <w:right w:val="single" w:color="auto" w:sz="4" w:space="0"/>
            </w:tcBorders>
            <w:noWrap w:val="0"/>
            <w:vAlign w:val="center"/>
          </w:tcPr>
          <w:p w14:paraId="5F8CA48B">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lang w:eastAsia="zh-CN"/>
              </w:rPr>
            </w:pPr>
            <w:r>
              <w:rPr>
                <w:rFonts w:hint="eastAsia" w:ascii="宋体" w:hAnsi="宋体" w:eastAsia="宋体" w:cs="宋体"/>
                <w:sz w:val="24"/>
                <w:lang w:val="en-US" w:eastAsia="zh-CN"/>
              </w:rPr>
              <w:t>招标代理服务收费参照豫招协[2023]002号河南省招标投标协会关于印发《河南省招标代理服务收费指导意见》规定的收费标准收取</w:t>
            </w:r>
            <w:r>
              <w:rPr>
                <w:rFonts w:hint="eastAsia" w:ascii="宋体" w:hAnsi="宋体" w:cs="宋体"/>
                <w:sz w:val="24"/>
                <w:lang w:val="en-US" w:eastAsia="zh-CN"/>
              </w:rPr>
              <w:t>成交</w:t>
            </w:r>
            <w:r>
              <w:rPr>
                <w:rFonts w:hint="eastAsia" w:ascii="宋体" w:hAnsi="宋体" w:eastAsia="宋体" w:cs="宋体"/>
                <w:sz w:val="24"/>
                <w:lang w:val="en-US" w:eastAsia="zh-CN"/>
              </w:rPr>
              <w:t>服务费</w:t>
            </w:r>
            <w:r>
              <w:rPr>
                <w:rFonts w:hint="eastAsia" w:ascii="宋体" w:hAnsi="宋体" w:eastAsia="宋体" w:cs="宋体"/>
                <w:sz w:val="24"/>
              </w:rPr>
              <w:t>，领取</w:t>
            </w:r>
            <w:r>
              <w:rPr>
                <w:rFonts w:hint="eastAsia" w:ascii="宋体" w:hAnsi="宋体" w:eastAsia="宋体" w:cs="宋体"/>
                <w:sz w:val="24"/>
                <w:lang w:eastAsia="zh-CN"/>
              </w:rPr>
              <w:t>成交</w:t>
            </w:r>
            <w:r>
              <w:rPr>
                <w:rFonts w:hint="eastAsia" w:ascii="宋体" w:hAnsi="宋体" w:eastAsia="宋体" w:cs="宋体"/>
                <w:sz w:val="24"/>
              </w:rPr>
              <w:t>通知书时一次性支付</w:t>
            </w:r>
            <w:r>
              <w:rPr>
                <w:rFonts w:hint="eastAsia" w:ascii="宋体" w:hAnsi="宋体" w:eastAsia="宋体" w:cs="宋体"/>
                <w:sz w:val="24"/>
                <w:lang w:eastAsia="zh-CN"/>
              </w:rPr>
              <w:t>。</w:t>
            </w:r>
          </w:p>
          <w:p w14:paraId="54645B0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lang w:eastAsia="zh-CN"/>
              </w:rPr>
            </w:pPr>
            <w:r>
              <w:rPr>
                <w:rFonts w:hint="eastAsia" w:ascii="宋体" w:hAnsi="宋体" w:eastAsia="宋体" w:cs="宋体"/>
                <w:sz w:val="24"/>
                <w:lang w:eastAsia="zh-CN"/>
              </w:rPr>
              <w:t>收取方式：现金或转账均可</w:t>
            </w:r>
          </w:p>
          <w:p w14:paraId="2F7CF1F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单位名称</w:t>
            </w:r>
            <w:r>
              <w:rPr>
                <w:rFonts w:hint="eastAsia" w:ascii="宋体" w:hAnsi="宋体" w:cs="宋体"/>
                <w:sz w:val="24"/>
                <w:lang w:eastAsia="zh-CN"/>
              </w:rPr>
              <w:t>：</w:t>
            </w:r>
            <w:r>
              <w:rPr>
                <w:rFonts w:hint="eastAsia" w:ascii="宋体" w:hAnsi="宋体" w:eastAsia="宋体" w:cs="宋体"/>
                <w:sz w:val="24"/>
                <w:lang w:eastAsia="zh-CN"/>
              </w:rPr>
              <w:t>河南祥沃企业管理咨询有限公司</w:t>
            </w:r>
          </w:p>
          <w:p w14:paraId="3A3ABB05">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开户行</w:t>
            </w:r>
            <w:r>
              <w:rPr>
                <w:rFonts w:hint="eastAsia" w:ascii="宋体" w:hAnsi="宋体" w:cs="宋体"/>
                <w:sz w:val="24"/>
                <w:lang w:eastAsia="zh-CN"/>
              </w:rPr>
              <w:t>：</w:t>
            </w:r>
            <w:r>
              <w:rPr>
                <w:rFonts w:hint="eastAsia" w:ascii="宋体" w:hAnsi="宋体" w:eastAsia="宋体" w:cs="宋体"/>
                <w:sz w:val="24"/>
              </w:rPr>
              <w:t>交通银行股份有限公司郑州经济技术开发区支行</w:t>
            </w:r>
          </w:p>
          <w:p w14:paraId="425F7310">
            <w:pPr>
              <w:keepNext w:val="0"/>
              <w:keepLines w:val="0"/>
              <w:pageBreakBefore w:val="0"/>
              <w:kinsoku/>
              <w:wordWrap/>
              <w:overflowPunct/>
              <w:topLinePunct w:val="0"/>
              <w:bidi w:val="0"/>
              <w:spacing w:line="360" w:lineRule="auto"/>
              <w:jc w:val="left"/>
              <w:textAlignment w:val="auto"/>
              <w:rPr>
                <w:rFonts w:hint="eastAsia" w:ascii="宋体" w:hAnsi="宋体" w:eastAsia="宋体" w:cs="Times New Roman"/>
                <w:spacing w:val="5"/>
                <w:kern w:val="2"/>
                <w:sz w:val="24"/>
                <w:szCs w:val="20"/>
                <w:lang w:eastAsia="zh-CN"/>
              </w:rPr>
            </w:pPr>
            <w:r>
              <w:rPr>
                <w:rFonts w:hint="eastAsia" w:ascii="宋体" w:hAnsi="宋体" w:eastAsia="宋体" w:cs="宋体"/>
                <w:sz w:val="24"/>
              </w:rPr>
              <w:t>账号</w:t>
            </w:r>
            <w:r>
              <w:rPr>
                <w:rFonts w:hint="eastAsia" w:ascii="宋体" w:hAnsi="宋体" w:cs="宋体"/>
                <w:sz w:val="24"/>
                <w:lang w:eastAsia="zh-CN"/>
              </w:rPr>
              <w:t>：</w:t>
            </w:r>
            <w:r>
              <w:rPr>
                <w:rFonts w:hint="eastAsia" w:ascii="宋体" w:hAnsi="宋体" w:eastAsia="宋体" w:cs="宋体"/>
                <w:sz w:val="24"/>
              </w:rPr>
              <w:t>411116999011001127816</w:t>
            </w:r>
          </w:p>
        </w:tc>
      </w:tr>
      <w:tr w14:paraId="2D38C36A">
        <w:tblPrEx>
          <w:tblCellMar>
            <w:top w:w="0" w:type="dxa"/>
            <w:left w:w="108" w:type="dxa"/>
            <w:bottom w:w="0" w:type="dxa"/>
            <w:right w:w="108" w:type="dxa"/>
          </w:tblCellMar>
        </w:tblPrEx>
        <w:trPr>
          <w:trHeight w:val="463"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B9D577D">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34</w:t>
            </w:r>
          </w:p>
        </w:tc>
        <w:tc>
          <w:tcPr>
            <w:tcW w:w="1799" w:type="dxa"/>
            <w:tcBorders>
              <w:top w:val="single" w:color="auto" w:sz="4" w:space="0"/>
              <w:left w:val="nil"/>
              <w:bottom w:val="single" w:color="auto" w:sz="4" w:space="0"/>
              <w:right w:val="single" w:color="auto" w:sz="4" w:space="0"/>
            </w:tcBorders>
            <w:noWrap w:val="0"/>
            <w:vAlign w:val="center"/>
          </w:tcPr>
          <w:p w14:paraId="5765C22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是否退还响应性文件</w:t>
            </w:r>
          </w:p>
        </w:tc>
        <w:tc>
          <w:tcPr>
            <w:tcW w:w="6516" w:type="dxa"/>
            <w:tcBorders>
              <w:top w:val="single" w:color="auto" w:sz="4" w:space="0"/>
              <w:left w:val="nil"/>
              <w:bottom w:val="single" w:color="auto" w:sz="4" w:space="0"/>
              <w:right w:val="single" w:color="auto" w:sz="4" w:space="0"/>
            </w:tcBorders>
            <w:noWrap w:val="0"/>
            <w:vAlign w:val="center"/>
          </w:tcPr>
          <w:p w14:paraId="0DFB8BB8">
            <w:pPr>
              <w:keepNext w:val="0"/>
              <w:keepLines w:val="0"/>
              <w:pageBreakBefore w:val="0"/>
              <w:kinsoku/>
              <w:wordWrap/>
              <w:overflowPunct/>
              <w:topLinePunct w:val="0"/>
              <w:bidi w:val="0"/>
              <w:adjustRightInd w:val="0"/>
              <w:snapToGrid w:val="0"/>
              <w:spacing w:line="360" w:lineRule="auto"/>
              <w:textAlignment w:val="auto"/>
              <w:rPr>
                <w:rFonts w:hint="eastAsia" w:ascii="宋体" w:hAnsi="宋体" w:cs="宋体"/>
                <w:color w:val="000000"/>
                <w:spacing w:val="11"/>
                <w:sz w:val="24"/>
                <w:szCs w:val="24"/>
              </w:rPr>
            </w:pPr>
            <w:r>
              <w:rPr>
                <w:rFonts w:hint="eastAsia" w:ascii="宋体" w:hAnsi="宋体" w:eastAsia="宋体" w:cs="宋体"/>
                <w:sz w:val="24"/>
                <w:lang w:val="en-US" w:eastAsia="zh-CN"/>
              </w:rPr>
              <w:t>否</w:t>
            </w:r>
          </w:p>
        </w:tc>
      </w:tr>
      <w:tr w14:paraId="1044A3CB">
        <w:tblPrEx>
          <w:tblCellMar>
            <w:top w:w="0" w:type="dxa"/>
            <w:left w:w="108" w:type="dxa"/>
            <w:bottom w:w="0" w:type="dxa"/>
            <w:right w:w="108" w:type="dxa"/>
          </w:tblCellMar>
        </w:tblPrEx>
        <w:trPr>
          <w:trHeight w:val="613"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A804D5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35</w:t>
            </w:r>
          </w:p>
        </w:tc>
        <w:tc>
          <w:tcPr>
            <w:tcW w:w="1799" w:type="dxa"/>
            <w:tcBorders>
              <w:top w:val="single" w:color="auto" w:sz="4" w:space="0"/>
              <w:left w:val="nil"/>
              <w:bottom w:val="single" w:color="auto" w:sz="4" w:space="0"/>
              <w:right w:val="single" w:color="auto" w:sz="4" w:space="0"/>
            </w:tcBorders>
            <w:noWrap w:val="0"/>
            <w:vAlign w:val="center"/>
          </w:tcPr>
          <w:p w14:paraId="2EDEADE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b/>
                <w:bCs/>
                <w:sz w:val="24"/>
              </w:rPr>
              <w:t>电子化交易注意事项</w:t>
            </w:r>
          </w:p>
        </w:tc>
        <w:tc>
          <w:tcPr>
            <w:tcW w:w="6516" w:type="dxa"/>
            <w:tcBorders>
              <w:top w:val="single" w:color="auto" w:sz="4" w:space="0"/>
              <w:left w:val="nil"/>
              <w:bottom w:val="single" w:color="auto" w:sz="4" w:space="0"/>
              <w:right w:val="single" w:color="auto" w:sz="4" w:space="0"/>
            </w:tcBorders>
            <w:noWrap w:val="0"/>
            <w:vAlign w:val="center"/>
          </w:tcPr>
          <w:p w14:paraId="1CAD874D">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具体要求：本项目为电子化、无纸化交易项目，响应文件是响应人、响应人（以下简称“响应人”）通过中心响应文件制作系统制作，并经过签章和加密后生成的电子版响应文件。</w:t>
            </w:r>
          </w:p>
          <w:p w14:paraId="5C133732">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温馨提示：本项目为电子化、无纸化交易项目，为保证您能投标成功，请需仔细阅读以下条款。</w:t>
            </w:r>
          </w:p>
          <w:p w14:paraId="2C53E213">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一、电子化投标</w:t>
            </w:r>
          </w:p>
          <w:p w14:paraId="68A2F61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（一）电子化响应文件的签章</w:t>
            </w:r>
          </w:p>
          <w:p w14:paraId="408DFDD3">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1、响应人在生成电子化响应文件后，应对电子化响应文件进行签章，未进行签章的视为无效投标。</w:t>
            </w:r>
          </w:p>
          <w:p w14:paraId="4164DC3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2、磋商文件中要求法定代表人或授权委托人签字或盖章的，响应人在进行电子化响应文件签章时，以签盖法定代表人签章为准。</w:t>
            </w:r>
          </w:p>
          <w:p w14:paraId="66E3C622">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（二）电子化响应文件的格式及上传响应文件</w:t>
            </w:r>
          </w:p>
          <w:p w14:paraId="5D216061">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1、响应人所上传的电子化响应文件，应是通过中心响应文件制作系统制作的，经过签章和加密后生成的电子版响应文件。其中包含用于响应文件上传的主文件（后缀为.smxtf）和用于应急补救的响应文件备份文件（后缀为.nsmxtf）。备份文件主要用于电子化开标出现技术问题后的补救，请响应人随身携带。</w:t>
            </w:r>
          </w:p>
          <w:p w14:paraId="63DE8AE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注：响应人投报多个标段的，需要每个标段单独制作电子响应文件。</w:t>
            </w:r>
          </w:p>
          <w:p w14:paraId="3337C8BC">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2、电子化响应文件应在投标截止时间前成功上传至三门峡市公共资源电子化交易系统。至投标截止时间止，仍未上传成功的电子化响应文件将不予接收。</w:t>
            </w:r>
          </w:p>
          <w:p w14:paraId="0EB75BF4">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注：如按照电子化投标操作教材制作完成的电子化响应文件无法上传的，响应人应在投标截止时间前尽早的联系中心技术人员，以便有充分的时间进行处理。响应人应充分考虑到处理技术问题和上传数据等工作所需的时间问题，响应文件未在投标截止时间前成功上传的，其响应文件不予接收。</w:t>
            </w:r>
          </w:p>
          <w:p w14:paraId="62DB2783">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技术联系电话：400-998-0000</w:t>
            </w:r>
          </w:p>
          <w:p w14:paraId="4959DA58">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（三）电子化项目开标、解密、唱标、评标</w:t>
            </w:r>
          </w:p>
          <w:p w14:paraId="7D802E9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响应文件解密等</w:t>
            </w:r>
          </w:p>
          <w:p w14:paraId="3A288B36">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2、电子化响应文件采用一次加密方式。开标时，由响应人使用CA 证书，在规定时间内对其电子化响应文件进行解密。每位响应人的解密时间为开标时间起30 分钟内，如在规定时间内未完成解密的，其响应文件不予开标、唱标。</w:t>
            </w:r>
          </w:p>
          <w:p w14:paraId="7B113D1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3、电子化响应文件解密异常的处理</w:t>
            </w:r>
          </w:p>
          <w:p w14:paraId="002B99F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如出现响应人的电子响应文件无法解密等异常情况，响应人应及时致电代理机构说明。响应文件异常，按以下步骤进行处理：</w:t>
            </w:r>
          </w:p>
          <w:p w14:paraId="42D0922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（1）首先由技术人员进行问题排查。</w:t>
            </w:r>
          </w:p>
          <w:p w14:paraId="53D5A865">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（2）经技术人员排查后，是响应人文件自身问题导致响应文件无法解密的，该响应文件将不予接收、解密和唱标。开标会议继续进行。</w:t>
            </w:r>
          </w:p>
          <w:p w14:paraId="216EA95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3）经技术人员排查后，如果是电子化交易系统问题造成响应文件无法解密的，将由技术人员对问题进行处理。如短时间内问题无法解决的，将由代理机构向监督部门申请，经监督部门同意后，暂停开标会议，待问题解决后继续开标。</w:t>
            </w:r>
          </w:p>
          <w:p w14:paraId="18DF69D1">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4、待所有响应人响应文件解密完成后，由代理机构操作，对所有已解密响应文件进行唱标。</w:t>
            </w:r>
          </w:p>
          <w:p w14:paraId="07740D2C">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响应人应保证在开标期间电话、电脑、网络能够正常工作，响应人因停电、电脑病毒、网络堵塞等原因，未在规定的解密时间内对响应文件进行解密的，其响应文件不予接收、唱标。</w:t>
            </w:r>
          </w:p>
          <w:p w14:paraId="256E024D">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5、开标时响应人可登录到交易系统中在开标解密栏中点击报价一览表查看自己的投标报价。如对自己的唱标内容有异议的，应在响应人解密成功后10分钟内向代理机构电话质疑。代理机构在监督人员的监督下进行免提通话接受响应人的质疑并做好书面记录。响应人未在规定时间内提出质疑的，视为认可唱标内容。</w:t>
            </w:r>
          </w:p>
          <w:p w14:paraId="75D7C4B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6、评标时，磋商小组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磋商小组。</w:t>
            </w:r>
          </w:p>
          <w:p w14:paraId="519CC33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7、如磋商小组对需要回复的响应人连续三次致电未接通的，视为响应人放弃回复，磋商小组将自行对需要回复的内容进行认定。</w:t>
            </w:r>
          </w:p>
          <w:p w14:paraId="3632B9FB">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二、相关证书原件的提交</w:t>
            </w:r>
          </w:p>
          <w:p w14:paraId="39501763">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本项目实行资格后审，投标文件中要求响应人提交资质、业绩、荣誉及单位人员等相关资料原件的，响应人需将原件扫描件制作到电子投标文件中。</w:t>
            </w:r>
          </w:p>
          <w:p w14:paraId="4E7D0F91">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（1）资格评（预）审部分：资格评（预）以投标文件为准，其上传资料真实性由响应人自行承担，同时，响应人要完善主体库。</w:t>
            </w:r>
          </w:p>
          <w:p w14:paraId="5465A5D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（2）评标打分部分：评标打分部分仍按照100分制原则进行，涉及到资格审查、企业荣誉、人员业绩、企业业绩等计分部分时，以投标供应商自行上传到投标文件中的相应内容为准。</w:t>
            </w:r>
          </w:p>
          <w:p w14:paraId="0320EBAD">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3）投标文件编制部分：在招标文件中要求响应人按照投标文件格式进行投标文件编制，在投标文件编制时，应明确将投标供应商企业基本情况、资质情况、人员情况、财务情况、业绩情况编入投标文件，便于进行资格审查及评标打分。</w:t>
            </w:r>
          </w:p>
          <w:p w14:paraId="7C78D1A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（4）响应人需应仔细阅读操作手册；响应人对投标文件信息的真实性、有效性、清晰可辩性负责。</w:t>
            </w:r>
          </w:p>
          <w:p w14:paraId="22ADBDC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提示：本项目为电子化、无纸化交易项目，响应人时不再接受任何纸质资料，为保证您能投标成功，请需仔细阅读以上条款。</w:t>
            </w:r>
          </w:p>
        </w:tc>
      </w:tr>
      <w:tr w14:paraId="49B42FBB">
        <w:tblPrEx>
          <w:tblCellMar>
            <w:top w:w="0" w:type="dxa"/>
            <w:left w:w="108" w:type="dxa"/>
            <w:bottom w:w="0" w:type="dxa"/>
            <w:right w:w="108" w:type="dxa"/>
          </w:tblCellMar>
        </w:tblPrEx>
        <w:trPr>
          <w:trHeight w:val="452"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4DBD474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36</w:t>
            </w:r>
          </w:p>
        </w:tc>
        <w:tc>
          <w:tcPr>
            <w:tcW w:w="1799" w:type="dxa"/>
            <w:tcBorders>
              <w:top w:val="single" w:color="auto" w:sz="4" w:space="0"/>
              <w:left w:val="nil"/>
              <w:bottom w:val="single" w:color="auto" w:sz="4" w:space="0"/>
              <w:right w:val="single" w:color="auto" w:sz="4" w:space="0"/>
            </w:tcBorders>
            <w:noWrap w:val="0"/>
            <w:vAlign w:val="center"/>
          </w:tcPr>
          <w:p w14:paraId="5E6167C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sz w:val="24"/>
              </w:rPr>
              <w:t>解释权</w:t>
            </w:r>
          </w:p>
        </w:tc>
        <w:tc>
          <w:tcPr>
            <w:tcW w:w="6516" w:type="dxa"/>
            <w:tcBorders>
              <w:top w:val="single" w:color="auto" w:sz="4" w:space="0"/>
              <w:left w:val="nil"/>
              <w:bottom w:val="single" w:color="auto" w:sz="4" w:space="0"/>
              <w:right w:val="single" w:color="auto" w:sz="4" w:space="0"/>
            </w:tcBorders>
            <w:noWrap w:val="0"/>
            <w:vAlign w:val="top"/>
          </w:tcPr>
          <w:p w14:paraId="560EC5A2">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采购磋商阶段的规定，按竞争性磋商公告、供应商须知、评审办法、响应性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498FF0D">
        <w:tblPrEx>
          <w:tblCellMar>
            <w:top w:w="0" w:type="dxa"/>
            <w:left w:w="108" w:type="dxa"/>
            <w:bottom w:w="0" w:type="dxa"/>
            <w:right w:w="108" w:type="dxa"/>
          </w:tblCellMar>
        </w:tblPrEx>
        <w:trPr>
          <w:trHeight w:val="396"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1D9E43F0">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cs="宋体"/>
                <w:color w:val="000000"/>
                <w:spacing w:val="11"/>
                <w:sz w:val="24"/>
                <w:szCs w:val="24"/>
              </w:rPr>
            </w:pPr>
            <w:r>
              <w:rPr>
                <w:rFonts w:hint="eastAsia" w:ascii="宋体" w:hAnsi="宋体" w:cs="宋体"/>
                <w:color w:val="000000"/>
                <w:spacing w:val="11"/>
                <w:sz w:val="24"/>
                <w:szCs w:val="24"/>
              </w:rPr>
              <w:t>37</w:t>
            </w:r>
          </w:p>
        </w:tc>
        <w:tc>
          <w:tcPr>
            <w:tcW w:w="1799" w:type="dxa"/>
            <w:tcBorders>
              <w:top w:val="single" w:color="auto" w:sz="4" w:space="0"/>
              <w:left w:val="nil"/>
              <w:bottom w:val="single" w:color="auto" w:sz="4" w:space="0"/>
              <w:right w:val="single" w:color="auto" w:sz="4" w:space="0"/>
            </w:tcBorders>
            <w:noWrap w:val="0"/>
            <w:vAlign w:val="center"/>
          </w:tcPr>
          <w:p w14:paraId="3EE32644">
            <w:pPr>
              <w:keepNext w:val="0"/>
              <w:keepLines w:val="0"/>
              <w:pageBreakBefore w:val="0"/>
              <w:kinsoku/>
              <w:wordWrap/>
              <w:overflowPunct/>
              <w:topLinePunct w:val="0"/>
              <w:bidi w:val="0"/>
              <w:adjustRightInd w:val="0"/>
              <w:snapToGrid w:val="0"/>
              <w:spacing w:line="360" w:lineRule="auto"/>
              <w:jc w:val="center"/>
              <w:textAlignment w:val="auto"/>
              <w:rPr>
                <w:rFonts w:ascii="宋体" w:hAnsi="宋体" w:cs="宋体"/>
                <w:color w:val="000000"/>
                <w:sz w:val="24"/>
                <w:szCs w:val="24"/>
              </w:rPr>
            </w:pPr>
            <w:r>
              <w:rPr>
                <w:rFonts w:hint="eastAsia" w:ascii="宋体" w:hAnsi="宋体" w:cs="宋体"/>
                <w:color w:val="000000"/>
                <w:sz w:val="24"/>
                <w:szCs w:val="24"/>
              </w:rPr>
              <w:t>其他</w:t>
            </w:r>
          </w:p>
        </w:tc>
        <w:tc>
          <w:tcPr>
            <w:tcW w:w="6516" w:type="dxa"/>
            <w:tcBorders>
              <w:top w:val="single" w:color="auto" w:sz="4" w:space="0"/>
              <w:left w:val="nil"/>
              <w:bottom w:val="single" w:color="auto" w:sz="4" w:space="0"/>
              <w:right w:val="single" w:color="auto" w:sz="4" w:space="0"/>
            </w:tcBorders>
            <w:noWrap w:val="0"/>
            <w:vAlign w:val="top"/>
          </w:tcPr>
          <w:p w14:paraId="398AA444">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1、供应商应仔细阅读操作手册，因供应商操作不当造成的无法下载磋商文件一切后果，由供应商自行承担。</w:t>
            </w:r>
          </w:p>
          <w:p w14:paraId="46D6575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2、磋商所发生一切费用由各供应商自行承担，并承担相应的风险和责任。</w:t>
            </w:r>
          </w:p>
          <w:p w14:paraId="6BD19695">
            <w:pPr>
              <w:keepNext w:val="0"/>
              <w:keepLines w:val="0"/>
              <w:pageBreakBefore w:val="0"/>
              <w:kinsoku/>
              <w:wordWrap/>
              <w:overflowPunct/>
              <w:topLinePunct w:val="0"/>
              <w:bidi w:val="0"/>
              <w:spacing w:line="360" w:lineRule="auto"/>
              <w:jc w:val="left"/>
              <w:textAlignment w:val="auto"/>
              <w:rPr>
                <w:rFonts w:ascii="宋体" w:hAnsi="宋体" w:cs="宋体"/>
                <w:color w:val="000000"/>
                <w:sz w:val="24"/>
                <w:szCs w:val="24"/>
              </w:rPr>
            </w:pPr>
            <w:r>
              <w:rPr>
                <w:rFonts w:hint="eastAsia" w:ascii="宋体" w:hAnsi="宋体" w:eastAsia="宋体" w:cs="宋体"/>
                <w:sz w:val="24"/>
              </w:rPr>
              <w:t>3、供应商认为竞争性磋商文件、磋商过程和成交结果使自己的权益受到损害的, 可以在知道或者应知其权益受到损害之日起七个工作日内，按照政府磋商质疑和投诉办法（中华人民共和国财政部令94号）以书面形式向采购人或招标代理机构提出质疑（邮寄件、传真件</w:t>
            </w:r>
            <w:r>
              <w:rPr>
                <w:rFonts w:hint="eastAsia" w:ascii="宋体" w:hAnsi="宋体" w:cs="宋体"/>
                <w:color w:val="000000"/>
                <w:sz w:val="24"/>
                <w:szCs w:val="24"/>
              </w:rPr>
              <w:t>不予受理），逾期不再接收。</w:t>
            </w:r>
          </w:p>
        </w:tc>
      </w:tr>
      <w:tr w14:paraId="464E8FF4">
        <w:tblPrEx>
          <w:tblCellMar>
            <w:top w:w="0" w:type="dxa"/>
            <w:left w:w="108" w:type="dxa"/>
            <w:bottom w:w="0" w:type="dxa"/>
            <w:right w:w="108" w:type="dxa"/>
          </w:tblCellMar>
        </w:tblPrEx>
        <w:trPr>
          <w:trHeight w:val="587"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C63766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cs="宋体"/>
                <w:color w:val="000000"/>
                <w:spacing w:val="11"/>
                <w:sz w:val="24"/>
                <w:szCs w:val="24"/>
              </w:rPr>
            </w:pPr>
            <w:r>
              <w:rPr>
                <w:rFonts w:hint="eastAsia" w:ascii="宋体" w:hAnsi="宋体" w:cs="宋体"/>
                <w:color w:val="000000"/>
                <w:spacing w:val="11"/>
                <w:sz w:val="24"/>
                <w:szCs w:val="24"/>
              </w:rPr>
              <w:t>38</w:t>
            </w:r>
          </w:p>
        </w:tc>
        <w:tc>
          <w:tcPr>
            <w:tcW w:w="1799" w:type="dxa"/>
            <w:tcBorders>
              <w:top w:val="single" w:color="auto" w:sz="4" w:space="0"/>
              <w:left w:val="nil"/>
              <w:bottom w:val="single" w:color="auto" w:sz="4" w:space="0"/>
              <w:right w:val="single" w:color="auto" w:sz="4" w:space="0"/>
            </w:tcBorders>
            <w:noWrap w:val="0"/>
            <w:vAlign w:val="center"/>
          </w:tcPr>
          <w:p w14:paraId="0F450204">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cs="宋体"/>
                <w:color w:val="000000"/>
                <w:spacing w:val="11"/>
                <w:sz w:val="24"/>
                <w:szCs w:val="24"/>
              </w:rPr>
            </w:pPr>
            <w:r>
              <w:rPr>
                <w:rFonts w:hint="eastAsia" w:ascii="宋体" w:hAnsi="宋体" w:cs="宋体"/>
                <w:color w:val="000000"/>
                <w:spacing w:val="11"/>
                <w:sz w:val="24"/>
                <w:szCs w:val="24"/>
              </w:rPr>
              <w:t>需要补充的其他内容</w:t>
            </w:r>
          </w:p>
        </w:tc>
        <w:tc>
          <w:tcPr>
            <w:tcW w:w="6516" w:type="dxa"/>
            <w:tcBorders>
              <w:top w:val="single" w:color="auto" w:sz="4" w:space="0"/>
              <w:left w:val="nil"/>
              <w:bottom w:val="single" w:color="auto" w:sz="4" w:space="0"/>
              <w:right w:val="single" w:color="auto" w:sz="4" w:space="0"/>
            </w:tcBorders>
            <w:noWrap w:val="0"/>
            <w:vAlign w:val="top"/>
          </w:tcPr>
          <w:p w14:paraId="41C7546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1、供应商必须在规定时间内对采购人进行供货，不得拖延。</w:t>
            </w:r>
          </w:p>
          <w:p w14:paraId="6592DF3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2、供应商成交后必须向采购人提供与参数相同的的货物，如出现与参数不一致的，采购人有权拒绝签订合同。</w:t>
            </w:r>
          </w:p>
          <w:p w14:paraId="3652502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3、本项目为全电子招标，不再收取竞争性磋商文件费用。</w:t>
            </w:r>
          </w:p>
          <w:p w14:paraId="761841D9">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highlight w:val="yellow"/>
              </w:rPr>
            </w:pPr>
            <w:r>
              <w:rPr>
                <w:rFonts w:hint="eastAsia" w:ascii="宋体" w:hAnsi="宋体" w:eastAsia="宋体" w:cs="宋体"/>
                <w:sz w:val="24"/>
              </w:rPr>
              <w:t>4、</w:t>
            </w:r>
            <w:r>
              <w:rPr>
                <w:rFonts w:hint="eastAsia" w:ascii="宋体" w:hAnsi="宋体" w:eastAsia="宋体" w:cs="宋体"/>
                <w:sz w:val="24"/>
                <w:highlight w:val="none"/>
              </w:rPr>
              <w:t>成交单位领取成交通知书时须提交</w:t>
            </w:r>
            <w:r>
              <w:rPr>
                <w:rFonts w:hint="eastAsia" w:ascii="宋体" w:hAnsi="宋体" w:eastAsia="宋体" w:cs="宋体"/>
                <w:sz w:val="24"/>
                <w:highlight w:val="none"/>
                <w:lang w:val="en-US" w:eastAsia="zh-CN"/>
              </w:rPr>
              <w:t>两</w:t>
            </w:r>
            <w:r>
              <w:rPr>
                <w:rFonts w:hint="eastAsia" w:ascii="宋体" w:hAnsi="宋体" w:eastAsia="宋体" w:cs="宋体"/>
                <w:sz w:val="24"/>
                <w:highlight w:val="none"/>
              </w:rPr>
              <w:t>套纸质响应性文件（响应性文件应按以下要求装订：胶装（不得采用活页装订），应有目录，并逐页标注连续页码）。</w:t>
            </w:r>
          </w:p>
          <w:p w14:paraId="22BA043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rPr>
            </w:pPr>
            <w:r>
              <w:rPr>
                <w:rFonts w:hint="eastAsia" w:ascii="宋体" w:hAnsi="宋体" w:eastAsia="宋体" w:cs="宋体"/>
                <w:sz w:val="24"/>
              </w:rPr>
              <w:t>5、磋商文件的最终解释权归采购人。</w:t>
            </w:r>
          </w:p>
          <w:p w14:paraId="62A8D16A">
            <w:pPr>
              <w:keepNext w:val="0"/>
              <w:keepLines w:val="0"/>
              <w:pageBreakBefore w:val="0"/>
              <w:kinsoku/>
              <w:wordWrap/>
              <w:overflowPunct/>
              <w:topLinePunct w:val="0"/>
              <w:bidi w:val="0"/>
              <w:spacing w:line="360" w:lineRule="auto"/>
              <w:jc w:val="left"/>
              <w:textAlignment w:val="auto"/>
              <w:rPr>
                <w:rFonts w:hint="eastAsia" w:ascii="宋体" w:hAnsi="宋体" w:cs="宋体"/>
                <w:color w:val="000000"/>
                <w:spacing w:val="11"/>
                <w:sz w:val="24"/>
                <w:szCs w:val="24"/>
              </w:rPr>
            </w:pPr>
            <w:r>
              <w:rPr>
                <w:rFonts w:hint="eastAsia" w:ascii="宋体" w:hAnsi="宋体" w:eastAsia="宋体" w:cs="宋体"/>
                <w:sz w:val="24"/>
              </w:rPr>
              <w:t>6、其它未尽事宜，按</w:t>
            </w:r>
            <w:r>
              <w:rPr>
                <w:rFonts w:hint="eastAsia" w:ascii="宋体" w:hAnsi="宋体" w:cs="宋体"/>
                <w:sz w:val="24"/>
                <w:szCs w:val="24"/>
              </w:rPr>
              <w:t>国家有关法律、法规执行。</w:t>
            </w:r>
          </w:p>
        </w:tc>
      </w:tr>
    </w:tbl>
    <w:p w14:paraId="12C8B7DA">
      <w:pPr>
        <w:spacing w:line="360" w:lineRule="auto"/>
        <w:rPr>
          <w:rFonts w:hint="eastAsia" w:ascii="宋体" w:hAnsi="宋体" w:cs="宋体"/>
          <w:b/>
          <w:bCs/>
          <w:sz w:val="24"/>
        </w:rPr>
      </w:pPr>
      <w:bookmarkStart w:id="8" w:name="_Toc23306"/>
      <w:bookmarkEnd w:id="8"/>
      <w:bookmarkStart w:id="9" w:name="_Toc27425"/>
      <w:bookmarkEnd w:id="9"/>
      <w:bookmarkStart w:id="10" w:name="_Toc24910"/>
      <w:bookmarkStart w:id="11" w:name="_Toc4178"/>
      <w:bookmarkStart w:id="12" w:name="_Toc31207"/>
      <w:bookmarkStart w:id="13" w:name="_Toc13407"/>
      <w:bookmarkStart w:id="14" w:name="_Toc6680"/>
      <w:bookmarkStart w:id="15" w:name="_Toc21555"/>
      <w:bookmarkStart w:id="16" w:name="_Toc6992"/>
      <w:bookmarkStart w:id="17" w:name="_Toc488052441"/>
      <w:r>
        <w:rPr>
          <w:kern w:val="1"/>
        </w:rPr>
        <w:br w:type="page"/>
      </w:r>
      <w:r>
        <w:rPr>
          <w:rFonts w:hint="eastAsia" w:ascii="宋体" w:hAnsi="宋体" w:cs="宋体"/>
          <w:b/>
          <w:bCs/>
          <w:sz w:val="24"/>
        </w:rPr>
        <w:t>1、适用范围</w:t>
      </w:r>
    </w:p>
    <w:p w14:paraId="4BCDD8EB">
      <w:pPr>
        <w:spacing w:line="360" w:lineRule="auto"/>
        <w:ind w:firstLine="480" w:firstLineChars="200"/>
        <w:rPr>
          <w:rFonts w:hint="eastAsia" w:ascii="宋体" w:hAnsi="宋体" w:cs="宋体"/>
          <w:sz w:val="24"/>
        </w:rPr>
      </w:pPr>
      <w:r>
        <w:rPr>
          <w:rFonts w:hint="eastAsia" w:ascii="宋体" w:hAnsi="宋体" w:cs="宋体"/>
          <w:sz w:val="24"/>
        </w:rPr>
        <w:t>本竞争性磋商文件仅适用于本次竞争性磋商公告、竞争性磋商文件中所叙述的内容。</w:t>
      </w:r>
    </w:p>
    <w:p w14:paraId="411809CC">
      <w:pPr>
        <w:spacing w:line="360" w:lineRule="auto"/>
        <w:rPr>
          <w:rFonts w:hint="eastAsia" w:ascii="宋体" w:hAnsi="宋体" w:cs="宋体"/>
          <w:b/>
          <w:bCs/>
          <w:sz w:val="24"/>
        </w:rPr>
      </w:pPr>
      <w:r>
        <w:rPr>
          <w:rFonts w:hint="eastAsia" w:ascii="宋体" w:hAnsi="宋体" w:cs="宋体"/>
          <w:b/>
          <w:bCs/>
          <w:sz w:val="24"/>
        </w:rPr>
        <w:t>2、合格的供应商</w:t>
      </w:r>
    </w:p>
    <w:p w14:paraId="452D8093">
      <w:pPr>
        <w:spacing w:line="360" w:lineRule="auto"/>
        <w:ind w:firstLine="480" w:firstLineChars="200"/>
        <w:rPr>
          <w:rFonts w:hint="eastAsia" w:ascii="宋体" w:hAnsi="宋体" w:cs="宋体"/>
          <w:sz w:val="24"/>
        </w:rPr>
      </w:pPr>
      <w:r>
        <w:rPr>
          <w:rFonts w:hint="eastAsia" w:ascii="宋体" w:hAnsi="宋体"/>
          <w:color w:val="000000"/>
          <w:sz w:val="24"/>
        </w:rPr>
        <w:t>见供应商须知前附表</w:t>
      </w:r>
      <w:r>
        <w:rPr>
          <w:rFonts w:hint="eastAsia" w:ascii="宋体" w:hAnsi="宋体" w:cs="宋体"/>
          <w:sz w:val="24"/>
        </w:rPr>
        <w:t>。</w:t>
      </w:r>
    </w:p>
    <w:p w14:paraId="77CE12B9">
      <w:pPr>
        <w:spacing w:line="360" w:lineRule="auto"/>
        <w:rPr>
          <w:rFonts w:hint="eastAsia" w:ascii="宋体" w:hAnsi="宋体" w:cs="宋体"/>
          <w:b/>
          <w:bCs/>
          <w:sz w:val="24"/>
        </w:rPr>
      </w:pPr>
      <w:r>
        <w:rPr>
          <w:rFonts w:hint="eastAsia" w:ascii="宋体" w:hAnsi="宋体" w:cs="宋体"/>
          <w:b/>
          <w:bCs/>
          <w:sz w:val="24"/>
        </w:rPr>
        <w:t>3、其他</w:t>
      </w:r>
    </w:p>
    <w:p w14:paraId="112EF450">
      <w:pPr>
        <w:spacing w:line="360" w:lineRule="auto"/>
        <w:ind w:firstLine="480" w:firstLineChars="200"/>
        <w:rPr>
          <w:rFonts w:hint="eastAsia" w:ascii="宋体" w:hAnsi="宋体" w:cs="宋体"/>
          <w:sz w:val="24"/>
        </w:rPr>
      </w:pPr>
      <w:r>
        <w:rPr>
          <w:rFonts w:hint="eastAsia" w:ascii="宋体" w:hAnsi="宋体" w:cs="宋体"/>
          <w:sz w:val="24"/>
        </w:rPr>
        <w:t>3.1 无论磋商中的做法和结果如何，供应商均应自行承担所有与参与磋商活动有关的全部费用。</w:t>
      </w:r>
    </w:p>
    <w:p w14:paraId="7756C83B">
      <w:pPr>
        <w:spacing w:line="360" w:lineRule="auto"/>
        <w:ind w:firstLine="480" w:firstLineChars="200"/>
        <w:rPr>
          <w:rFonts w:hint="eastAsia" w:ascii="宋体" w:hAnsi="宋体" w:cs="宋体"/>
          <w:sz w:val="24"/>
        </w:rPr>
      </w:pPr>
      <w:r>
        <w:rPr>
          <w:rFonts w:hint="eastAsia" w:ascii="宋体" w:hAnsi="宋体" w:cs="宋体"/>
          <w:sz w:val="24"/>
        </w:rPr>
        <w:t>3.2 无论磋商结果如何，采购人均无向供应商解释其成交或未成交原因的义务。</w:t>
      </w:r>
    </w:p>
    <w:p w14:paraId="0066651D">
      <w:pPr>
        <w:spacing w:line="360" w:lineRule="auto"/>
        <w:rPr>
          <w:rFonts w:hint="eastAsia" w:ascii="宋体" w:hAnsi="宋体" w:cs="宋体"/>
          <w:b/>
          <w:bCs/>
          <w:sz w:val="24"/>
        </w:rPr>
      </w:pPr>
      <w:r>
        <w:rPr>
          <w:rFonts w:hint="eastAsia" w:ascii="宋体" w:hAnsi="宋体" w:cs="宋体"/>
          <w:b/>
          <w:bCs/>
          <w:sz w:val="24"/>
        </w:rPr>
        <w:t>4、竞争性磋商文件的组成</w:t>
      </w:r>
    </w:p>
    <w:p w14:paraId="0DA910FB">
      <w:pPr>
        <w:spacing w:line="360" w:lineRule="auto"/>
        <w:ind w:firstLine="480" w:firstLineChars="200"/>
        <w:rPr>
          <w:rFonts w:hint="eastAsia" w:ascii="宋体" w:hAnsi="宋体" w:cs="宋体"/>
          <w:b/>
          <w:bCs/>
          <w:sz w:val="24"/>
        </w:rPr>
      </w:pPr>
      <w:r>
        <w:rPr>
          <w:rFonts w:hint="eastAsia" w:ascii="宋体" w:hAnsi="宋体" w:cs="宋体"/>
          <w:sz w:val="24"/>
        </w:rPr>
        <w:t>4.1 竞争性磋商文件用于阐明采购项目的采购内容、磋商程序、合同草签和条款以及评定成交的标准。具体包括以下内容：</w:t>
      </w:r>
    </w:p>
    <w:p w14:paraId="68319D41">
      <w:pPr>
        <w:spacing w:line="360" w:lineRule="auto"/>
        <w:ind w:firstLine="480" w:firstLineChars="200"/>
        <w:rPr>
          <w:rFonts w:hint="eastAsia" w:ascii="宋体" w:hAnsi="宋体" w:cs="宋体"/>
          <w:sz w:val="24"/>
        </w:rPr>
      </w:pPr>
      <w:r>
        <w:rPr>
          <w:rFonts w:hint="eastAsia" w:ascii="宋体" w:hAnsi="宋体" w:cs="宋体"/>
          <w:sz w:val="24"/>
        </w:rPr>
        <w:t>（1）竞争性磋商公告</w:t>
      </w:r>
    </w:p>
    <w:p w14:paraId="0AB59568">
      <w:pPr>
        <w:spacing w:line="360" w:lineRule="auto"/>
        <w:ind w:firstLine="480" w:firstLineChars="200"/>
        <w:rPr>
          <w:rFonts w:hint="eastAsia" w:ascii="宋体" w:hAnsi="宋体" w:cs="宋体"/>
          <w:sz w:val="24"/>
        </w:rPr>
      </w:pPr>
      <w:r>
        <w:rPr>
          <w:rFonts w:hint="eastAsia" w:ascii="宋体" w:hAnsi="宋体" w:cs="宋体"/>
          <w:sz w:val="24"/>
        </w:rPr>
        <w:t>（2）供应商须知</w:t>
      </w:r>
    </w:p>
    <w:p w14:paraId="3D6BAD2A">
      <w:pPr>
        <w:spacing w:line="360" w:lineRule="auto"/>
        <w:ind w:firstLine="480" w:firstLineChars="200"/>
        <w:rPr>
          <w:rFonts w:hint="eastAsia" w:ascii="宋体" w:hAnsi="宋体" w:cs="宋体"/>
          <w:sz w:val="24"/>
        </w:rPr>
      </w:pPr>
      <w:r>
        <w:rPr>
          <w:rFonts w:hint="eastAsia" w:ascii="宋体" w:hAnsi="宋体" w:cs="宋体"/>
          <w:sz w:val="24"/>
        </w:rPr>
        <w:t>（3）评审办法</w:t>
      </w:r>
    </w:p>
    <w:p w14:paraId="1DC2BB4F">
      <w:pPr>
        <w:spacing w:line="360" w:lineRule="auto"/>
        <w:ind w:firstLine="480" w:firstLineChars="200"/>
        <w:rPr>
          <w:rFonts w:hint="eastAsia" w:ascii="宋体" w:hAnsi="宋体" w:cs="宋体"/>
          <w:sz w:val="24"/>
        </w:rPr>
      </w:pPr>
      <w:r>
        <w:rPr>
          <w:rFonts w:hint="eastAsia" w:ascii="宋体" w:hAnsi="宋体" w:cs="宋体"/>
          <w:sz w:val="24"/>
        </w:rPr>
        <w:t>（4）采购内容及要求</w:t>
      </w:r>
    </w:p>
    <w:p w14:paraId="4EBF4225">
      <w:pPr>
        <w:spacing w:line="360" w:lineRule="auto"/>
        <w:ind w:firstLine="480" w:firstLineChars="200"/>
        <w:rPr>
          <w:rFonts w:hint="eastAsia" w:ascii="宋体" w:hAnsi="宋体" w:cs="宋体"/>
          <w:sz w:val="24"/>
        </w:rPr>
      </w:pPr>
      <w:r>
        <w:rPr>
          <w:rFonts w:hint="eastAsia" w:ascii="宋体" w:hAnsi="宋体" w:cs="宋体"/>
          <w:sz w:val="24"/>
        </w:rPr>
        <w:t>（5）合同条款及格式</w:t>
      </w:r>
    </w:p>
    <w:p w14:paraId="6E9A6C4E">
      <w:pPr>
        <w:spacing w:line="360" w:lineRule="auto"/>
        <w:ind w:firstLine="480" w:firstLineChars="200"/>
        <w:rPr>
          <w:rFonts w:hint="eastAsia" w:ascii="宋体" w:hAnsi="宋体" w:cs="宋体"/>
          <w:sz w:val="24"/>
        </w:rPr>
      </w:pPr>
      <w:r>
        <w:rPr>
          <w:rFonts w:hint="eastAsia" w:ascii="宋体" w:hAnsi="宋体" w:cs="宋体"/>
          <w:sz w:val="24"/>
        </w:rPr>
        <w:t>（6）响应性文件格式</w:t>
      </w:r>
    </w:p>
    <w:p w14:paraId="14EE1781">
      <w:pPr>
        <w:spacing w:line="360" w:lineRule="auto"/>
        <w:ind w:firstLine="480" w:firstLineChars="200"/>
        <w:rPr>
          <w:rFonts w:hint="eastAsia" w:ascii="宋体" w:hAnsi="宋体" w:cs="宋体"/>
          <w:sz w:val="24"/>
        </w:rPr>
      </w:pPr>
      <w:r>
        <w:rPr>
          <w:rFonts w:hint="eastAsia" w:ascii="宋体" w:hAnsi="宋体" w:cs="宋体"/>
          <w:sz w:val="24"/>
        </w:rPr>
        <w:t>4.2 竞争性磋商文件以中文编印，且以中文为准。</w:t>
      </w:r>
    </w:p>
    <w:p w14:paraId="222FB92A">
      <w:pPr>
        <w:spacing w:line="360" w:lineRule="auto"/>
        <w:ind w:firstLine="480" w:firstLineChars="200"/>
        <w:rPr>
          <w:rFonts w:hint="eastAsia" w:ascii="宋体" w:hAnsi="宋体" w:cs="宋体"/>
          <w:sz w:val="24"/>
        </w:rPr>
      </w:pPr>
      <w:r>
        <w:rPr>
          <w:rFonts w:hint="eastAsia" w:ascii="宋体" w:hAnsi="宋体" w:cs="宋体"/>
          <w:sz w:val="24"/>
        </w:rPr>
        <w:t>4.3 除非有特殊要求，竞争性磋商文件不单独提供项目所在地的自然环境、气候条件、公用设施等情况，供应商被视为熟悉上述与履行合同有关的一切情况。</w:t>
      </w:r>
    </w:p>
    <w:p w14:paraId="62A5D93D">
      <w:pPr>
        <w:spacing w:line="360" w:lineRule="auto"/>
        <w:ind w:firstLine="480" w:firstLineChars="200"/>
        <w:rPr>
          <w:rFonts w:hint="eastAsia" w:ascii="宋体" w:hAnsi="宋体" w:cs="宋体"/>
          <w:sz w:val="24"/>
        </w:rPr>
      </w:pPr>
      <w:r>
        <w:rPr>
          <w:rFonts w:hint="eastAsia" w:ascii="宋体" w:hAnsi="宋体" w:cs="宋体"/>
          <w:sz w:val="24"/>
        </w:rPr>
        <w:t>4.4 竞争性磋商文件的澄清和修改</w:t>
      </w:r>
    </w:p>
    <w:p w14:paraId="4CAF3947">
      <w:pPr>
        <w:spacing w:line="360" w:lineRule="auto"/>
        <w:ind w:firstLine="480" w:firstLineChars="200"/>
        <w:rPr>
          <w:rFonts w:hint="eastAsia" w:ascii="宋体" w:hAnsi="宋体" w:cs="宋体"/>
          <w:sz w:val="24"/>
        </w:rPr>
      </w:pPr>
      <w:r>
        <w:rPr>
          <w:rFonts w:hint="eastAsia" w:ascii="宋体" w:hAnsi="宋体" w:cs="宋体"/>
          <w:sz w:val="24"/>
        </w:rPr>
        <w:t>4.4.1供应商对竞争性磋商文件如有需要澄清或疑问，应当在系统内提出。代理机构将视情况在响应性文件递交截止时间五日前以公告形式予以答复。</w:t>
      </w:r>
    </w:p>
    <w:p w14:paraId="3B7CF358">
      <w:pPr>
        <w:spacing w:line="360" w:lineRule="auto"/>
        <w:ind w:firstLine="480" w:firstLineChars="200"/>
        <w:rPr>
          <w:rFonts w:hint="eastAsia" w:ascii="宋体" w:hAnsi="宋体" w:cs="宋体"/>
          <w:sz w:val="24"/>
        </w:rPr>
      </w:pPr>
      <w:r>
        <w:rPr>
          <w:rFonts w:hint="eastAsia" w:ascii="宋体" w:hAnsi="宋体" w:cs="宋体"/>
          <w:sz w:val="24"/>
        </w:rPr>
        <w:t>4.4.2在竞争性磋商文件中所述的响应性文件递交截止时间五日前，代理机构可主动地或在解答供应商提出的澄清问题时对竞争性磋商文件进行修改。</w:t>
      </w:r>
    </w:p>
    <w:p w14:paraId="3018599D">
      <w:pPr>
        <w:spacing w:line="360" w:lineRule="auto"/>
        <w:ind w:firstLine="480" w:firstLineChars="200"/>
        <w:rPr>
          <w:rFonts w:hint="eastAsia" w:ascii="宋体" w:hAnsi="宋体" w:cs="宋体"/>
          <w:sz w:val="24"/>
        </w:rPr>
      </w:pPr>
      <w:r>
        <w:rPr>
          <w:rFonts w:hint="eastAsia" w:ascii="宋体" w:hAnsi="宋体" w:cs="宋体"/>
          <w:sz w:val="24"/>
        </w:rPr>
        <w:t>4.4.3竞争性磋商文件的修改将以公告形式予以修改，并构成竞争性磋商文件的一部分，对所有供应商均具有约束力。</w:t>
      </w:r>
    </w:p>
    <w:p w14:paraId="68D54B13">
      <w:pPr>
        <w:spacing w:line="360" w:lineRule="auto"/>
        <w:ind w:firstLine="480" w:firstLineChars="200"/>
        <w:rPr>
          <w:rFonts w:hint="eastAsia" w:ascii="宋体" w:hAnsi="宋体" w:cs="宋体"/>
          <w:sz w:val="24"/>
        </w:rPr>
      </w:pPr>
      <w:r>
        <w:rPr>
          <w:rFonts w:hint="eastAsia" w:ascii="宋体" w:hAnsi="宋体" w:cs="宋体"/>
          <w:sz w:val="24"/>
        </w:rPr>
        <w:t>4.4.4供应商应及时查看三门峡市公共资源交易中心网上发布的信息。</w:t>
      </w:r>
    </w:p>
    <w:p w14:paraId="60B1BF26">
      <w:pPr>
        <w:spacing w:line="360" w:lineRule="auto"/>
        <w:ind w:firstLine="480" w:firstLineChars="200"/>
        <w:rPr>
          <w:rFonts w:hint="eastAsia" w:ascii="宋体" w:hAnsi="宋体" w:cs="宋体"/>
          <w:sz w:val="24"/>
        </w:rPr>
      </w:pPr>
      <w:r>
        <w:rPr>
          <w:rFonts w:hint="eastAsia" w:ascii="宋体" w:hAnsi="宋体" w:cs="宋体"/>
          <w:sz w:val="24"/>
        </w:rPr>
        <w:t>4.4.5为使供应商有充分的时间对竞争性磋商文件的修改部分进行研究，代理机构可适当延长响应性文件递交截止时间。</w:t>
      </w:r>
    </w:p>
    <w:p w14:paraId="53266FF7">
      <w:pPr>
        <w:spacing w:line="360" w:lineRule="auto"/>
        <w:rPr>
          <w:rFonts w:hint="eastAsia" w:ascii="宋体" w:hAnsi="宋体" w:cs="宋体"/>
          <w:b/>
          <w:bCs/>
          <w:sz w:val="24"/>
        </w:rPr>
      </w:pPr>
      <w:r>
        <w:rPr>
          <w:rFonts w:hint="eastAsia" w:ascii="宋体" w:hAnsi="宋体" w:cs="宋体"/>
          <w:b/>
          <w:bCs/>
          <w:sz w:val="24"/>
        </w:rPr>
        <w:t>5、响应性文件的组成</w:t>
      </w:r>
    </w:p>
    <w:p w14:paraId="2B88C297">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"_Toc77596812" </w:instrText>
      </w:r>
      <w:r>
        <w:rPr>
          <w:rFonts w:ascii="宋体" w:hAnsi="宋体" w:cs="宋体"/>
          <w:sz w:val="24"/>
          <w:highlight w:val="none"/>
        </w:rPr>
        <w:fldChar w:fldCharType="separate"/>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）磋商函及磋商报价表</w:t>
      </w:r>
      <w:r>
        <w:rPr>
          <w:rFonts w:ascii="宋体" w:hAnsi="宋体" w:cs="宋体"/>
          <w:sz w:val="24"/>
          <w:highlight w:val="none"/>
        </w:rPr>
        <w:fldChar w:fldCharType="end"/>
      </w:r>
    </w:p>
    <w:p w14:paraId="683A2EF4">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"_Toc77596814" </w:instrText>
      </w:r>
      <w:r>
        <w:rPr>
          <w:rFonts w:ascii="宋体" w:hAnsi="宋体" w:cs="宋体"/>
          <w:sz w:val="24"/>
          <w:highlight w:val="none"/>
        </w:rPr>
        <w:fldChar w:fldCharType="separate"/>
      </w:r>
      <w:r>
        <w:rPr>
          <w:rFonts w:hint="eastAsia" w:ascii="宋体" w:hAnsi="宋体" w:cs="宋体"/>
          <w:sz w:val="24"/>
          <w:highlight w:val="none"/>
          <w:lang w:eastAsia="zh-CN"/>
        </w:rPr>
        <w:t>（</w:t>
      </w:r>
      <w:r>
        <w:rPr>
          <w:rFonts w:hint="eastAsia" w:ascii="宋体" w:hAnsi="宋体" w:cs="宋体"/>
          <w:sz w:val="24"/>
          <w:highlight w:val="none"/>
          <w:lang w:val="en-US" w:eastAsia="zh-CN"/>
        </w:rPr>
        <w:t>2）技术参数偏离表</w:t>
      </w:r>
      <w:r>
        <w:rPr>
          <w:rFonts w:ascii="宋体" w:hAnsi="宋体" w:cs="宋体"/>
          <w:sz w:val="24"/>
          <w:highlight w:val="none"/>
        </w:rPr>
        <w:fldChar w:fldCharType="end"/>
      </w:r>
    </w:p>
    <w:p w14:paraId="326013FF">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"_Toc77596816" </w:instrText>
      </w:r>
      <w:r>
        <w:rPr>
          <w:rFonts w:ascii="宋体" w:hAnsi="宋体" w:cs="宋体"/>
          <w:sz w:val="24"/>
          <w:highlight w:val="none"/>
        </w:rPr>
        <w:fldChar w:fldCharType="separate"/>
      </w: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）法定代表人身份证明</w:t>
      </w:r>
      <w:r>
        <w:rPr>
          <w:rFonts w:ascii="宋体" w:hAnsi="宋体" w:cs="宋体"/>
          <w:sz w:val="24"/>
          <w:highlight w:val="none"/>
        </w:rPr>
        <w:fldChar w:fldCharType="end"/>
      </w:r>
    </w:p>
    <w:p w14:paraId="18AFB023">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"_Toc77596819" </w:instrText>
      </w:r>
      <w:r>
        <w:rPr>
          <w:rFonts w:ascii="宋体" w:hAnsi="宋体" w:cs="宋体"/>
          <w:sz w:val="24"/>
          <w:highlight w:val="none"/>
        </w:rPr>
        <w:fldChar w:fldCharType="separate"/>
      </w: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）磋商保证承诺函</w:t>
      </w:r>
      <w:r>
        <w:rPr>
          <w:rFonts w:ascii="宋体" w:hAnsi="宋体" w:cs="宋体"/>
          <w:sz w:val="24"/>
          <w:highlight w:val="none"/>
        </w:rPr>
        <w:fldChar w:fldCharType="end"/>
      </w:r>
    </w:p>
    <w:p w14:paraId="2F9CAA67">
      <w:pPr>
        <w:spacing w:line="360" w:lineRule="auto"/>
        <w:ind w:firstLine="480" w:firstLineChars="200"/>
        <w:rPr>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"_Toc77596820" </w:instrText>
      </w:r>
      <w:r>
        <w:rPr>
          <w:rFonts w:ascii="宋体" w:hAnsi="宋体" w:cs="宋体"/>
          <w:sz w:val="24"/>
          <w:highlight w:val="none"/>
        </w:rPr>
        <w:fldChar w:fldCharType="separate"/>
      </w: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lang w:val="en-US" w:eastAsia="zh-CN"/>
        </w:rPr>
        <w:t>磋商供应商承诺书</w:t>
      </w:r>
      <w:r>
        <w:rPr>
          <w:rFonts w:ascii="宋体" w:hAnsi="宋体" w:cs="宋体"/>
          <w:sz w:val="24"/>
          <w:highlight w:val="none"/>
        </w:rPr>
        <w:fldChar w:fldCharType="end"/>
      </w:r>
    </w:p>
    <w:p w14:paraId="5703BF13">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"_Toc77596820" </w:instrText>
      </w:r>
      <w:r>
        <w:rPr>
          <w:rFonts w:ascii="宋体" w:hAnsi="宋体" w:cs="宋体"/>
          <w:sz w:val="24"/>
          <w:highlight w:val="none"/>
        </w:rPr>
        <w:fldChar w:fldCharType="separate"/>
      </w:r>
      <w:r>
        <w:rPr>
          <w:rFonts w:hint="eastAsia" w:ascii="宋体" w:hAnsi="宋体" w:cs="宋体"/>
          <w:sz w:val="24"/>
          <w:highlight w:val="none"/>
          <w:lang w:eastAsia="zh-CN"/>
        </w:rPr>
        <w:t>（</w:t>
      </w:r>
      <w:r>
        <w:rPr>
          <w:rFonts w:hint="eastAsia" w:ascii="宋体" w:hAnsi="宋体" w:cs="宋体"/>
          <w:sz w:val="24"/>
          <w:highlight w:val="none"/>
          <w:lang w:val="en-US" w:eastAsia="zh-CN"/>
        </w:rPr>
        <w:t>6</w:t>
      </w:r>
      <w:r>
        <w:rPr>
          <w:rFonts w:hint="eastAsia" w:ascii="宋体" w:hAnsi="宋体" w:cs="宋体"/>
          <w:sz w:val="24"/>
          <w:highlight w:val="none"/>
          <w:lang w:eastAsia="zh-CN"/>
        </w:rPr>
        <w:t>）</w:t>
      </w:r>
      <w:r>
        <w:rPr>
          <w:rFonts w:hint="eastAsia" w:ascii="宋体" w:hAnsi="宋体" w:cs="宋体"/>
          <w:sz w:val="24"/>
          <w:highlight w:val="none"/>
          <w:lang w:val="en-US" w:eastAsia="zh-CN"/>
        </w:rPr>
        <w:t>供应商情况</w:t>
      </w:r>
      <w:r>
        <w:rPr>
          <w:rFonts w:ascii="宋体" w:hAnsi="宋体" w:cs="宋体"/>
          <w:sz w:val="24"/>
          <w:highlight w:val="none"/>
        </w:rPr>
        <w:fldChar w:fldCharType="end"/>
      </w:r>
    </w:p>
    <w:p w14:paraId="637B3484">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"_Toc77596821" </w:instrText>
      </w:r>
      <w:r>
        <w:rPr>
          <w:rFonts w:ascii="宋体" w:hAnsi="宋体" w:cs="宋体"/>
          <w:sz w:val="24"/>
          <w:highlight w:val="none"/>
        </w:rPr>
        <w:fldChar w:fldCharType="separate"/>
      </w:r>
      <w:r>
        <w:rPr>
          <w:rFonts w:hint="eastAsia" w:ascii="宋体" w:hAnsi="宋体" w:cs="宋体"/>
          <w:sz w:val="24"/>
          <w:highlight w:val="none"/>
          <w:lang w:eastAsia="zh-CN"/>
        </w:rPr>
        <w:t>（</w:t>
      </w:r>
      <w:r>
        <w:rPr>
          <w:rFonts w:hint="eastAsia" w:ascii="宋体" w:hAnsi="宋体" w:cs="宋体"/>
          <w:sz w:val="24"/>
          <w:highlight w:val="none"/>
          <w:lang w:val="en-US" w:eastAsia="zh-CN"/>
        </w:rPr>
        <w:t>7</w:t>
      </w:r>
      <w:r>
        <w:rPr>
          <w:rFonts w:hint="eastAsia" w:ascii="宋体" w:hAnsi="宋体" w:cs="宋体"/>
          <w:sz w:val="24"/>
          <w:highlight w:val="none"/>
          <w:lang w:eastAsia="zh-CN"/>
        </w:rPr>
        <w:t>）</w:t>
      </w:r>
      <w:r>
        <w:rPr>
          <w:rFonts w:hint="eastAsia" w:ascii="宋体" w:hAnsi="宋体" w:cs="宋体"/>
          <w:sz w:val="24"/>
          <w:highlight w:val="none"/>
        </w:rPr>
        <w:t>技</w:t>
      </w:r>
      <w:r>
        <w:rPr>
          <w:rFonts w:ascii="宋体" w:hAnsi="宋体" w:cs="宋体"/>
          <w:sz w:val="24"/>
          <w:highlight w:val="none"/>
        </w:rPr>
        <w:fldChar w:fldCharType="end"/>
      </w:r>
      <w:r>
        <w:rPr>
          <w:rFonts w:hint="eastAsia" w:ascii="宋体" w:hAnsi="宋体" w:cs="宋体"/>
          <w:sz w:val="24"/>
          <w:highlight w:val="none"/>
        </w:rPr>
        <w:t>术部分</w:t>
      </w:r>
    </w:p>
    <w:p w14:paraId="53266CFF">
      <w:pPr>
        <w:spacing w:line="360" w:lineRule="auto"/>
        <w:ind w:firstLine="480" w:firstLineChars="200"/>
        <w:rPr>
          <w:rFonts w:hint="eastAsia"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"_Toc77596824" </w:instrText>
      </w:r>
      <w:r>
        <w:rPr>
          <w:rFonts w:ascii="宋体" w:hAnsi="宋体" w:cs="宋体"/>
          <w:sz w:val="24"/>
          <w:highlight w:val="none"/>
        </w:rPr>
        <w:fldChar w:fldCharType="separate"/>
      </w:r>
      <w:r>
        <w:rPr>
          <w:rFonts w:hint="eastAsia" w:ascii="宋体" w:hAnsi="宋体" w:cs="宋体"/>
          <w:sz w:val="24"/>
          <w:highlight w:val="none"/>
          <w:lang w:eastAsia="zh-CN"/>
        </w:rPr>
        <w:t>（</w:t>
      </w:r>
      <w:r>
        <w:rPr>
          <w:rFonts w:hint="eastAsia" w:ascii="宋体" w:hAnsi="宋体" w:cs="宋体"/>
          <w:sz w:val="24"/>
          <w:highlight w:val="none"/>
          <w:lang w:val="en-US" w:eastAsia="zh-CN"/>
        </w:rPr>
        <w:t>8</w:t>
      </w:r>
      <w:r>
        <w:rPr>
          <w:rFonts w:hint="eastAsia" w:ascii="宋体" w:hAnsi="宋体" w:cs="宋体"/>
          <w:sz w:val="24"/>
          <w:highlight w:val="none"/>
          <w:lang w:eastAsia="zh-CN"/>
        </w:rPr>
        <w:t>）</w:t>
      </w:r>
      <w:r>
        <w:rPr>
          <w:rFonts w:hint="eastAsia" w:ascii="宋体" w:hAnsi="宋体" w:cs="宋体"/>
          <w:sz w:val="24"/>
          <w:highlight w:val="none"/>
        </w:rPr>
        <w:t>商</w:t>
      </w:r>
      <w:r>
        <w:rPr>
          <w:rFonts w:ascii="宋体" w:hAnsi="宋体" w:cs="宋体"/>
          <w:sz w:val="24"/>
          <w:highlight w:val="none"/>
        </w:rPr>
        <w:fldChar w:fldCharType="end"/>
      </w:r>
      <w:r>
        <w:rPr>
          <w:rFonts w:hint="eastAsia" w:ascii="宋体" w:hAnsi="宋体" w:cs="宋体"/>
          <w:sz w:val="24"/>
          <w:highlight w:val="none"/>
        </w:rPr>
        <w:t>务部分</w:t>
      </w:r>
    </w:p>
    <w:p w14:paraId="5086AFCF">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"_Toc77596828" </w:instrText>
      </w:r>
      <w:r>
        <w:rPr>
          <w:rFonts w:ascii="宋体" w:hAnsi="宋体" w:cs="宋体"/>
          <w:sz w:val="24"/>
          <w:highlight w:val="none"/>
        </w:rPr>
        <w:fldChar w:fldCharType="separate"/>
      </w:r>
      <w:r>
        <w:rPr>
          <w:rFonts w:hint="eastAsia" w:ascii="宋体" w:hAnsi="宋体" w:cs="宋体"/>
          <w:sz w:val="24"/>
          <w:highlight w:val="none"/>
          <w:lang w:eastAsia="zh-CN"/>
        </w:rPr>
        <w:t>（</w:t>
      </w:r>
      <w:r>
        <w:rPr>
          <w:rFonts w:hint="eastAsia" w:ascii="宋体" w:hAnsi="宋体" w:cs="宋体"/>
          <w:sz w:val="24"/>
          <w:highlight w:val="none"/>
          <w:lang w:val="en-US" w:eastAsia="zh-CN"/>
        </w:rPr>
        <w:t>9</w:t>
      </w:r>
      <w:r>
        <w:rPr>
          <w:rFonts w:hint="eastAsia" w:ascii="宋体" w:hAnsi="宋体" w:cs="宋体"/>
          <w:sz w:val="24"/>
          <w:highlight w:val="none"/>
          <w:lang w:eastAsia="zh-CN"/>
        </w:rPr>
        <w:t>）</w:t>
      </w:r>
      <w:r>
        <w:rPr>
          <w:rFonts w:hint="eastAsia" w:ascii="宋体" w:hAnsi="宋体" w:cs="宋体"/>
          <w:sz w:val="24"/>
          <w:highlight w:val="none"/>
        </w:rPr>
        <w:t>其他资料</w:t>
      </w:r>
      <w:r>
        <w:rPr>
          <w:rFonts w:ascii="宋体" w:hAnsi="宋体" w:cs="宋体"/>
          <w:sz w:val="24"/>
          <w:highlight w:val="none"/>
        </w:rPr>
        <w:fldChar w:fldCharType="end"/>
      </w:r>
    </w:p>
    <w:p w14:paraId="5F27FFBC">
      <w:pPr>
        <w:shd w:val="clear" w:color="auto" w:fill="FFFFFF"/>
        <w:tabs>
          <w:tab w:val="right" w:pos="6077"/>
        </w:tabs>
        <w:autoSpaceDE w:val="0"/>
        <w:autoSpaceDN w:val="0"/>
        <w:spacing w:line="360" w:lineRule="auto"/>
        <w:rPr>
          <w:rFonts w:hint="eastAsia" w:ascii="宋体" w:hAnsi="宋体" w:cs="宋体"/>
          <w:sz w:val="24"/>
        </w:rPr>
      </w:pPr>
      <w:r>
        <w:rPr>
          <w:rFonts w:hint="eastAsia" w:ascii="宋体" w:hAnsi="宋体" w:cs="宋体"/>
          <w:b/>
          <w:bCs/>
          <w:sz w:val="24"/>
        </w:rPr>
        <w:t>6、</w:t>
      </w:r>
      <w:r>
        <w:rPr>
          <w:rFonts w:hint="eastAsia" w:ascii="宋体" w:hAnsi="宋体" w:cs="宋体"/>
          <w:b/>
          <w:sz w:val="24"/>
        </w:rPr>
        <w:t>响应性文件的编制</w:t>
      </w:r>
    </w:p>
    <w:p w14:paraId="7E2B61E7">
      <w:pPr>
        <w:shd w:val="clear" w:color="auto" w:fill="FFFFFF"/>
        <w:tabs>
          <w:tab w:val="right" w:pos="6077"/>
        </w:tabs>
        <w:autoSpaceDE w:val="0"/>
        <w:autoSpaceDN w:val="0"/>
        <w:spacing w:line="360" w:lineRule="auto"/>
        <w:rPr>
          <w:rFonts w:hint="eastAsia" w:ascii="宋体" w:hAnsi="宋体" w:cs="宋体"/>
          <w:color w:val="000000"/>
          <w:sz w:val="24"/>
        </w:rPr>
      </w:pPr>
      <w:r>
        <w:rPr>
          <w:rFonts w:hint="eastAsia" w:ascii="宋体" w:hAnsi="宋体" w:cs="宋体"/>
          <w:sz w:val="24"/>
        </w:rPr>
        <w:t xml:space="preserve">  </w:t>
      </w:r>
      <w:r>
        <w:rPr>
          <w:rFonts w:hint="eastAsia" w:ascii="宋体" w:hAnsi="宋体" w:cs="宋体"/>
          <w:color w:val="000000"/>
          <w:sz w:val="24"/>
        </w:rPr>
        <w:t xml:space="preserve"> 6.1响应性文件应按 “响应性文件格式”进行编写，如有必要，可以增加附页，作为响应性文件的组成部分。</w:t>
      </w:r>
    </w:p>
    <w:p w14:paraId="4F9985D0">
      <w:pPr>
        <w:shd w:val="clear" w:color="auto" w:fill="FFFFFF"/>
        <w:tabs>
          <w:tab w:val="right" w:pos="6077"/>
        </w:tabs>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6.2响应性文件应当对磋商文件有关交货期、磋商有效期、质量要求、采购内容技术参数及要求等实质性内容作出响应。</w:t>
      </w:r>
    </w:p>
    <w:p w14:paraId="64EF538F">
      <w:pPr>
        <w:shd w:val="clear" w:color="auto" w:fill="FFFFFF"/>
        <w:tabs>
          <w:tab w:val="right" w:pos="6077"/>
        </w:tabs>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6.3供应商在生成电子化响应性文件后，应对电子化响应性文件进行签章，未进行签章的视为无效响应。</w:t>
      </w:r>
    </w:p>
    <w:p w14:paraId="133FDFA4">
      <w:pPr>
        <w:shd w:val="clear" w:color="auto" w:fill="FFFFFF"/>
        <w:tabs>
          <w:tab w:val="right" w:pos="6077"/>
        </w:tabs>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6.4磋商文件中要求签章的，供应商在进行电子化响应性文件签章时，以单位和法定代表人电子签章为准。</w:t>
      </w:r>
    </w:p>
    <w:p w14:paraId="3378FBD5">
      <w:pPr>
        <w:shd w:val="clear" w:color="auto" w:fill="FFFFFF"/>
        <w:tabs>
          <w:tab w:val="right" w:pos="6077"/>
        </w:tabs>
        <w:autoSpaceDE w:val="0"/>
        <w:autoSpaceDN w:val="0"/>
        <w:spacing w:line="360" w:lineRule="auto"/>
        <w:rPr>
          <w:rFonts w:ascii="宋体" w:hAnsi="宋体" w:cs="宋体"/>
          <w:b/>
          <w:kern w:val="1"/>
          <w:sz w:val="24"/>
        </w:rPr>
      </w:pPr>
      <w:r>
        <w:rPr>
          <w:rFonts w:hint="eastAsia" w:ascii="宋体" w:hAnsi="宋体" w:cs="宋体"/>
          <w:b/>
          <w:bCs/>
          <w:sz w:val="24"/>
        </w:rPr>
        <w:t>7、</w:t>
      </w:r>
      <w:r>
        <w:rPr>
          <w:rFonts w:hint="eastAsia" w:ascii="宋体" w:hAnsi="宋体" w:cs="宋体"/>
          <w:b/>
          <w:kern w:val="1"/>
          <w:sz w:val="24"/>
        </w:rPr>
        <w:t>响应性文件的递交</w:t>
      </w:r>
    </w:p>
    <w:p w14:paraId="00F4CBFB">
      <w:pPr>
        <w:spacing w:line="360" w:lineRule="auto"/>
        <w:ind w:left="420"/>
        <w:contextualSpacing/>
        <w:rPr>
          <w:rFonts w:hint="eastAsia" w:ascii="宋体" w:hAnsi="宋体" w:cs="宋体"/>
          <w:color w:val="000000"/>
          <w:kern w:val="1"/>
          <w:sz w:val="24"/>
        </w:rPr>
      </w:pPr>
      <w:r>
        <w:rPr>
          <w:rFonts w:hint="eastAsia" w:ascii="宋体" w:hAnsi="宋体" w:cs="宋体"/>
          <w:color w:val="000000"/>
          <w:kern w:val="1"/>
          <w:sz w:val="24"/>
        </w:rPr>
        <w:t>7.1供应商所上传的电子化响应性文件，应是通过中心投标文件制作系统制作的（投</w:t>
      </w:r>
    </w:p>
    <w:p w14:paraId="16AA3E99">
      <w:pPr>
        <w:spacing w:line="360" w:lineRule="auto"/>
        <w:contextualSpacing/>
        <w:rPr>
          <w:rFonts w:ascii="宋体" w:hAnsi="宋体" w:cs="宋体"/>
          <w:color w:val="000000"/>
          <w:kern w:val="1"/>
          <w:sz w:val="24"/>
        </w:rPr>
      </w:pPr>
      <w:r>
        <w:rPr>
          <w:rFonts w:hint="eastAsia" w:ascii="宋体" w:hAnsi="宋体" w:cs="宋体"/>
          <w:color w:val="000000"/>
          <w:kern w:val="1"/>
          <w:sz w:val="24"/>
        </w:rPr>
        <w:t>标文件制作工具下载地址：https://download.bqpoint.com/download/downloaddetail.html?SourceFrom=Ztb&amp;ZtbSoftXiaQuCode=1506&amp;ZtbSoftType=tballinclusive），经过签章和加密后生成的电子版响应性文件。生成的电子版响应性文件包含用于响应性文件上传的主文件和用于应急补救的响应性文件备份文件，备份文件主要用于电子化开标出现技术问题后的补救。</w:t>
      </w:r>
    </w:p>
    <w:p w14:paraId="23B09778">
      <w:pPr>
        <w:shd w:val="clear" w:color="auto" w:fill="FFFFFF"/>
        <w:tabs>
          <w:tab w:val="right" w:pos="6077"/>
        </w:tabs>
        <w:autoSpaceDE w:val="0"/>
        <w:autoSpaceDN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7.2电子化响应性文件应在磋商截止时间前成功上传至三门峡市公共资源电子化交易系统。至磋商截止时间止，仍未上传成功的电子化响应性文件将不予接收。</w:t>
      </w:r>
    </w:p>
    <w:p w14:paraId="0C919965">
      <w:pPr>
        <w:shd w:val="clear" w:color="auto" w:fill="FFFFFF"/>
        <w:tabs>
          <w:tab w:val="right" w:pos="6077"/>
        </w:tabs>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注：如按照电子化投标操作教材制作完成的电子化响应性文件无法上传的，供应商应在磋商截止时间前尽早的联系中心技术人员，以便有充分的时间进行处理。供应商应充分考虑到处理技术问题和上传数据等工作所需的时间问题，响应性文件未在磋商截止时间前成功上传的，其响应性文件不予接收。</w:t>
      </w:r>
    </w:p>
    <w:p w14:paraId="6EFAF890">
      <w:pPr>
        <w:shd w:val="clear" w:color="auto" w:fill="FFFFFF"/>
        <w:tabs>
          <w:tab w:val="right" w:pos="6077"/>
        </w:tabs>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技术联系电话：0398-3117080</w:t>
      </w:r>
    </w:p>
    <w:p w14:paraId="42462F42">
      <w:pPr>
        <w:shd w:val="clear" w:color="auto" w:fill="FFFFFF"/>
        <w:tabs>
          <w:tab w:val="right" w:pos="6077"/>
        </w:tabs>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新点客服电话：4009980000</w:t>
      </w:r>
    </w:p>
    <w:p w14:paraId="63DB077F">
      <w:pPr>
        <w:shd w:val="clear" w:color="auto" w:fill="FFFFFF"/>
        <w:tabs>
          <w:tab w:val="right" w:pos="6077"/>
        </w:tabs>
        <w:autoSpaceDE w:val="0"/>
        <w:autoSpaceDN w:val="0"/>
        <w:spacing w:line="360" w:lineRule="auto"/>
        <w:rPr>
          <w:rFonts w:ascii="宋体" w:hAnsi="宋体" w:cs="宋体"/>
          <w:b/>
          <w:color w:val="000000"/>
          <w:sz w:val="24"/>
        </w:rPr>
      </w:pPr>
      <w:r>
        <w:rPr>
          <w:rFonts w:hint="eastAsia" w:ascii="宋体" w:hAnsi="宋体" w:cs="宋体"/>
          <w:b/>
          <w:color w:val="000000"/>
          <w:sz w:val="24"/>
        </w:rPr>
        <w:t>8、</w:t>
      </w:r>
      <w:bookmarkStart w:id="18" w:name="_Toc530663936"/>
      <w:bookmarkEnd w:id="18"/>
      <w:bookmarkStart w:id="19" w:name="_Toc511897549"/>
      <w:bookmarkEnd w:id="19"/>
      <w:bookmarkStart w:id="20" w:name="_Toc530664092"/>
      <w:bookmarkEnd w:id="20"/>
      <w:bookmarkStart w:id="21" w:name="_Toc511663232"/>
      <w:bookmarkEnd w:id="21"/>
      <w:bookmarkStart w:id="22" w:name="_Toc531936128"/>
      <w:bookmarkEnd w:id="22"/>
      <w:bookmarkStart w:id="23" w:name="_Toc530665439"/>
      <w:bookmarkEnd w:id="23"/>
      <w:r>
        <w:rPr>
          <w:rFonts w:hint="eastAsia" w:ascii="宋体" w:hAnsi="宋体" w:cs="宋体"/>
          <w:b/>
          <w:color w:val="000000"/>
          <w:sz w:val="24"/>
        </w:rPr>
        <w:t>电子化项目开标、解密、唱标、评标</w:t>
      </w:r>
    </w:p>
    <w:p w14:paraId="7900FFCD">
      <w:pPr>
        <w:shd w:val="clear" w:color="auto" w:fill="FFFFFF"/>
        <w:tabs>
          <w:tab w:val="right" w:pos="6077"/>
        </w:tabs>
        <w:autoSpaceDE w:val="0"/>
        <w:autoSpaceDN w:val="0"/>
        <w:spacing w:line="360" w:lineRule="auto"/>
        <w:ind w:firstLine="480" w:firstLineChars="200"/>
        <w:rPr>
          <w:rFonts w:hint="eastAsia" w:ascii="宋体" w:hAnsi="宋体" w:cs="Helvetica"/>
          <w:color w:val="000000"/>
          <w:kern w:val="0"/>
          <w:sz w:val="24"/>
          <w:szCs w:val="24"/>
        </w:rPr>
      </w:pPr>
      <w:r>
        <w:rPr>
          <w:rFonts w:hint="eastAsia" w:ascii="宋体" w:hAnsi="宋体" w:cs="宋体"/>
          <w:color w:val="000000"/>
          <w:sz w:val="24"/>
        </w:rPr>
        <w:t>8.1开标当日，供应商无需到开标现场参加开标会议，供应商应当在投标截止时间前，登陆不见面开标大厅选择登陆三门峡市公共资源电子招投标系统进行登陆（网址为http://120.194.249.3</w:t>
      </w:r>
      <w:r>
        <w:rPr>
          <w:rFonts w:hint="eastAsia" w:ascii="宋体" w:hAnsi="宋体" w:cs="Helvetica"/>
          <w:color w:val="000000"/>
          <w:spacing w:val="5"/>
          <w:kern w:val="0"/>
          <w:sz w:val="24"/>
          <w:szCs w:val="24"/>
        </w:rPr>
        <w:t>6:10094/BidOpening/bidopeninghallaction/hall/login）,在线准时参加开标活动并进行响应性文件解密等。</w:t>
      </w:r>
    </w:p>
    <w:p w14:paraId="6E67CF82">
      <w:pPr>
        <w:widowControl/>
        <w:spacing w:line="360" w:lineRule="auto"/>
        <w:ind w:firstLine="375" w:firstLineChars="150"/>
        <w:rPr>
          <w:rFonts w:ascii="宋体" w:hAnsi="宋体"/>
          <w:color w:val="000000"/>
          <w:spacing w:val="5"/>
          <w:sz w:val="24"/>
        </w:rPr>
      </w:pPr>
      <w:r>
        <w:rPr>
          <w:rFonts w:hint="eastAsia" w:ascii="宋体" w:hAnsi="宋体"/>
          <w:color w:val="000000"/>
          <w:spacing w:val="5"/>
          <w:sz w:val="24"/>
        </w:rPr>
        <w:t>8.2电子化响应性文件采用一次加密方式。开标时，由供应商使用CA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206C3284">
      <w:pPr>
        <w:widowControl/>
        <w:spacing w:line="360" w:lineRule="auto"/>
        <w:ind w:firstLine="375" w:firstLineChars="150"/>
        <w:rPr>
          <w:rFonts w:ascii="宋体" w:hAnsi="宋体"/>
          <w:color w:val="000000"/>
          <w:spacing w:val="5"/>
          <w:sz w:val="24"/>
        </w:rPr>
      </w:pPr>
      <w:r>
        <w:rPr>
          <w:rFonts w:hint="eastAsia" w:ascii="宋体" w:hAnsi="宋体"/>
          <w:color w:val="000000"/>
          <w:spacing w:val="5"/>
          <w:sz w:val="24"/>
        </w:rPr>
        <w:t>8.3电子化响应性文件异常情况的处理</w:t>
      </w:r>
    </w:p>
    <w:p w14:paraId="604A4A6A">
      <w:pPr>
        <w:widowControl/>
        <w:spacing w:line="360" w:lineRule="auto"/>
        <w:ind w:firstLine="125" w:firstLineChars="50"/>
        <w:rPr>
          <w:rFonts w:ascii="宋体" w:hAnsi="宋体"/>
          <w:color w:val="000000"/>
          <w:spacing w:val="5"/>
          <w:sz w:val="24"/>
        </w:rPr>
      </w:pPr>
      <w:r>
        <w:rPr>
          <w:rFonts w:hint="eastAsia" w:ascii="宋体" w:hAnsi="宋体"/>
          <w:color w:val="000000"/>
          <w:spacing w:val="5"/>
          <w:sz w:val="24"/>
        </w:rPr>
        <w:t xml:space="preserve">   如出现供应商的电子响应性文件无法解密等异常情况，供应商应及时致电</w:t>
      </w:r>
      <w:r>
        <w:rPr>
          <w:rFonts w:hint="eastAsia" w:ascii="宋体" w:hAnsi="宋体" w:eastAsia="宋体" w:cs="宋体"/>
          <w:sz w:val="24"/>
        </w:rPr>
        <w:t>代理机构</w:t>
      </w:r>
      <w:r>
        <w:rPr>
          <w:rFonts w:hint="eastAsia" w:ascii="宋体" w:hAnsi="宋体"/>
          <w:color w:val="000000"/>
          <w:spacing w:val="5"/>
          <w:sz w:val="24"/>
        </w:rPr>
        <w:t>说明。响应性文件异常，按以下步骤进行处理：</w:t>
      </w:r>
    </w:p>
    <w:p w14:paraId="7D99183B">
      <w:pPr>
        <w:widowControl/>
        <w:spacing w:line="360" w:lineRule="auto"/>
        <w:ind w:firstLine="250" w:firstLineChars="100"/>
        <w:rPr>
          <w:rFonts w:ascii="宋体" w:hAnsi="宋体"/>
          <w:color w:val="000000"/>
          <w:spacing w:val="5"/>
          <w:sz w:val="24"/>
        </w:rPr>
      </w:pPr>
      <w:r>
        <w:rPr>
          <w:rFonts w:hint="eastAsia" w:ascii="宋体" w:hAnsi="宋体"/>
          <w:color w:val="000000"/>
          <w:spacing w:val="5"/>
          <w:sz w:val="24"/>
        </w:rPr>
        <w:t>（1）首先由技术人员进行问题排查。</w:t>
      </w:r>
    </w:p>
    <w:p w14:paraId="4AF74657">
      <w:pPr>
        <w:widowControl/>
        <w:spacing w:line="360" w:lineRule="auto"/>
        <w:ind w:firstLine="250" w:firstLineChars="100"/>
        <w:rPr>
          <w:rFonts w:ascii="宋体" w:hAnsi="宋体"/>
          <w:color w:val="000000"/>
          <w:spacing w:val="5"/>
          <w:sz w:val="24"/>
        </w:rPr>
      </w:pPr>
      <w:r>
        <w:rPr>
          <w:rFonts w:hint="eastAsia" w:ascii="宋体" w:hAnsi="宋体"/>
          <w:color w:val="000000"/>
          <w:spacing w:val="5"/>
          <w:sz w:val="24"/>
        </w:rPr>
        <w:t>（2）经技术人员排查后，是供应商文件自身问题导致投标文件无法解密的，该响应性文件将不予接收、解密和唱标。开标会议继续进行。</w:t>
      </w:r>
    </w:p>
    <w:p w14:paraId="2677D845">
      <w:pPr>
        <w:widowControl/>
        <w:spacing w:line="360" w:lineRule="auto"/>
        <w:ind w:firstLine="250" w:firstLineChars="100"/>
        <w:rPr>
          <w:rFonts w:ascii="宋体" w:hAnsi="宋体"/>
          <w:color w:val="000000"/>
          <w:spacing w:val="5"/>
          <w:sz w:val="24"/>
        </w:rPr>
      </w:pPr>
      <w:r>
        <w:rPr>
          <w:rFonts w:hint="eastAsia" w:ascii="宋体" w:hAnsi="宋体"/>
          <w:color w:val="000000"/>
          <w:spacing w:val="5"/>
          <w:sz w:val="24"/>
        </w:rPr>
        <w:t>（3）经技术人员排查后，如果是电子化交易系统问题造成响应性文件无法解密的，将由技术人员对问题进行处理。如短时间内问题无法解决的，将由</w:t>
      </w:r>
      <w:r>
        <w:rPr>
          <w:rFonts w:hint="eastAsia" w:ascii="宋体" w:hAnsi="宋体" w:eastAsia="宋体" w:cs="宋体"/>
          <w:sz w:val="24"/>
        </w:rPr>
        <w:t>代理机构</w:t>
      </w:r>
      <w:r>
        <w:rPr>
          <w:rFonts w:hint="eastAsia" w:ascii="宋体" w:hAnsi="宋体"/>
          <w:color w:val="000000"/>
          <w:spacing w:val="5"/>
          <w:sz w:val="24"/>
        </w:rPr>
        <w:t>向监督部门申请，经监督部门同意后，暂停开标会议，待问题解决后继续开标。</w:t>
      </w:r>
    </w:p>
    <w:p w14:paraId="29BD7600">
      <w:pPr>
        <w:widowControl/>
        <w:spacing w:line="360" w:lineRule="auto"/>
        <w:ind w:firstLine="375" w:firstLineChars="150"/>
        <w:rPr>
          <w:rFonts w:ascii="宋体" w:hAnsi="宋体"/>
          <w:color w:val="000000"/>
          <w:spacing w:val="5"/>
          <w:sz w:val="24"/>
        </w:rPr>
      </w:pPr>
      <w:r>
        <w:rPr>
          <w:rFonts w:hint="eastAsia" w:ascii="宋体" w:hAnsi="宋体"/>
          <w:color w:val="000000"/>
          <w:spacing w:val="5"/>
          <w:sz w:val="24"/>
        </w:rPr>
        <w:t>8.4待所有供应商响应性文件解密完成后，由</w:t>
      </w:r>
      <w:r>
        <w:rPr>
          <w:rFonts w:hint="eastAsia" w:ascii="宋体" w:hAnsi="宋体" w:eastAsia="宋体" w:cs="宋体"/>
          <w:sz w:val="24"/>
        </w:rPr>
        <w:t>代理机构</w:t>
      </w:r>
      <w:r>
        <w:rPr>
          <w:rFonts w:hint="eastAsia" w:ascii="宋体" w:hAnsi="宋体"/>
          <w:color w:val="000000"/>
          <w:spacing w:val="5"/>
          <w:sz w:val="24"/>
        </w:rPr>
        <w:t>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5528FCD8">
      <w:pPr>
        <w:widowControl/>
        <w:spacing w:line="360" w:lineRule="auto"/>
        <w:ind w:firstLine="375" w:firstLineChars="150"/>
        <w:rPr>
          <w:rFonts w:ascii="宋体" w:hAnsi="宋体"/>
          <w:color w:val="000000"/>
          <w:spacing w:val="5"/>
          <w:sz w:val="24"/>
        </w:rPr>
      </w:pPr>
      <w:r>
        <w:rPr>
          <w:rFonts w:hint="eastAsia" w:ascii="宋体" w:hAnsi="宋体"/>
          <w:color w:val="000000"/>
          <w:spacing w:val="5"/>
          <w:sz w:val="24"/>
        </w:rPr>
        <w:t>8.5开标时供应商可登录到交易系统中在开标大厅中点击开标一览表查看自己的投标报价。如对自己的唱标内容有异议的，应在唱标内容显示后10分钟内向代理机构电话质疑。</w:t>
      </w:r>
      <w:r>
        <w:rPr>
          <w:rFonts w:hint="eastAsia" w:ascii="宋体" w:hAnsi="宋体" w:eastAsia="宋体" w:cs="宋体"/>
          <w:sz w:val="24"/>
        </w:rPr>
        <w:t>代理机构</w:t>
      </w:r>
      <w:r>
        <w:rPr>
          <w:rFonts w:hint="eastAsia" w:ascii="宋体" w:hAnsi="宋体"/>
          <w:color w:val="000000"/>
          <w:spacing w:val="5"/>
          <w:sz w:val="24"/>
        </w:rPr>
        <w:t>应在监督人员的监督下进行免提通话接受供应商的质疑并做好书面记录。供应商未在规定时间内提出质疑的，视为认可唱标内容。</w:t>
      </w:r>
    </w:p>
    <w:p w14:paraId="6E54B5D9">
      <w:pPr>
        <w:widowControl/>
        <w:spacing w:line="360" w:lineRule="auto"/>
        <w:ind w:firstLine="375" w:firstLineChars="150"/>
        <w:rPr>
          <w:rFonts w:ascii="宋体" w:hAnsi="宋体"/>
          <w:color w:val="000000"/>
          <w:spacing w:val="5"/>
          <w:sz w:val="24"/>
        </w:rPr>
      </w:pPr>
      <w:r>
        <w:rPr>
          <w:rFonts w:hint="eastAsia" w:ascii="宋体" w:hAnsi="宋体"/>
          <w:color w:val="000000"/>
          <w:spacing w:val="5"/>
          <w:sz w:val="24"/>
        </w:rPr>
        <w:t>8.6评标时，</w:t>
      </w:r>
      <w:r>
        <w:rPr>
          <w:rFonts w:hint="eastAsia" w:ascii="宋体" w:hAnsi="宋体"/>
          <w:color w:val="000000"/>
          <w:spacing w:val="5"/>
          <w:sz w:val="24"/>
          <w:lang w:eastAsia="zh-CN"/>
        </w:rPr>
        <w:t>磋商小组</w:t>
      </w:r>
      <w:r>
        <w:rPr>
          <w:rFonts w:hint="eastAsia" w:ascii="宋体" w:hAnsi="宋体"/>
          <w:color w:val="000000"/>
          <w:spacing w:val="5"/>
          <w:sz w:val="24"/>
        </w:rPr>
        <w:t>对电子化响应性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w:t>
      </w:r>
      <w:r>
        <w:rPr>
          <w:rFonts w:hint="eastAsia" w:ascii="宋体" w:hAnsi="宋体"/>
          <w:color w:val="000000"/>
          <w:spacing w:val="5"/>
          <w:sz w:val="24"/>
          <w:lang w:eastAsia="zh-CN"/>
        </w:rPr>
        <w:t>磋商小组</w:t>
      </w:r>
      <w:r>
        <w:rPr>
          <w:rFonts w:hint="eastAsia" w:ascii="宋体" w:hAnsi="宋体"/>
          <w:color w:val="000000"/>
          <w:spacing w:val="5"/>
          <w:sz w:val="24"/>
        </w:rPr>
        <w:t>。</w:t>
      </w:r>
    </w:p>
    <w:p w14:paraId="1E232E4E">
      <w:pPr>
        <w:spacing w:line="480" w:lineRule="atLeast"/>
        <w:ind w:firstLine="480"/>
        <w:contextualSpacing/>
        <w:rPr>
          <w:rFonts w:hint="eastAsia" w:ascii="宋体" w:hAnsi="宋体"/>
          <w:color w:val="000000"/>
          <w:spacing w:val="5"/>
          <w:sz w:val="24"/>
        </w:rPr>
      </w:pPr>
      <w:r>
        <w:rPr>
          <w:rFonts w:hint="eastAsia" w:ascii="宋体" w:hAnsi="宋体"/>
          <w:color w:val="000000"/>
          <w:spacing w:val="5"/>
          <w:sz w:val="24"/>
        </w:rPr>
        <w:t>8.7如</w:t>
      </w:r>
      <w:r>
        <w:rPr>
          <w:rFonts w:hint="eastAsia" w:ascii="宋体" w:hAnsi="宋体"/>
          <w:color w:val="000000"/>
          <w:spacing w:val="5"/>
          <w:sz w:val="24"/>
          <w:lang w:eastAsia="zh-CN"/>
        </w:rPr>
        <w:t>磋商小组</w:t>
      </w:r>
      <w:r>
        <w:rPr>
          <w:rFonts w:hint="eastAsia" w:ascii="宋体" w:hAnsi="宋体"/>
          <w:color w:val="000000"/>
          <w:spacing w:val="5"/>
          <w:sz w:val="24"/>
        </w:rPr>
        <w:t>对需要回复的供应商连续三次致电未接通的，视为供应商放弃回复，</w:t>
      </w:r>
      <w:r>
        <w:rPr>
          <w:rFonts w:hint="eastAsia" w:ascii="宋体" w:hAnsi="宋体"/>
          <w:color w:val="000000"/>
          <w:spacing w:val="5"/>
          <w:sz w:val="24"/>
          <w:lang w:eastAsia="zh-CN"/>
        </w:rPr>
        <w:t>磋商小组</w:t>
      </w:r>
      <w:r>
        <w:rPr>
          <w:rFonts w:hint="eastAsia" w:ascii="宋体" w:hAnsi="宋体"/>
          <w:color w:val="000000"/>
          <w:spacing w:val="5"/>
          <w:sz w:val="24"/>
        </w:rPr>
        <w:t>将自行对需要回复的内容进行认定。</w:t>
      </w:r>
    </w:p>
    <w:p w14:paraId="391F6F79">
      <w:pPr>
        <w:spacing w:line="480" w:lineRule="atLeast"/>
        <w:contextualSpacing/>
        <w:rPr>
          <w:rFonts w:hint="eastAsia" w:ascii="宋体" w:hAnsi="宋体" w:cs="宋体"/>
          <w:b/>
          <w:kern w:val="1"/>
          <w:sz w:val="24"/>
        </w:rPr>
      </w:pPr>
      <w:r>
        <w:rPr>
          <w:rFonts w:hint="eastAsia" w:ascii="宋体" w:hAnsi="宋体" w:cs="宋体"/>
          <w:b/>
          <w:kern w:val="1"/>
          <w:sz w:val="24"/>
        </w:rPr>
        <w:t>9、磋商过程的保密性</w:t>
      </w:r>
    </w:p>
    <w:p w14:paraId="0E2FD079">
      <w:pPr>
        <w:spacing w:line="480" w:lineRule="atLeast"/>
        <w:ind w:firstLine="480"/>
        <w:contextualSpacing/>
        <w:rPr>
          <w:rFonts w:hint="eastAsia" w:ascii="宋体" w:hAnsi="宋体" w:cs="宋体"/>
          <w:color w:val="000000"/>
          <w:kern w:val="1"/>
          <w:sz w:val="24"/>
        </w:rPr>
      </w:pPr>
      <w:r>
        <w:rPr>
          <w:rFonts w:hint="eastAsia" w:ascii="宋体" w:hAnsi="宋体" w:cs="宋体"/>
          <w:color w:val="000000"/>
          <w:kern w:val="1"/>
          <w:sz w:val="24"/>
        </w:rPr>
        <w:t>9.1磋商期间，直到授予成交人合同止，凡是与响应性文件审查、澄清、评价、比较以及推荐成交人等方面的情况，均不得向供应商或其他无关的人员透露。</w:t>
      </w:r>
    </w:p>
    <w:p w14:paraId="59F4ED3F">
      <w:pPr>
        <w:spacing w:line="480" w:lineRule="atLeast"/>
        <w:ind w:firstLine="480"/>
        <w:contextualSpacing/>
        <w:rPr>
          <w:rFonts w:hint="eastAsia" w:ascii="宋体" w:hAnsi="宋体" w:cs="宋体"/>
          <w:color w:val="000000"/>
          <w:kern w:val="1"/>
          <w:sz w:val="24"/>
        </w:rPr>
      </w:pPr>
      <w:r>
        <w:rPr>
          <w:rFonts w:hint="eastAsia" w:ascii="宋体" w:hAnsi="宋体" w:cs="宋体"/>
          <w:color w:val="000000"/>
          <w:kern w:val="1"/>
          <w:sz w:val="24"/>
        </w:rPr>
        <w:t>9.2在磋商过程中，供应商如向磋商小组成员施加任何影响，都将会导致其磋商被拒绝，政府招标监管部门将记录其不良行为。</w:t>
      </w:r>
    </w:p>
    <w:p w14:paraId="589F5E36">
      <w:pPr>
        <w:spacing w:line="480" w:lineRule="atLeast"/>
        <w:rPr>
          <w:rFonts w:hint="eastAsia" w:ascii="宋体" w:hAnsi="宋体" w:cs="宋体"/>
          <w:b/>
          <w:bCs/>
          <w:sz w:val="24"/>
        </w:rPr>
      </w:pPr>
      <w:r>
        <w:rPr>
          <w:rFonts w:hint="eastAsia" w:ascii="宋体" w:hAnsi="宋体" w:cs="宋体"/>
          <w:b/>
          <w:bCs/>
          <w:sz w:val="24"/>
        </w:rPr>
        <w:t>10、竞争性磋商</w:t>
      </w:r>
    </w:p>
    <w:p w14:paraId="6372BABC">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10.1采购人根据本项目的特点组成磋商小组，其成员由有关方面的专家3人及以上的单数组成，磋商小组负责对响应性文件进行综合评审，推荐成交候选人。</w:t>
      </w:r>
    </w:p>
    <w:p w14:paraId="5112F1A7">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10.2整个磋商过程将严格按照 “公开、公平、公正”的原则进行。</w:t>
      </w:r>
    </w:p>
    <w:p w14:paraId="62334ED6">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10.3磋商小组首先要对各供应商的资格性、递交的响应性文件的响应性进行审阅，以判定各供应商资格、响应性文件的有效性，审阅结束后，要确定进入最终报价磋商阶段的供应商名单。</w:t>
      </w:r>
    </w:p>
    <w:p w14:paraId="28A1E74E">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10.3.1在初审阶段，属于下列情况的响应性文件将不得进入磋商阶段：</w:t>
      </w:r>
    </w:p>
    <w:p w14:paraId="26B2EC6F">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（1）供应商在生成电子化响应性文件后，应对电子化响应性文件进行签章，未进行签章的视为无效投标。</w:t>
      </w:r>
    </w:p>
    <w:p w14:paraId="7D3C9311">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（2）响应性文件中有采购人不能接受的其它条件。</w:t>
      </w:r>
    </w:p>
    <w:p w14:paraId="7E5D890B">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（3）资格不合格的供应商。</w:t>
      </w:r>
    </w:p>
    <w:p w14:paraId="212C5F93">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10.3.2在初审阶段,响应性文件出现以下情况之一者，属于重大偏差，为未能对磋商文件作出实质性响应，作废标处理：</w:t>
      </w:r>
    </w:p>
    <w:p w14:paraId="6BAC22ED">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（1）响应性文件未按规定的格式填写、内容不全。</w:t>
      </w:r>
    </w:p>
    <w:p w14:paraId="2EE13555">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（2）响应性文件中报价、</w:t>
      </w:r>
      <w:r>
        <w:rPr>
          <w:rFonts w:hint="eastAsia" w:ascii="宋体" w:hAnsi="宋体" w:cs="宋体"/>
          <w:bCs/>
          <w:color w:val="000000"/>
          <w:sz w:val="24"/>
          <w:highlight w:val="none"/>
        </w:rPr>
        <w:t>交货期</w:t>
      </w:r>
      <w:r>
        <w:rPr>
          <w:rFonts w:hint="eastAsia" w:ascii="宋体" w:hAnsi="宋体" w:cs="宋体"/>
          <w:bCs/>
          <w:color w:val="000000"/>
          <w:sz w:val="24"/>
        </w:rPr>
        <w:t>、质量等达不到磋商文件要求。</w:t>
      </w:r>
    </w:p>
    <w:p w14:paraId="20ED3C9B">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（3）响应性文件有保留或合同条款有采购人不可接受条件。</w:t>
      </w:r>
    </w:p>
    <w:p w14:paraId="5ABBA573">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（4）资格证明文件不全，或不满足磋商文件规定的供应商资质要求。</w:t>
      </w:r>
    </w:p>
    <w:p w14:paraId="619E9DA0">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10.3.3详细磋商：</w:t>
      </w:r>
    </w:p>
    <w:p w14:paraId="7941CC5B">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（1）磋商小组首先要对各供应商的资格性、递交的响应性文件的响应性进行审阅，以判定各供应商资格、响应性文件的有效性，审阅结束后，要确定进入最终报价磋商阶段的供应商名单。</w:t>
      </w:r>
    </w:p>
    <w:p w14:paraId="2E0B75E2">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2）磋商小组集中与单一供应商分别进行磋商。在磋商中，磋商双方可以就磋商项目所涉及的价格、技术、服务等进行实质性磋商，但磋商的任何一方不得透露与磋商有关的其他供应商的商业秘密、技术资料、价格和其他信息，不得变动磋商文件中的其他内容。</w:t>
      </w:r>
    </w:p>
    <w:p w14:paraId="2CD2AE26">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3）磋商小组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D5374A1">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（4）磋商小组要求供应商澄清、说明或者更正响应性文件应当在系统内作出。</w:t>
      </w:r>
    </w:p>
    <w:p w14:paraId="183CB025">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5）在磋商过程中，磋商小组可以根据磋商文件和磋商情况实质性变动磋商需求中的技术、服务要求以及合同草案条款，但不得变动磋商文件中的其他内容。实质性变动的内容，须经采购人代表确认。对磋商文件作出的实质性变动是磋商文件的有效组成部分，磋商小组应当在系统内通知所有参加磋商的供应商。</w:t>
      </w:r>
    </w:p>
    <w:p w14:paraId="4F6E8EDD">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6）磋商文件不能详细列明招标标的的技术、服务要求，需经磋商由供应商提供最终服务方案或解决方案的，磋商结束后，磋商小组应当按照少数服从多数的原则投票推荐2家或以上供应商的服务方案或者解决方案，并要求其在规定时间内提交最后报价。</w:t>
      </w:r>
    </w:p>
    <w:p w14:paraId="570BBA9D">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w:t>
      </w:r>
      <w:r>
        <w:rPr>
          <w:rFonts w:hint="eastAsia" w:ascii="宋体" w:hAnsi="宋体" w:cs="宋体"/>
          <w:bCs/>
          <w:color w:val="000000"/>
          <w:sz w:val="24"/>
          <w:lang w:val="en-US" w:eastAsia="zh-CN"/>
        </w:rPr>
        <w:t>7</w:t>
      </w:r>
      <w:r>
        <w:rPr>
          <w:rFonts w:hint="eastAsia" w:ascii="宋体" w:hAnsi="宋体" w:cs="宋体"/>
          <w:bCs/>
          <w:color w:val="000000"/>
          <w:sz w:val="24"/>
        </w:rPr>
        <w:t>）磋商文件能够详细列明招标标的的技术、服务要求的，磋商结束后，磋商小组应当要求所有继续参加磋商的供应商时间内提交最后报价。</w:t>
      </w:r>
    </w:p>
    <w:p w14:paraId="0C2120B6">
      <w:pPr>
        <w:spacing w:line="480" w:lineRule="atLeast"/>
        <w:ind w:firstLine="480" w:firstLineChars="200"/>
        <w:rPr>
          <w:rFonts w:hint="eastAsia" w:ascii="宋体" w:hAnsi="宋体" w:cs="宋体"/>
          <w:bCs/>
          <w:sz w:val="24"/>
        </w:rPr>
      </w:pPr>
      <w:r>
        <w:rPr>
          <w:rFonts w:hint="eastAsia" w:ascii="宋体" w:hAnsi="宋体" w:cs="宋体"/>
          <w:bCs/>
          <w:sz w:val="24"/>
        </w:rPr>
        <w:t>10.4.4磋商报价</w:t>
      </w:r>
    </w:p>
    <w:p w14:paraId="56A61A8E">
      <w:pPr>
        <w:spacing w:line="480" w:lineRule="atLeast"/>
        <w:ind w:firstLine="482" w:firstLineChars="200"/>
        <w:rPr>
          <w:rFonts w:hint="eastAsia" w:ascii="宋体" w:hAnsi="宋体" w:cs="宋体"/>
          <w:b/>
          <w:bCs/>
          <w:sz w:val="24"/>
        </w:rPr>
      </w:pPr>
      <w:r>
        <w:rPr>
          <w:rFonts w:hint="eastAsia" w:ascii="宋体" w:hAnsi="宋体" w:cs="宋体"/>
          <w:b/>
          <w:bCs/>
          <w:sz w:val="24"/>
        </w:rPr>
        <w:t>（1）磋商报价采用人民币报价。</w:t>
      </w:r>
    </w:p>
    <w:p w14:paraId="794F750B">
      <w:pPr>
        <w:spacing w:line="480" w:lineRule="atLeast"/>
        <w:ind w:firstLine="482" w:firstLineChars="200"/>
        <w:rPr>
          <w:rFonts w:hint="eastAsia" w:ascii="宋体" w:hAnsi="宋体" w:cs="宋体"/>
          <w:b/>
          <w:bCs/>
          <w:sz w:val="24"/>
        </w:rPr>
      </w:pPr>
      <w:r>
        <w:rPr>
          <w:rFonts w:hint="eastAsia" w:ascii="宋体" w:hAnsi="宋体" w:cs="宋体"/>
          <w:b/>
          <w:bCs/>
          <w:sz w:val="24"/>
        </w:rPr>
        <w:t>（2）本次竞争性磋商分为两轮报价。供应商响应性文件中的报价作为第一次报价，不得高于</w:t>
      </w:r>
      <w:r>
        <w:rPr>
          <w:rFonts w:hint="eastAsia" w:ascii="宋体" w:hAnsi="宋体" w:cs="宋体"/>
          <w:b/>
          <w:bCs/>
          <w:color w:val="000000"/>
          <w:sz w:val="24"/>
          <w:szCs w:val="24"/>
        </w:rPr>
        <w:t>磋商控制价</w:t>
      </w:r>
      <w:r>
        <w:rPr>
          <w:rFonts w:hint="eastAsia" w:ascii="宋体" w:hAnsi="宋体" w:cs="宋体"/>
          <w:b/>
          <w:bCs/>
          <w:sz w:val="24"/>
        </w:rPr>
        <w:t>且不公开；第二</w:t>
      </w:r>
      <w:r>
        <w:rPr>
          <w:rFonts w:hint="eastAsia" w:ascii="宋体" w:hAnsi="宋体" w:cs="宋体"/>
          <w:b/>
          <w:bCs/>
          <w:sz w:val="24"/>
          <w:lang w:val="en-US" w:eastAsia="zh-CN"/>
        </w:rPr>
        <w:t>次</w:t>
      </w:r>
      <w:r>
        <w:rPr>
          <w:rFonts w:hint="eastAsia" w:ascii="宋体" w:hAnsi="宋体" w:cs="宋体"/>
          <w:b/>
          <w:bCs/>
          <w:sz w:val="24"/>
        </w:rPr>
        <w:t>报价不得高于第一</w:t>
      </w:r>
      <w:r>
        <w:rPr>
          <w:rFonts w:hint="eastAsia" w:ascii="宋体" w:hAnsi="宋体" w:cs="宋体"/>
          <w:b/>
          <w:bCs/>
          <w:sz w:val="24"/>
          <w:lang w:val="en-US" w:eastAsia="zh-CN"/>
        </w:rPr>
        <w:t>次</w:t>
      </w:r>
      <w:r>
        <w:rPr>
          <w:rFonts w:hint="eastAsia" w:ascii="宋体" w:hAnsi="宋体" w:cs="宋体"/>
          <w:b/>
          <w:bCs/>
          <w:sz w:val="24"/>
        </w:rPr>
        <w:t>报价, 参与评标报价以最终报价为准。</w:t>
      </w:r>
    </w:p>
    <w:p w14:paraId="63926D6A">
      <w:pPr>
        <w:spacing w:line="480" w:lineRule="atLeast"/>
        <w:ind w:firstLine="480" w:firstLineChars="200"/>
        <w:rPr>
          <w:rFonts w:hint="eastAsia" w:ascii="宋体" w:hAnsi="宋体" w:cs="宋体"/>
          <w:bCs/>
          <w:sz w:val="24"/>
        </w:rPr>
      </w:pPr>
      <w:r>
        <w:rPr>
          <w:rFonts w:hint="eastAsia" w:ascii="宋体" w:hAnsi="宋体" w:cs="宋体"/>
          <w:bCs/>
          <w:sz w:val="24"/>
        </w:rPr>
        <w:t>（3）磋商报价计量采用中华人民共和国法定的基本计量单位。供应商根据采购人提供的本项目采购清单、答疑纪要、磋商文件及补充答疑文件。</w:t>
      </w:r>
    </w:p>
    <w:p w14:paraId="6D2F9D71">
      <w:pPr>
        <w:spacing w:line="480" w:lineRule="atLeast"/>
        <w:ind w:firstLine="480" w:firstLineChars="200"/>
        <w:rPr>
          <w:rFonts w:hint="eastAsia" w:ascii="宋体" w:hAnsi="宋体" w:cs="宋体"/>
          <w:bCs/>
          <w:sz w:val="24"/>
        </w:rPr>
      </w:pP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sz w:val="24"/>
        </w:rPr>
        <w:t>）磋商报价为供应商在响应性文件中提出的各项支付金额的总和，报价应是目的地交货价，含</w:t>
      </w:r>
      <w:r>
        <w:rPr>
          <w:rFonts w:hint="eastAsia" w:ascii="宋体" w:hAnsi="宋体" w:cs="宋体"/>
          <w:color w:val="000000"/>
          <w:sz w:val="24"/>
          <w:szCs w:val="24"/>
        </w:rPr>
        <w:t>货物本身价格、辅材配料、包装、运输、税费、售后服务费用及货物交付使用过程中涉及到的一切费用</w:t>
      </w:r>
      <w:r>
        <w:rPr>
          <w:rFonts w:hint="eastAsia" w:ascii="宋体" w:hAnsi="宋体" w:cs="宋体"/>
          <w:bCs/>
          <w:sz w:val="24"/>
        </w:rPr>
        <w:t>，成交后不予调整。</w:t>
      </w:r>
    </w:p>
    <w:p w14:paraId="24739ED3">
      <w:pPr>
        <w:spacing w:line="480" w:lineRule="atLeast"/>
        <w:ind w:firstLine="480" w:firstLineChars="200"/>
        <w:rPr>
          <w:rFonts w:hint="eastAsia" w:ascii="宋体" w:hAnsi="宋体" w:cs="宋体"/>
          <w:bCs/>
          <w:sz w:val="24"/>
        </w:rPr>
      </w:pPr>
      <w:r>
        <w:rPr>
          <w:rFonts w:hint="eastAsia" w:ascii="宋体" w:hAnsi="宋体" w:cs="宋体"/>
          <w:bCs/>
          <w:sz w:val="24"/>
        </w:rPr>
        <w:t>（</w:t>
      </w:r>
      <w:r>
        <w:rPr>
          <w:rFonts w:hint="eastAsia" w:ascii="宋体" w:hAnsi="宋体" w:cs="宋体"/>
          <w:bCs/>
          <w:sz w:val="24"/>
          <w:lang w:val="en-US" w:eastAsia="zh-CN"/>
        </w:rPr>
        <w:t>5</w:t>
      </w:r>
      <w:r>
        <w:rPr>
          <w:rFonts w:hint="eastAsia" w:ascii="宋体" w:hAnsi="宋体" w:cs="宋体"/>
          <w:bCs/>
          <w:sz w:val="24"/>
        </w:rPr>
        <w:t>）经磋商小组确定最终采购需求和提交最终报价的供应商后，由磋商小组采用综合评分法对提交最终报价的供应商的响应性文件和最终报价进行综合评分。</w:t>
      </w:r>
    </w:p>
    <w:p w14:paraId="2B7EEB3A">
      <w:pPr>
        <w:spacing w:line="480" w:lineRule="atLeast"/>
        <w:ind w:firstLine="480" w:firstLineChars="200"/>
        <w:rPr>
          <w:rFonts w:hint="eastAsia" w:ascii="宋体" w:hAnsi="宋体" w:cs="宋体"/>
          <w:bCs/>
          <w:sz w:val="24"/>
        </w:rPr>
      </w:pPr>
      <w:r>
        <w:rPr>
          <w:rFonts w:hint="eastAsia" w:ascii="宋体" w:hAnsi="宋体" w:cs="宋体"/>
          <w:bCs/>
          <w:sz w:val="24"/>
        </w:rPr>
        <w:t>10.4.5成交原则</w:t>
      </w:r>
    </w:p>
    <w:p w14:paraId="0B900DD2">
      <w:pPr>
        <w:spacing w:line="480" w:lineRule="atLeast"/>
        <w:ind w:firstLine="480" w:firstLineChars="200"/>
        <w:rPr>
          <w:rFonts w:hint="eastAsia" w:ascii="宋体" w:hAnsi="宋体" w:cs="宋体"/>
          <w:bCs/>
          <w:sz w:val="24"/>
          <w:highlight w:val="none"/>
        </w:rPr>
      </w:pPr>
      <w:r>
        <w:rPr>
          <w:rFonts w:hint="eastAsia" w:ascii="宋体" w:hAnsi="宋体" w:cs="宋体"/>
          <w:bCs/>
          <w:sz w:val="24"/>
        </w:rPr>
        <w:t>磋商小组根据综合评分情况，按照评审得分由高到低顺序推荐供应商，并编写评审报告并在报告上签字。</w:t>
      </w:r>
      <w:r>
        <w:rPr>
          <w:rFonts w:hint="eastAsia" w:ascii="宋体" w:hAnsi="宋体" w:cs="宋体"/>
          <w:bCs/>
          <w:sz w:val="24"/>
          <w:highlight w:val="none"/>
        </w:rPr>
        <w:t>评审得分相同的，按照最后报价由低到高的顺序推荐。评审得分且最后报价相同的，按照技术指标优劣顺序推荐。</w:t>
      </w:r>
    </w:p>
    <w:p w14:paraId="3E0BA62F">
      <w:pPr>
        <w:spacing w:line="480" w:lineRule="atLeast"/>
        <w:ind w:firstLine="480" w:firstLineChars="200"/>
        <w:rPr>
          <w:rFonts w:hint="eastAsia" w:ascii="宋体" w:hAnsi="宋体" w:cs="宋体"/>
          <w:bCs/>
          <w:sz w:val="24"/>
        </w:rPr>
      </w:pPr>
      <w:r>
        <w:rPr>
          <w:rFonts w:hint="eastAsia" w:ascii="宋体" w:hAnsi="宋体" w:cs="宋体"/>
          <w:bCs/>
          <w:sz w:val="24"/>
        </w:rPr>
        <w:t>10.4.6评审报告</w:t>
      </w:r>
    </w:p>
    <w:p w14:paraId="0E576CE0">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磋商小组应当根据评审记录和评审结果编写评审报告，其主要内容包括：</w:t>
      </w:r>
    </w:p>
    <w:p w14:paraId="20CC33D6">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（1）磋商活动的具体方式和相关情况，以及参加磋商活动的供应商名单；</w:t>
      </w:r>
    </w:p>
    <w:p w14:paraId="46C5BA16">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（2）评审日期和地点，磋商小组成员名单；</w:t>
      </w:r>
    </w:p>
    <w:p w14:paraId="7D71F678">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（3）评审情况记录和说明，包括对供应商的资格审查情况、响应性文件评审情况、磋商情况、报价情况等；</w:t>
      </w:r>
    </w:p>
    <w:p w14:paraId="1FF93641">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（4）提出的成交候选人的名单及理由。</w:t>
      </w:r>
    </w:p>
    <w:p w14:paraId="129D0A3B">
      <w:pPr>
        <w:spacing w:line="480" w:lineRule="atLeast"/>
        <w:ind w:firstLine="480" w:firstLineChars="200"/>
        <w:rPr>
          <w:rFonts w:hint="eastAsia" w:ascii="宋体" w:hAnsi="宋体" w:cs="宋体"/>
          <w:color w:val="000000"/>
          <w:sz w:val="24"/>
        </w:rPr>
      </w:pPr>
      <w:r>
        <w:rPr>
          <w:rFonts w:hint="eastAsia" w:ascii="宋体" w:hAnsi="宋体" w:cs="宋体"/>
          <w:bCs/>
          <w:color w:val="000000"/>
          <w:sz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9CC010A">
      <w:pPr>
        <w:spacing w:line="480" w:lineRule="atLeast"/>
        <w:rPr>
          <w:rFonts w:hint="eastAsia" w:ascii="宋体" w:hAnsi="宋体" w:cs="宋体"/>
          <w:b/>
          <w:bCs/>
          <w:sz w:val="24"/>
        </w:rPr>
      </w:pPr>
      <w:r>
        <w:rPr>
          <w:rFonts w:hint="eastAsia" w:ascii="宋体" w:hAnsi="宋体" w:cs="宋体"/>
          <w:b/>
          <w:bCs/>
          <w:sz w:val="24"/>
        </w:rPr>
        <w:t xml:space="preserve">11、响应性文件的提交 </w:t>
      </w:r>
    </w:p>
    <w:p w14:paraId="0DB8F49C">
      <w:pPr>
        <w:spacing w:line="480" w:lineRule="atLeast"/>
        <w:ind w:firstLine="456" w:firstLineChars="200"/>
        <w:rPr>
          <w:rFonts w:hint="eastAsia" w:ascii="宋体" w:hAnsi="宋体" w:cs="宋体"/>
          <w:spacing w:val="-6"/>
          <w:sz w:val="24"/>
        </w:rPr>
      </w:pPr>
      <w:r>
        <w:rPr>
          <w:rFonts w:hint="eastAsia" w:ascii="宋体" w:hAnsi="宋体" w:cs="宋体"/>
          <w:spacing w:val="-6"/>
          <w:sz w:val="24"/>
        </w:rPr>
        <w:t>响应性文件递交截止时间见供应商须知前附表。</w:t>
      </w:r>
    </w:p>
    <w:p w14:paraId="7BFF8970">
      <w:pPr>
        <w:spacing w:line="480" w:lineRule="atLeast"/>
        <w:rPr>
          <w:rFonts w:hint="eastAsia" w:ascii="宋体" w:hAnsi="宋体" w:cs="宋体"/>
          <w:sz w:val="24"/>
        </w:rPr>
      </w:pPr>
      <w:r>
        <w:rPr>
          <w:rFonts w:hint="eastAsia" w:ascii="宋体" w:hAnsi="宋体" w:cs="宋体"/>
          <w:b/>
          <w:bCs/>
          <w:sz w:val="24"/>
        </w:rPr>
        <w:t>12、</w:t>
      </w:r>
      <w:r>
        <w:rPr>
          <w:rFonts w:hint="eastAsia" w:ascii="宋体" w:hAnsi="宋体" w:cs="宋体"/>
          <w:b/>
          <w:sz w:val="24"/>
        </w:rPr>
        <w:t>终止竞争性磋商采购活动</w:t>
      </w:r>
    </w:p>
    <w:p w14:paraId="43FEC65B">
      <w:pPr>
        <w:spacing w:line="480" w:lineRule="atLeast"/>
        <w:ind w:firstLine="480" w:firstLineChars="200"/>
        <w:rPr>
          <w:rFonts w:hint="eastAsia" w:ascii="宋体" w:hAnsi="宋体" w:cs="宋体"/>
          <w:color w:val="000000"/>
          <w:sz w:val="24"/>
        </w:rPr>
      </w:pPr>
      <w:r>
        <w:rPr>
          <w:rFonts w:hint="eastAsia" w:ascii="宋体" w:hAnsi="宋体" w:cs="宋体"/>
          <w:color w:val="000000"/>
          <w:sz w:val="24"/>
        </w:rPr>
        <w:t>出现下列情形之一的，采购人或者招标代理机构应当终止竞争性磋商采购活动，发布项目终止公告并说明原因，重新开展采购活动：</w:t>
      </w:r>
    </w:p>
    <w:p w14:paraId="44CC13C4">
      <w:pPr>
        <w:spacing w:line="480" w:lineRule="atLeast"/>
        <w:ind w:firstLine="480" w:firstLineChars="200"/>
        <w:rPr>
          <w:rFonts w:hint="eastAsia" w:ascii="宋体" w:hAnsi="宋体" w:cs="宋体"/>
          <w:color w:val="000000"/>
          <w:sz w:val="24"/>
        </w:rPr>
      </w:pPr>
      <w:r>
        <w:rPr>
          <w:rFonts w:hint="eastAsia" w:ascii="宋体" w:hAnsi="宋体" w:cs="宋体"/>
          <w:color w:val="000000"/>
          <w:sz w:val="24"/>
        </w:rPr>
        <w:t>（1）因情况变化，不再符合规定的竞争性磋商采购方式适用情形的；</w:t>
      </w:r>
    </w:p>
    <w:p w14:paraId="163D34F2">
      <w:pPr>
        <w:spacing w:line="480" w:lineRule="atLeast"/>
        <w:ind w:firstLine="480" w:firstLineChars="200"/>
        <w:rPr>
          <w:rFonts w:hint="eastAsia" w:ascii="宋体" w:hAnsi="宋体" w:cs="宋体"/>
          <w:color w:val="000000"/>
          <w:sz w:val="24"/>
        </w:rPr>
      </w:pPr>
      <w:r>
        <w:rPr>
          <w:rFonts w:hint="eastAsia" w:ascii="宋体" w:hAnsi="宋体" w:cs="宋体"/>
          <w:color w:val="000000"/>
          <w:sz w:val="24"/>
        </w:rPr>
        <w:t>（2）出现影响采购公正的违法、违规行为的；</w:t>
      </w:r>
    </w:p>
    <w:p w14:paraId="2378706A">
      <w:pPr>
        <w:spacing w:line="480" w:lineRule="atLeast"/>
        <w:ind w:firstLine="480" w:firstLineChars="200"/>
        <w:rPr>
          <w:rFonts w:hint="eastAsia" w:ascii="宋体" w:hAnsi="宋体" w:cs="宋体"/>
          <w:color w:val="000000"/>
          <w:sz w:val="24"/>
        </w:rPr>
      </w:pPr>
      <w:r>
        <w:rPr>
          <w:rFonts w:hint="eastAsia" w:ascii="宋体" w:hAnsi="宋体" w:cs="宋体"/>
          <w:color w:val="000000"/>
          <w:sz w:val="24"/>
        </w:rPr>
        <w:t>（3）在磋商过程中符合竞争要求的供应商或者报价未超过招标预算金额的供应商不足2家的，但货物和服务项目技术复杂或者性质特殊，不能确定详细规格或者具体要求的情形除外。</w:t>
      </w:r>
    </w:p>
    <w:p w14:paraId="10480223">
      <w:pPr>
        <w:spacing w:line="480" w:lineRule="atLeast"/>
        <w:rPr>
          <w:rFonts w:hint="eastAsia" w:ascii="宋体" w:hAnsi="宋体" w:cs="宋体"/>
          <w:b/>
          <w:sz w:val="24"/>
        </w:rPr>
      </w:pPr>
      <w:r>
        <w:rPr>
          <w:rFonts w:hint="eastAsia" w:ascii="宋体" w:hAnsi="宋体" w:cs="宋体"/>
          <w:b/>
          <w:sz w:val="24"/>
        </w:rPr>
        <w:t>13、确定成交人</w:t>
      </w:r>
    </w:p>
    <w:p w14:paraId="4A777528">
      <w:pPr>
        <w:spacing w:line="480" w:lineRule="atLeast"/>
        <w:ind w:firstLine="480" w:firstLineChars="200"/>
        <w:rPr>
          <w:rFonts w:hint="eastAsia" w:ascii="宋体" w:hAnsi="宋体" w:cs="宋体"/>
          <w:color w:val="000000"/>
          <w:sz w:val="24"/>
        </w:rPr>
      </w:pPr>
      <w:r>
        <w:rPr>
          <w:rFonts w:hint="eastAsia" w:ascii="宋体" w:hAnsi="宋体" w:cs="宋体"/>
          <w:color w:val="000000"/>
          <w:sz w:val="24"/>
        </w:rPr>
        <w:t>13.1招标代理机构应当在磋商结束后2个工作日内将评审报告送采购人。采购人应当在收到评审报告后5个工作日内，按照磋商评审报告中推荐的成交候选人顺序确定成交人，并将结果发布网上。</w:t>
      </w:r>
    </w:p>
    <w:p w14:paraId="5CF44273">
      <w:pPr>
        <w:spacing w:line="480" w:lineRule="atLeast"/>
        <w:ind w:firstLine="480" w:firstLineChars="200"/>
        <w:rPr>
          <w:rFonts w:hint="eastAsia" w:ascii="宋体" w:hAnsi="宋体" w:cs="宋体"/>
          <w:bCs/>
          <w:color w:val="000000"/>
          <w:sz w:val="24"/>
        </w:rPr>
      </w:pPr>
      <w:r>
        <w:rPr>
          <w:rFonts w:hint="eastAsia" w:ascii="宋体" w:hAnsi="宋体" w:cs="宋体"/>
          <w:color w:val="000000"/>
          <w:sz w:val="24"/>
        </w:rPr>
        <w:t>13.2采购人也可以书面授权磋商小组直接确定成交供应商。磋商小组直接确定成交供应商的应在磋商文件中写明。</w:t>
      </w:r>
    </w:p>
    <w:p w14:paraId="3037B36C">
      <w:pPr>
        <w:spacing w:line="480" w:lineRule="atLeast"/>
        <w:contextualSpacing/>
        <w:rPr>
          <w:rFonts w:ascii="宋体" w:hAnsi="宋体" w:cs="宋体"/>
          <w:kern w:val="1"/>
          <w:sz w:val="24"/>
        </w:rPr>
      </w:pPr>
      <w:r>
        <w:rPr>
          <w:rFonts w:hint="eastAsia" w:ascii="宋体" w:hAnsi="宋体" w:cs="宋体"/>
          <w:b/>
          <w:sz w:val="24"/>
        </w:rPr>
        <w:t>14、</w:t>
      </w:r>
      <w:r>
        <w:rPr>
          <w:rFonts w:hint="eastAsia" w:ascii="宋体" w:hAnsi="宋体" w:cs="宋体"/>
          <w:b/>
          <w:kern w:val="1"/>
          <w:sz w:val="24"/>
        </w:rPr>
        <w:t>成交结果公告</w:t>
      </w:r>
    </w:p>
    <w:p w14:paraId="3F88F24D">
      <w:pPr>
        <w:spacing w:line="480" w:lineRule="atLeast"/>
        <w:ind w:firstLine="480"/>
        <w:contextualSpacing/>
        <w:rPr>
          <w:rFonts w:ascii="宋体" w:hAnsi="宋体" w:cs="宋体"/>
          <w:color w:val="000000"/>
          <w:kern w:val="1"/>
          <w:sz w:val="24"/>
        </w:rPr>
      </w:pPr>
      <w:r>
        <w:rPr>
          <w:rFonts w:hint="eastAsia" w:ascii="宋体" w:hAnsi="宋体" w:cs="宋体"/>
          <w:color w:val="000000"/>
          <w:kern w:val="1"/>
          <w:sz w:val="24"/>
        </w:rPr>
        <w:t>14.1采购人应当在成交人确定后2个工作日内，在公告发布的同一媒介上发布成交结果，同时向成交供应商发出成交通知书，并将磋商文件随成交结果同时公告，公告期限1个工作日。</w:t>
      </w:r>
    </w:p>
    <w:p w14:paraId="008FEFEE">
      <w:pPr>
        <w:spacing w:line="480" w:lineRule="atLeast"/>
        <w:ind w:firstLine="480" w:firstLineChars="200"/>
        <w:rPr>
          <w:rFonts w:hint="eastAsia" w:ascii="宋体" w:hAnsi="宋体" w:cs="宋体"/>
          <w:color w:val="000000"/>
          <w:sz w:val="24"/>
        </w:rPr>
      </w:pPr>
      <w:bookmarkStart w:id="24" w:name="_Toc454788042"/>
      <w:bookmarkEnd w:id="24"/>
      <w:r>
        <w:rPr>
          <w:rFonts w:hint="eastAsia" w:ascii="宋体" w:hAnsi="宋体" w:cs="宋体"/>
          <w:color w:val="000000"/>
          <w:kern w:val="1"/>
          <w:sz w:val="24"/>
        </w:rPr>
        <w:t>14.2成交结果公告内容应当包括采购人和招标代理机构的名称、地址、联系方式，项目名称和项目编号，成交人名称、地址和成交金额，主要成交标的的名称、规格型号、数量、单价、服务要求或标的的基本概况以及磋商小组名单。</w:t>
      </w:r>
    </w:p>
    <w:p w14:paraId="2522FA0E">
      <w:pPr>
        <w:spacing w:line="480" w:lineRule="atLeast"/>
        <w:contextualSpacing/>
        <w:rPr>
          <w:rFonts w:ascii="宋体" w:hAnsi="宋体" w:cs="宋体"/>
          <w:kern w:val="1"/>
          <w:sz w:val="24"/>
        </w:rPr>
      </w:pPr>
      <w:r>
        <w:rPr>
          <w:rFonts w:hint="eastAsia" w:ascii="宋体" w:hAnsi="宋体" w:cs="宋体"/>
          <w:b/>
          <w:sz w:val="24"/>
        </w:rPr>
        <w:t>15、</w:t>
      </w:r>
      <w:r>
        <w:rPr>
          <w:rFonts w:hint="eastAsia" w:ascii="宋体" w:hAnsi="宋体" w:cs="宋体"/>
          <w:b/>
          <w:kern w:val="1"/>
          <w:sz w:val="24"/>
        </w:rPr>
        <w:t>合同授予</w:t>
      </w:r>
    </w:p>
    <w:p w14:paraId="3299F9C9">
      <w:pPr>
        <w:spacing w:line="480" w:lineRule="atLeast"/>
        <w:ind w:firstLine="480"/>
        <w:contextualSpacing/>
        <w:rPr>
          <w:rFonts w:ascii="宋体" w:hAnsi="宋体" w:cs="宋体"/>
          <w:kern w:val="1"/>
          <w:sz w:val="24"/>
        </w:rPr>
      </w:pPr>
      <w:r>
        <w:rPr>
          <w:rFonts w:hint="eastAsia" w:ascii="宋体" w:hAnsi="宋体" w:cs="宋体"/>
          <w:kern w:val="1"/>
          <w:sz w:val="24"/>
        </w:rPr>
        <w:t>15.1成交结果公示的同时，采购人以书面形式向成交人发出成交通知书。</w:t>
      </w:r>
    </w:p>
    <w:p w14:paraId="7B1F2107">
      <w:pPr>
        <w:spacing w:line="480" w:lineRule="atLeast"/>
        <w:ind w:firstLine="480"/>
        <w:contextualSpacing/>
        <w:rPr>
          <w:rFonts w:ascii="宋体" w:hAnsi="宋体" w:cs="宋体"/>
          <w:kern w:val="1"/>
          <w:sz w:val="24"/>
        </w:rPr>
      </w:pPr>
      <w:bookmarkStart w:id="25" w:name="_Toc511897557"/>
      <w:bookmarkEnd w:id="25"/>
      <w:bookmarkStart w:id="26" w:name="_Toc511663240"/>
      <w:bookmarkEnd w:id="26"/>
      <w:bookmarkStart w:id="27" w:name="_Toc530663944"/>
      <w:bookmarkEnd w:id="27"/>
      <w:bookmarkStart w:id="28" w:name="_Toc530665447"/>
      <w:bookmarkEnd w:id="28"/>
      <w:bookmarkStart w:id="29" w:name="_Toc463011501"/>
      <w:bookmarkEnd w:id="29"/>
      <w:bookmarkStart w:id="30" w:name="_Toc530664100"/>
      <w:bookmarkEnd w:id="30"/>
      <w:bookmarkStart w:id="31" w:name="_Toc531936136"/>
      <w:bookmarkEnd w:id="31"/>
      <w:bookmarkStart w:id="32" w:name="_Toc455678262"/>
      <w:bookmarkEnd w:id="32"/>
      <w:bookmarkStart w:id="33" w:name="_Toc269470335"/>
      <w:bookmarkEnd w:id="33"/>
      <w:r>
        <w:rPr>
          <w:rFonts w:hint="eastAsia" w:ascii="宋体" w:hAnsi="宋体" w:cs="宋体"/>
          <w:kern w:val="1"/>
          <w:sz w:val="24"/>
        </w:rPr>
        <w:t>15.2 供应商的最后一轮报价为成交价，成交价即为合同价。</w:t>
      </w:r>
    </w:p>
    <w:p w14:paraId="56F6039C">
      <w:pPr>
        <w:spacing w:line="480" w:lineRule="atLeast"/>
        <w:ind w:firstLine="480" w:firstLineChars="200"/>
        <w:rPr>
          <w:rFonts w:hint="eastAsia" w:ascii="宋体" w:hAnsi="宋体" w:cs="宋体"/>
          <w:sz w:val="24"/>
        </w:rPr>
      </w:pPr>
      <w:bookmarkStart w:id="34" w:name="_Toc530665448"/>
      <w:bookmarkEnd w:id="34"/>
      <w:bookmarkStart w:id="35" w:name="_Toc455678263"/>
      <w:bookmarkEnd w:id="35"/>
      <w:bookmarkStart w:id="36" w:name="_Toc530664101"/>
      <w:bookmarkEnd w:id="36"/>
      <w:bookmarkStart w:id="37" w:name="_Toc511663241"/>
      <w:bookmarkEnd w:id="37"/>
      <w:bookmarkStart w:id="38" w:name="_Toc530663945"/>
      <w:bookmarkEnd w:id="38"/>
      <w:bookmarkStart w:id="39" w:name="_Toc531936137"/>
      <w:bookmarkEnd w:id="39"/>
      <w:bookmarkStart w:id="40" w:name="_Toc463011502"/>
      <w:bookmarkEnd w:id="40"/>
      <w:bookmarkStart w:id="41" w:name="_Toc511897558"/>
      <w:bookmarkEnd w:id="41"/>
      <w:r>
        <w:rPr>
          <w:rFonts w:hint="eastAsia" w:ascii="宋体" w:hAnsi="宋体" w:cs="宋体"/>
          <w:kern w:val="1"/>
          <w:sz w:val="24"/>
        </w:rPr>
        <w:t>15.3在签订合同过程中，如发现成交供应商以他人名义磋商或者以其他方式弄虚作假，骗取成交的，采购人有权取消其成交资格。</w:t>
      </w:r>
    </w:p>
    <w:p w14:paraId="32AF0549">
      <w:pPr>
        <w:spacing w:line="480" w:lineRule="atLeast"/>
        <w:contextualSpacing/>
        <w:rPr>
          <w:rFonts w:hint="eastAsia" w:ascii="宋体" w:hAnsi="宋体" w:cs="宋体"/>
          <w:b/>
          <w:sz w:val="24"/>
          <w:szCs w:val="24"/>
        </w:rPr>
      </w:pPr>
      <w:bookmarkStart w:id="42" w:name="_Toc531936138"/>
      <w:bookmarkStart w:id="43" w:name="_Toc455678264"/>
      <w:bookmarkStart w:id="44" w:name="_Toc530663946"/>
      <w:bookmarkStart w:id="45" w:name="_Toc530664102"/>
      <w:bookmarkStart w:id="46" w:name="_Toc511897559"/>
      <w:bookmarkStart w:id="47" w:name="_Toc463011503"/>
      <w:bookmarkStart w:id="48" w:name="_Toc511663242"/>
      <w:bookmarkStart w:id="49" w:name="_Toc530665449"/>
      <w:r>
        <w:rPr>
          <w:rFonts w:hint="eastAsia" w:ascii="宋体" w:hAnsi="宋体" w:cs="宋体"/>
          <w:b/>
          <w:sz w:val="24"/>
          <w:szCs w:val="24"/>
        </w:rPr>
        <w:t>16、履约保证金</w:t>
      </w:r>
      <w:bookmarkEnd w:id="42"/>
      <w:bookmarkEnd w:id="43"/>
      <w:bookmarkEnd w:id="44"/>
      <w:bookmarkEnd w:id="45"/>
      <w:bookmarkEnd w:id="46"/>
      <w:bookmarkEnd w:id="47"/>
      <w:bookmarkEnd w:id="48"/>
      <w:bookmarkEnd w:id="49"/>
    </w:p>
    <w:p w14:paraId="45E900F5">
      <w:pPr>
        <w:spacing w:line="480" w:lineRule="atLeast"/>
        <w:ind w:firstLine="720" w:firstLineChars="300"/>
        <w:contextualSpacing/>
        <w:rPr>
          <w:rFonts w:hint="default" w:ascii="宋体" w:hAnsi="宋体" w:eastAsia="宋体" w:cs="宋体"/>
          <w:b/>
          <w:sz w:val="24"/>
          <w:szCs w:val="24"/>
          <w:lang w:val="en-US" w:eastAsia="zh-CN"/>
        </w:rPr>
      </w:pPr>
      <w:r>
        <w:rPr>
          <w:rFonts w:hint="eastAsia" w:ascii="宋体" w:hAnsi="宋体" w:eastAsia="宋体" w:cs="宋体"/>
          <w:b w:val="0"/>
          <w:kern w:val="1"/>
          <w:sz w:val="24"/>
          <w:szCs w:val="20"/>
          <w:lang w:val="en-US" w:eastAsia="zh-CN"/>
        </w:rPr>
        <w:t>无</w:t>
      </w:r>
    </w:p>
    <w:p w14:paraId="1FAE1D62">
      <w:pPr>
        <w:spacing w:line="480" w:lineRule="atLeast"/>
        <w:contextualSpacing/>
        <w:rPr>
          <w:rFonts w:ascii="宋体" w:hAnsi="宋体" w:cs="宋体"/>
          <w:kern w:val="1"/>
          <w:sz w:val="24"/>
          <w:szCs w:val="24"/>
        </w:rPr>
      </w:pPr>
      <w:r>
        <w:rPr>
          <w:rFonts w:hint="eastAsia" w:ascii="宋体" w:hAnsi="宋体" w:cs="宋体"/>
          <w:b/>
          <w:bCs/>
          <w:sz w:val="24"/>
          <w:szCs w:val="24"/>
        </w:rPr>
        <w:t>17、</w:t>
      </w:r>
      <w:r>
        <w:rPr>
          <w:rFonts w:hint="eastAsia" w:ascii="宋体" w:hAnsi="宋体" w:cs="宋体"/>
          <w:b/>
          <w:kern w:val="1"/>
          <w:sz w:val="24"/>
          <w:szCs w:val="24"/>
        </w:rPr>
        <w:t>纪律和监督</w:t>
      </w:r>
      <w:bookmarkStart w:id="50" w:name="_Toc277149399"/>
      <w:bookmarkEnd w:id="50"/>
      <w:bookmarkStart w:id="51" w:name="_Toc270604838"/>
      <w:bookmarkEnd w:id="51"/>
      <w:bookmarkStart w:id="52" w:name="_Toc511663247"/>
      <w:bookmarkEnd w:id="52"/>
      <w:bookmarkStart w:id="53" w:name="_Toc531936143"/>
      <w:bookmarkEnd w:id="53"/>
      <w:bookmarkStart w:id="54" w:name="_Toc530665454"/>
      <w:bookmarkEnd w:id="54"/>
      <w:bookmarkStart w:id="55" w:name="_Toc428276606"/>
      <w:bookmarkEnd w:id="55"/>
      <w:bookmarkStart w:id="56" w:name="_Toc454788293"/>
      <w:bookmarkEnd w:id="56"/>
      <w:bookmarkStart w:id="57" w:name="_Toc530664107"/>
      <w:bookmarkEnd w:id="57"/>
      <w:bookmarkStart w:id="58" w:name="_Toc269470339"/>
      <w:bookmarkEnd w:id="58"/>
      <w:bookmarkStart w:id="59" w:name="_Toc530663951"/>
      <w:bookmarkEnd w:id="59"/>
      <w:bookmarkStart w:id="60" w:name="_Toc511897564"/>
      <w:bookmarkEnd w:id="60"/>
      <w:bookmarkStart w:id="61" w:name="_Toc270604611"/>
      <w:bookmarkEnd w:id="61"/>
      <w:bookmarkStart w:id="62" w:name="_Toc463011513"/>
      <w:bookmarkEnd w:id="62"/>
      <w:bookmarkStart w:id="63" w:name="_Toc455678274"/>
      <w:bookmarkEnd w:id="63"/>
    </w:p>
    <w:bookmarkEnd w:id="10"/>
    <w:bookmarkEnd w:id="11"/>
    <w:bookmarkEnd w:id="12"/>
    <w:bookmarkEnd w:id="13"/>
    <w:bookmarkEnd w:id="14"/>
    <w:bookmarkEnd w:id="15"/>
    <w:bookmarkEnd w:id="16"/>
    <w:bookmarkEnd w:id="17"/>
    <w:p w14:paraId="348F2047">
      <w:pPr>
        <w:pStyle w:val="35"/>
        <w:tabs>
          <w:tab w:val="left" w:pos="540"/>
        </w:tabs>
        <w:spacing w:line="480" w:lineRule="atLeast"/>
        <w:ind w:firstLine="472" w:firstLineChars="197"/>
        <w:jc w:val="both"/>
        <w:rPr>
          <w:rFonts w:hAnsi="宋体"/>
          <w:kern w:val="2"/>
        </w:rPr>
      </w:pPr>
      <w:bookmarkStart w:id="64" w:name="_Toc22717750"/>
      <w:bookmarkStart w:id="65" w:name="_Toc81228863"/>
      <w:bookmarkStart w:id="66" w:name="_Toc4248302"/>
      <w:bookmarkStart w:id="67" w:name="_Toc528250057"/>
      <w:bookmarkStart w:id="68" w:name="_Toc521488919"/>
      <w:bookmarkStart w:id="69" w:name="_Toc515378707"/>
      <w:bookmarkStart w:id="70" w:name="_Toc514402140"/>
      <w:bookmarkStart w:id="71" w:name="_Toc521488519"/>
      <w:bookmarkStart w:id="72" w:name="_Toc109033467"/>
      <w:bookmarkStart w:id="73" w:name="_Toc521488759"/>
      <w:bookmarkStart w:id="74" w:name="_Toc109464588"/>
      <w:bookmarkStart w:id="75" w:name="_Toc81228820"/>
      <w:bookmarkStart w:id="76" w:name="_Toc50397855"/>
      <w:bookmarkStart w:id="77" w:name="_Toc521486763"/>
      <w:bookmarkStart w:id="78" w:name="_Toc530142110"/>
      <w:bookmarkStart w:id="79" w:name="_Toc3206130"/>
      <w:bookmarkStart w:id="80" w:name="_Toc50397315"/>
      <w:bookmarkStart w:id="81" w:name="_Toc526682544"/>
      <w:bookmarkStart w:id="82" w:name="_Toc89969046"/>
      <w:bookmarkStart w:id="83" w:name="_Toc77596789"/>
      <w:bookmarkStart w:id="84" w:name="_Toc21437473"/>
      <w:bookmarkStart w:id="85" w:name="_Toc109465586"/>
      <w:bookmarkStart w:id="86" w:name="_Toc81227640"/>
      <w:bookmarkStart w:id="87" w:name="_Toc144905362"/>
      <w:bookmarkStart w:id="88" w:name="_Toc23882"/>
      <w:bookmarkStart w:id="89" w:name="_Toc27652"/>
      <w:bookmarkStart w:id="90" w:name="_Toc13802"/>
      <w:bookmarkStart w:id="91" w:name="_Toc17415"/>
      <w:bookmarkStart w:id="92" w:name="_Toc98939166"/>
      <w:bookmarkStart w:id="93" w:name="_Toc82772783"/>
      <w:bookmarkStart w:id="94" w:name="_Toc19521"/>
      <w:bookmarkStart w:id="95" w:name="_Toc82773195"/>
      <w:bookmarkStart w:id="96" w:name="_Toc3494"/>
      <w:bookmarkStart w:id="97" w:name="_Toc488052454"/>
      <w:bookmarkStart w:id="98" w:name="_Toc31861"/>
      <w:r>
        <w:rPr>
          <w:rFonts w:hint="eastAsia" w:hAnsi="宋体"/>
          <w:kern w:val="2"/>
        </w:rPr>
        <w:t>17.1对采购人的纪律要求</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33F57F6">
      <w:pPr>
        <w:pStyle w:val="35"/>
        <w:tabs>
          <w:tab w:val="left" w:pos="540"/>
        </w:tabs>
        <w:spacing w:line="480" w:lineRule="atLeast"/>
        <w:ind w:firstLine="360" w:firstLineChars="150"/>
        <w:jc w:val="both"/>
        <w:rPr>
          <w:rFonts w:hAnsi="宋体"/>
        </w:rPr>
      </w:pPr>
      <w:bookmarkStart w:id="99" w:name="_Toc109033468"/>
      <w:bookmarkStart w:id="100" w:name="_Toc81228821"/>
      <w:bookmarkStart w:id="101" w:name="_Toc89969047"/>
      <w:bookmarkStart w:id="102" w:name="_Toc22717751"/>
      <w:bookmarkStart w:id="103" w:name="_Toc530142111"/>
      <w:bookmarkStart w:id="104" w:name="_Toc50397856"/>
      <w:bookmarkStart w:id="105" w:name="_Toc4248303"/>
      <w:bookmarkStart w:id="106" w:name="_Toc109465587"/>
      <w:bookmarkStart w:id="107" w:name="_Toc81228864"/>
      <w:bookmarkStart w:id="108" w:name="_Toc109464589"/>
      <w:bookmarkStart w:id="109" w:name="_Toc77596790"/>
      <w:bookmarkStart w:id="110" w:name="_Toc81227641"/>
      <w:bookmarkStart w:id="111" w:name="_Toc82773196"/>
      <w:bookmarkStart w:id="112" w:name="_Toc98939167"/>
      <w:bookmarkStart w:id="113" w:name="_Toc144905363"/>
      <w:bookmarkStart w:id="114" w:name="_Toc82772784"/>
      <w:bookmarkStart w:id="115" w:name="_Toc3206131"/>
      <w:bookmarkStart w:id="116" w:name="_Toc50397316"/>
      <w:bookmarkStart w:id="117" w:name="_Toc21437474"/>
      <w:r>
        <w:rPr>
          <w:rFonts w:hint="eastAsia" w:hAnsi="宋体"/>
          <w:kern w:val="2"/>
        </w:rPr>
        <w:t>采购人不得泄漏竞争性</w:t>
      </w:r>
      <w:r>
        <w:rPr>
          <w:rFonts w:hint="eastAsia" w:hAnsi="宋体"/>
        </w:rPr>
        <w:t>磋商中应当保密的情况和资料，不得与供应商串通损害国家利益、社会公共利益或者他人合法权益。</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5BF65E9C">
      <w:pPr>
        <w:pStyle w:val="35"/>
        <w:tabs>
          <w:tab w:val="left" w:pos="540"/>
        </w:tabs>
        <w:spacing w:line="480" w:lineRule="atLeast"/>
        <w:ind w:firstLine="475" w:firstLineChars="198"/>
        <w:jc w:val="both"/>
        <w:rPr>
          <w:rFonts w:hAnsi="宋体"/>
        </w:rPr>
      </w:pPr>
      <w:bookmarkStart w:id="118" w:name="_Toc98939168"/>
      <w:bookmarkStart w:id="119" w:name="_Toc2963"/>
      <w:bookmarkStart w:id="120" w:name="_Toc22717752"/>
      <w:bookmarkStart w:id="121" w:name="_Toc109033469"/>
      <w:bookmarkStart w:id="122" w:name="_Toc528250058"/>
      <w:bookmarkStart w:id="123" w:name="_Toc530142112"/>
      <w:bookmarkStart w:id="124" w:name="_Toc455678275"/>
      <w:bookmarkStart w:id="125" w:name="_Toc109465588"/>
      <w:bookmarkStart w:id="126" w:name="_Toc511663248"/>
      <w:bookmarkStart w:id="127" w:name="_Toc515378708"/>
      <w:bookmarkStart w:id="128" w:name="_Toc81228865"/>
      <w:bookmarkStart w:id="129" w:name="_Toc31355"/>
      <w:bookmarkStart w:id="130" w:name="_Toc5793"/>
      <w:bookmarkStart w:id="131" w:name="_Toc521488760"/>
      <w:bookmarkStart w:id="132" w:name="_Toc4248304"/>
      <w:bookmarkStart w:id="133" w:name="_Toc269470340"/>
      <w:bookmarkStart w:id="134" w:name="_Toc463011514"/>
      <w:bookmarkStart w:id="135" w:name="_Toc50397317"/>
      <w:bookmarkStart w:id="136" w:name="_Toc109464590"/>
      <w:bookmarkStart w:id="137" w:name="_Toc89969048"/>
      <w:bookmarkStart w:id="138" w:name="_Toc521486764"/>
      <w:bookmarkStart w:id="139" w:name="_Toc488"/>
      <w:bookmarkStart w:id="140" w:name="_Toc521488520"/>
      <w:bookmarkStart w:id="141" w:name="_Toc81228822"/>
      <w:bookmarkStart w:id="142" w:name="_Toc521488920"/>
      <w:bookmarkStart w:id="143" w:name="_Toc144905364"/>
      <w:bookmarkStart w:id="144" w:name="_Toc82773197"/>
      <w:bookmarkStart w:id="145" w:name="_Toc3206132"/>
      <w:bookmarkStart w:id="146" w:name="_Toc82772785"/>
      <w:bookmarkStart w:id="147" w:name="_Toc3096"/>
      <w:bookmarkStart w:id="148" w:name="_Toc81227642"/>
      <w:bookmarkStart w:id="149" w:name="_Toc526682545"/>
      <w:bookmarkStart w:id="150" w:name="_Toc454788294"/>
      <w:bookmarkStart w:id="151" w:name="_Toc21437475"/>
      <w:bookmarkStart w:id="152" w:name="_Toc270604839"/>
      <w:bookmarkStart w:id="153" w:name="_Toc270604612"/>
      <w:bookmarkStart w:id="154" w:name="_Toc514402141"/>
      <w:bookmarkStart w:id="155" w:name="_Toc428276607"/>
      <w:bookmarkStart w:id="156" w:name="_Toc50397857"/>
      <w:bookmarkStart w:id="157" w:name="_Toc511897565"/>
      <w:bookmarkStart w:id="158" w:name="_Toc277149400"/>
      <w:bookmarkStart w:id="159" w:name="_Toc77596791"/>
      <w:r>
        <w:rPr>
          <w:rFonts w:hint="eastAsia" w:hAnsi="宋体"/>
        </w:rPr>
        <w:t>17.2对供应商的纪律要求</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0EE96B94">
      <w:pPr>
        <w:autoSpaceDE w:val="0"/>
        <w:autoSpaceDN w:val="0"/>
        <w:adjustRightInd w:val="0"/>
        <w:spacing w:line="480" w:lineRule="atLeas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供应商不得相互串通或者与采购人串通，不得向采购人或者磋商小组成员行贿谋取</w:t>
      </w:r>
      <w:r>
        <w:rPr>
          <w:rFonts w:hint="eastAsia" w:ascii="宋体" w:hAnsi="宋体" w:cs="宋体"/>
          <w:color w:val="000000"/>
          <w:sz w:val="24"/>
          <w:szCs w:val="24"/>
        </w:rPr>
        <w:t>成交</w:t>
      </w:r>
      <w:r>
        <w:rPr>
          <w:rFonts w:hint="eastAsia" w:ascii="宋体" w:hAnsi="宋体" w:cs="宋体"/>
          <w:color w:val="000000"/>
          <w:kern w:val="0"/>
          <w:sz w:val="24"/>
          <w:szCs w:val="24"/>
        </w:rPr>
        <w:t>，不得以他人名义磋商或者以其他方式弄虚作假骗取</w:t>
      </w:r>
      <w:r>
        <w:rPr>
          <w:rFonts w:hint="eastAsia" w:ascii="宋体" w:hAnsi="宋体" w:cs="宋体"/>
          <w:color w:val="000000"/>
          <w:sz w:val="24"/>
          <w:szCs w:val="24"/>
        </w:rPr>
        <w:t>成交</w:t>
      </w:r>
      <w:r>
        <w:rPr>
          <w:rFonts w:hint="eastAsia" w:ascii="宋体" w:hAnsi="宋体" w:cs="宋体"/>
          <w:color w:val="000000"/>
          <w:kern w:val="0"/>
          <w:sz w:val="24"/>
          <w:szCs w:val="24"/>
        </w:rPr>
        <w:t>；供应商不得以任何方式干扰、影响磋商工作。</w:t>
      </w:r>
    </w:p>
    <w:p w14:paraId="0FC8BE4F">
      <w:pPr>
        <w:pStyle w:val="35"/>
        <w:tabs>
          <w:tab w:val="left" w:pos="540"/>
        </w:tabs>
        <w:spacing w:line="480" w:lineRule="atLeast"/>
        <w:ind w:firstLine="477" w:firstLineChars="199"/>
        <w:jc w:val="both"/>
        <w:rPr>
          <w:rFonts w:hAnsi="宋体"/>
        </w:rPr>
      </w:pPr>
      <w:bookmarkStart w:id="160" w:name="_Toc81228866"/>
      <w:bookmarkStart w:id="161" w:name="_Toc77596792"/>
      <w:bookmarkStart w:id="162" w:name="_Toc12234"/>
      <w:bookmarkStart w:id="163" w:name="_Toc269470341"/>
      <w:bookmarkStart w:id="164" w:name="_Toc109464591"/>
      <w:bookmarkStart w:id="165" w:name="_Toc89969049"/>
      <w:bookmarkStart w:id="166" w:name="_Toc511897566"/>
      <w:bookmarkStart w:id="167" w:name="_Toc9361"/>
      <w:bookmarkStart w:id="168" w:name="_Toc428276608"/>
      <w:bookmarkStart w:id="169" w:name="_Toc23023"/>
      <w:bookmarkStart w:id="170" w:name="_Toc82772786"/>
      <w:bookmarkStart w:id="171" w:name="_Toc521488921"/>
      <w:bookmarkStart w:id="172" w:name="_Toc50397318"/>
      <w:bookmarkStart w:id="173" w:name="_Toc82773198"/>
      <w:bookmarkStart w:id="174" w:name="_Toc22717753"/>
      <w:bookmarkStart w:id="175" w:name="_Toc98939169"/>
      <w:bookmarkStart w:id="176" w:name="_Toc455678276"/>
      <w:bookmarkStart w:id="177" w:name="_Toc514402142"/>
      <w:bookmarkStart w:id="178" w:name="_Toc521488761"/>
      <w:bookmarkStart w:id="179" w:name="_Toc511663249"/>
      <w:bookmarkStart w:id="180" w:name="_Toc50397858"/>
      <w:bookmarkStart w:id="181" w:name="_Toc109033470"/>
      <w:bookmarkStart w:id="182" w:name="_Toc270604613"/>
      <w:bookmarkStart w:id="183" w:name="_Toc4248305"/>
      <w:bookmarkStart w:id="184" w:name="_Toc8673"/>
      <w:bookmarkStart w:id="185" w:name="_Toc521488521"/>
      <w:bookmarkStart w:id="186" w:name="_Toc515378709"/>
      <w:bookmarkStart w:id="187" w:name="_Toc463011515"/>
      <w:bookmarkStart w:id="188" w:name="_Toc144905365"/>
      <w:bookmarkStart w:id="189" w:name="_Toc521486765"/>
      <w:bookmarkStart w:id="190" w:name="_Toc21437476"/>
      <w:bookmarkStart w:id="191" w:name="_Toc81227643"/>
      <w:bookmarkStart w:id="192" w:name="_Toc454788295"/>
      <w:bookmarkStart w:id="193" w:name="_Toc109465589"/>
      <w:bookmarkStart w:id="194" w:name="_Toc81228823"/>
      <w:bookmarkStart w:id="195" w:name="_Toc3206133"/>
      <w:bookmarkStart w:id="196" w:name="_Toc526682546"/>
      <w:bookmarkStart w:id="197" w:name="_Toc32745"/>
      <w:bookmarkStart w:id="198" w:name="_Toc277149401"/>
      <w:bookmarkStart w:id="199" w:name="_Toc270604840"/>
      <w:bookmarkStart w:id="200" w:name="_Toc530142113"/>
      <w:bookmarkStart w:id="201" w:name="_Toc528250059"/>
      <w:r>
        <w:rPr>
          <w:rFonts w:hint="eastAsia" w:hAnsi="宋体"/>
        </w:rPr>
        <w:t>17.3对磋商小组成员的纪律要求</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1549F316">
      <w:pPr>
        <w:autoSpaceDE w:val="0"/>
        <w:autoSpaceDN w:val="0"/>
        <w:adjustRightInd w:val="0"/>
        <w:spacing w:line="480" w:lineRule="atLeas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磋商小组成员不得收受他人的财物或者其他好处，不得向他人透漏对响应性文件的评审和比较、</w:t>
      </w:r>
      <w:r>
        <w:rPr>
          <w:rFonts w:hint="eastAsia" w:ascii="宋体" w:hAnsi="宋体" w:cs="宋体"/>
          <w:color w:val="000000"/>
          <w:sz w:val="24"/>
          <w:szCs w:val="24"/>
        </w:rPr>
        <w:t>成交</w:t>
      </w:r>
      <w:r>
        <w:rPr>
          <w:rFonts w:hint="eastAsia" w:ascii="宋体" w:hAnsi="宋体" w:cs="宋体"/>
          <w:color w:val="000000"/>
          <w:kern w:val="0"/>
          <w:sz w:val="24"/>
          <w:szCs w:val="24"/>
        </w:rPr>
        <w:t>候选人的推荐情况以及与磋商有关的其他情况。在磋商活动中，磋商小组成员不得擅离职守，影响磋商程序正常进行。</w:t>
      </w:r>
    </w:p>
    <w:p w14:paraId="777CED0B">
      <w:pPr>
        <w:pStyle w:val="35"/>
        <w:tabs>
          <w:tab w:val="left" w:pos="540"/>
        </w:tabs>
        <w:spacing w:line="480" w:lineRule="atLeast"/>
        <w:ind w:firstLine="477" w:firstLineChars="199"/>
        <w:jc w:val="both"/>
        <w:rPr>
          <w:rFonts w:hAnsi="宋体"/>
        </w:rPr>
      </w:pPr>
      <w:bookmarkStart w:id="202" w:name="_Toc530142114"/>
      <w:bookmarkStart w:id="203" w:name="_Toc521488522"/>
      <w:bookmarkStart w:id="204" w:name="_Toc454788296"/>
      <w:bookmarkStart w:id="205" w:name="_Toc50397319"/>
      <w:bookmarkStart w:id="206" w:name="_Toc428276609"/>
      <w:bookmarkStart w:id="207" w:name="_Toc89969050"/>
      <w:bookmarkStart w:id="208" w:name="_Toc3206134"/>
      <w:bookmarkStart w:id="209" w:name="_Toc526682547"/>
      <w:bookmarkStart w:id="210" w:name="_Toc270604614"/>
      <w:bookmarkStart w:id="211" w:name="_Toc82772787"/>
      <w:bookmarkStart w:id="212" w:name="_Toc269470342"/>
      <w:bookmarkStart w:id="213" w:name="_Toc109464592"/>
      <w:bookmarkStart w:id="214" w:name="_Toc521488922"/>
      <w:bookmarkStart w:id="215" w:name="_Toc521488762"/>
      <w:bookmarkStart w:id="216" w:name="_Toc277149402"/>
      <w:bookmarkStart w:id="217" w:name="_Toc81227644"/>
      <w:bookmarkStart w:id="218" w:name="_Toc22717754"/>
      <w:bookmarkStart w:id="219" w:name="_Toc98939170"/>
      <w:bookmarkStart w:id="220" w:name="_Toc14108"/>
      <w:bookmarkStart w:id="221" w:name="_Toc515378710"/>
      <w:bookmarkStart w:id="222" w:name="_Toc8785"/>
      <w:bookmarkStart w:id="223" w:name="_Toc26852"/>
      <w:bookmarkStart w:id="224" w:name="_Toc528250060"/>
      <w:bookmarkStart w:id="225" w:name="_Toc270604841"/>
      <w:bookmarkStart w:id="226" w:name="_Toc455678277"/>
      <w:bookmarkStart w:id="227" w:name="_Toc82773199"/>
      <w:bookmarkStart w:id="228" w:name="_Toc4248306"/>
      <w:bookmarkStart w:id="229" w:name="_Toc77596793"/>
      <w:bookmarkStart w:id="230" w:name="_Toc81228824"/>
      <w:bookmarkStart w:id="231" w:name="_Toc13268"/>
      <w:bookmarkStart w:id="232" w:name="_Toc109033471"/>
      <w:bookmarkStart w:id="233" w:name="_Toc514402143"/>
      <w:bookmarkStart w:id="234" w:name="_Toc81228867"/>
      <w:bookmarkStart w:id="235" w:name="_Toc21437477"/>
      <w:bookmarkStart w:id="236" w:name="_Toc511663250"/>
      <w:bookmarkStart w:id="237" w:name="_Toc521486766"/>
      <w:bookmarkStart w:id="238" w:name="_Toc511897567"/>
      <w:bookmarkStart w:id="239" w:name="_Toc50397859"/>
      <w:bookmarkStart w:id="240" w:name="_Toc144905366"/>
      <w:bookmarkStart w:id="241" w:name="_Toc5597"/>
      <w:bookmarkStart w:id="242" w:name="_Toc463011516"/>
      <w:bookmarkStart w:id="243" w:name="_Toc109465590"/>
      <w:r>
        <w:rPr>
          <w:rFonts w:hint="eastAsia" w:hAnsi="宋体"/>
        </w:rPr>
        <w:t>17.4对与磋商活动有关的工作人员的纪律要求</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9B31769">
      <w:pPr>
        <w:autoSpaceDE w:val="0"/>
        <w:autoSpaceDN w:val="0"/>
        <w:adjustRightInd w:val="0"/>
        <w:spacing w:line="480" w:lineRule="atLeas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与磋商活动有关的工作人员不得收受他人的财物或者其他好处，不得向他人透漏对响应性文件的评审和比较、</w:t>
      </w:r>
      <w:r>
        <w:rPr>
          <w:rFonts w:hint="eastAsia" w:ascii="宋体" w:hAnsi="宋体" w:cs="宋体"/>
          <w:color w:val="000000"/>
          <w:sz w:val="24"/>
          <w:szCs w:val="24"/>
        </w:rPr>
        <w:t>成交</w:t>
      </w:r>
      <w:r>
        <w:rPr>
          <w:rFonts w:hint="eastAsia" w:ascii="宋体" w:hAnsi="宋体" w:cs="宋体"/>
          <w:color w:val="000000"/>
          <w:kern w:val="0"/>
          <w:sz w:val="24"/>
          <w:szCs w:val="24"/>
        </w:rPr>
        <w:t>候选人的推荐情况以及与磋商有关的其他情况。在磋商活动中，与磋商活动有关的工作人员不得擅离职守，影响磋商程序正常进行。</w:t>
      </w:r>
    </w:p>
    <w:p w14:paraId="5D5A6D2B">
      <w:pPr>
        <w:autoSpaceDE w:val="0"/>
        <w:autoSpaceDN w:val="0"/>
        <w:adjustRightInd w:val="0"/>
        <w:spacing w:line="480" w:lineRule="atLeast"/>
        <w:ind w:firstLine="480" w:firstLineChars="200"/>
        <w:jc w:val="left"/>
        <w:rPr>
          <w:rFonts w:ascii="宋体" w:hAnsi="宋体" w:cs="宋体"/>
          <w:color w:val="000000"/>
          <w:kern w:val="0"/>
          <w:sz w:val="24"/>
          <w:szCs w:val="24"/>
        </w:rPr>
      </w:pPr>
      <w:bookmarkStart w:id="244" w:name="_Toc428276610"/>
      <w:bookmarkStart w:id="245" w:name="_Toc277149403"/>
      <w:bookmarkStart w:id="246" w:name="_Toc12322"/>
      <w:bookmarkStart w:id="247" w:name="_Toc29575"/>
      <w:bookmarkStart w:id="248" w:name="_Toc2654"/>
      <w:bookmarkStart w:id="249" w:name="_Toc454788297"/>
      <w:bookmarkStart w:id="250" w:name="_Toc269470343"/>
      <w:bookmarkStart w:id="251" w:name="_Toc514402144"/>
      <w:bookmarkStart w:id="252" w:name="_Toc511897568"/>
      <w:bookmarkStart w:id="253" w:name="_Toc270604842"/>
      <w:bookmarkStart w:id="254" w:name="_Toc515378711"/>
      <w:bookmarkStart w:id="255" w:name="_Toc511663251"/>
      <w:bookmarkStart w:id="256" w:name="_Toc528250061"/>
      <w:bookmarkStart w:id="257" w:name="_Toc521488763"/>
      <w:bookmarkStart w:id="258" w:name="_Toc521488523"/>
      <w:bookmarkStart w:id="259" w:name="_Toc526682548"/>
      <w:bookmarkStart w:id="260" w:name="_Toc25427"/>
      <w:bookmarkStart w:id="261" w:name="_Toc270604615"/>
      <w:bookmarkStart w:id="262" w:name="_Toc521486767"/>
      <w:bookmarkStart w:id="263" w:name="_Toc521488923"/>
      <w:bookmarkStart w:id="264" w:name="_Toc463011517"/>
      <w:bookmarkStart w:id="265" w:name="_Toc455678278"/>
      <w:bookmarkStart w:id="266" w:name="_Toc20395"/>
      <w:r>
        <w:rPr>
          <w:rFonts w:hint="eastAsia" w:ascii="宋体" w:hAnsi="宋体" w:cs="宋体"/>
          <w:color w:val="000000"/>
          <w:kern w:val="0"/>
          <w:sz w:val="24"/>
          <w:szCs w:val="24"/>
        </w:rPr>
        <w:t>17.5投诉</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1F211F8">
      <w:pPr>
        <w:pStyle w:val="35"/>
        <w:tabs>
          <w:tab w:val="left" w:pos="540"/>
        </w:tabs>
        <w:spacing w:line="480" w:lineRule="atLeast"/>
        <w:ind w:firstLine="480" w:firstLineChars="200"/>
        <w:jc w:val="both"/>
        <w:rPr>
          <w:rFonts w:hAnsi="宋体"/>
          <w:kern w:val="2"/>
        </w:rPr>
      </w:pPr>
      <w:bookmarkStart w:id="267" w:name="_Toc21437478"/>
      <w:bookmarkStart w:id="268" w:name="_Toc81228868"/>
      <w:bookmarkStart w:id="269" w:name="_Toc22717755"/>
      <w:bookmarkStart w:id="270" w:name="_Toc50397320"/>
      <w:bookmarkStart w:id="271" w:name="_Toc109464593"/>
      <w:bookmarkStart w:id="272" w:name="_Toc77596794"/>
      <w:bookmarkStart w:id="273" w:name="_Toc144905367"/>
      <w:bookmarkStart w:id="274" w:name="_Toc98939171"/>
      <w:bookmarkStart w:id="275" w:name="_Toc109033472"/>
      <w:bookmarkStart w:id="276" w:name="_Toc82772788"/>
      <w:bookmarkStart w:id="277" w:name="_Toc50397860"/>
      <w:bookmarkStart w:id="278" w:name="_Toc109465591"/>
      <w:bookmarkStart w:id="279" w:name="_Toc89969051"/>
      <w:bookmarkStart w:id="280" w:name="_Toc3206135"/>
      <w:bookmarkStart w:id="281" w:name="_Toc81228825"/>
      <w:bookmarkStart w:id="282" w:name="_Toc81227645"/>
      <w:bookmarkStart w:id="283" w:name="_Toc82773200"/>
      <w:bookmarkStart w:id="284" w:name="_Toc4248307"/>
      <w:r>
        <w:rPr>
          <w:rFonts w:hint="eastAsia" w:hAnsi="宋体"/>
          <w:kern w:val="2"/>
        </w:rPr>
        <w:t>供应商和其他利害关系人认为本次竞争性磋商违反法律、法规和规章规定的，有权向有关行政监督部门投诉。</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02BE7F1">
      <w:pPr>
        <w:pStyle w:val="35"/>
        <w:tabs>
          <w:tab w:val="left" w:pos="540"/>
        </w:tabs>
        <w:spacing w:line="480" w:lineRule="atLeast"/>
        <w:ind w:firstLine="241" w:firstLineChars="100"/>
        <w:jc w:val="both"/>
        <w:rPr>
          <w:rFonts w:hAnsi="宋体"/>
          <w:b/>
          <w:kern w:val="2"/>
        </w:rPr>
      </w:pPr>
      <w:bookmarkStart w:id="285" w:name="_Toc109465593"/>
      <w:bookmarkStart w:id="286" w:name="_Toc82773202"/>
      <w:bookmarkStart w:id="287" w:name="_Toc109464595"/>
      <w:bookmarkStart w:id="288" w:name="_Toc109033474"/>
      <w:bookmarkStart w:id="289" w:name="_Toc144905369"/>
      <w:bookmarkStart w:id="290" w:name="_Toc82772790"/>
      <w:bookmarkStart w:id="291" w:name="_Toc81227647"/>
      <w:bookmarkStart w:id="292" w:name="_Toc50397322"/>
      <w:bookmarkStart w:id="293" w:name="_Toc81228827"/>
      <w:bookmarkStart w:id="294" w:name="_Toc89969053"/>
      <w:bookmarkStart w:id="295" w:name="_Toc77596796"/>
      <w:bookmarkStart w:id="296" w:name="_Toc50397862"/>
      <w:bookmarkStart w:id="297" w:name="_Toc98939173"/>
      <w:bookmarkStart w:id="298" w:name="_Toc81228870"/>
      <w:r>
        <w:rPr>
          <w:rFonts w:hint="eastAsia" w:hAnsi="宋体"/>
          <w:b/>
          <w:kern w:val="2"/>
        </w:rPr>
        <w:t>1</w:t>
      </w:r>
      <w:r>
        <w:rPr>
          <w:rFonts w:hint="eastAsia" w:hAnsi="宋体"/>
          <w:b/>
          <w:kern w:val="2"/>
          <w:lang w:val="en-US" w:eastAsia="zh-CN"/>
        </w:rPr>
        <w:t>8</w:t>
      </w:r>
      <w:r>
        <w:rPr>
          <w:rFonts w:hint="eastAsia" w:hAnsi="宋体"/>
          <w:b/>
          <w:kern w:val="2"/>
        </w:rPr>
        <w:t>、需要补充的其他内容</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29063A92">
      <w:pPr>
        <w:pStyle w:val="35"/>
        <w:tabs>
          <w:tab w:val="left" w:pos="540"/>
        </w:tabs>
        <w:spacing w:line="480" w:lineRule="atLeast"/>
        <w:ind w:firstLine="480" w:firstLineChars="200"/>
        <w:jc w:val="both"/>
        <w:rPr>
          <w:rFonts w:hint="eastAsia" w:hAnsi="宋体"/>
          <w:kern w:val="2"/>
        </w:rPr>
      </w:pPr>
      <w:bookmarkStart w:id="299" w:name="_Toc82772791"/>
      <w:bookmarkStart w:id="300" w:name="_Toc81228828"/>
      <w:bookmarkStart w:id="301" w:name="_Toc50397863"/>
      <w:bookmarkStart w:id="302" w:name="_Toc50397323"/>
      <w:bookmarkStart w:id="303" w:name="_Toc3206145"/>
      <w:bookmarkStart w:id="304" w:name="_Toc21437488"/>
      <w:bookmarkStart w:id="305" w:name="_Toc89969054"/>
      <w:bookmarkStart w:id="306" w:name="_Toc82773203"/>
      <w:bookmarkStart w:id="307" w:name="_Toc109464596"/>
      <w:bookmarkStart w:id="308" w:name="_Toc81227648"/>
      <w:bookmarkStart w:id="309" w:name="_Toc109465594"/>
      <w:bookmarkStart w:id="310" w:name="_Toc530142123"/>
      <w:bookmarkStart w:id="311" w:name="_Toc144905370"/>
      <w:bookmarkStart w:id="312" w:name="_Toc98939174"/>
      <w:bookmarkStart w:id="313" w:name="_Toc77596797"/>
      <w:bookmarkStart w:id="314" w:name="_Toc4248317"/>
      <w:bookmarkStart w:id="315" w:name="_Toc109033475"/>
      <w:bookmarkStart w:id="316" w:name="_Toc81228871"/>
      <w:bookmarkStart w:id="317" w:name="_Toc22717765"/>
      <w:r>
        <w:rPr>
          <w:rFonts w:hint="eastAsia" w:hAnsi="宋体"/>
          <w:kern w:val="2"/>
          <w:lang w:val="en-US" w:eastAsia="zh-CN"/>
        </w:rPr>
        <w:t>18.1</w:t>
      </w:r>
      <w:r>
        <w:rPr>
          <w:rFonts w:hint="eastAsia" w:hAnsi="宋体"/>
          <w:kern w:val="2"/>
        </w:rPr>
        <w:t>需要补充的其他内容：见供应商须知前附表。</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B0B8885">
      <w:pPr>
        <w:pStyle w:val="35"/>
        <w:tabs>
          <w:tab w:val="left" w:pos="540"/>
        </w:tabs>
        <w:spacing w:line="480" w:lineRule="atLeast"/>
        <w:ind w:firstLine="480" w:firstLineChars="200"/>
        <w:jc w:val="both"/>
        <w:rPr>
          <w:rFonts w:hint="eastAsia" w:ascii="宋体" w:hAnsi="宋体" w:cs="宋体"/>
          <w:sz w:val="24"/>
        </w:rPr>
      </w:pPr>
      <w:r>
        <w:rPr>
          <w:rFonts w:hint="eastAsia" w:hAnsi="宋体"/>
          <w:kern w:val="2"/>
          <w:lang w:val="en-US" w:eastAsia="zh-CN"/>
        </w:rPr>
        <w:t>18.2</w:t>
      </w:r>
      <w:r>
        <w:rPr>
          <w:rFonts w:hint="eastAsia" w:ascii="宋体" w:hAnsi="宋体" w:cs="宋体"/>
          <w:sz w:val="24"/>
        </w:rPr>
        <w:t>未尽事宜按国家有关规定执行。</w:t>
      </w:r>
    </w:p>
    <w:p w14:paraId="1BC4651D">
      <w:pPr>
        <w:pStyle w:val="35"/>
        <w:tabs>
          <w:tab w:val="left" w:pos="540"/>
        </w:tabs>
        <w:spacing w:line="480" w:lineRule="atLeast"/>
        <w:ind w:firstLine="480" w:firstLineChars="200"/>
        <w:jc w:val="both"/>
        <w:rPr>
          <w:rFonts w:hint="default" w:ascii="宋体" w:hAnsi="宋体" w:eastAsia="宋体" w:cs="宋体"/>
          <w:sz w:val="24"/>
          <w:lang w:val="en-US" w:eastAsia="zh-CN"/>
        </w:rPr>
      </w:pPr>
      <w:r>
        <w:rPr>
          <w:rFonts w:hint="eastAsia" w:hAnsi="宋体" w:cs="宋体"/>
          <w:sz w:val="24"/>
          <w:lang w:val="en-US" w:eastAsia="zh-CN"/>
        </w:rPr>
        <w:t>18.3</w:t>
      </w:r>
      <w:r>
        <w:rPr>
          <w:rFonts w:hint="eastAsia" w:ascii="宋体" w:hAnsi="宋体" w:cs="宋体"/>
          <w:sz w:val="24"/>
        </w:rPr>
        <w:t>本招标文件最终解释权归采购人。</w:t>
      </w:r>
    </w:p>
    <w:p w14:paraId="2C007D2A">
      <w:pPr>
        <w:pStyle w:val="19"/>
        <w:rPr>
          <w:rFonts w:hint="eastAsia"/>
        </w:rPr>
      </w:pPr>
    </w:p>
    <w:p w14:paraId="78FA1253">
      <w:pPr>
        <w:adjustRightInd w:val="0"/>
        <w:snapToGrid w:val="0"/>
        <w:spacing w:line="360" w:lineRule="auto"/>
        <w:ind w:firstLine="643" w:firstLineChars="200"/>
        <w:jc w:val="center"/>
        <w:rPr>
          <w:rFonts w:hint="eastAsia" w:ascii="宋体" w:hAnsi="宋体" w:cs="宋体"/>
          <w:b/>
          <w:bCs/>
          <w:color w:val="000000"/>
          <w:sz w:val="32"/>
          <w:szCs w:val="32"/>
        </w:rPr>
      </w:pPr>
    </w:p>
    <w:p w14:paraId="59FC9F7E">
      <w:pPr>
        <w:adjustRightInd w:val="0"/>
        <w:snapToGrid w:val="0"/>
        <w:spacing w:line="360" w:lineRule="auto"/>
        <w:ind w:firstLine="643" w:firstLineChars="200"/>
        <w:jc w:val="center"/>
        <w:rPr>
          <w:rFonts w:hint="eastAsia" w:ascii="宋体" w:hAnsi="宋体" w:cs="宋体"/>
          <w:b/>
          <w:bCs/>
          <w:color w:val="000000"/>
          <w:sz w:val="32"/>
          <w:szCs w:val="32"/>
        </w:rPr>
      </w:pPr>
    </w:p>
    <w:p w14:paraId="465CB586">
      <w:pPr>
        <w:pStyle w:val="12"/>
        <w:rPr>
          <w:rFonts w:hint="eastAsia"/>
        </w:rPr>
      </w:pPr>
    </w:p>
    <w:p w14:paraId="2CE5CA61">
      <w:pPr>
        <w:pStyle w:val="12"/>
        <w:rPr>
          <w:rFonts w:hint="eastAsia"/>
        </w:rPr>
      </w:pPr>
    </w:p>
    <w:p w14:paraId="52CDEBBC">
      <w:pPr>
        <w:pStyle w:val="12"/>
        <w:rPr>
          <w:rFonts w:hint="eastAsia"/>
        </w:rPr>
      </w:pPr>
    </w:p>
    <w:p w14:paraId="5666BC34">
      <w:pPr>
        <w:pStyle w:val="12"/>
        <w:rPr>
          <w:rFonts w:hint="eastAsia"/>
        </w:rPr>
      </w:pPr>
    </w:p>
    <w:p w14:paraId="627624F0">
      <w:pPr>
        <w:pStyle w:val="12"/>
        <w:rPr>
          <w:rFonts w:hint="eastAsia"/>
        </w:rPr>
      </w:pPr>
    </w:p>
    <w:p w14:paraId="035740D7">
      <w:pPr>
        <w:pStyle w:val="12"/>
        <w:rPr>
          <w:rFonts w:hint="eastAsia"/>
        </w:rPr>
      </w:pPr>
    </w:p>
    <w:p w14:paraId="115E06E8">
      <w:pPr>
        <w:pStyle w:val="12"/>
        <w:rPr>
          <w:rFonts w:hint="eastAsia"/>
        </w:rPr>
      </w:pPr>
      <w:r>
        <w:rPr>
          <w:rFonts w:hint="eastAsia"/>
        </w:rPr>
        <w:br w:type="page"/>
      </w:r>
    </w:p>
    <w:p w14:paraId="2767F03A">
      <w:pPr>
        <w:adjustRightInd w:val="0"/>
        <w:snapToGrid w:val="0"/>
        <w:spacing w:line="360" w:lineRule="auto"/>
        <w:ind w:firstLine="0" w:firstLineChars="0"/>
        <w:jc w:val="center"/>
        <w:outlineLvl w:val="0"/>
        <w:rPr>
          <w:rFonts w:hint="eastAsia" w:ascii="宋体" w:hAnsi="宋体" w:cs="宋体"/>
          <w:b/>
          <w:bCs/>
          <w:color w:val="000000"/>
          <w:sz w:val="32"/>
          <w:szCs w:val="32"/>
        </w:rPr>
      </w:pPr>
      <w:bookmarkStart w:id="318" w:name="_Toc6399"/>
      <w:bookmarkStart w:id="319" w:name="_Toc144905371"/>
      <w:r>
        <w:rPr>
          <w:rFonts w:hint="eastAsia" w:ascii="宋体" w:hAnsi="宋体" w:cs="宋体"/>
          <w:b/>
          <w:bCs/>
          <w:color w:val="000000"/>
          <w:sz w:val="32"/>
          <w:szCs w:val="32"/>
        </w:rPr>
        <w:t>第三章 评审办法</w:t>
      </w:r>
      <w:bookmarkEnd w:id="318"/>
      <w:bookmarkEnd w:id="319"/>
    </w:p>
    <w:p w14:paraId="3E9964F3">
      <w:pPr>
        <w:pStyle w:val="35"/>
        <w:tabs>
          <w:tab w:val="left" w:pos="540"/>
        </w:tabs>
        <w:spacing w:line="480" w:lineRule="atLeast"/>
        <w:jc w:val="both"/>
        <w:rPr>
          <w:rFonts w:hint="eastAsia" w:hAnsi="宋体"/>
          <w:b/>
          <w:bCs/>
          <w:kern w:val="2"/>
        </w:rPr>
      </w:pPr>
      <w:bookmarkStart w:id="320" w:name="_Toc16466"/>
      <w:bookmarkStart w:id="321" w:name="_Toc11006"/>
      <w:bookmarkStart w:id="322" w:name="_Toc18325"/>
      <w:r>
        <w:rPr>
          <w:rFonts w:hint="eastAsia" w:hAnsi="宋体"/>
          <w:b/>
          <w:bCs/>
          <w:kern w:val="2"/>
        </w:rPr>
        <w:t>一、磋商原则</w:t>
      </w:r>
      <w:bookmarkEnd w:id="320"/>
      <w:bookmarkEnd w:id="321"/>
      <w:bookmarkEnd w:id="322"/>
    </w:p>
    <w:p w14:paraId="43165C98">
      <w:pPr>
        <w:pStyle w:val="35"/>
        <w:tabs>
          <w:tab w:val="left" w:pos="540"/>
        </w:tabs>
        <w:spacing w:line="480" w:lineRule="atLeast"/>
        <w:ind w:firstLine="360" w:firstLineChars="150"/>
        <w:jc w:val="both"/>
        <w:rPr>
          <w:rFonts w:hint="eastAsia" w:hAnsi="宋体"/>
          <w:kern w:val="2"/>
        </w:rPr>
      </w:pPr>
      <w:r>
        <w:rPr>
          <w:rFonts w:hint="eastAsia" w:hAnsi="宋体"/>
          <w:kern w:val="2"/>
        </w:rPr>
        <w:t>1、坚持公开、公平的原则，公正地对待所有响应人。</w:t>
      </w:r>
    </w:p>
    <w:p w14:paraId="32F55291">
      <w:pPr>
        <w:pStyle w:val="35"/>
        <w:tabs>
          <w:tab w:val="left" w:pos="540"/>
        </w:tabs>
        <w:spacing w:line="480" w:lineRule="atLeast"/>
        <w:ind w:firstLine="360" w:firstLineChars="150"/>
        <w:jc w:val="both"/>
        <w:rPr>
          <w:rFonts w:hint="eastAsia" w:ascii="宋体" w:hAnsi="宋体" w:eastAsia="宋体" w:cs="宋体"/>
          <w:sz w:val="24"/>
          <w:szCs w:val="24"/>
        </w:rPr>
      </w:pPr>
      <w:r>
        <w:rPr>
          <w:rFonts w:hint="eastAsia" w:hAnsi="宋体"/>
          <w:kern w:val="2"/>
        </w:rPr>
        <w:t>2、坚持竞争性磋商文件的所有相关规定，择优定</w:t>
      </w:r>
      <w:r>
        <w:rPr>
          <w:rFonts w:hint="eastAsia" w:ascii="宋体" w:hAnsi="宋体" w:eastAsia="宋体" w:cs="宋体"/>
          <w:sz w:val="24"/>
          <w:szCs w:val="24"/>
        </w:rPr>
        <w:t>标。</w:t>
      </w:r>
    </w:p>
    <w:p w14:paraId="044FC7A6">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0" w:firstLineChars="0"/>
        <w:textAlignment w:val="auto"/>
        <w:outlineLvl w:val="1"/>
        <w:rPr>
          <w:rFonts w:hint="eastAsia" w:ascii="宋体" w:hAnsi="宋体" w:eastAsia="宋体" w:cs="宋体"/>
          <w:b/>
          <w:bCs/>
          <w:sz w:val="24"/>
          <w:szCs w:val="24"/>
        </w:rPr>
      </w:pPr>
      <w:bookmarkStart w:id="323" w:name="_Toc32649"/>
      <w:bookmarkStart w:id="324" w:name="_Toc15698"/>
      <w:bookmarkStart w:id="325" w:name="_Toc17732"/>
      <w:bookmarkStart w:id="326" w:name="_Toc28700"/>
      <w:bookmarkStart w:id="327" w:name="_Toc13104"/>
      <w:r>
        <w:rPr>
          <w:rFonts w:hint="eastAsia" w:ascii="宋体" w:hAnsi="宋体" w:eastAsia="宋体" w:cs="宋体"/>
          <w:b/>
          <w:bCs/>
          <w:sz w:val="24"/>
          <w:szCs w:val="24"/>
        </w:rPr>
        <w:t>二、磋商程序</w:t>
      </w:r>
      <w:bookmarkEnd w:id="323"/>
      <w:bookmarkEnd w:id="324"/>
      <w:bookmarkEnd w:id="325"/>
      <w:bookmarkEnd w:id="326"/>
      <w:bookmarkEnd w:id="327"/>
    </w:p>
    <w:p w14:paraId="2C47D1E3">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outlineLvl w:val="2"/>
        <w:rPr>
          <w:rFonts w:hint="eastAsia" w:ascii="宋体" w:hAnsi="宋体" w:eastAsia="宋体" w:cs="宋体"/>
          <w:sz w:val="24"/>
          <w:szCs w:val="24"/>
        </w:rPr>
      </w:pPr>
      <w:bookmarkStart w:id="328" w:name="_Toc11303"/>
      <w:bookmarkStart w:id="329" w:name="_Toc3217"/>
      <w:bookmarkStart w:id="330" w:name="_Toc29268"/>
      <w:bookmarkStart w:id="331" w:name="_Toc3273"/>
      <w:r>
        <w:rPr>
          <w:rFonts w:hint="eastAsia" w:ascii="宋体" w:hAnsi="宋体" w:eastAsia="宋体" w:cs="宋体"/>
          <w:sz w:val="24"/>
          <w:szCs w:val="24"/>
        </w:rPr>
        <w:t>（一）磋商</w:t>
      </w:r>
      <w:bookmarkEnd w:id="328"/>
      <w:bookmarkEnd w:id="329"/>
      <w:bookmarkEnd w:id="330"/>
      <w:bookmarkEnd w:id="331"/>
    </w:p>
    <w:p w14:paraId="780F8846">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1、磋商活动由代理机构组织，采购人授权磋商小组所有成员集中与每一响应人在规定时间、地点进行磋商；</w:t>
      </w:r>
    </w:p>
    <w:p w14:paraId="1184BFAC">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2、磋商由代理机构主持；</w:t>
      </w:r>
    </w:p>
    <w:p w14:paraId="64966C9E">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outlineLvl w:val="2"/>
        <w:rPr>
          <w:rFonts w:hint="eastAsia" w:ascii="宋体" w:hAnsi="宋体" w:eastAsia="宋体" w:cs="宋体"/>
          <w:sz w:val="24"/>
          <w:szCs w:val="24"/>
        </w:rPr>
      </w:pPr>
      <w:bookmarkStart w:id="332" w:name="_Toc29346"/>
      <w:bookmarkStart w:id="333" w:name="_Toc6520"/>
      <w:bookmarkStart w:id="334" w:name="_Toc25470"/>
      <w:bookmarkStart w:id="335" w:name="_Toc13257"/>
      <w:r>
        <w:rPr>
          <w:rFonts w:hint="eastAsia" w:ascii="宋体" w:hAnsi="宋体" w:eastAsia="宋体" w:cs="宋体"/>
          <w:sz w:val="24"/>
          <w:szCs w:val="24"/>
        </w:rPr>
        <w:t>（二）磋商小组</w:t>
      </w:r>
      <w:bookmarkEnd w:id="332"/>
      <w:bookmarkEnd w:id="333"/>
      <w:bookmarkEnd w:id="334"/>
      <w:bookmarkEnd w:id="335"/>
    </w:p>
    <w:p w14:paraId="4314A1E8">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磋商小组成员为3人，采购人代表1人，</w:t>
      </w:r>
      <w:r>
        <w:rPr>
          <w:rFonts w:hint="eastAsia" w:hAnsi="宋体" w:cs="宋体"/>
          <w:sz w:val="24"/>
          <w:szCs w:val="24"/>
          <w:lang w:val="en-US" w:eastAsia="zh-CN"/>
        </w:rPr>
        <w:t>经济、技术</w:t>
      </w:r>
      <w:r>
        <w:rPr>
          <w:rFonts w:hint="eastAsia" w:ascii="宋体" w:hAnsi="宋体" w:eastAsia="宋体" w:cs="宋体"/>
          <w:sz w:val="24"/>
          <w:szCs w:val="24"/>
        </w:rPr>
        <w:t>专家2人，开标后从河南省政府采购评标专家库中随机抽取（采购人评标代表无评标劳务费用）。</w:t>
      </w:r>
    </w:p>
    <w:p w14:paraId="4987E208">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outlineLvl w:val="2"/>
        <w:rPr>
          <w:rFonts w:hint="eastAsia" w:ascii="宋体" w:hAnsi="宋体" w:eastAsia="宋体" w:cs="宋体"/>
          <w:sz w:val="24"/>
          <w:szCs w:val="24"/>
        </w:rPr>
      </w:pPr>
      <w:bookmarkStart w:id="336" w:name="_Toc22021"/>
      <w:bookmarkStart w:id="337" w:name="_Toc6880"/>
      <w:bookmarkStart w:id="338" w:name="_Toc27064"/>
      <w:bookmarkStart w:id="339" w:name="_Toc26427"/>
      <w:r>
        <w:rPr>
          <w:rFonts w:hint="eastAsia" w:ascii="宋体" w:hAnsi="宋体" w:eastAsia="宋体" w:cs="宋体"/>
          <w:sz w:val="24"/>
          <w:szCs w:val="24"/>
        </w:rPr>
        <w:t>（三）磋商程序</w:t>
      </w:r>
      <w:bookmarkEnd w:id="336"/>
      <w:bookmarkEnd w:id="337"/>
      <w:bookmarkEnd w:id="338"/>
      <w:bookmarkEnd w:id="339"/>
    </w:p>
    <w:p w14:paraId="51782CD0">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1、首先由采购人介绍本次磋商的主要情况及响应人需要了解的主要事项；</w:t>
      </w:r>
    </w:p>
    <w:p w14:paraId="138E8AE3">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2、查看磋商文件上传情况，响应人按照递交响应文件先后顺序确定进行首轮报价的先后顺序，响应人自行对本项目服务进行首轮报价；</w:t>
      </w:r>
    </w:p>
    <w:p w14:paraId="6A5B879F">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3、磋商小组审阅响应文件，确定进入最终报价磋商阶段的响应人名单；</w:t>
      </w:r>
    </w:p>
    <w:p w14:paraId="5AD68404">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4、磋商小组所有成员应当集中与单一响应人分别进行最终报价磋商；</w:t>
      </w:r>
    </w:p>
    <w:p w14:paraId="408A0BDD">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5、响应人按照递交响应文件先后顺序逐家讲解针对本项目的服务方案、相关承诺等，并回答磋商小组的提问。</w:t>
      </w:r>
    </w:p>
    <w:p w14:paraId="0FEEAAB1">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6、围绕磋商要点，磋商小组全体成员集中与各个响应人分别进行最终报价磋商。</w:t>
      </w:r>
    </w:p>
    <w:p w14:paraId="0FBF9DC4">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7、磋商文件中服务要求及合同草案条款有实质性变动的，磋商小组将以书面形式通知所有参加磋商的响应人。</w:t>
      </w:r>
    </w:p>
    <w:p w14:paraId="7B2ABC1C">
      <w:pPr>
        <w:pStyle w:val="35"/>
        <w:keepNext w:val="0"/>
        <w:keepLines w:val="0"/>
        <w:pageBreakBefore w:val="0"/>
        <w:widowControl w:val="0"/>
        <w:tabs>
          <w:tab w:val="left" w:pos="540"/>
        </w:tabs>
        <w:kinsoku/>
        <w:wordWrap/>
        <w:overflowPunct/>
        <w:topLinePunct w:val="0"/>
        <w:autoSpaceDE w:val="0"/>
        <w:autoSpaceDN w:val="0"/>
        <w:bidi w:val="0"/>
        <w:adjustRightInd w:val="0"/>
        <w:snapToGrid/>
        <w:spacing w:line="480" w:lineRule="atLeast"/>
        <w:ind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rPr>
        <w:t>8、经磋商确定最终采购需求和提交最终报价的响应人后，由磋商小组采用综合评分法对提交最终报价的响应人的响应文件和最终报价进行综合评分。</w:t>
      </w:r>
      <w:bookmarkStart w:id="340" w:name="_Toc10758"/>
    </w:p>
    <w:p w14:paraId="68E43212">
      <w:pPr>
        <w:jc w:val="left"/>
        <w:rPr>
          <w:rFonts w:hint="eastAsia" w:ascii="宋体" w:hAnsi="宋体" w:eastAsia="宋体" w:cs="Times New Roman"/>
          <w:b/>
          <w:sz w:val="28"/>
          <w:szCs w:val="28"/>
        </w:rPr>
      </w:pPr>
    </w:p>
    <w:p w14:paraId="15F9B477">
      <w:pPr>
        <w:jc w:val="left"/>
        <w:rPr>
          <w:rFonts w:hint="eastAsia" w:ascii="宋体" w:hAnsi="宋体" w:eastAsia="宋体" w:cs="Times New Roman"/>
          <w:b/>
          <w:sz w:val="28"/>
          <w:szCs w:val="28"/>
        </w:rPr>
      </w:pPr>
    </w:p>
    <w:p w14:paraId="7BB22021">
      <w:pPr>
        <w:jc w:val="left"/>
        <w:rPr>
          <w:rFonts w:hint="eastAsia" w:ascii="宋体" w:hAnsi="宋体" w:eastAsia="宋体" w:cs="Times New Roman"/>
          <w:b/>
          <w:sz w:val="28"/>
          <w:szCs w:val="28"/>
        </w:rPr>
      </w:pPr>
    </w:p>
    <w:p w14:paraId="5837A9C7">
      <w:pPr>
        <w:jc w:val="left"/>
        <w:rPr>
          <w:rFonts w:hint="eastAsia" w:ascii="宋体" w:hAnsi="宋体" w:eastAsia="宋体" w:cs="Times New Roman"/>
          <w:b/>
          <w:sz w:val="28"/>
          <w:szCs w:val="28"/>
        </w:rPr>
      </w:pPr>
    </w:p>
    <w:p w14:paraId="74C8B317">
      <w:pPr>
        <w:jc w:val="left"/>
        <w:rPr>
          <w:rFonts w:ascii="宋体" w:hAnsi="宋体" w:eastAsia="宋体" w:cs="Times New Roman"/>
          <w:b/>
          <w:sz w:val="24"/>
          <w:szCs w:val="24"/>
        </w:rPr>
      </w:pPr>
      <w:r>
        <w:rPr>
          <w:rFonts w:hint="eastAsia" w:ascii="宋体" w:hAnsi="宋体" w:eastAsia="宋体" w:cs="Times New Roman"/>
          <w:b/>
          <w:sz w:val="24"/>
          <w:szCs w:val="24"/>
        </w:rPr>
        <w:t>三、评审标准（综合评分法）</w:t>
      </w:r>
      <w:bookmarkEnd w:id="340"/>
    </w:p>
    <w:p w14:paraId="3E1A39B4">
      <w:pPr>
        <w:widowControl/>
        <w:adjustRightInd w:val="0"/>
        <w:snapToGrid w:val="0"/>
        <w:spacing w:after="200" w:line="400" w:lineRule="exact"/>
        <w:jc w:val="center"/>
        <w:outlineLvl w:val="2"/>
        <w:rPr>
          <w:rFonts w:ascii="宋体" w:hAnsi="宋体" w:eastAsia="宋体" w:cs="Calibri"/>
          <w:b/>
          <w:bCs/>
          <w:kern w:val="0"/>
          <w:sz w:val="24"/>
        </w:rPr>
      </w:pPr>
      <w:bookmarkStart w:id="341" w:name="_Toc2599"/>
      <w:bookmarkStart w:id="342" w:name="_Toc18660"/>
      <w:bookmarkStart w:id="343" w:name="_Toc29062"/>
      <w:bookmarkStart w:id="344" w:name="_Toc2223"/>
      <w:r>
        <w:rPr>
          <w:rFonts w:hint="eastAsia" w:ascii="宋体" w:hAnsi="宋体" w:eastAsia="宋体" w:cs="Calibri"/>
          <w:b/>
          <w:bCs/>
          <w:kern w:val="0"/>
          <w:sz w:val="24"/>
        </w:rPr>
        <w:t>评标办法前附表</w:t>
      </w:r>
      <w:bookmarkEnd w:id="341"/>
      <w:bookmarkEnd w:id="342"/>
      <w:bookmarkEnd w:id="343"/>
      <w:bookmarkEnd w:id="344"/>
    </w:p>
    <w:tbl>
      <w:tblPr>
        <w:tblStyle w:val="2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009"/>
        <w:gridCol w:w="1864"/>
        <w:gridCol w:w="5385"/>
      </w:tblGrid>
      <w:tr w14:paraId="63D2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4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FCA52AE">
            <w:pPr>
              <w:keepNext w:val="0"/>
              <w:keepLines w:val="0"/>
              <w:pageBreakBefore w:val="0"/>
              <w:kinsoku/>
              <w:wordWrap/>
              <w:overflowPunct/>
              <w:topLinePunct w:val="0"/>
              <w:bidi w:val="0"/>
              <w:snapToGrid w:val="0"/>
              <w:spacing w:line="240" w:lineRule="auto"/>
              <w:jc w:val="center"/>
              <w:textAlignment w:val="baseline"/>
              <w:rPr>
                <w:rFonts w:ascii="宋体" w:hAnsi="宋体" w:eastAsia="宋体" w:cs="仿宋"/>
                <w:b/>
                <w:kern w:val="0"/>
                <w:sz w:val="24"/>
                <w:szCs w:val="24"/>
              </w:rPr>
            </w:pPr>
            <w:r>
              <w:rPr>
                <w:rFonts w:hint="eastAsia" w:ascii="宋体" w:hAnsi="宋体" w:eastAsia="宋体" w:cs="仿宋"/>
                <w:b/>
                <w:kern w:val="0"/>
                <w:sz w:val="24"/>
                <w:szCs w:val="24"/>
              </w:rPr>
              <w:t>条款号</w:t>
            </w:r>
          </w:p>
        </w:tc>
        <w:tc>
          <w:tcPr>
            <w:tcW w:w="1864" w:type="dxa"/>
            <w:tcBorders>
              <w:top w:val="single" w:color="auto" w:sz="4" w:space="0"/>
              <w:left w:val="single" w:color="auto" w:sz="4" w:space="0"/>
              <w:bottom w:val="single" w:color="auto" w:sz="4" w:space="0"/>
              <w:right w:val="single" w:color="auto" w:sz="4" w:space="0"/>
              <w:tl2br w:val="nil"/>
              <w:tr2bl w:val="nil"/>
            </w:tcBorders>
            <w:noWrap/>
            <w:vAlign w:val="center"/>
          </w:tcPr>
          <w:p w14:paraId="7CA8B13C">
            <w:pPr>
              <w:keepNext w:val="0"/>
              <w:keepLines w:val="0"/>
              <w:pageBreakBefore w:val="0"/>
              <w:kinsoku/>
              <w:wordWrap/>
              <w:overflowPunct/>
              <w:topLinePunct w:val="0"/>
              <w:bidi w:val="0"/>
              <w:snapToGrid w:val="0"/>
              <w:spacing w:line="240" w:lineRule="auto"/>
              <w:jc w:val="center"/>
              <w:textAlignment w:val="baseline"/>
              <w:rPr>
                <w:rFonts w:ascii="宋体" w:hAnsi="宋体" w:eastAsia="宋体" w:cs="仿宋"/>
                <w:b/>
                <w:kern w:val="0"/>
                <w:sz w:val="24"/>
                <w:szCs w:val="24"/>
              </w:rPr>
            </w:pPr>
            <w:r>
              <w:rPr>
                <w:rFonts w:hint="eastAsia" w:ascii="宋体" w:hAnsi="宋体" w:eastAsia="宋体" w:cs="仿宋"/>
                <w:b/>
                <w:kern w:val="0"/>
                <w:sz w:val="24"/>
                <w:szCs w:val="24"/>
              </w:rPr>
              <w:t>评审因素</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5E3A92AC">
            <w:pPr>
              <w:keepNext w:val="0"/>
              <w:keepLines w:val="0"/>
              <w:pageBreakBefore w:val="0"/>
              <w:kinsoku/>
              <w:wordWrap/>
              <w:overflowPunct/>
              <w:topLinePunct w:val="0"/>
              <w:bidi w:val="0"/>
              <w:snapToGrid w:val="0"/>
              <w:spacing w:line="240" w:lineRule="auto"/>
              <w:jc w:val="center"/>
              <w:textAlignment w:val="baseline"/>
              <w:rPr>
                <w:rFonts w:ascii="宋体" w:hAnsi="宋体" w:eastAsia="宋体" w:cs="仿宋"/>
                <w:b/>
                <w:kern w:val="0"/>
                <w:sz w:val="24"/>
                <w:szCs w:val="24"/>
              </w:rPr>
            </w:pPr>
            <w:r>
              <w:rPr>
                <w:rFonts w:hint="eastAsia" w:ascii="宋体" w:hAnsi="宋体" w:eastAsia="宋体" w:cs="仿宋"/>
                <w:b/>
                <w:kern w:val="0"/>
                <w:sz w:val="24"/>
                <w:szCs w:val="24"/>
              </w:rPr>
              <w:t>评审标准</w:t>
            </w:r>
          </w:p>
        </w:tc>
      </w:tr>
      <w:tr w14:paraId="48C4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4" w:type="dxa"/>
            <w:vMerge w:val="restart"/>
            <w:tcBorders>
              <w:left w:val="single" w:color="auto" w:sz="4" w:space="0"/>
              <w:right w:val="single" w:color="auto" w:sz="4" w:space="0"/>
              <w:tl2br w:val="nil"/>
              <w:tr2bl w:val="nil"/>
            </w:tcBorders>
            <w:noWrap/>
            <w:vAlign w:val="center"/>
          </w:tcPr>
          <w:p w14:paraId="228E1AC5">
            <w:pPr>
              <w:keepNext w:val="0"/>
              <w:keepLines w:val="0"/>
              <w:pageBreakBefore w:val="0"/>
              <w:kinsoku/>
              <w:wordWrap/>
              <w:overflowPunct/>
              <w:topLinePunct w:val="0"/>
              <w:bidi w:val="0"/>
              <w:snapToGrid w:val="0"/>
              <w:spacing w:line="240" w:lineRule="auto"/>
              <w:jc w:val="center"/>
              <w:textAlignment w:val="baseline"/>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1</w:t>
            </w:r>
          </w:p>
        </w:tc>
        <w:tc>
          <w:tcPr>
            <w:tcW w:w="1009" w:type="dxa"/>
            <w:vMerge w:val="restart"/>
            <w:tcBorders>
              <w:left w:val="single" w:color="auto" w:sz="4" w:space="0"/>
              <w:right w:val="single" w:color="auto" w:sz="4" w:space="0"/>
              <w:tl2br w:val="nil"/>
              <w:tr2bl w:val="nil"/>
            </w:tcBorders>
            <w:noWrap/>
            <w:vAlign w:val="center"/>
          </w:tcPr>
          <w:p w14:paraId="69B49053">
            <w:pPr>
              <w:keepNext w:val="0"/>
              <w:keepLines w:val="0"/>
              <w:pageBreakBefore w:val="0"/>
              <w:kinsoku/>
              <w:wordWrap/>
              <w:overflowPunct/>
              <w:topLinePunct w:val="0"/>
              <w:bidi w:val="0"/>
              <w:snapToGrid w:val="0"/>
              <w:spacing w:line="240" w:lineRule="auto"/>
              <w:jc w:val="center"/>
              <w:textAlignment w:val="baseline"/>
              <w:rPr>
                <w:rFonts w:hint="eastAsia" w:ascii="宋体" w:hAnsi="宋体" w:eastAsia="宋体" w:cs="仿宋"/>
                <w:kern w:val="0"/>
                <w:sz w:val="24"/>
                <w:szCs w:val="24"/>
                <w:lang w:eastAsia="zh-CN"/>
              </w:rPr>
            </w:pPr>
            <w:r>
              <w:rPr>
                <w:rFonts w:hint="eastAsia" w:ascii="宋体" w:hAnsi="宋体" w:eastAsia="宋体" w:cs="仿宋"/>
                <w:kern w:val="0"/>
                <w:sz w:val="24"/>
                <w:szCs w:val="24"/>
                <w:lang w:eastAsia="zh-CN"/>
              </w:rPr>
              <w:t>符合性评审</w:t>
            </w:r>
          </w:p>
          <w:p w14:paraId="2E8570C7">
            <w:pPr>
              <w:keepNext w:val="0"/>
              <w:keepLines w:val="0"/>
              <w:pageBreakBefore w:val="0"/>
              <w:kinsoku/>
              <w:wordWrap/>
              <w:overflowPunct/>
              <w:topLinePunct w:val="0"/>
              <w:bidi w:val="0"/>
              <w:snapToGrid w:val="0"/>
              <w:spacing w:line="240" w:lineRule="auto"/>
              <w:jc w:val="center"/>
              <w:textAlignment w:val="baseline"/>
              <w:rPr>
                <w:rFonts w:hint="eastAsia" w:ascii="宋体" w:hAnsi="宋体" w:eastAsia="宋体" w:cs="仿宋"/>
                <w:kern w:val="0"/>
                <w:sz w:val="24"/>
                <w:szCs w:val="24"/>
                <w:lang w:eastAsia="zh-CN"/>
              </w:rPr>
            </w:pPr>
            <w:r>
              <w:rPr>
                <w:rFonts w:hint="eastAsia" w:ascii="宋体" w:hAnsi="宋体" w:eastAsia="宋体" w:cs="仿宋"/>
                <w:kern w:val="0"/>
                <w:sz w:val="24"/>
                <w:szCs w:val="24"/>
                <w:lang w:eastAsia="zh-CN"/>
              </w:rPr>
              <w:t>标准</w:t>
            </w:r>
          </w:p>
        </w:tc>
        <w:tc>
          <w:tcPr>
            <w:tcW w:w="1864" w:type="dxa"/>
            <w:tcBorders>
              <w:top w:val="single" w:color="auto" w:sz="4" w:space="0"/>
              <w:left w:val="single" w:color="auto" w:sz="4" w:space="0"/>
              <w:bottom w:val="single" w:color="auto" w:sz="4" w:space="0"/>
              <w:right w:val="single" w:color="auto" w:sz="4" w:space="0"/>
              <w:tl2br w:val="nil"/>
              <w:tr2bl w:val="nil"/>
            </w:tcBorders>
            <w:noWrap/>
            <w:vAlign w:val="center"/>
          </w:tcPr>
          <w:p w14:paraId="0EFE1181">
            <w:pPr>
              <w:keepNext w:val="0"/>
              <w:keepLines w:val="0"/>
              <w:pageBreakBefore w:val="0"/>
              <w:kinsoku/>
              <w:wordWrap/>
              <w:overflowPunct/>
              <w:topLinePunct w:val="0"/>
              <w:bidi w:val="0"/>
              <w:snapToGrid w:val="0"/>
              <w:spacing w:line="240" w:lineRule="auto"/>
              <w:jc w:val="center"/>
              <w:textAlignment w:val="baseline"/>
              <w:rPr>
                <w:rFonts w:hint="eastAsia" w:ascii="宋体" w:hAnsi="宋体" w:eastAsia="宋体" w:cs="宋体"/>
                <w:kern w:val="0"/>
                <w:sz w:val="24"/>
                <w:szCs w:val="24"/>
              </w:rPr>
            </w:pPr>
            <w:r>
              <w:rPr>
                <w:rFonts w:hint="eastAsia" w:ascii="宋体" w:hAnsi="宋体" w:eastAsia="宋体" w:cs="仿宋"/>
                <w:kern w:val="0"/>
                <w:sz w:val="24"/>
                <w:szCs w:val="24"/>
              </w:rPr>
              <w:t>响应人名称</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4A579543">
            <w:pPr>
              <w:keepNext w:val="0"/>
              <w:keepLines w:val="0"/>
              <w:pageBreakBefore w:val="0"/>
              <w:widowControl/>
              <w:kinsoku/>
              <w:wordWrap/>
              <w:overflowPunct/>
              <w:topLinePunct w:val="0"/>
              <w:autoSpaceDE w:val="0"/>
              <w:autoSpaceDN w:val="0"/>
              <w:bidi w:val="0"/>
              <w:adjustRightInd w:val="0"/>
              <w:snapToGrid w:val="0"/>
              <w:spacing w:line="240" w:lineRule="auto"/>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与营业执照一致</w:t>
            </w:r>
          </w:p>
        </w:tc>
      </w:tr>
      <w:tr w14:paraId="2A30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34" w:type="dxa"/>
            <w:vMerge w:val="continue"/>
            <w:tcBorders>
              <w:left w:val="single" w:color="auto" w:sz="4" w:space="0"/>
              <w:right w:val="single" w:color="auto" w:sz="4" w:space="0"/>
              <w:tl2br w:val="nil"/>
              <w:tr2bl w:val="nil"/>
            </w:tcBorders>
            <w:noWrap/>
            <w:vAlign w:val="center"/>
          </w:tcPr>
          <w:p w14:paraId="2E68DB68">
            <w:pPr>
              <w:keepNext w:val="0"/>
              <w:keepLines w:val="0"/>
              <w:pageBreakBefore w:val="0"/>
              <w:kinsoku/>
              <w:wordWrap/>
              <w:overflowPunct/>
              <w:topLinePunct w:val="0"/>
              <w:bidi w:val="0"/>
              <w:snapToGrid w:val="0"/>
              <w:spacing w:line="240" w:lineRule="auto"/>
              <w:textAlignment w:val="baseline"/>
              <w:rPr>
                <w:rFonts w:hint="eastAsia" w:ascii="宋体" w:hAnsi="宋体" w:eastAsia="宋体" w:cs="仿宋"/>
                <w:kern w:val="0"/>
                <w:sz w:val="24"/>
                <w:szCs w:val="24"/>
                <w:lang w:val="en-US" w:eastAsia="zh-CN"/>
              </w:rPr>
            </w:pPr>
          </w:p>
        </w:tc>
        <w:tc>
          <w:tcPr>
            <w:tcW w:w="1009" w:type="dxa"/>
            <w:vMerge w:val="continue"/>
            <w:tcBorders>
              <w:left w:val="single" w:color="auto" w:sz="4" w:space="0"/>
              <w:right w:val="single" w:color="auto" w:sz="4" w:space="0"/>
              <w:tl2br w:val="nil"/>
              <w:tr2bl w:val="nil"/>
            </w:tcBorders>
            <w:noWrap/>
            <w:vAlign w:val="center"/>
          </w:tcPr>
          <w:p w14:paraId="5A58ED2B">
            <w:pPr>
              <w:keepNext w:val="0"/>
              <w:keepLines w:val="0"/>
              <w:pageBreakBefore w:val="0"/>
              <w:kinsoku/>
              <w:wordWrap/>
              <w:overflowPunct/>
              <w:topLinePunct w:val="0"/>
              <w:bidi w:val="0"/>
              <w:snapToGrid w:val="0"/>
              <w:spacing w:line="240" w:lineRule="auto"/>
              <w:textAlignment w:val="baseline"/>
              <w:rPr>
                <w:rFonts w:hint="eastAsia" w:ascii="宋体" w:hAnsi="宋体" w:eastAsia="宋体" w:cs="仿宋"/>
                <w:kern w:val="0"/>
                <w:sz w:val="24"/>
                <w:szCs w:val="24"/>
              </w:rPr>
            </w:pPr>
          </w:p>
        </w:tc>
        <w:tc>
          <w:tcPr>
            <w:tcW w:w="1864" w:type="dxa"/>
            <w:tcBorders>
              <w:top w:val="single" w:color="auto" w:sz="4" w:space="0"/>
              <w:left w:val="single" w:color="auto" w:sz="4" w:space="0"/>
              <w:bottom w:val="single" w:color="auto" w:sz="4" w:space="0"/>
              <w:right w:val="single" w:color="auto" w:sz="4" w:space="0"/>
              <w:tl2br w:val="nil"/>
              <w:tr2bl w:val="nil"/>
            </w:tcBorders>
            <w:noWrap/>
            <w:vAlign w:val="center"/>
          </w:tcPr>
          <w:p w14:paraId="4A485D26">
            <w:pPr>
              <w:keepNext w:val="0"/>
              <w:keepLines w:val="0"/>
              <w:pageBreakBefore w:val="0"/>
              <w:kinsoku/>
              <w:wordWrap/>
              <w:overflowPunct/>
              <w:topLinePunct w:val="0"/>
              <w:bidi w:val="0"/>
              <w:snapToGrid w:val="0"/>
              <w:spacing w:line="240" w:lineRule="auto"/>
              <w:jc w:val="center"/>
              <w:textAlignment w:val="baseline"/>
              <w:rPr>
                <w:rFonts w:hint="eastAsia" w:ascii="宋体" w:hAnsi="宋体" w:eastAsia="宋体" w:cs="宋体"/>
                <w:kern w:val="0"/>
                <w:sz w:val="24"/>
                <w:szCs w:val="24"/>
              </w:rPr>
            </w:pPr>
            <w:r>
              <w:rPr>
                <w:rFonts w:hint="eastAsia" w:ascii="宋体" w:hAnsi="宋体" w:eastAsia="宋体" w:cs="仿宋"/>
                <w:kern w:val="0"/>
                <w:sz w:val="24"/>
                <w:szCs w:val="24"/>
              </w:rPr>
              <w:t>响应文件签章</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38E17482">
            <w:pPr>
              <w:keepNext w:val="0"/>
              <w:keepLines w:val="0"/>
              <w:pageBreakBefore w:val="0"/>
              <w:widowControl/>
              <w:kinsoku/>
              <w:wordWrap/>
              <w:overflowPunct/>
              <w:topLinePunct w:val="0"/>
              <w:autoSpaceDE w:val="0"/>
              <w:autoSpaceDN w:val="0"/>
              <w:bidi w:val="0"/>
              <w:adjustRightInd w:val="0"/>
              <w:snapToGrid w:val="0"/>
              <w:spacing w:line="240" w:lineRule="auto"/>
              <w:jc w:val="both"/>
              <w:rPr>
                <w:rFonts w:hint="eastAsia" w:ascii="宋体" w:hAnsi="宋体" w:eastAsia="宋体" w:cs="宋体"/>
                <w:kern w:val="0"/>
                <w:sz w:val="24"/>
                <w:szCs w:val="24"/>
                <w:lang w:eastAsia="zh-CN"/>
              </w:rPr>
            </w:pPr>
            <w:r>
              <w:rPr>
                <w:rFonts w:hint="eastAsia" w:ascii="宋体" w:hAnsi="宋体" w:cs="宋体"/>
                <w:sz w:val="24"/>
                <w:lang w:val="zh-TW"/>
              </w:rPr>
              <w:t>符合竞争性磋商文件要求的签字、盖章</w:t>
            </w:r>
          </w:p>
        </w:tc>
      </w:tr>
      <w:tr w14:paraId="7712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34" w:type="dxa"/>
            <w:vMerge w:val="continue"/>
            <w:tcBorders>
              <w:left w:val="single" w:color="auto" w:sz="4" w:space="0"/>
              <w:right w:val="single" w:color="auto" w:sz="4" w:space="0"/>
              <w:tl2br w:val="nil"/>
              <w:tr2bl w:val="nil"/>
            </w:tcBorders>
            <w:noWrap/>
            <w:vAlign w:val="center"/>
          </w:tcPr>
          <w:p w14:paraId="796158F5">
            <w:pPr>
              <w:keepNext w:val="0"/>
              <w:keepLines w:val="0"/>
              <w:pageBreakBefore w:val="0"/>
              <w:kinsoku/>
              <w:wordWrap/>
              <w:overflowPunct/>
              <w:topLinePunct w:val="0"/>
              <w:bidi w:val="0"/>
              <w:snapToGrid w:val="0"/>
              <w:spacing w:line="240" w:lineRule="auto"/>
              <w:textAlignment w:val="baseline"/>
              <w:rPr>
                <w:rFonts w:hint="eastAsia" w:ascii="宋体" w:hAnsi="宋体" w:eastAsia="宋体" w:cs="仿宋"/>
                <w:kern w:val="0"/>
                <w:sz w:val="24"/>
                <w:szCs w:val="24"/>
                <w:lang w:val="en-US" w:eastAsia="zh-CN"/>
              </w:rPr>
            </w:pPr>
          </w:p>
        </w:tc>
        <w:tc>
          <w:tcPr>
            <w:tcW w:w="1009" w:type="dxa"/>
            <w:vMerge w:val="continue"/>
            <w:tcBorders>
              <w:left w:val="single" w:color="auto" w:sz="4" w:space="0"/>
              <w:right w:val="single" w:color="auto" w:sz="4" w:space="0"/>
              <w:tl2br w:val="nil"/>
              <w:tr2bl w:val="nil"/>
            </w:tcBorders>
            <w:noWrap/>
            <w:vAlign w:val="center"/>
          </w:tcPr>
          <w:p w14:paraId="6D224076">
            <w:pPr>
              <w:keepNext w:val="0"/>
              <w:keepLines w:val="0"/>
              <w:pageBreakBefore w:val="0"/>
              <w:kinsoku/>
              <w:wordWrap/>
              <w:overflowPunct/>
              <w:topLinePunct w:val="0"/>
              <w:bidi w:val="0"/>
              <w:snapToGrid w:val="0"/>
              <w:spacing w:line="240" w:lineRule="auto"/>
              <w:textAlignment w:val="baseline"/>
              <w:rPr>
                <w:rFonts w:hint="eastAsia" w:ascii="宋体" w:hAnsi="宋体" w:eastAsia="宋体" w:cs="仿宋"/>
                <w:kern w:val="0"/>
                <w:sz w:val="24"/>
                <w:szCs w:val="24"/>
              </w:rPr>
            </w:pPr>
          </w:p>
        </w:tc>
        <w:tc>
          <w:tcPr>
            <w:tcW w:w="1864" w:type="dxa"/>
            <w:tcBorders>
              <w:top w:val="single" w:color="auto" w:sz="4" w:space="0"/>
              <w:left w:val="single" w:color="auto" w:sz="4" w:space="0"/>
              <w:bottom w:val="single" w:color="auto" w:sz="4" w:space="0"/>
              <w:right w:val="single" w:color="auto" w:sz="4" w:space="0"/>
              <w:tl2br w:val="nil"/>
              <w:tr2bl w:val="nil"/>
            </w:tcBorders>
            <w:noWrap/>
            <w:vAlign w:val="center"/>
          </w:tcPr>
          <w:p w14:paraId="63C64A62">
            <w:pPr>
              <w:keepNext w:val="0"/>
              <w:keepLines w:val="0"/>
              <w:pageBreakBefore w:val="0"/>
              <w:widowControl/>
              <w:kinsoku/>
              <w:wordWrap/>
              <w:overflowPunct/>
              <w:topLinePunct w:val="0"/>
              <w:bidi w:val="0"/>
              <w:adjustRightInd w:val="0"/>
              <w:snapToGrid w:val="0"/>
              <w:spacing w:line="240" w:lineRule="auto"/>
              <w:jc w:val="center"/>
              <w:textAlignment w:val="baseline"/>
              <w:rPr>
                <w:rFonts w:hint="eastAsia" w:ascii="宋体" w:hAnsi="宋体" w:eastAsia="宋体" w:cs="宋体"/>
                <w:kern w:val="0"/>
                <w:sz w:val="24"/>
                <w:szCs w:val="24"/>
              </w:rPr>
            </w:pPr>
            <w:r>
              <w:rPr>
                <w:rFonts w:hint="eastAsia" w:ascii="宋体" w:hAnsi="宋体" w:eastAsia="宋体" w:cs="仿宋"/>
                <w:kern w:val="0"/>
                <w:sz w:val="24"/>
                <w:szCs w:val="24"/>
              </w:rPr>
              <w:t>报价唯一</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4E2ACFA6">
            <w:pPr>
              <w:keepNext w:val="0"/>
              <w:keepLines w:val="0"/>
              <w:pageBreakBefore w:val="0"/>
              <w:widowControl/>
              <w:kinsoku/>
              <w:wordWrap/>
              <w:overflowPunct/>
              <w:topLinePunct w:val="0"/>
              <w:autoSpaceDE w:val="0"/>
              <w:autoSpaceDN w:val="0"/>
              <w:bidi w:val="0"/>
              <w:adjustRightInd w:val="0"/>
              <w:snapToGrid w:val="0"/>
              <w:spacing w:line="240" w:lineRule="auto"/>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只能有一个有效报价</w:t>
            </w:r>
          </w:p>
        </w:tc>
      </w:tr>
      <w:tr w14:paraId="4313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34" w:type="dxa"/>
            <w:vMerge w:val="restart"/>
            <w:tcBorders>
              <w:left w:val="single" w:color="auto" w:sz="4" w:space="0"/>
              <w:right w:val="single" w:color="auto" w:sz="4" w:space="0"/>
              <w:tl2br w:val="nil"/>
              <w:tr2bl w:val="nil"/>
            </w:tcBorders>
            <w:noWrap/>
            <w:vAlign w:val="center"/>
          </w:tcPr>
          <w:p w14:paraId="642914EE">
            <w:pPr>
              <w:keepNext w:val="0"/>
              <w:keepLines w:val="0"/>
              <w:pageBreakBefore w:val="0"/>
              <w:kinsoku/>
              <w:wordWrap/>
              <w:overflowPunct/>
              <w:topLinePunct w:val="0"/>
              <w:bidi w:val="0"/>
              <w:snapToGrid w:val="0"/>
              <w:spacing w:line="240" w:lineRule="auto"/>
              <w:jc w:val="center"/>
              <w:textAlignment w:val="baseline"/>
              <w:rPr>
                <w:rFonts w:hint="default" w:ascii="宋体" w:hAnsi="宋体" w:eastAsia="宋体" w:cs="仿宋"/>
                <w:kern w:val="0"/>
                <w:sz w:val="24"/>
                <w:szCs w:val="24"/>
                <w:lang w:val="en-US" w:eastAsia="zh-CN"/>
              </w:rPr>
            </w:pPr>
            <w:r>
              <w:rPr>
                <w:rFonts w:hint="eastAsia" w:ascii="宋体" w:hAnsi="宋体" w:cs="仿宋"/>
                <w:kern w:val="0"/>
                <w:sz w:val="24"/>
                <w:szCs w:val="24"/>
                <w:lang w:val="en-US" w:eastAsia="zh-CN"/>
              </w:rPr>
              <w:t>2</w:t>
            </w:r>
          </w:p>
        </w:tc>
        <w:tc>
          <w:tcPr>
            <w:tcW w:w="1009" w:type="dxa"/>
            <w:vMerge w:val="restart"/>
            <w:tcBorders>
              <w:left w:val="single" w:color="auto" w:sz="4" w:space="0"/>
              <w:right w:val="single" w:color="auto" w:sz="4" w:space="0"/>
              <w:tl2br w:val="nil"/>
              <w:tr2bl w:val="nil"/>
            </w:tcBorders>
            <w:noWrap/>
            <w:vAlign w:val="center"/>
          </w:tcPr>
          <w:p w14:paraId="6A74FD5B">
            <w:pPr>
              <w:keepNext w:val="0"/>
              <w:keepLines w:val="0"/>
              <w:pageBreakBefore w:val="0"/>
              <w:widowControl/>
              <w:kinsoku/>
              <w:wordWrap/>
              <w:overflowPunct/>
              <w:topLinePunct w:val="0"/>
              <w:bidi w:val="0"/>
              <w:adjustRightInd w:val="0"/>
              <w:snapToGrid w:val="0"/>
              <w:spacing w:line="24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资格</w:t>
            </w:r>
            <w:r>
              <w:rPr>
                <w:rFonts w:hint="eastAsia" w:ascii="宋体" w:hAnsi="宋体" w:cs="宋体"/>
                <w:kern w:val="0"/>
                <w:sz w:val="24"/>
                <w:szCs w:val="24"/>
                <w:lang w:eastAsia="zh-CN"/>
              </w:rPr>
              <w:t>性评</w:t>
            </w:r>
            <w:r>
              <w:rPr>
                <w:rFonts w:hint="eastAsia" w:ascii="宋体" w:hAnsi="宋体" w:eastAsia="宋体" w:cs="宋体"/>
                <w:kern w:val="0"/>
                <w:sz w:val="24"/>
                <w:szCs w:val="24"/>
              </w:rPr>
              <w:t>审</w:t>
            </w:r>
          </w:p>
          <w:p w14:paraId="3D0339C3">
            <w:pPr>
              <w:keepNext w:val="0"/>
              <w:keepLines w:val="0"/>
              <w:pageBreakBefore w:val="0"/>
              <w:widowControl/>
              <w:kinsoku/>
              <w:wordWrap/>
              <w:overflowPunct/>
              <w:topLinePunct w:val="0"/>
              <w:bidi w:val="0"/>
              <w:adjustRightInd w:val="0"/>
              <w:snapToGrid w:val="0"/>
              <w:spacing w:line="24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标准</w:t>
            </w:r>
          </w:p>
        </w:tc>
        <w:tc>
          <w:tcPr>
            <w:tcW w:w="1864" w:type="dxa"/>
            <w:tcBorders>
              <w:top w:val="single" w:color="auto" w:sz="4" w:space="0"/>
              <w:left w:val="single" w:color="auto" w:sz="4" w:space="0"/>
              <w:right w:val="single" w:color="auto" w:sz="4" w:space="0"/>
              <w:tl2br w:val="nil"/>
              <w:tr2bl w:val="nil"/>
            </w:tcBorders>
            <w:noWrap/>
            <w:vAlign w:val="center"/>
          </w:tcPr>
          <w:p w14:paraId="40CCB555">
            <w:pPr>
              <w:keepNext w:val="0"/>
              <w:keepLines w:val="0"/>
              <w:pageBreakBefore w:val="0"/>
              <w:kinsoku/>
              <w:wordWrap/>
              <w:overflowPunct/>
              <w:topLinePunct w:val="0"/>
              <w:bidi w:val="0"/>
              <w:snapToGrid w:val="0"/>
              <w:spacing w:line="240" w:lineRule="auto"/>
              <w:jc w:val="center"/>
              <w:textAlignment w:val="baseline"/>
              <w:rPr>
                <w:rFonts w:hint="eastAsia" w:ascii="宋体" w:hAnsi="宋体" w:eastAsia="宋体" w:cs="宋体"/>
                <w:kern w:val="0"/>
                <w:sz w:val="24"/>
                <w:szCs w:val="24"/>
                <w:highlight w:val="none"/>
                <w:lang w:eastAsia="zh-CN"/>
              </w:rPr>
            </w:pPr>
            <w:r>
              <w:rPr>
                <w:rFonts w:hint="eastAsia" w:ascii="宋体" w:hAnsi="宋体" w:cs="宋体"/>
                <w:sz w:val="24"/>
                <w:highlight w:val="none"/>
              </w:rPr>
              <w:t>营业执照</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5D303310">
            <w:pPr>
              <w:keepNext w:val="0"/>
              <w:keepLines w:val="0"/>
              <w:pageBreakBefore w:val="0"/>
              <w:widowControl/>
              <w:kinsoku/>
              <w:wordWrap/>
              <w:overflowPunct/>
              <w:topLinePunct w:val="0"/>
              <w:autoSpaceDE w:val="0"/>
              <w:autoSpaceDN w:val="0"/>
              <w:bidi w:val="0"/>
              <w:adjustRightInd w:val="0"/>
              <w:snapToGrid w:val="0"/>
              <w:spacing w:line="240" w:lineRule="auto"/>
              <w:jc w:val="both"/>
              <w:rPr>
                <w:rFonts w:hint="eastAsia" w:ascii="宋体" w:hAnsi="宋体" w:eastAsia="宋体" w:cs="宋体"/>
                <w:kern w:val="0"/>
                <w:sz w:val="24"/>
                <w:szCs w:val="24"/>
                <w:highlight w:val="none"/>
              </w:rPr>
            </w:pPr>
            <w:r>
              <w:rPr>
                <w:rFonts w:hint="eastAsia" w:asciiTheme="majorEastAsia" w:hAnsiTheme="majorEastAsia" w:eastAsiaTheme="majorEastAsia" w:cstheme="majorEastAsia"/>
                <w:i w:val="0"/>
                <w:iCs w:val="0"/>
                <w:caps w:val="0"/>
                <w:color w:val="333333"/>
                <w:spacing w:val="0"/>
                <w:kern w:val="0"/>
                <w:sz w:val="24"/>
                <w:szCs w:val="24"/>
                <w:highlight w:val="none"/>
              </w:rPr>
              <w:t>供应商具有独立承担民事责任的能力，持有有效的营业执照或事业单位法人证书</w:t>
            </w:r>
          </w:p>
        </w:tc>
      </w:tr>
      <w:tr w14:paraId="218C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34" w:type="dxa"/>
            <w:vMerge w:val="continue"/>
            <w:tcBorders>
              <w:left w:val="single" w:color="auto" w:sz="4" w:space="0"/>
              <w:right w:val="single" w:color="auto" w:sz="4" w:space="0"/>
              <w:tl2br w:val="nil"/>
              <w:tr2bl w:val="nil"/>
            </w:tcBorders>
            <w:noWrap/>
            <w:vAlign w:val="center"/>
          </w:tcPr>
          <w:p w14:paraId="07E13A83">
            <w:pPr>
              <w:keepNext w:val="0"/>
              <w:keepLines w:val="0"/>
              <w:pageBreakBefore w:val="0"/>
              <w:kinsoku/>
              <w:wordWrap/>
              <w:overflowPunct/>
              <w:topLinePunct w:val="0"/>
              <w:bidi w:val="0"/>
              <w:snapToGrid w:val="0"/>
              <w:spacing w:line="24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1955925E">
            <w:pPr>
              <w:keepNext w:val="0"/>
              <w:keepLines w:val="0"/>
              <w:pageBreakBefore w:val="0"/>
              <w:kinsoku/>
              <w:wordWrap/>
              <w:overflowPunct/>
              <w:topLinePunct w:val="0"/>
              <w:bidi w:val="0"/>
              <w:snapToGrid w:val="0"/>
              <w:spacing w:line="240" w:lineRule="auto"/>
              <w:textAlignment w:val="baseline"/>
              <w:rPr>
                <w:rFonts w:ascii="宋体" w:hAnsi="宋体" w:eastAsia="宋体" w:cs="仿宋"/>
                <w:kern w:val="0"/>
                <w:sz w:val="24"/>
                <w:szCs w:val="24"/>
              </w:rPr>
            </w:pPr>
          </w:p>
        </w:tc>
        <w:tc>
          <w:tcPr>
            <w:tcW w:w="1864" w:type="dxa"/>
            <w:tcBorders>
              <w:top w:val="single" w:color="auto" w:sz="4" w:space="0"/>
              <w:left w:val="single" w:color="auto" w:sz="4" w:space="0"/>
              <w:bottom w:val="single" w:color="auto" w:sz="4" w:space="0"/>
              <w:right w:val="single" w:color="auto" w:sz="4" w:space="0"/>
              <w:tl2br w:val="nil"/>
              <w:tr2bl w:val="nil"/>
            </w:tcBorders>
            <w:noWrap/>
            <w:vAlign w:val="center"/>
          </w:tcPr>
          <w:p w14:paraId="4AAEA317">
            <w:pPr>
              <w:keepNext w:val="0"/>
              <w:keepLines w:val="0"/>
              <w:pageBreakBefore w:val="0"/>
              <w:kinsoku/>
              <w:wordWrap/>
              <w:overflowPunct/>
              <w:topLinePunct w:val="0"/>
              <w:bidi w:val="0"/>
              <w:snapToGrid w:val="0"/>
              <w:spacing w:line="240" w:lineRule="auto"/>
              <w:jc w:val="center"/>
              <w:textAlignment w:val="baseline"/>
              <w:rPr>
                <w:rFonts w:hint="eastAsia" w:ascii="宋体" w:hAnsi="宋体" w:eastAsia="宋体" w:cs="宋体"/>
                <w:kern w:val="0"/>
                <w:sz w:val="24"/>
                <w:szCs w:val="24"/>
                <w:highlight w:val="none"/>
                <w:lang w:val="en-US" w:eastAsia="zh-CN"/>
              </w:rPr>
            </w:pPr>
            <w:r>
              <w:rPr>
                <w:rFonts w:hint="eastAsia" w:asciiTheme="majorEastAsia" w:hAnsiTheme="majorEastAsia" w:eastAsiaTheme="majorEastAsia" w:cstheme="majorEastAsia"/>
                <w:i w:val="0"/>
                <w:iCs w:val="0"/>
                <w:caps w:val="0"/>
                <w:color w:val="333333"/>
                <w:spacing w:val="0"/>
                <w:kern w:val="0"/>
                <w:sz w:val="24"/>
                <w:szCs w:val="24"/>
                <w:highlight w:val="none"/>
              </w:rPr>
              <w:t>无商业贿赂和不正当竞争行为承诺书</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234624F1">
            <w:pPr>
              <w:keepNext w:val="0"/>
              <w:keepLines w:val="0"/>
              <w:pageBreakBefore w:val="0"/>
              <w:kinsoku/>
              <w:wordWrap/>
              <w:overflowPunct/>
              <w:topLinePunct w:val="0"/>
              <w:bidi w:val="0"/>
              <w:adjustRightInd w:val="0"/>
              <w:snapToGrid w:val="0"/>
              <w:spacing w:line="240" w:lineRule="auto"/>
              <w:jc w:val="both"/>
              <w:rPr>
                <w:rFonts w:hint="eastAsia" w:ascii="宋体" w:hAnsi="宋体" w:eastAsia="宋体" w:cs="宋体"/>
                <w:kern w:val="0"/>
                <w:sz w:val="24"/>
                <w:szCs w:val="24"/>
                <w:highlight w:val="none"/>
              </w:rPr>
            </w:pPr>
            <w:r>
              <w:rPr>
                <w:rFonts w:hint="eastAsia" w:asciiTheme="majorEastAsia" w:hAnsiTheme="majorEastAsia" w:eastAsiaTheme="majorEastAsia" w:cstheme="majorEastAsia"/>
                <w:i w:val="0"/>
                <w:iCs w:val="0"/>
                <w:caps w:val="0"/>
                <w:color w:val="333333"/>
                <w:spacing w:val="0"/>
                <w:kern w:val="0"/>
                <w:sz w:val="24"/>
                <w:szCs w:val="24"/>
                <w:highlight w:val="none"/>
              </w:rPr>
              <w:t>供应商自行出具本企业无商业贿赂和不正当竞争行为承诺书</w:t>
            </w:r>
          </w:p>
        </w:tc>
      </w:tr>
      <w:tr w14:paraId="0F46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34" w:type="dxa"/>
            <w:vMerge w:val="continue"/>
            <w:tcBorders>
              <w:left w:val="single" w:color="auto" w:sz="4" w:space="0"/>
              <w:right w:val="single" w:color="auto" w:sz="4" w:space="0"/>
              <w:tl2br w:val="nil"/>
              <w:tr2bl w:val="nil"/>
            </w:tcBorders>
            <w:noWrap/>
            <w:vAlign w:val="center"/>
          </w:tcPr>
          <w:p w14:paraId="3702CB3B">
            <w:pPr>
              <w:keepNext w:val="0"/>
              <w:keepLines w:val="0"/>
              <w:pageBreakBefore w:val="0"/>
              <w:kinsoku/>
              <w:wordWrap/>
              <w:overflowPunct/>
              <w:topLinePunct w:val="0"/>
              <w:bidi w:val="0"/>
              <w:snapToGrid w:val="0"/>
              <w:spacing w:line="24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44938EB5">
            <w:pPr>
              <w:keepNext w:val="0"/>
              <w:keepLines w:val="0"/>
              <w:pageBreakBefore w:val="0"/>
              <w:kinsoku/>
              <w:wordWrap/>
              <w:overflowPunct/>
              <w:topLinePunct w:val="0"/>
              <w:bidi w:val="0"/>
              <w:snapToGrid w:val="0"/>
              <w:spacing w:line="240" w:lineRule="auto"/>
              <w:textAlignment w:val="baseline"/>
              <w:rPr>
                <w:rFonts w:ascii="宋体" w:hAnsi="宋体" w:eastAsia="宋体" w:cs="仿宋"/>
                <w:kern w:val="0"/>
                <w:sz w:val="24"/>
                <w:szCs w:val="24"/>
              </w:rPr>
            </w:pPr>
          </w:p>
        </w:tc>
        <w:tc>
          <w:tcPr>
            <w:tcW w:w="186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14D9717">
            <w:pPr>
              <w:pStyle w:val="18"/>
              <w:keepNext w:val="0"/>
              <w:keepLines w:val="0"/>
              <w:pageBreakBefore w:val="0"/>
              <w:kinsoku/>
              <w:wordWrap/>
              <w:overflowPunct/>
              <w:topLinePunct w:val="0"/>
              <w:bidi w:val="0"/>
              <w:spacing w:line="240" w:lineRule="auto"/>
              <w:ind w:left="0" w:leftChars="0"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信用截图</w:t>
            </w:r>
          </w:p>
        </w:tc>
        <w:tc>
          <w:tcPr>
            <w:tcW w:w="538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C223EE8">
            <w:pPr>
              <w:keepNext w:val="0"/>
              <w:keepLines w:val="0"/>
              <w:pageBreakBefore w:val="0"/>
              <w:kinsoku/>
              <w:wordWrap/>
              <w:overflowPunct/>
              <w:topLinePunct w:val="0"/>
              <w:bidi w:val="0"/>
              <w:adjustRightInd w:val="0"/>
              <w:snapToGrid w:val="0"/>
              <w:spacing w:line="240" w:lineRule="auto"/>
              <w:jc w:val="both"/>
              <w:rPr>
                <w:rFonts w:hint="eastAsia" w:ascii="宋体" w:hAnsi="宋体" w:eastAsia="宋体" w:cs="Times New Roman"/>
                <w:kern w:val="2"/>
                <w:sz w:val="24"/>
                <w:szCs w:val="24"/>
                <w:highlight w:val="none"/>
                <w:lang w:val="en-US" w:eastAsia="zh-CN" w:bidi="ar-SA"/>
              </w:rPr>
            </w:pPr>
            <w:r>
              <w:rPr>
                <w:rFonts w:hint="eastAsia" w:asciiTheme="majorEastAsia" w:hAnsiTheme="majorEastAsia" w:eastAsiaTheme="majorEastAsia" w:cstheme="majorEastAsia"/>
                <w:i w:val="0"/>
                <w:iCs w:val="0"/>
                <w:caps w:val="0"/>
                <w:color w:val="333333"/>
                <w:spacing w:val="0"/>
                <w:sz w:val="24"/>
                <w:szCs w:val="24"/>
                <w:highlight w:val="none"/>
                <w:lang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s://zxgk.court.gov.cn/shixin/）“信用中国”网站（www.creditchina.gov.cn）、中国政府采购网（www.ccgp.gov.cn），采购人或采购代理机构将在开标后通过以上网站进行查询，信用信息查询记录和证据将同采购文件等资料一同归档保存（相关网站有最新规定的，按最新规定执行）</w:t>
            </w:r>
          </w:p>
        </w:tc>
      </w:tr>
      <w:tr w14:paraId="50B7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34" w:type="dxa"/>
            <w:vMerge w:val="continue"/>
            <w:tcBorders>
              <w:left w:val="single" w:color="auto" w:sz="4" w:space="0"/>
              <w:right w:val="single" w:color="auto" w:sz="4" w:space="0"/>
              <w:tl2br w:val="nil"/>
              <w:tr2bl w:val="nil"/>
            </w:tcBorders>
            <w:noWrap/>
            <w:vAlign w:val="center"/>
          </w:tcPr>
          <w:p w14:paraId="708DE3E0">
            <w:pPr>
              <w:keepNext w:val="0"/>
              <w:keepLines w:val="0"/>
              <w:pageBreakBefore w:val="0"/>
              <w:kinsoku/>
              <w:wordWrap/>
              <w:overflowPunct/>
              <w:topLinePunct w:val="0"/>
              <w:bidi w:val="0"/>
              <w:snapToGrid w:val="0"/>
              <w:spacing w:line="24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7F5FD13C">
            <w:pPr>
              <w:keepNext w:val="0"/>
              <w:keepLines w:val="0"/>
              <w:pageBreakBefore w:val="0"/>
              <w:kinsoku/>
              <w:wordWrap/>
              <w:overflowPunct/>
              <w:topLinePunct w:val="0"/>
              <w:bidi w:val="0"/>
              <w:snapToGrid w:val="0"/>
              <w:spacing w:line="240" w:lineRule="auto"/>
              <w:textAlignment w:val="baseline"/>
              <w:rPr>
                <w:rFonts w:ascii="宋体" w:hAnsi="宋体" w:eastAsia="宋体" w:cs="仿宋"/>
                <w:kern w:val="0"/>
                <w:sz w:val="24"/>
                <w:szCs w:val="24"/>
              </w:rPr>
            </w:pPr>
          </w:p>
        </w:tc>
        <w:tc>
          <w:tcPr>
            <w:tcW w:w="1864" w:type="dxa"/>
            <w:tcBorders>
              <w:top w:val="single" w:color="auto" w:sz="4" w:space="0"/>
              <w:left w:val="single" w:color="auto" w:sz="4" w:space="0"/>
              <w:bottom w:val="single" w:color="auto" w:sz="4" w:space="0"/>
              <w:right w:val="single" w:color="auto" w:sz="4" w:space="0"/>
              <w:tl2br w:val="nil"/>
              <w:tr2bl w:val="nil"/>
            </w:tcBorders>
            <w:noWrap/>
            <w:vAlign w:val="center"/>
          </w:tcPr>
          <w:p w14:paraId="02399413">
            <w:pPr>
              <w:keepNext w:val="0"/>
              <w:keepLines w:val="0"/>
              <w:pageBreakBefore w:val="0"/>
              <w:widowControl/>
              <w:kinsoku/>
              <w:wordWrap/>
              <w:overflowPunct/>
              <w:topLinePunct w:val="0"/>
              <w:bidi w:val="0"/>
              <w:adjustRightInd w:val="0"/>
              <w:snapToGrid w:val="0"/>
              <w:spacing w:line="240" w:lineRule="auto"/>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非联合体承诺</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408D6605">
            <w:pPr>
              <w:keepNext w:val="0"/>
              <w:keepLines w:val="0"/>
              <w:pageBreakBefore w:val="0"/>
              <w:kinsoku/>
              <w:wordWrap/>
              <w:overflowPunct/>
              <w:topLinePunct w:val="0"/>
              <w:bidi w:val="0"/>
              <w:adjustRightInd w:val="0"/>
              <w:snapToGrid w:val="0"/>
              <w:spacing w:line="240" w:lineRule="auto"/>
              <w:jc w:val="both"/>
              <w:rPr>
                <w:rFonts w:ascii="宋体" w:hAnsi="宋体" w:eastAsia="宋体" w:cs="Times New Roman"/>
                <w:sz w:val="24"/>
                <w:szCs w:val="24"/>
              </w:rPr>
            </w:pPr>
            <w:r>
              <w:rPr>
                <w:rFonts w:hint="eastAsia" w:asciiTheme="majorEastAsia" w:hAnsiTheme="majorEastAsia" w:eastAsiaTheme="majorEastAsia" w:cstheme="majorEastAsia"/>
                <w:i w:val="0"/>
                <w:iCs w:val="0"/>
                <w:caps w:val="0"/>
                <w:color w:val="333333"/>
                <w:spacing w:val="0"/>
                <w:sz w:val="24"/>
                <w:szCs w:val="24"/>
              </w:rPr>
              <w:t>本项目不接受联合体投标（提供非联合体声明函）</w:t>
            </w:r>
          </w:p>
        </w:tc>
      </w:tr>
      <w:tr w14:paraId="7595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34" w:type="dxa"/>
            <w:vMerge w:val="restart"/>
            <w:tcBorders>
              <w:top w:val="single" w:color="auto" w:sz="4" w:space="0"/>
              <w:left w:val="single" w:color="auto" w:sz="4" w:space="0"/>
              <w:right w:val="single" w:color="auto" w:sz="4" w:space="0"/>
              <w:tl2br w:val="nil"/>
              <w:tr2bl w:val="nil"/>
            </w:tcBorders>
            <w:noWrap/>
            <w:vAlign w:val="center"/>
          </w:tcPr>
          <w:p w14:paraId="0CC92003">
            <w:pPr>
              <w:keepNext w:val="0"/>
              <w:keepLines w:val="0"/>
              <w:pageBreakBefore w:val="0"/>
              <w:kinsoku/>
              <w:wordWrap/>
              <w:overflowPunct/>
              <w:topLinePunct w:val="0"/>
              <w:bidi w:val="0"/>
              <w:snapToGrid w:val="0"/>
              <w:spacing w:line="240" w:lineRule="auto"/>
              <w:jc w:val="center"/>
              <w:textAlignment w:val="baseline"/>
              <w:rPr>
                <w:rFonts w:ascii="宋体" w:hAnsi="宋体" w:eastAsia="宋体" w:cs="仿宋"/>
                <w:kern w:val="0"/>
                <w:sz w:val="24"/>
                <w:szCs w:val="24"/>
              </w:rPr>
            </w:pPr>
            <w:r>
              <w:rPr>
                <w:rFonts w:hint="eastAsia" w:ascii="宋体" w:hAnsi="宋体" w:eastAsia="宋体" w:cs="仿宋"/>
                <w:kern w:val="0"/>
                <w:sz w:val="24"/>
                <w:szCs w:val="24"/>
              </w:rPr>
              <w:t>3</w:t>
            </w:r>
          </w:p>
        </w:tc>
        <w:tc>
          <w:tcPr>
            <w:tcW w:w="1009" w:type="dxa"/>
            <w:vMerge w:val="restart"/>
            <w:tcBorders>
              <w:top w:val="single" w:color="auto" w:sz="4" w:space="0"/>
              <w:left w:val="single" w:color="auto" w:sz="4" w:space="0"/>
              <w:right w:val="single" w:color="auto" w:sz="4" w:space="0"/>
              <w:tl2br w:val="nil"/>
              <w:tr2bl w:val="nil"/>
            </w:tcBorders>
            <w:noWrap/>
            <w:vAlign w:val="center"/>
          </w:tcPr>
          <w:p w14:paraId="08DDB7DD">
            <w:pPr>
              <w:keepNext w:val="0"/>
              <w:keepLines w:val="0"/>
              <w:pageBreakBefore w:val="0"/>
              <w:kinsoku/>
              <w:wordWrap/>
              <w:overflowPunct/>
              <w:topLinePunct w:val="0"/>
              <w:bidi w:val="0"/>
              <w:snapToGrid w:val="0"/>
              <w:spacing w:line="240" w:lineRule="auto"/>
              <w:jc w:val="center"/>
              <w:textAlignment w:val="baseline"/>
              <w:rPr>
                <w:rFonts w:ascii="宋体" w:hAnsi="宋体" w:eastAsia="宋体" w:cs="仿宋"/>
                <w:kern w:val="0"/>
                <w:sz w:val="24"/>
                <w:szCs w:val="24"/>
              </w:rPr>
            </w:pPr>
            <w:r>
              <w:rPr>
                <w:rFonts w:hint="eastAsia" w:ascii="宋体" w:hAnsi="宋体" w:eastAsia="宋体" w:cs="仿宋"/>
                <w:kern w:val="0"/>
                <w:sz w:val="24"/>
                <w:szCs w:val="24"/>
              </w:rPr>
              <w:t>响应性</w:t>
            </w:r>
          </w:p>
          <w:p w14:paraId="6B6C8A7E">
            <w:pPr>
              <w:keepNext w:val="0"/>
              <w:keepLines w:val="0"/>
              <w:pageBreakBefore w:val="0"/>
              <w:kinsoku/>
              <w:wordWrap/>
              <w:overflowPunct/>
              <w:topLinePunct w:val="0"/>
              <w:bidi w:val="0"/>
              <w:snapToGrid w:val="0"/>
              <w:spacing w:line="240" w:lineRule="auto"/>
              <w:jc w:val="center"/>
              <w:textAlignment w:val="baseline"/>
              <w:rPr>
                <w:rFonts w:hint="eastAsia" w:ascii="宋体" w:hAnsi="宋体" w:eastAsia="宋体" w:cs="仿宋"/>
                <w:kern w:val="0"/>
                <w:sz w:val="24"/>
                <w:szCs w:val="24"/>
              </w:rPr>
            </w:pPr>
            <w:r>
              <w:rPr>
                <w:rFonts w:hint="eastAsia" w:ascii="宋体" w:hAnsi="宋体" w:eastAsia="宋体" w:cs="仿宋"/>
                <w:kern w:val="0"/>
                <w:sz w:val="24"/>
                <w:szCs w:val="24"/>
              </w:rPr>
              <w:t>评审</w:t>
            </w:r>
          </w:p>
          <w:p w14:paraId="633BD9C2">
            <w:pPr>
              <w:keepNext w:val="0"/>
              <w:keepLines w:val="0"/>
              <w:pageBreakBefore w:val="0"/>
              <w:kinsoku/>
              <w:wordWrap/>
              <w:overflowPunct/>
              <w:topLinePunct w:val="0"/>
              <w:bidi w:val="0"/>
              <w:snapToGrid w:val="0"/>
              <w:spacing w:line="240" w:lineRule="auto"/>
              <w:jc w:val="center"/>
              <w:textAlignment w:val="baseline"/>
              <w:rPr>
                <w:rFonts w:ascii="宋体" w:hAnsi="宋体" w:eastAsia="宋体" w:cs="仿宋"/>
                <w:kern w:val="0"/>
                <w:sz w:val="24"/>
                <w:szCs w:val="24"/>
              </w:rPr>
            </w:pPr>
            <w:r>
              <w:rPr>
                <w:rFonts w:hint="eastAsia" w:ascii="宋体" w:hAnsi="宋体" w:eastAsia="宋体" w:cs="仿宋"/>
                <w:kern w:val="0"/>
                <w:sz w:val="24"/>
                <w:szCs w:val="24"/>
              </w:rPr>
              <w:t>标准</w:t>
            </w:r>
          </w:p>
        </w:tc>
        <w:tc>
          <w:tcPr>
            <w:tcW w:w="1864" w:type="dxa"/>
            <w:tcBorders>
              <w:top w:val="single" w:color="auto" w:sz="4" w:space="0"/>
              <w:left w:val="single" w:color="auto" w:sz="4" w:space="0"/>
              <w:right w:val="single" w:color="auto" w:sz="4" w:space="0"/>
              <w:tl2br w:val="nil"/>
              <w:tr2bl w:val="nil"/>
            </w:tcBorders>
            <w:noWrap/>
            <w:vAlign w:val="center"/>
          </w:tcPr>
          <w:p w14:paraId="713B8378">
            <w:pPr>
              <w:keepNext w:val="0"/>
              <w:keepLines w:val="0"/>
              <w:pageBreakBefore w:val="0"/>
              <w:kinsoku/>
              <w:wordWrap/>
              <w:overflowPunct/>
              <w:topLinePunct w:val="0"/>
              <w:bidi w:val="0"/>
              <w:spacing w:line="240" w:lineRule="auto"/>
              <w:ind w:firstLine="36" w:firstLineChars="15"/>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交货期</w:t>
            </w:r>
          </w:p>
        </w:tc>
        <w:tc>
          <w:tcPr>
            <w:tcW w:w="5385" w:type="dxa"/>
            <w:tcBorders>
              <w:top w:val="single" w:color="auto" w:sz="4" w:space="0"/>
              <w:left w:val="single" w:color="auto" w:sz="4" w:space="0"/>
              <w:right w:val="single" w:color="auto" w:sz="4" w:space="0"/>
              <w:tl2br w:val="nil"/>
              <w:tr2bl w:val="nil"/>
            </w:tcBorders>
            <w:noWrap/>
            <w:vAlign w:val="center"/>
          </w:tcPr>
          <w:p w14:paraId="743B6F02">
            <w:pPr>
              <w:keepNext w:val="0"/>
              <w:keepLines w:val="0"/>
              <w:pageBreakBefore w:val="0"/>
              <w:kinsoku/>
              <w:wordWrap/>
              <w:overflowPunct/>
              <w:topLinePunct w:val="0"/>
              <w:bidi w:val="0"/>
              <w:snapToGrid w:val="0"/>
              <w:spacing w:line="240" w:lineRule="auto"/>
              <w:jc w:val="both"/>
              <w:textAlignment w:val="baseline"/>
              <w:rPr>
                <w:rFonts w:hint="eastAsia" w:ascii="宋体" w:hAnsi="宋体" w:eastAsia="宋体" w:cs="Times New Roman"/>
                <w:kern w:val="2"/>
                <w:sz w:val="24"/>
                <w:szCs w:val="24"/>
                <w:highlight w:val="none"/>
                <w:lang w:val="en-US" w:eastAsia="zh-CN"/>
              </w:rPr>
            </w:pPr>
            <w:r>
              <w:rPr>
                <w:rFonts w:hint="eastAsia" w:ascii="宋体" w:hAnsi="宋体" w:cs="Times New Roman"/>
                <w:i w:val="0"/>
                <w:iCs w:val="0"/>
                <w:caps w:val="0"/>
                <w:color w:val="333333"/>
                <w:spacing w:val="0"/>
                <w:kern w:val="2"/>
                <w:sz w:val="24"/>
                <w:szCs w:val="24"/>
                <w:highlight w:val="none"/>
                <w:lang w:eastAsia="zh-CN"/>
              </w:rPr>
              <w:t>合同签订后20天内完成（完成安装及调试）</w:t>
            </w:r>
          </w:p>
        </w:tc>
      </w:tr>
      <w:tr w14:paraId="3B8E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34" w:type="dxa"/>
            <w:vMerge w:val="continue"/>
            <w:tcBorders>
              <w:left w:val="single" w:color="auto" w:sz="4" w:space="0"/>
              <w:right w:val="single" w:color="auto" w:sz="4" w:space="0"/>
              <w:tl2br w:val="nil"/>
              <w:tr2bl w:val="nil"/>
            </w:tcBorders>
            <w:noWrap/>
            <w:vAlign w:val="center"/>
          </w:tcPr>
          <w:p w14:paraId="5CFE9C81">
            <w:pPr>
              <w:keepNext w:val="0"/>
              <w:keepLines w:val="0"/>
              <w:pageBreakBefore w:val="0"/>
              <w:kinsoku/>
              <w:wordWrap/>
              <w:overflowPunct/>
              <w:topLinePunct w:val="0"/>
              <w:bidi w:val="0"/>
              <w:spacing w:line="240" w:lineRule="auto"/>
              <w:rPr>
                <w:rFonts w:ascii="宋体" w:hAnsi="宋体" w:eastAsia="宋体" w:cs="Arial"/>
                <w:sz w:val="24"/>
                <w:szCs w:val="24"/>
              </w:rPr>
            </w:pPr>
          </w:p>
        </w:tc>
        <w:tc>
          <w:tcPr>
            <w:tcW w:w="1009" w:type="dxa"/>
            <w:vMerge w:val="continue"/>
            <w:tcBorders>
              <w:left w:val="single" w:color="auto" w:sz="4" w:space="0"/>
              <w:right w:val="single" w:color="auto" w:sz="4" w:space="0"/>
              <w:tl2br w:val="nil"/>
              <w:tr2bl w:val="nil"/>
            </w:tcBorders>
            <w:noWrap/>
            <w:vAlign w:val="center"/>
          </w:tcPr>
          <w:p w14:paraId="0D56DBCF">
            <w:pPr>
              <w:keepNext w:val="0"/>
              <w:keepLines w:val="0"/>
              <w:pageBreakBefore w:val="0"/>
              <w:kinsoku/>
              <w:wordWrap/>
              <w:overflowPunct/>
              <w:topLinePunct w:val="0"/>
              <w:bidi w:val="0"/>
              <w:spacing w:line="240" w:lineRule="auto"/>
              <w:rPr>
                <w:rFonts w:ascii="宋体" w:hAnsi="宋体" w:eastAsia="宋体" w:cs="Arial"/>
                <w:sz w:val="24"/>
                <w:szCs w:val="24"/>
              </w:rPr>
            </w:pPr>
          </w:p>
        </w:tc>
        <w:tc>
          <w:tcPr>
            <w:tcW w:w="1864" w:type="dxa"/>
            <w:tcBorders>
              <w:top w:val="single" w:color="auto" w:sz="4" w:space="0"/>
              <w:left w:val="single" w:color="auto" w:sz="4" w:space="0"/>
              <w:bottom w:val="single" w:color="auto" w:sz="4" w:space="0"/>
              <w:right w:val="single" w:color="auto" w:sz="4" w:space="0"/>
              <w:tl2br w:val="nil"/>
              <w:tr2bl w:val="nil"/>
            </w:tcBorders>
            <w:noWrap/>
            <w:vAlign w:val="center"/>
          </w:tcPr>
          <w:p w14:paraId="5B18D03F">
            <w:pPr>
              <w:keepNext w:val="0"/>
              <w:keepLines w:val="0"/>
              <w:pageBreakBefore w:val="0"/>
              <w:kinsoku/>
              <w:wordWrap/>
              <w:overflowPunct/>
              <w:topLinePunct w:val="0"/>
              <w:bidi w:val="0"/>
              <w:spacing w:line="240" w:lineRule="auto"/>
              <w:ind w:firstLine="36" w:firstLineChars="15"/>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质量要求</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1800CF50">
            <w:pPr>
              <w:keepNext w:val="0"/>
              <w:keepLines w:val="0"/>
              <w:pageBreakBefore w:val="0"/>
              <w:kinsoku/>
              <w:wordWrap/>
              <w:overflowPunct/>
              <w:topLinePunct w:val="0"/>
              <w:bidi w:val="0"/>
              <w:snapToGrid w:val="0"/>
              <w:spacing w:line="240" w:lineRule="auto"/>
              <w:jc w:val="both"/>
              <w:textAlignment w:val="baseline"/>
              <w:rPr>
                <w:rFonts w:hint="eastAsia" w:ascii="宋体" w:hAnsi="宋体" w:eastAsia="宋体" w:cs="Times New Roman"/>
                <w:kern w:val="2"/>
                <w:sz w:val="24"/>
                <w:szCs w:val="24"/>
                <w:highlight w:val="none"/>
                <w:lang w:val="en-US" w:eastAsia="zh-CN"/>
              </w:rPr>
            </w:pPr>
            <w:r>
              <w:rPr>
                <w:rFonts w:hint="eastAsia" w:ascii="宋体" w:hAnsi="宋体" w:eastAsia="宋体" w:cs="Times New Roman"/>
                <w:color w:val="333333"/>
                <w:kern w:val="2"/>
                <w:sz w:val="24"/>
                <w:szCs w:val="24"/>
                <w:highlight w:val="none"/>
              </w:rPr>
              <w:t>符合国家相关行业标准且满足采购人需求</w:t>
            </w:r>
          </w:p>
        </w:tc>
      </w:tr>
      <w:tr w14:paraId="1E7A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4" w:type="dxa"/>
            <w:vMerge w:val="continue"/>
            <w:tcBorders>
              <w:left w:val="single" w:color="auto" w:sz="4" w:space="0"/>
              <w:right w:val="single" w:color="auto" w:sz="4" w:space="0"/>
              <w:tl2br w:val="nil"/>
              <w:tr2bl w:val="nil"/>
            </w:tcBorders>
            <w:noWrap/>
            <w:vAlign w:val="center"/>
          </w:tcPr>
          <w:p w14:paraId="433FCA7B">
            <w:pPr>
              <w:keepNext w:val="0"/>
              <w:keepLines w:val="0"/>
              <w:pageBreakBefore w:val="0"/>
              <w:kinsoku/>
              <w:wordWrap/>
              <w:overflowPunct/>
              <w:topLinePunct w:val="0"/>
              <w:bidi w:val="0"/>
              <w:spacing w:line="240" w:lineRule="auto"/>
              <w:rPr>
                <w:rFonts w:ascii="宋体" w:hAnsi="宋体" w:eastAsia="宋体" w:cs="Arial"/>
                <w:sz w:val="24"/>
                <w:szCs w:val="24"/>
              </w:rPr>
            </w:pPr>
          </w:p>
        </w:tc>
        <w:tc>
          <w:tcPr>
            <w:tcW w:w="1009" w:type="dxa"/>
            <w:vMerge w:val="continue"/>
            <w:tcBorders>
              <w:left w:val="single" w:color="auto" w:sz="4" w:space="0"/>
              <w:right w:val="single" w:color="auto" w:sz="4" w:space="0"/>
              <w:tl2br w:val="nil"/>
              <w:tr2bl w:val="nil"/>
            </w:tcBorders>
            <w:noWrap/>
            <w:vAlign w:val="center"/>
          </w:tcPr>
          <w:p w14:paraId="5760E8CF">
            <w:pPr>
              <w:keepNext w:val="0"/>
              <w:keepLines w:val="0"/>
              <w:pageBreakBefore w:val="0"/>
              <w:kinsoku/>
              <w:wordWrap/>
              <w:overflowPunct/>
              <w:topLinePunct w:val="0"/>
              <w:bidi w:val="0"/>
              <w:spacing w:line="240" w:lineRule="auto"/>
              <w:rPr>
                <w:rFonts w:ascii="宋体" w:hAnsi="宋体" w:eastAsia="宋体" w:cs="Arial"/>
                <w:sz w:val="24"/>
                <w:szCs w:val="24"/>
              </w:rPr>
            </w:pPr>
          </w:p>
        </w:tc>
        <w:tc>
          <w:tcPr>
            <w:tcW w:w="1864" w:type="dxa"/>
            <w:tcBorders>
              <w:top w:val="single" w:color="auto" w:sz="4" w:space="0"/>
              <w:left w:val="single" w:color="auto" w:sz="4" w:space="0"/>
              <w:bottom w:val="single" w:color="auto" w:sz="4" w:space="0"/>
              <w:right w:val="single" w:color="auto" w:sz="4" w:space="0"/>
              <w:tl2br w:val="nil"/>
              <w:tr2bl w:val="nil"/>
            </w:tcBorders>
            <w:noWrap/>
            <w:vAlign w:val="center"/>
          </w:tcPr>
          <w:p w14:paraId="708FD36F">
            <w:pPr>
              <w:keepNext w:val="0"/>
              <w:keepLines w:val="0"/>
              <w:pageBreakBefore w:val="0"/>
              <w:kinsoku/>
              <w:wordWrap/>
              <w:overflowPunct/>
              <w:topLinePunct w:val="0"/>
              <w:bidi w:val="0"/>
              <w:spacing w:line="240" w:lineRule="auto"/>
              <w:ind w:firstLine="36" w:firstLineChars="15"/>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质保期</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76A00F7D">
            <w:pPr>
              <w:keepNext w:val="0"/>
              <w:keepLines w:val="0"/>
              <w:pageBreakBefore w:val="0"/>
              <w:kinsoku/>
              <w:wordWrap/>
              <w:overflowPunct/>
              <w:topLinePunct w:val="0"/>
              <w:bidi w:val="0"/>
              <w:spacing w:line="240" w:lineRule="auto"/>
              <w:ind w:firstLine="36" w:firstLineChars="15"/>
              <w:jc w:val="both"/>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年</w:t>
            </w:r>
          </w:p>
        </w:tc>
      </w:tr>
      <w:tr w14:paraId="53FB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4" w:type="dxa"/>
            <w:vMerge w:val="continue"/>
            <w:tcBorders>
              <w:left w:val="single" w:color="auto" w:sz="4" w:space="0"/>
              <w:right w:val="single" w:color="auto" w:sz="4" w:space="0"/>
              <w:tl2br w:val="nil"/>
              <w:tr2bl w:val="nil"/>
            </w:tcBorders>
            <w:noWrap/>
            <w:vAlign w:val="center"/>
          </w:tcPr>
          <w:p w14:paraId="07745CAD">
            <w:pPr>
              <w:keepNext w:val="0"/>
              <w:keepLines w:val="0"/>
              <w:pageBreakBefore w:val="0"/>
              <w:kinsoku/>
              <w:wordWrap/>
              <w:overflowPunct/>
              <w:topLinePunct w:val="0"/>
              <w:bidi w:val="0"/>
              <w:spacing w:line="240" w:lineRule="auto"/>
              <w:rPr>
                <w:rFonts w:ascii="宋体" w:hAnsi="宋体" w:eastAsia="宋体" w:cs="Arial"/>
                <w:sz w:val="24"/>
                <w:szCs w:val="24"/>
              </w:rPr>
            </w:pPr>
          </w:p>
        </w:tc>
        <w:tc>
          <w:tcPr>
            <w:tcW w:w="1009" w:type="dxa"/>
            <w:vMerge w:val="continue"/>
            <w:tcBorders>
              <w:left w:val="single" w:color="auto" w:sz="4" w:space="0"/>
              <w:right w:val="single" w:color="auto" w:sz="4" w:space="0"/>
              <w:tl2br w:val="nil"/>
              <w:tr2bl w:val="nil"/>
            </w:tcBorders>
            <w:noWrap/>
            <w:vAlign w:val="center"/>
          </w:tcPr>
          <w:p w14:paraId="13E456B0">
            <w:pPr>
              <w:keepNext w:val="0"/>
              <w:keepLines w:val="0"/>
              <w:pageBreakBefore w:val="0"/>
              <w:kinsoku/>
              <w:wordWrap/>
              <w:overflowPunct/>
              <w:topLinePunct w:val="0"/>
              <w:bidi w:val="0"/>
              <w:spacing w:line="240" w:lineRule="auto"/>
              <w:rPr>
                <w:rFonts w:ascii="宋体" w:hAnsi="宋体" w:eastAsia="宋体" w:cs="Arial"/>
                <w:sz w:val="24"/>
                <w:szCs w:val="24"/>
              </w:rPr>
            </w:pPr>
          </w:p>
        </w:tc>
        <w:tc>
          <w:tcPr>
            <w:tcW w:w="1864" w:type="dxa"/>
            <w:tcBorders>
              <w:top w:val="single" w:color="auto" w:sz="4" w:space="0"/>
              <w:left w:val="single" w:color="auto" w:sz="4" w:space="0"/>
              <w:bottom w:val="single" w:color="auto" w:sz="4" w:space="0"/>
              <w:right w:val="single" w:color="auto" w:sz="4" w:space="0"/>
              <w:tl2br w:val="nil"/>
              <w:tr2bl w:val="nil"/>
            </w:tcBorders>
            <w:noWrap/>
            <w:vAlign w:val="center"/>
          </w:tcPr>
          <w:p w14:paraId="47D21BC1">
            <w:pPr>
              <w:keepNext w:val="0"/>
              <w:keepLines w:val="0"/>
              <w:pageBreakBefore w:val="0"/>
              <w:kinsoku/>
              <w:wordWrap/>
              <w:overflowPunct/>
              <w:topLinePunct w:val="0"/>
              <w:bidi w:val="0"/>
              <w:spacing w:line="240" w:lineRule="auto"/>
              <w:ind w:firstLine="36" w:firstLineChars="15"/>
              <w:jc w:val="center"/>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交货地点</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47DE7138">
            <w:pPr>
              <w:keepNext w:val="0"/>
              <w:keepLines w:val="0"/>
              <w:pageBreakBefore w:val="0"/>
              <w:kinsoku/>
              <w:wordWrap/>
              <w:overflowPunct/>
              <w:topLinePunct w:val="0"/>
              <w:bidi w:val="0"/>
              <w:spacing w:line="240" w:lineRule="auto"/>
              <w:ind w:firstLine="36" w:firstLineChars="15"/>
              <w:jc w:val="both"/>
              <w:rPr>
                <w:rFonts w:hint="default" w:ascii="宋体" w:hAnsi="宋体" w:cs="Times New Roman"/>
                <w:sz w:val="24"/>
                <w:szCs w:val="24"/>
                <w:highlight w:val="yellow"/>
                <w:lang w:val="en-US" w:eastAsia="zh-CN"/>
              </w:rPr>
            </w:pPr>
            <w:r>
              <w:rPr>
                <w:rFonts w:hint="eastAsia" w:ascii="宋体" w:hAnsi="宋体" w:cs="Times New Roman"/>
                <w:sz w:val="24"/>
                <w:szCs w:val="24"/>
                <w:highlight w:val="none"/>
                <w:lang w:val="en-US" w:eastAsia="zh-CN"/>
              </w:rPr>
              <w:t>采购人指定地点</w:t>
            </w:r>
          </w:p>
        </w:tc>
      </w:tr>
      <w:tr w14:paraId="682D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34" w:type="dxa"/>
            <w:vMerge w:val="continue"/>
            <w:tcBorders>
              <w:left w:val="single" w:color="auto" w:sz="4" w:space="0"/>
              <w:right w:val="single" w:color="auto" w:sz="4" w:space="0"/>
              <w:tl2br w:val="nil"/>
              <w:tr2bl w:val="nil"/>
            </w:tcBorders>
            <w:noWrap/>
            <w:vAlign w:val="center"/>
          </w:tcPr>
          <w:p w14:paraId="1CCCB9C9">
            <w:pPr>
              <w:keepNext w:val="0"/>
              <w:keepLines w:val="0"/>
              <w:pageBreakBefore w:val="0"/>
              <w:kinsoku/>
              <w:wordWrap/>
              <w:overflowPunct/>
              <w:topLinePunct w:val="0"/>
              <w:bidi w:val="0"/>
              <w:spacing w:line="240" w:lineRule="auto"/>
              <w:rPr>
                <w:rFonts w:ascii="宋体" w:hAnsi="宋体" w:eastAsia="宋体" w:cs="Arial"/>
                <w:sz w:val="24"/>
                <w:szCs w:val="24"/>
              </w:rPr>
            </w:pPr>
          </w:p>
        </w:tc>
        <w:tc>
          <w:tcPr>
            <w:tcW w:w="1009" w:type="dxa"/>
            <w:vMerge w:val="continue"/>
            <w:tcBorders>
              <w:left w:val="single" w:color="auto" w:sz="4" w:space="0"/>
              <w:right w:val="single" w:color="auto" w:sz="4" w:space="0"/>
              <w:tl2br w:val="nil"/>
              <w:tr2bl w:val="nil"/>
            </w:tcBorders>
            <w:noWrap/>
            <w:vAlign w:val="center"/>
          </w:tcPr>
          <w:p w14:paraId="251185CD">
            <w:pPr>
              <w:keepNext w:val="0"/>
              <w:keepLines w:val="0"/>
              <w:pageBreakBefore w:val="0"/>
              <w:kinsoku/>
              <w:wordWrap/>
              <w:overflowPunct/>
              <w:topLinePunct w:val="0"/>
              <w:bidi w:val="0"/>
              <w:spacing w:line="240" w:lineRule="auto"/>
              <w:rPr>
                <w:rFonts w:ascii="宋体" w:hAnsi="宋体" w:eastAsia="宋体" w:cs="Arial"/>
                <w:sz w:val="24"/>
                <w:szCs w:val="24"/>
              </w:rPr>
            </w:pPr>
          </w:p>
        </w:tc>
        <w:tc>
          <w:tcPr>
            <w:tcW w:w="1864" w:type="dxa"/>
            <w:tcBorders>
              <w:top w:val="single" w:color="auto" w:sz="4" w:space="0"/>
              <w:left w:val="single" w:color="auto" w:sz="4" w:space="0"/>
              <w:bottom w:val="single" w:color="auto" w:sz="4" w:space="0"/>
              <w:right w:val="single" w:color="auto" w:sz="4" w:space="0"/>
              <w:tl2br w:val="nil"/>
              <w:tr2bl w:val="nil"/>
            </w:tcBorders>
            <w:noWrap/>
            <w:vAlign w:val="center"/>
          </w:tcPr>
          <w:p w14:paraId="76C7381E">
            <w:pPr>
              <w:keepNext w:val="0"/>
              <w:keepLines w:val="0"/>
              <w:pageBreakBefore w:val="0"/>
              <w:kinsoku/>
              <w:wordWrap/>
              <w:overflowPunct/>
              <w:topLinePunct w:val="0"/>
              <w:bidi w:val="0"/>
              <w:snapToGrid w:val="0"/>
              <w:spacing w:line="240" w:lineRule="auto"/>
              <w:jc w:val="center"/>
              <w:textAlignment w:val="baseline"/>
              <w:rPr>
                <w:rFonts w:hint="eastAsia" w:ascii="宋体" w:hAnsi="宋体" w:eastAsia="宋体" w:cs="Times New Roman"/>
                <w:sz w:val="24"/>
                <w:szCs w:val="24"/>
              </w:rPr>
            </w:pPr>
            <w:r>
              <w:rPr>
                <w:rFonts w:hint="eastAsia" w:ascii="宋体" w:hAnsi="宋体" w:eastAsia="宋体" w:cs="Times New Roman"/>
                <w:sz w:val="24"/>
                <w:szCs w:val="24"/>
              </w:rPr>
              <w:t>磋商有效期</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5C269C1A">
            <w:pPr>
              <w:keepNext w:val="0"/>
              <w:keepLines w:val="0"/>
              <w:pageBreakBefore w:val="0"/>
              <w:kinsoku/>
              <w:wordWrap/>
              <w:overflowPunct/>
              <w:topLinePunct w:val="0"/>
              <w:bidi w:val="0"/>
              <w:snapToGrid w:val="0"/>
              <w:spacing w:line="240" w:lineRule="auto"/>
              <w:jc w:val="both"/>
              <w:textAlignment w:val="baseline"/>
              <w:rPr>
                <w:rFonts w:hint="eastAsia" w:ascii="宋体" w:hAnsi="宋体" w:eastAsia="宋体" w:cs="Times New Roman"/>
                <w:kern w:val="2"/>
                <w:sz w:val="24"/>
                <w:szCs w:val="24"/>
                <w:lang w:eastAsia="zh-CN"/>
              </w:rPr>
            </w:pPr>
            <w:r>
              <w:rPr>
                <w:rFonts w:hint="eastAsia" w:ascii="宋体" w:hAnsi="宋体" w:cs="宋体"/>
                <w:sz w:val="24"/>
                <w:lang w:eastAsia="zh-CN"/>
              </w:rPr>
              <w:t>自磋商文件递交截止之日起60日历天</w:t>
            </w:r>
          </w:p>
        </w:tc>
      </w:tr>
      <w:tr w14:paraId="26E9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34" w:type="dxa"/>
            <w:vMerge w:val="continue"/>
            <w:tcBorders>
              <w:left w:val="single" w:color="auto" w:sz="4" w:space="0"/>
              <w:right w:val="single" w:color="auto" w:sz="4" w:space="0"/>
              <w:tl2br w:val="nil"/>
              <w:tr2bl w:val="nil"/>
            </w:tcBorders>
            <w:noWrap/>
            <w:vAlign w:val="center"/>
          </w:tcPr>
          <w:p w14:paraId="653794CA">
            <w:pPr>
              <w:keepNext w:val="0"/>
              <w:keepLines w:val="0"/>
              <w:pageBreakBefore w:val="0"/>
              <w:kinsoku/>
              <w:wordWrap/>
              <w:overflowPunct/>
              <w:topLinePunct w:val="0"/>
              <w:bidi w:val="0"/>
              <w:spacing w:line="240" w:lineRule="auto"/>
              <w:rPr>
                <w:rFonts w:ascii="宋体" w:hAnsi="宋体" w:eastAsia="宋体" w:cs="Arial"/>
                <w:sz w:val="24"/>
                <w:szCs w:val="24"/>
              </w:rPr>
            </w:pPr>
          </w:p>
        </w:tc>
        <w:tc>
          <w:tcPr>
            <w:tcW w:w="1009" w:type="dxa"/>
            <w:vMerge w:val="continue"/>
            <w:tcBorders>
              <w:left w:val="single" w:color="auto" w:sz="4" w:space="0"/>
              <w:right w:val="single" w:color="auto" w:sz="4" w:space="0"/>
              <w:tl2br w:val="nil"/>
              <w:tr2bl w:val="nil"/>
            </w:tcBorders>
            <w:noWrap/>
            <w:vAlign w:val="center"/>
          </w:tcPr>
          <w:p w14:paraId="2C2F08F7">
            <w:pPr>
              <w:keepNext w:val="0"/>
              <w:keepLines w:val="0"/>
              <w:pageBreakBefore w:val="0"/>
              <w:kinsoku/>
              <w:wordWrap/>
              <w:overflowPunct/>
              <w:topLinePunct w:val="0"/>
              <w:bidi w:val="0"/>
              <w:spacing w:line="240" w:lineRule="auto"/>
              <w:rPr>
                <w:rFonts w:ascii="宋体" w:hAnsi="宋体" w:eastAsia="宋体" w:cs="Arial"/>
                <w:sz w:val="24"/>
                <w:szCs w:val="24"/>
              </w:rPr>
            </w:pPr>
          </w:p>
        </w:tc>
        <w:tc>
          <w:tcPr>
            <w:tcW w:w="1864" w:type="dxa"/>
            <w:tcBorders>
              <w:top w:val="single" w:color="auto" w:sz="4" w:space="0"/>
              <w:left w:val="single" w:color="auto" w:sz="4" w:space="0"/>
              <w:bottom w:val="single" w:color="auto" w:sz="4" w:space="0"/>
              <w:right w:val="single" w:color="auto" w:sz="4" w:space="0"/>
              <w:tl2br w:val="nil"/>
              <w:tr2bl w:val="nil"/>
            </w:tcBorders>
            <w:noWrap/>
            <w:vAlign w:val="center"/>
          </w:tcPr>
          <w:p w14:paraId="09C85447">
            <w:pPr>
              <w:keepNext w:val="0"/>
              <w:keepLines w:val="0"/>
              <w:pageBreakBefore w:val="0"/>
              <w:kinsoku/>
              <w:wordWrap/>
              <w:overflowPunct/>
              <w:topLinePunct w:val="0"/>
              <w:bidi w:val="0"/>
              <w:snapToGrid w:val="0"/>
              <w:spacing w:line="240" w:lineRule="auto"/>
              <w:jc w:val="center"/>
              <w:textAlignment w:val="baseline"/>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磋商报价</w:t>
            </w:r>
          </w:p>
        </w:tc>
        <w:tc>
          <w:tcPr>
            <w:tcW w:w="5385" w:type="dxa"/>
            <w:tcBorders>
              <w:top w:val="single" w:color="auto" w:sz="4" w:space="0"/>
              <w:left w:val="single" w:color="auto" w:sz="4" w:space="0"/>
              <w:bottom w:val="single" w:color="auto" w:sz="4" w:space="0"/>
              <w:right w:val="single" w:color="auto" w:sz="4" w:space="0"/>
              <w:tl2br w:val="nil"/>
              <w:tr2bl w:val="nil"/>
            </w:tcBorders>
            <w:noWrap/>
            <w:vAlign w:val="center"/>
          </w:tcPr>
          <w:p w14:paraId="5006AE68">
            <w:pPr>
              <w:keepNext w:val="0"/>
              <w:keepLines w:val="0"/>
              <w:pageBreakBefore w:val="0"/>
              <w:kinsoku/>
              <w:wordWrap/>
              <w:overflowPunct/>
              <w:topLinePunct w:val="0"/>
              <w:bidi w:val="0"/>
              <w:snapToGrid w:val="0"/>
              <w:spacing w:line="240" w:lineRule="auto"/>
              <w:jc w:val="both"/>
              <w:textAlignment w:val="baseline"/>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报价不能超出磋商预算价</w:t>
            </w:r>
          </w:p>
        </w:tc>
      </w:tr>
    </w:tbl>
    <w:p w14:paraId="74D66578">
      <w:pPr>
        <w:widowControl/>
        <w:adjustRightInd w:val="0"/>
        <w:snapToGrid w:val="0"/>
        <w:spacing w:after="200" w:line="400" w:lineRule="exact"/>
        <w:jc w:val="both"/>
        <w:outlineLvl w:val="1"/>
        <w:rPr>
          <w:rFonts w:hint="eastAsia" w:ascii="宋体" w:hAnsi="宋体" w:eastAsia="宋体" w:cs="Calibri"/>
          <w:b/>
          <w:bCs/>
          <w:kern w:val="0"/>
          <w:sz w:val="28"/>
          <w:szCs w:val="28"/>
        </w:rPr>
      </w:pPr>
      <w:bookmarkStart w:id="345" w:name="_Toc18277"/>
      <w:bookmarkStart w:id="346" w:name="_Toc29070"/>
      <w:bookmarkStart w:id="347" w:name="_Toc9062"/>
      <w:bookmarkStart w:id="348" w:name="_Toc6341"/>
    </w:p>
    <w:p w14:paraId="76D111D3">
      <w:pPr>
        <w:widowControl/>
        <w:adjustRightInd w:val="0"/>
        <w:snapToGrid w:val="0"/>
        <w:spacing w:after="200" w:line="400" w:lineRule="exact"/>
        <w:jc w:val="both"/>
        <w:outlineLvl w:val="1"/>
        <w:rPr>
          <w:rFonts w:hint="eastAsia" w:ascii="宋体" w:hAnsi="宋体" w:eastAsia="宋体" w:cs="Calibri"/>
          <w:b/>
          <w:bCs/>
          <w:kern w:val="0"/>
          <w:sz w:val="28"/>
          <w:szCs w:val="28"/>
        </w:rPr>
      </w:pPr>
    </w:p>
    <w:p w14:paraId="57050EB5">
      <w:pPr>
        <w:widowControl/>
        <w:adjustRightInd w:val="0"/>
        <w:snapToGrid w:val="0"/>
        <w:spacing w:after="200" w:line="400" w:lineRule="exact"/>
        <w:jc w:val="both"/>
        <w:outlineLvl w:val="1"/>
        <w:rPr>
          <w:rFonts w:ascii="宋体" w:hAnsi="宋体" w:eastAsia="宋体" w:cs="Calibri"/>
          <w:b/>
          <w:bCs/>
          <w:kern w:val="0"/>
          <w:sz w:val="24"/>
          <w:szCs w:val="24"/>
        </w:rPr>
      </w:pPr>
      <w:r>
        <w:rPr>
          <w:rFonts w:hint="eastAsia" w:ascii="宋体" w:hAnsi="宋体" w:eastAsia="宋体" w:cs="Calibri"/>
          <w:b/>
          <w:bCs/>
          <w:kern w:val="0"/>
          <w:sz w:val="24"/>
          <w:szCs w:val="24"/>
        </w:rPr>
        <w:t>四、详细评审</w:t>
      </w:r>
      <w:bookmarkEnd w:id="345"/>
      <w:bookmarkEnd w:id="346"/>
      <w:bookmarkEnd w:id="347"/>
      <w:bookmarkEnd w:id="348"/>
    </w:p>
    <w:tbl>
      <w:tblPr>
        <w:tblStyle w:val="21"/>
        <w:tblW w:w="9250"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220"/>
        <w:gridCol w:w="1125"/>
        <w:gridCol w:w="5718"/>
      </w:tblGrid>
      <w:tr w14:paraId="6C83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250" w:type="dxa"/>
            <w:gridSpan w:val="4"/>
            <w:noWrap w:val="0"/>
            <w:vAlign w:val="center"/>
          </w:tcPr>
          <w:p w14:paraId="25AB372C">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rPr>
                <w:rFonts w:ascii="宋体" w:hAnsi="宋体" w:eastAsia="宋体" w:cs="Calibri"/>
                <w:b/>
                <w:bCs/>
                <w:kern w:val="0"/>
                <w:sz w:val="28"/>
                <w:szCs w:val="28"/>
              </w:rPr>
            </w:pPr>
            <w:r>
              <w:rPr>
                <w:rFonts w:hint="eastAsia" w:ascii="宋体" w:hAnsi="宋体" w:eastAsia="宋体" w:cs="Calibri"/>
                <w:b/>
                <w:bCs/>
                <w:kern w:val="0"/>
                <w:sz w:val="28"/>
                <w:szCs w:val="28"/>
              </w:rPr>
              <w:t>评分部分（满分100分）</w:t>
            </w:r>
          </w:p>
        </w:tc>
      </w:tr>
      <w:tr w14:paraId="6F74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7" w:type="dxa"/>
            <w:gridSpan w:val="2"/>
            <w:noWrap w:val="0"/>
            <w:vAlign w:val="center"/>
          </w:tcPr>
          <w:p w14:paraId="71D309DC">
            <w:pPr>
              <w:widowControl/>
              <w:spacing w:line="480" w:lineRule="auto"/>
              <w:ind w:left="210" w:hanging="210"/>
              <w:jc w:val="center"/>
              <w:rPr>
                <w:rFonts w:ascii="宋体" w:hAnsi="宋体" w:eastAsia="宋体" w:cs="宋体"/>
                <w:kern w:val="1"/>
                <w:sz w:val="24"/>
                <w:szCs w:val="24"/>
                <w:lang w:eastAsia="en-US" w:bidi="en-US"/>
              </w:rPr>
            </w:pPr>
            <w:r>
              <w:rPr>
                <w:rFonts w:hint="eastAsia" w:ascii="宋体" w:hAnsi="宋体" w:eastAsia="宋体" w:cs="宋体"/>
                <w:kern w:val="1"/>
                <w:sz w:val="24"/>
                <w:szCs w:val="24"/>
                <w:lang w:eastAsia="en-US" w:bidi="en-US"/>
              </w:rPr>
              <w:t>分值构成</w:t>
            </w:r>
          </w:p>
          <w:p w14:paraId="51B07FF3">
            <w:pPr>
              <w:widowControl/>
              <w:adjustRightInd w:val="0"/>
              <w:snapToGrid w:val="0"/>
              <w:spacing w:after="200" w:line="480" w:lineRule="auto"/>
              <w:ind w:firstLine="120" w:firstLineChars="50"/>
              <w:jc w:val="center"/>
              <w:rPr>
                <w:rFonts w:ascii="宋体" w:hAnsi="宋体" w:eastAsia="宋体" w:cs="Calibri"/>
                <w:bCs/>
                <w:kern w:val="0"/>
                <w:sz w:val="24"/>
                <w:szCs w:val="24"/>
              </w:rPr>
            </w:pPr>
            <w:r>
              <w:rPr>
                <w:rFonts w:hint="eastAsia" w:ascii="宋体" w:hAnsi="宋体" w:eastAsia="宋体" w:cs="宋体"/>
                <w:kern w:val="1"/>
                <w:sz w:val="24"/>
                <w:szCs w:val="24"/>
                <w:lang w:eastAsia="en-US" w:bidi="en-US"/>
              </w:rPr>
              <w:t>(总分100分</w:t>
            </w:r>
            <w:r>
              <w:rPr>
                <w:rFonts w:hint="eastAsia" w:ascii="宋体" w:hAnsi="宋体" w:eastAsia="宋体" w:cs="宋体"/>
                <w:kern w:val="1"/>
                <w:sz w:val="24"/>
                <w:szCs w:val="24"/>
                <w:lang w:bidi="en-US"/>
              </w:rPr>
              <w:t>)</w:t>
            </w:r>
          </w:p>
        </w:tc>
        <w:tc>
          <w:tcPr>
            <w:tcW w:w="6843" w:type="dxa"/>
            <w:gridSpan w:val="2"/>
            <w:noWrap w:val="0"/>
            <w:vAlign w:val="top"/>
          </w:tcPr>
          <w:p w14:paraId="1AF75764">
            <w:pPr>
              <w:widowControl/>
              <w:spacing w:line="480" w:lineRule="auto"/>
              <w:jc w:val="left"/>
              <w:rPr>
                <w:rFonts w:ascii="宋体" w:hAnsi="宋体" w:eastAsia="宋体" w:cs="宋体"/>
                <w:kern w:val="1"/>
                <w:sz w:val="24"/>
                <w:szCs w:val="24"/>
                <w:lang w:bidi="en-US"/>
              </w:rPr>
            </w:pPr>
            <w:r>
              <w:rPr>
                <w:rFonts w:hint="eastAsia" w:ascii="宋体" w:hAnsi="宋体" w:eastAsia="宋体" w:cs="宋体"/>
                <w:kern w:val="1"/>
                <w:sz w:val="24"/>
                <w:szCs w:val="24"/>
                <w:lang w:bidi="en-US"/>
              </w:rPr>
              <w:t>报价分：</w:t>
            </w:r>
            <w:r>
              <w:rPr>
                <w:rFonts w:hint="eastAsia" w:ascii="宋体" w:hAnsi="宋体" w:eastAsia="宋体" w:cs="宋体"/>
                <w:kern w:val="1"/>
                <w:sz w:val="24"/>
                <w:szCs w:val="24"/>
                <w:u w:val="single"/>
                <w:lang w:bidi="en-US"/>
              </w:rPr>
              <w:t>30</w:t>
            </w:r>
            <w:r>
              <w:rPr>
                <w:rFonts w:hint="eastAsia" w:ascii="宋体" w:hAnsi="宋体" w:eastAsia="宋体" w:cs="宋体"/>
                <w:kern w:val="1"/>
                <w:sz w:val="24"/>
                <w:szCs w:val="24"/>
                <w:lang w:bidi="en-US"/>
              </w:rPr>
              <w:t>分</w:t>
            </w:r>
          </w:p>
          <w:p w14:paraId="65E236BF">
            <w:pPr>
              <w:widowControl/>
              <w:spacing w:line="480" w:lineRule="auto"/>
              <w:jc w:val="left"/>
              <w:rPr>
                <w:rFonts w:ascii="宋体" w:hAnsi="宋体" w:eastAsia="宋体" w:cs="宋体"/>
                <w:kern w:val="1"/>
                <w:sz w:val="24"/>
                <w:szCs w:val="24"/>
                <w:lang w:bidi="en-US"/>
              </w:rPr>
            </w:pPr>
            <w:r>
              <w:rPr>
                <w:rFonts w:hint="eastAsia" w:ascii="宋体" w:hAnsi="宋体" w:eastAsia="宋体" w:cs="宋体"/>
                <w:kern w:val="1"/>
                <w:sz w:val="24"/>
                <w:szCs w:val="24"/>
                <w:lang w:bidi="en-US"/>
              </w:rPr>
              <w:t>技术标：</w:t>
            </w:r>
            <w:r>
              <w:rPr>
                <w:rFonts w:hint="eastAsia" w:ascii="宋体" w:hAnsi="宋体" w:eastAsia="宋体" w:cs="宋体"/>
                <w:kern w:val="1"/>
                <w:sz w:val="24"/>
                <w:szCs w:val="24"/>
                <w:u w:val="single"/>
                <w:lang w:val="en-US" w:eastAsia="zh-CN" w:bidi="en-US"/>
              </w:rPr>
              <w:t>45</w:t>
            </w:r>
            <w:r>
              <w:rPr>
                <w:rFonts w:hint="eastAsia" w:ascii="宋体" w:hAnsi="宋体" w:eastAsia="宋体" w:cs="宋体"/>
                <w:kern w:val="1"/>
                <w:sz w:val="24"/>
                <w:szCs w:val="24"/>
                <w:lang w:bidi="en-US"/>
              </w:rPr>
              <w:t>分</w:t>
            </w:r>
          </w:p>
          <w:p w14:paraId="65DB10D7">
            <w:pPr>
              <w:widowControl/>
              <w:spacing w:line="480" w:lineRule="auto"/>
              <w:jc w:val="left"/>
              <w:rPr>
                <w:rFonts w:ascii="宋体" w:hAnsi="宋体" w:eastAsia="宋体" w:cs="宋体"/>
                <w:kern w:val="1"/>
                <w:sz w:val="24"/>
                <w:szCs w:val="24"/>
                <w:lang w:bidi="en-US"/>
              </w:rPr>
            </w:pPr>
            <w:r>
              <w:rPr>
                <w:rFonts w:hint="eastAsia" w:ascii="宋体" w:hAnsi="宋体" w:eastAsia="宋体" w:cs="宋体"/>
                <w:kern w:val="1"/>
                <w:sz w:val="24"/>
                <w:szCs w:val="24"/>
                <w:lang w:bidi="en-US"/>
              </w:rPr>
              <w:t>商务标：</w:t>
            </w:r>
            <w:r>
              <w:rPr>
                <w:rFonts w:hint="eastAsia" w:ascii="宋体" w:hAnsi="宋体" w:eastAsia="宋体" w:cs="宋体"/>
                <w:kern w:val="1"/>
                <w:sz w:val="24"/>
                <w:szCs w:val="24"/>
                <w:u w:val="single"/>
                <w:lang w:val="en-US" w:eastAsia="zh-CN" w:bidi="en-US"/>
              </w:rPr>
              <w:t>25</w:t>
            </w:r>
            <w:r>
              <w:rPr>
                <w:rFonts w:hint="eastAsia" w:ascii="宋体" w:hAnsi="宋体" w:eastAsia="宋体" w:cs="宋体"/>
                <w:kern w:val="1"/>
                <w:sz w:val="24"/>
                <w:szCs w:val="24"/>
                <w:lang w:bidi="en-US"/>
              </w:rPr>
              <w:t>分</w:t>
            </w:r>
          </w:p>
        </w:tc>
      </w:tr>
      <w:tr w14:paraId="04C6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187" w:type="dxa"/>
            <w:noWrap w:val="0"/>
            <w:vAlign w:val="center"/>
          </w:tcPr>
          <w:p w14:paraId="332EBEA2">
            <w:pPr>
              <w:pageBreakBefore w:val="0"/>
              <w:widowControl/>
              <w:kinsoku/>
              <w:overflowPunct/>
              <w:topLinePunct w:val="0"/>
              <w:bidi w:val="0"/>
              <w:spacing w:line="360" w:lineRule="auto"/>
              <w:jc w:val="center"/>
              <w:textAlignment w:val="center"/>
              <w:rPr>
                <w:rFonts w:hint="eastAsia" w:ascii="宋体" w:hAnsi="宋体" w:eastAsia="宋体" w:cs="宋体"/>
                <w:color w:val="auto"/>
                <w:sz w:val="24"/>
                <w:szCs w:val="24"/>
                <w:highlight w:val="none"/>
                <w:lang w:val="en-US" w:eastAsia="en-US"/>
              </w:rPr>
            </w:pPr>
            <w:r>
              <w:rPr>
                <w:rFonts w:hint="eastAsia" w:ascii="宋体" w:hAnsi="宋体" w:eastAsia="宋体" w:cs="宋体"/>
                <w:b/>
                <w:bCs/>
                <w:color w:val="auto"/>
                <w:kern w:val="0"/>
                <w:sz w:val="24"/>
                <w:szCs w:val="24"/>
                <w:lang w:bidi="ar"/>
              </w:rPr>
              <w:t>评分因素</w:t>
            </w:r>
          </w:p>
        </w:tc>
        <w:tc>
          <w:tcPr>
            <w:tcW w:w="1220" w:type="dxa"/>
            <w:noWrap w:val="0"/>
            <w:vAlign w:val="center"/>
          </w:tcPr>
          <w:p w14:paraId="062346DE">
            <w:pPr>
              <w:pageBreakBefore w:val="0"/>
              <w:widowControl/>
              <w:kinsoku/>
              <w:overflowPunct/>
              <w:topLinePunct w:val="0"/>
              <w:bidi w:val="0"/>
              <w:spacing w:line="360" w:lineRule="auto"/>
              <w:jc w:val="center"/>
              <w:textAlignment w:val="center"/>
              <w:rPr>
                <w:rFonts w:hint="eastAsia" w:ascii="宋体" w:hAnsi="宋体" w:eastAsia="宋体" w:cs="宋体"/>
                <w:color w:val="auto"/>
                <w:sz w:val="24"/>
                <w:szCs w:val="24"/>
                <w:highlight w:val="none"/>
                <w:lang w:val="en-US" w:eastAsia="en-US"/>
              </w:rPr>
            </w:pPr>
            <w:r>
              <w:rPr>
                <w:rFonts w:hint="eastAsia" w:ascii="宋体" w:hAnsi="宋体" w:eastAsia="宋体" w:cs="宋体"/>
                <w:b/>
                <w:bCs/>
                <w:color w:val="auto"/>
                <w:kern w:val="0"/>
                <w:sz w:val="24"/>
                <w:szCs w:val="24"/>
                <w:lang w:bidi="ar"/>
              </w:rPr>
              <w:t>评分内容</w:t>
            </w:r>
          </w:p>
        </w:tc>
        <w:tc>
          <w:tcPr>
            <w:tcW w:w="1125" w:type="dxa"/>
            <w:noWrap w:val="0"/>
            <w:vAlign w:val="center"/>
          </w:tcPr>
          <w:p w14:paraId="0863B424">
            <w:pPr>
              <w:pageBreakBefore w:val="0"/>
              <w:widowControl/>
              <w:kinsoku/>
              <w:overflowPunct/>
              <w:topLinePunct w:val="0"/>
              <w:bidi w:val="0"/>
              <w:spacing w:line="360" w:lineRule="auto"/>
              <w:jc w:val="center"/>
              <w:textAlignment w:val="center"/>
              <w:rPr>
                <w:rFonts w:hint="eastAsia" w:ascii="宋体" w:hAnsi="宋体" w:eastAsia="宋体" w:cs="宋体"/>
                <w:color w:val="auto"/>
                <w:sz w:val="24"/>
                <w:szCs w:val="24"/>
                <w:highlight w:val="none"/>
                <w:lang w:val="en-US" w:eastAsia="en-US"/>
              </w:rPr>
            </w:pPr>
            <w:r>
              <w:rPr>
                <w:rFonts w:hint="eastAsia" w:ascii="宋体" w:hAnsi="宋体" w:eastAsia="宋体" w:cs="宋体"/>
                <w:b/>
                <w:bCs/>
                <w:color w:val="auto"/>
                <w:kern w:val="0"/>
                <w:sz w:val="24"/>
                <w:szCs w:val="24"/>
                <w:lang w:bidi="ar"/>
              </w:rPr>
              <w:t>分值</w:t>
            </w:r>
          </w:p>
        </w:tc>
        <w:tc>
          <w:tcPr>
            <w:tcW w:w="5718" w:type="dxa"/>
            <w:noWrap w:val="0"/>
            <w:vAlign w:val="center"/>
          </w:tcPr>
          <w:p w14:paraId="56561E09">
            <w:pPr>
              <w:pageBreakBefore w:val="0"/>
              <w:widowControl/>
              <w:kinsoku/>
              <w:overflowPunct/>
              <w:topLinePunct w:val="0"/>
              <w:bidi w:val="0"/>
              <w:spacing w:line="360" w:lineRule="auto"/>
              <w:jc w:val="center"/>
              <w:textAlignment w:val="center"/>
              <w:rPr>
                <w:rFonts w:hint="eastAsia" w:ascii="宋体" w:hAnsi="宋体" w:eastAsia="宋体" w:cs="宋体"/>
                <w:color w:val="auto"/>
                <w:sz w:val="24"/>
                <w:szCs w:val="24"/>
                <w:highlight w:val="none"/>
                <w:lang w:val="en-US" w:eastAsia="en-US"/>
              </w:rPr>
            </w:pPr>
            <w:r>
              <w:rPr>
                <w:rFonts w:hint="eastAsia" w:ascii="宋体" w:hAnsi="宋体" w:eastAsia="宋体" w:cs="宋体"/>
                <w:b/>
                <w:bCs/>
                <w:color w:val="auto"/>
                <w:kern w:val="0"/>
                <w:sz w:val="24"/>
                <w:szCs w:val="24"/>
                <w:lang w:bidi="ar"/>
              </w:rPr>
              <w:t>评分标准</w:t>
            </w:r>
          </w:p>
        </w:tc>
      </w:tr>
      <w:tr w14:paraId="2C65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87" w:type="dxa"/>
            <w:noWrap w:val="0"/>
            <w:vAlign w:val="center"/>
          </w:tcPr>
          <w:p w14:paraId="75E8337C">
            <w:pPr>
              <w:spacing w:line="40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报价分</w:t>
            </w:r>
          </w:p>
          <w:p w14:paraId="0C0E9A07">
            <w:pPr>
              <w:spacing w:line="40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en-US"/>
              </w:rPr>
              <w:t>分）</w:t>
            </w:r>
          </w:p>
        </w:tc>
        <w:tc>
          <w:tcPr>
            <w:tcW w:w="1220" w:type="dxa"/>
            <w:noWrap w:val="0"/>
            <w:vAlign w:val="center"/>
          </w:tcPr>
          <w:p w14:paraId="53C43F24">
            <w:pPr>
              <w:spacing w:line="40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en-US"/>
              </w:rPr>
              <w:t>投标</w:t>
            </w:r>
          </w:p>
          <w:p w14:paraId="0E2AA672">
            <w:pPr>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报价</w:t>
            </w:r>
          </w:p>
        </w:tc>
        <w:tc>
          <w:tcPr>
            <w:tcW w:w="1125" w:type="dxa"/>
            <w:noWrap w:val="0"/>
            <w:vAlign w:val="center"/>
          </w:tcPr>
          <w:p w14:paraId="233FC1FE">
            <w:pPr>
              <w:spacing w:line="400" w:lineRule="exact"/>
              <w:jc w:val="center"/>
              <w:rPr>
                <w:rFonts w:hint="default" w:eastAsia="宋体"/>
                <w:sz w:val="24"/>
                <w:szCs w:val="24"/>
                <w:lang w:val="en-US" w:eastAsia="zh-CN"/>
              </w:rPr>
            </w:pPr>
            <w:r>
              <w:rPr>
                <w:rFonts w:hint="eastAsia"/>
                <w:sz w:val="24"/>
                <w:szCs w:val="24"/>
                <w:lang w:val="en-US" w:eastAsia="zh-CN"/>
              </w:rPr>
              <w:t>30分</w:t>
            </w:r>
          </w:p>
        </w:tc>
        <w:tc>
          <w:tcPr>
            <w:tcW w:w="5718" w:type="dxa"/>
            <w:noWrap w:val="0"/>
            <w:vAlign w:val="top"/>
          </w:tcPr>
          <w:p w14:paraId="0D9D90E2">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1、综合评分法中的价格分统一采用低价优先法计算，即满足磋商文件要求且最后报价最低的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en-US"/>
              </w:rPr>
              <w:t>的价格为评标基准价，其价格分为满分。</w:t>
            </w:r>
          </w:p>
          <w:p w14:paraId="01C88767">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2、其他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en-US"/>
              </w:rPr>
              <w:t>的价格分统一按照下列公式计算：</w:t>
            </w:r>
          </w:p>
          <w:p w14:paraId="4A1F0242">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报价得分=（评标基准价/最后投标报价）×30</w:t>
            </w:r>
          </w:p>
          <w:p w14:paraId="2978D0B6">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注：分值计算保留两位小数。</w:t>
            </w:r>
          </w:p>
          <w:p w14:paraId="0BE5FD31">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3、落实政府采购政策，对小型、微型企业、监狱企业及残疾人福利性单位产品（以投标文件提供的符合规定的有关证明材料为准）价格给予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en-US"/>
              </w:rPr>
              <w:t>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en-US"/>
              </w:rPr>
              <w:t>的扣除（同一</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en-US"/>
              </w:rPr>
              <w:t>，中小企业产品和监狱企业产品价格扣除优惠只享受一次，不得重复享受），以扣除的价格计算评标基准价和投标报价。</w:t>
            </w:r>
          </w:p>
          <w:p w14:paraId="2504A702">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具体算法：评标报价=投标总报价×（1-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en-US"/>
              </w:rPr>
              <w:t>0%）。</w:t>
            </w:r>
          </w:p>
          <w:p w14:paraId="01D735E4">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备注：1）为了促进中小企业发展，根据《中华人民共和国政府采购法实施条例》第六条和《国务院关于印发扎实稳住经济一揽子政策措施的通知》（国发[2022]12号）规定，给予小型或微型企业价格20%的扣除，用扣除后的价格参与评审。中小企业划型标准见《关于印发中小企业划型标规定的通知》（工信部联企业[2011]300号）。</w:t>
            </w:r>
          </w:p>
          <w:p w14:paraId="3EE49890">
            <w:pPr>
              <w:numPr>
                <w:ilvl w:val="0"/>
                <w:numId w:val="0"/>
              </w:num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kern w:val="2"/>
                <w:sz w:val="24"/>
                <w:szCs w:val="24"/>
                <w:lang w:val="en-US" w:eastAsia="en-US" w:bidi="ar-SA"/>
              </w:rPr>
              <w:t>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en-US"/>
              </w:rPr>
              <w:t>若为小微企业，须自行提供中小企业声明函或小微企业名录查询截图，并对其真实性负责</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没有提供有效证明材料的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en-US"/>
              </w:rPr>
              <w:t>将被视为不接受投标总价的扣除，用原投标总价参与评审。</w:t>
            </w:r>
          </w:p>
          <w:p w14:paraId="12473349">
            <w:pPr>
              <w:numPr>
                <w:ilvl w:val="0"/>
                <w:numId w:val="0"/>
              </w:num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进口产品属于非本国产品。但对一些非进口产品，如果不满足《通知》规定的“在中国境内生产”等条件，这些产品也属于非本国产品。</w:t>
            </w:r>
          </w:p>
          <w:p w14:paraId="2283455E">
            <w:pPr>
              <w:numPr>
                <w:ilvl w:val="0"/>
                <w:numId w:val="0"/>
              </w:numPr>
              <w:spacing w:line="400" w:lineRule="exact"/>
              <w:jc w:val="left"/>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lang w:val="en-US" w:eastAsia="en-US"/>
              </w:rPr>
              <w:t>仅有本国产品参与竞争的政府采购项目，本国产品不享受价格扣除评审优惠。</w:t>
            </w:r>
          </w:p>
        </w:tc>
      </w:tr>
      <w:tr w14:paraId="09CC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187" w:type="dxa"/>
            <w:vMerge w:val="restart"/>
            <w:noWrap w:val="0"/>
            <w:vAlign w:val="center"/>
          </w:tcPr>
          <w:p w14:paraId="6471A640">
            <w:pPr>
              <w:widowControl/>
              <w:spacing w:line="276" w:lineRule="auto"/>
              <w:jc w:val="center"/>
              <w:rPr>
                <w:rFonts w:ascii="宋体" w:hAnsi="宋体" w:eastAsia="宋体" w:cs="宋体"/>
                <w:spacing w:val="6"/>
                <w:kern w:val="1"/>
                <w:sz w:val="24"/>
                <w:szCs w:val="24"/>
                <w:lang w:eastAsia="en-US" w:bidi="en-US"/>
              </w:rPr>
            </w:pPr>
            <w:r>
              <w:rPr>
                <w:rFonts w:hint="eastAsia" w:ascii="宋体" w:hAnsi="宋体" w:eastAsia="宋体" w:cs="宋体"/>
                <w:spacing w:val="6"/>
                <w:kern w:val="1"/>
                <w:sz w:val="24"/>
                <w:szCs w:val="24"/>
                <w:lang w:eastAsia="en-US" w:bidi="en-US"/>
              </w:rPr>
              <w:t>技术标</w:t>
            </w:r>
          </w:p>
          <w:p w14:paraId="42923236">
            <w:pPr>
              <w:widowControl/>
              <w:adjustRightInd w:val="0"/>
              <w:snapToGrid w:val="0"/>
              <w:spacing w:after="200" w:line="276" w:lineRule="auto"/>
              <w:jc w:val="center"/>
              <w:rPr>
                <w:rFonts w:ascii="宋体" w:hAnsi="宋体" w:eastAsia="宋体" w:cs="Calibri"/>
                <w:bCs/>
                <w:kern w:val="0"/>
                <w:sz w:val="24"/>
                <w:szCs w:val="24"/>
              </w:rPr>
            </w:pPr>
            <w:r>
              <w:rPr>
                <w:rFonts w:hint="eastAsia" w:ascii="宋体" w:hAnsi="宋体" w:eastAsia="宋体" w:cs="宋体"/>
                <w:spacing w:val="6"/>
                <w:kern w:val="1"/>
                <w:sz w:val="24"/>
                <w:szCs w:val="24"/>
                <w:lang w:eastAsia="en-US" w:bidi="en-US"/>
              </w:rPr>
              <w:t>（</w:t>
            </w:r>
            <w:r>
              <w:rPr>
                <w:rFonts w:hint="eastAsia" w:ascii="宋体" w:hAnsi="宋体" w:eastAsia="宋体" w:cs="宋体"/>
                <w:spacing w:val="6"/>
                <w:kern w:val="1"/>
                <w:sz w:val="24"/>
                <w:szCs w:val="24"/>
                <w:lang w:val="en-US" w:eastAsia="zh-CN" w:bidi="en-US"/>
              </w:rPr>
              <w:t>4</w:t>
            </w:r>
            <w:r>
              <w:rPr>
                <w:rFonts w:hint="eastAsia" w:ascii="宋体" w:hAnsi="宋体" w:cs="宋体"/>
                <w:spacing w:val="6"/>
                <w:kern w:val="1"/>
                <w:sz w:val="24"/>
                <w:szCs w:val="24"/>
                <w:lang w:val="en-US" w:eastAsia="zh-CN" w:bidi="en-US"/>
              </w:rPr>
              <w:t>5</w:t>
            </w:r>
            <w:r>
              <w:rPr>
                <w:rFonts w:hint="eastAsia" w:ascii="宋体" w:hAnsi="宋体" w:eastAsia="宋体" w:cs="宋体"/>
                <w:spacing w:val="6"/>
                <w:kern w:val="1"/>
                <w:sz w:val="24"/>
                <w:szCs w:val="24"/>
                <w:lang w:eastAsia="en-US" w:bidi="en-US"/>
              </w:rPr>
              <w:t>分）</w:t>
            </w:r>
          </w:p>
          <w:p w14:paraId="445F9E34">
            <w:pPr>
              <w:spacing w:line="276" w:lineRule="auto"/>
              <w:jc w:val="center"/>
              <w:rPr>
                <w:rFonts w:ascii="宋体" w:hAnsi="宋体" w:eastAsia="宋体" w:cs="Calibri"/>
                <w:kern w:val="0"/>
                <w:sz w:val="24"/>
                <w:szCs w:val="24"/>
              </w:rPr>
            </w:pPr>
          </w:p>
        </w:tc>
        <w:tc>
          <w:tcPr>
            <w:tcW w:w="1220" w:type="dxa"/>
            <w:noWrap w:val="0"/>
            <w:vAlign w:val="center"/>
          </w:tcPr>
          <w:p w14:paraId="3685C2BB">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技术参数</w:t>
            </w:r>
          </w:p>
          <w:p w14:paraId="256C1397">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响应情况</w:t>
            </w:r>
          </w:p>
        </w:tc>
        <w:tc>
          <w:tcPr>
            <w:tcW w:w="1125" w:type="dxa"/>
            <w:noWrap w:val="0"/>
            <w:vAlign w:val="center"/>
          </w:tcPr>
          <w:p w14:paraId="407082BC">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zh-CN"/>
              </w:rPr>
              <w:t>分</w:t>
            </w:r>
          </w:p>
        </w:tc>
        <w:tc>
          <w:tcPr>
            <w:tcW w:w="5718" w:type="dxa"/>
            <w:noWrap w:val="0"/>
            <w:vAlign w:val="center"/>
          </w:tcPr>
          <w:p w14:paraId="2778EE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全部满足采购清单技术参数要求的得10分，有1项技术参数负偏离的扣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分，扣完为止。</w:t>
            </w:r>
          </w:p>
          <w:p w14:paraId="5CDC4EA0">
            <w:pPr>
              <w:spacing w:line="400" w:lineRule="exact"/>
              <w:jc w:val="left"/>
              <w:rPr>
                <w:rFonts w:hint="eastAsia" w:ascii="宋体" w:hAnsi="宋体" w:eastAsia="宋体" w:cs="宋体"/>
                <w:b/>
                <w:color w:val="000000"/>
                <w:kern w:val="0"/>
                <w:sz w:val="24"/>
                <w:szCs w:val="24"/>
              </w:rPr>
            </w:pPr>
            <w:r>
              <w:rPr>
                <w:rFonts w:hint="eastAsia" w:ascii="宋体" w:hAnsi="宋体" w:eastAsia="宋体" w:cs="Times New Roman"/>
                <w:bCs/>
                <w:sz w:val="24"/>
              </w:rPr>
              <w:t>注：扣分分值大于得分分值的，本项计0分。</w:t>
            </w:r>
          </w:p>
        </w:tc>
      </w:tr>
      <w:tr w14:paraId="311D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187" w:type="dxa"/>
            <w:vMerge w:val="continue"/>
            <w:noWrap w:val="0"/>
            <w:vAlign w:val="top"/>
          </w:tcPr>
          <w:p w14:paraId="47AAC483">
            <w:pPr>
              <w:widowControl/>
              <w:adjustRightInd w:val="0"/>
              <w:snapToGrid w:val="0"/>
              <w:spacing w:after="200" w:line="276" w:lineRule="auto"/>
              <w:jc w:val="left"/>
              <w:rPr>
                <w:rFonts w:ascii="宋体" w:hAnsi="宋体" w:eastAsia="宋体" w:cs="Calibri"/>
                <w:bCs/>
                <w:kern w:val="0"/>
                <w:sz w:val="24"/>
                <w:szCs w:val="24"/>
              </w:rPr>
            </w:pPr>
          </w:p>
        </w:tc>
        <w:tc>
          <w:tcPr>
            <w:tcW w:w="1220" w:type="dxa"/>
            <w:noWrap w:val="0"/>
            <w:vAlign w:val="center"/>
          </w:tcPr>
          <w:p w14:paraId="67CA1296">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rPr>
              <w:t>实施方案</w:t>
            </w:r>
          </w:p>
        </w:tc>
        <w:tc>
          <w:tcPr>
            <w:tcW w:w="1125" w:type="dxa"/>
            <w:noWrap w:val="0"/>
            <w:vAlign w:val="center"/>
          </w:tcPr>
          <w:p w14:paraId="14088109">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rPr>
              <w:t>分</w:t>
            </w:r>
          </w:p>
        </w:tc>
        <w:tc>
          <w:tcPr>
            <w:tcW w:w="5718" w:type="dxa"/>
            <w:noWrap w:val="0"/>
            <w:vAlign w:val="center"/>
          </w:tcPr>
          <w:p w14:paraId="006D8BD1">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实施方案</w:t>
            </w:r>
            <w:r>
              <w:rPr>
                <w:rFonts w:hint="eastAsia" w:ascii="宋体" w:hAnsi="宋体" w:eastAsia="宋体" w:cs="宋体"/>
                <w:color w:val="auto"/>
                <w:sz w:val="24"/>
                <w:szCs w:val="24"/>
                <w:lang w:val="en-US" w:eastAsia="zh-CN"/>
              </w:rPr>
              <w:t>很强的科学性，合理性</w:t>
            </w:r>
            <w:r>
              <w:rPr>
                <w:rFonts w:hint="eastAsia" w:ascii="宋体" w:hAnsi="宋体" w:cs="宋体"/>
                <w:color w:val="auto"/>
                <w:sz w:val="24"/>
                <w:szCs w:val="24"/>
                <w:lang w:val="en-US" w:eastAsia="zh-CN"/>
              </w:rPr>
              <w:t>，</w:t>
            </w:r>
            <w:r>
              <w:rPr>
                <w:rFonts w:hint="eastAsia" w:ascii="宋体" w:hAnsi="宋体" w:eastAsia="宋体" w:cs="宋体"/>
                <w:color w:val="auto"/>
                <w:sz w:val="24"/>
                <w:szCs w:val="24"/>
                <w:highlight w:val="none"/>
                <w:lang w:val="en-US"/>
              </w:rPr>
              <w:t>针对性强、详实、可操作性强，能完全满足各项内容需求的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rPr>
              <w:t xml:space="preserve">分； </w:t>
            </w:r>
          </w:p>
          <w:p w14:paraId="480C27FC">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实施方案</w:t>
            </w:r>
            <w:r>
              <w:rPr>
                <w:rFonts w:hint="eastAsia" w:ascii="宋体" w:hAnsi="宋体" w:cs="宋体"/>
                <w:color w:val="auto"/>
                <w:sz w:val="24"/>
                <w:szCs w:val="24"/>
                <w:highlight w:val="none"/>
                <w:lang w:val="en-US" w:eastAsia="zh-CN"/>
              </w:rPr>
              <w:t>较完整，较</w:t>
            </w:r>
            <w:r>
              <w:rPr>
                <w:rFonts w:hint="eastAsia" w:ascii="宋体" w:hAnsi="宋体" w:eastAsia="宋体" w:cs="宋体"/>
                <w:color w:val="auto"/>
                <w:sz w:val="24"/>
                <w:szCs w:val="24"/>
                <w:lang w:val="en-US" w:eastAsia="zh-CN"/>
              </w:rPr>
              <w:t>科学性</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合理性</w:t>
            </w:r>
            <w:r>
              <w:rPr>
                <w:rFonts w:hint="eastAsia" w:ascii="宋体" w:hAnsi="宋体" w:cs="宋体"/>
                <w:color w:val="auto"/>
                <w:sz w:val="24"/>
                <w:szCs w:val="24"/>
                <w:lang w:val="en-US" w:eastAsia="zh-CN"/>
              </w:rPr>
              <w:t>，</w:t>
            </w:r>
            <w:r>
              <w:rPr>
                <w:rFonts w:hint="eastAsia" w:ascii="宋体" w:hAnsi="宋体" w:cs="宋体"/>
                <w:color w:val="auto"/>
                <w:sz w:val="24"/>
                <w:szCs w:val="24"/>
                <w:highlight w:val="none"/>
                <w:lang w:val="en-US" w:eastAsia="zh-CN"/>
              </w:rPr>
              <w:t>基本能</w:t>
            </w:r>
            <w:r>
              <w:rPr>
                <w:rFonts w:hint="eastAsia" w:ascii="宋体" w:hAnsi="宋体" w:eastAsia="宋体" w:cs="宋体"/>
                <w:color w:val="auto"/>
                <w:sz w:val="24"/>
                <w:szCs w:val="24"/>
                <w:highlight w:val="none"/>
                <w:lang w:val="en-US"/>
              </w:rPr>
              <w:t>满足各项内容需求的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分；</w:t>
            </w:r>
          </w:p>
          <w:p w14:paraId="6B77F2A9">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实施方案</w:t>
            </w:r>
            <w:r>
              <w:rPr>
                <w:rFonts w:hint="eastAsia" w:ascii="宋体" w:hAnsi="宋体" w:cs="宋体"/>
                <w:color w:val="auto"/>
                <w:sz w:val="24"/>
                <w:szCs w:val="24"/>
                <w:highlight w:val="none"/>
                <w:lang w:val="en-US" w:eastAsia="zh-CN"/>
              </w:rPr>
              <w:t>一般，部分能</w:t>
            </w:r>
            <w:r>
              <w:rPr>
                <w:rFonts w:hint="eastAsia" w:ascii="宋体" w:hAnsi="宋体" w:eastAsia="宋体" w:cs="宋体"/>
                <w:color w:val="auto"/>
                <w:sz w:val="24"/>
                <w:szCs w:val="24"/>
                <w:highlight w:val="none"/>
                <w:lang w:val="en-US"/>
              </w:rPr>
              <w:t>满足各项内容需求的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分；</w:t>
            </w:r>
          </w:p>
          <w:p w14:paraId="375C077C">
            <w:pPr>
              <w:spacing w:line="400" w:lineRule="exact"/>
              <w:jc w:val="left"/>
              <w:rPr>
                <w:rFonts w:hint="eastAsia" w:ascii="宋体" w:hAnsi="宋体" w:eastAsia="宋体" w:cs="宋体"/>
                <w:spacing w:val="-4"/>
                <w:kern w:val="0"/>
                <w:sz w:val="24"/>
                <w:szCs w:val="24"/>
              </w:rPr>
            </w:pPr>
            <w:r>
              <w:rPr>
                <w:rFonts w:hint="eastAsia" w:ascii="宋体" w:hAnsi="宋体" w:eastAsia="宋体" w:cs="宋体"/>
                <w:color w:val="auto"/>
                <w:sz w:val="24"/>
                <w:szCs w:val="24"/>
                <w:highlight w:val="none"/>
                <w:lang w:val="en-US"/>
              </w:rPr>
              <w:t>未提供不得分。</w:t>
            </w:r>
          </w:p>
        </w:tc>
      </w:tr>
      <w:tr w14:paraId="5017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9" w:hRule="atLeast"/>
        </w:trPr>
        <w:tc>
          <w:tcPr>
            <w:tcW w:w="1187" w:type="dxa"/>
            <w:vMerge w:val="continue"/>
            <w:noWrap w:val="0"/>
            <w:vAlign w:val="top"/>
          </w:tcPr>
          <w:p w14:paraId="67933A94">
            <w:pPr>
              <w:widowControl/>
              <w:adjustRightInd w:val="0"/>
              <w:snapToGrid w:val="0"/>
              <w:spacing w:after="200" w:line="276" w:lineRule="auto"/>
              <w:jc w:val="left"/>
              <w:rPr>
                <w:rFonts w:ascii="宋体" w:hAnsi="宋体" w:eastAsia="宋体" w:cs="Calibri"/>
                <w:bCs/>
                <w:kern w:val="0"/>
                <w:sz w:val="24"/>
                <w:szCs w:val="24"/>
              </w:rPr>
            </w:pPr>
          </w:p>
        </w:tc>
        <w:tc>
          <w:tcPr>
            <w:tcW w:w="1220" w:type="dxa"/>
            <w:noWrap w:val="0"/>
            <w:vAlign w:val="center"/>
          </w:tcPr>
          <w:p w14:paraId="59593A2B">
            <w:pPr>
              <w:spacing w:line="400" w:lineRule="exact"/>
              <w:jc w:val="center"/>
              <w:rPr>
                <w:rFonts w:ascii="宋体" w:hAnsi="宋体" w:eastAsia="宋体" w:cs="Calibri"/>
                <w:bCs/>
                <w:kern w:val="0"/>
                <w:sz w:val="24"/>
                <w:szCs w:val="24"/>
                <w:highlight w:val="none"/>
              </w:rPr>
            </w:pPr>
            <w:r>
              <w:rPr>
                <w:rFonts w:hint="eastAsia" w:ascii="宋体" w:hAnsi="宋体" w:eastAsia="宋体" w:cs="宋体"/>
                <w:color w:val="auto"/>
                <w:sz w:val="24"/>
                <w:szCs w:val="24"/>
                <w:highlight w:val="none"/>
                <w:lang w:val="en-US" w:eastAsia="zh-CN"/>
              </w:rPr>
              <w:t>质量保证措施</w:t>
            </w:r>
          </w:p>
        </w:tc>
        <w:tc>
          <w:tcPr>
            <w:tcW w:w="1125" w:type="dxa"/>
            <w:noWrap w:val="0"/>
            <w:vAlign w:val="center"/>
          </w:tcPr>
          <w:p w14:paraId="3E072FAA">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5718" w:type="dxa"/>
            <w:noWrap w:val="0"/>
            <w:vAlign w:val="center"/>
          </w:tcPr>
          <w:p w14:paraId="1EEF698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提供有详细的质量保障方案，且包括质量目标、质量保障具体措施、人员保障措施、物资和设备保障措施等内容</w:t>
            </w:r>
            <w:r>
              <w:rPr>
                <w:rFonts w:hint="eastAsia" w:ascii="宋体" w:hAnsi="宋体" w:cs="宋体"/>
                <w:color w:val="auto"/>
                <w:sz w:val="24"/>
                <w:szCs w:val="24"/>
                <w:lang w:val="en-US" w:eastAsia="zh-CN"/>
              </w:rPr>
              <w:t>：</w:t>
            </w:r>
          </w:p>
          <w:p w14:paraId="65CDFE3C">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1、方案全面、</w:t>
            </w:r>
            <w:r>
              <w:rPr>
                <w:rFonts w:hint="eastAsia" w:ascii="宋体" w:hAnsi="宋体" w:eastAsia="宋体" w:cs="宋体"/>
                <w:color w:val="auto"/>
                <w:sz w:val="24"/>
                <w:szCs w:val="24"/>
                <w:lang w:val="en-US" w:eastAsia="zh-CN"/>
              </w:rPr>
              <w:t>具有很强的科学性，合理性，可行性和针对性的</w:t>
            </w:r>
            <w:r>
              <w:rPr>
                <w:rFonts w:hint="eastAsia" w:ascii="宋体" w:hAnsi="宋体" w:eastAsia="宋体" w:cs="宋体"/>
                <w:color w:val="auto"/>
                <w:sz w:val="24"/>
                <w:szCs w:val="24"/>
                <w:highlight w:val="none"/>
                <w:lang w:val="en-US" w:eastAsia="zh-CN"/>
              </w:rPr>
              <w:t>，得10分；</w:t>
            </w:r>
          </w:p>
          <w:p w14:paraId="1B276F24">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2、方案较为全面、</w:t>
            </w:r>
            <w:r>
              <w:rPr>
                <w:rFonts w:hint="eastAsia" w:ascii="宋体" w:hAnsi="宋体" w:eastAsia="宋体" w:cs="宋体"/>
                <w:color w:val="auto"/>
                <w:sz w:val="24"/>
                <w:szCs w:val="24"/>
                <w:lang w:val="en-US" w:eastAsia="zh-CN"/>
              </w:rPr>
              <w:t>具有一定的科学性</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合理性和针对性</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分； </w:t>
            </w:r>
          </w:p>
          <w:p w14:paraId="2950F39B">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3、方案基本合理、措施有保障的，得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52C82045">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r w14:paraId="507F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1187" w:type="dxa"/>
            <w:vMerge w:val="continue"/>
            <w:noWrap w:val="0"/>
            <w:vAlign w:val="top"/>
          </w:tcPr>
          <w:p w14:paraId="0166F1AF">
            <w:pPr>
              <w:widowControl/>
              <w:adjustRightInd w:val="0"/>
              <w:snapToGrid w:val="0"/>
              <w:spacing w:after="200" w:line="276" w:lineRule="auto"/>
              <w:jc w:val="left"/>
              <w:rPr>
                <w:rFonts w:ascii="宋体" w:hAnsi="宋体" w:eastAsia="宋体" w:cs="Calibri"/>
                <w:bCs/>
                <w:kern w:val="0"/>
                <w:sz w:val="24"/>
                <w:szCs w:val="24"/>
              </w:rPr>
            </w:pPr>
          </w:p>
        </w:tc>
        <w:tc>
          <w:tcPr>
            <w:tcW w:w="1220" w:type="dxa"/>
            <w:noWrap w:val="0"/>
            <w:vAlign w:val="center"/>
          </w:tcPr>
          <w:p w14:paraId="6B662458">
            <w:pPr>
              <w:spacing w:line="400" w:lineRule="exact"/>
              <w:jc w:val="center"/>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安装、调试方案</w:t>
            </w:r>
          </w:p>
        </w:tc>
        <w:tc>
          <w:tcPr>
            <w:tcW w:w="1125" w:type="dxa"/>
            <w:noWrap w:val="0"/>
            <w:vAlign w:val="center"/>
          </w:tcPr>
          <w:p w14:paraId="35C4FF0D">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718" w:type="dxa"/>
            <w:noWrap w:val="0"/>
            <w:vAlign w:val="center"/>
          </w:tcPr>
          <w:p w14:paraId="5AACC2F1">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1、提供详细完善的安装调试方案，安装技术人员配备齐全，安装调试周期短，方案详细，满足项目要求得5分；</w:t>
            </w:r>
          </w:p>
          <w:p w14:paraId="2DD4E195">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2、有较完善的安装调试方案，安装调试周期方案较满足项目要求得3分；</w:t>
            </w:r>
          </w:p>
          <w:p w14:paraId="31BD4FA0">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3、有安装调试方案，基本满足项目要求得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4C00E5CC">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r w14:paraId="7AAF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87" w:type="dxa"/>
            <w:vMerge w:val="continue"/>
            <w:noWrap w:val="0"/>
            <w:vAlign w:val="top"/>
          </w:tcPr>
          <w:p w14:paraId="5B3C7106">
            <w:pPr>
              <w:widowControl/>
              <w:adjustRightInd w:val="0"/>
              <w:snapToGrid w:val="0"/>
              <w:spacing w:after="200" w:line="276" w:lineRule="auto"/>
              <w:jc w:val="left"/>
              <w:rPr>
                <w:rFonts w:ascii="宋体" w:hAnsi="宋体" w:eastAsia="宋体" w:cs="Calibri"/>
                <w:bCs/>
                <w:kern w:val="0"/>
                <w:sz w:val="24"/>
                <w:szCs w:val="24"/>
              </w:rPr>
            </w:pPr>
          </w:p>
        </w:tc>
        <w:tc>
          <w:tcPr>
            <w:tcW w:w="1220" w:type="dxa"/>
            <w:noWrap w:val="0"/>
            <w:vAlign w:val="center"/>
          </w:tcPr>
          <w:p w14:paraId="3ABBD498">
            <w:pPr>
              <w:keepNext w:val="0"/>
              <w:keepLines w:val="0"/>
              <w:widowControl/>
              <w:suppressLineNumbers w:val="0"/>
              <w:jc w:val="left"/>
              <w:rPr>
                <w:rFonts w:hint="eastAsia" w:ascii="宋体" w:hAnsi="宋体" w:cs="宋体"/>
                <w:color w:val="auto"/>
                <w:kern w:val="0"/>
                <w:sz w:val="24"/>
              </w:rPr>
            </w:pPr>
            <w:r>
              <w:rPr>
                <w:rFonts w:hint="eastAsia" w:ascii="宋体" w:hAnsi="宋体" w:eastAsia="宋体" w:cs="宋体"/>
                <w:color w:val="000000"/>
                <w:kern w:val="0"/>
                <w:sz w:val="24"/>
                <w:szCs w:val="24"/>
                <w:lang w:val="en-US" w:eastAsia="zh-CN" w:bidi="ar"/>
              </w:rPr>
              <w:t>培训方案</w:t>
            </w:r>
          </w:p>
        </w:tc>
        <w:tc>
          <w:tcPr>
            <w:tcW w:w="1125" w:type="dxa"/>
            <w:noWrap w:val="0"/>
            <w:vAlign w:val="center"/>
          </w:tcPr>
          <w:p w14:paraId="31B26EB6">
            <w:pPr>
              <w:pageBreakBefore w:val="0"/>
              <w:kinsoku/>
              <w:overflowPunct/>
              <w:topLinePunct w:val="0"/>
              <w:bidi w:val="0"/>
              <w:spacing w:line="360" w:lineRule="auto"/>
              <w:jc w:val="center"/>
              <w:rPr>
                <w:rFonts w:hint="eastAsia" w:ascii="宋体" w:hAnsi="宋体" w:cs="宋体"/>
                <w:color w:val="auto"/>
                <w:sz w:val="24"/>
                <w:lang w:val="en-US" w:eastAsia="zh-CN"/>
              </w:rPr>
            </w:pPr>
            <w:r>
              <w:rPr>
                <w:rFonts w:hint="eastAsia" w:ascii="宋体" w:hAnsi="宋体" w:eastAsia="宋体" w:cs="宋体"/>
                <w:color w:val="auto"/>
                <w:sz w:val="24"/>
                <w:szCs w:val="24"/>
                <w:highlight w:val="none"/>
                <w:lang w:val="en-US" w:eastAsia="zh-CN"/>
              </w:rPr>
              <w:t>5分</w:t>
            </w:r>
          </w:p>
        </w:tc>
        <w:tc>
          <w:tcPr>
            <w:tcW w:w="5718" w:type="dxa"/>
            <w:noWrap w:val="0"/>
            <w:vAlign w:val="center"/>
          </w:tcPr>
          <w:p w14:paraId="3812F31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lang w:val="en-US" w:eastAsia="zh-CN"/>
              </w:rPr>
              <w:t>方案内容详实具体，培训时长充分且高效、人数充足，满足培训效果且满足项目实施的，得</w:t>
            </w: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分</w:t>
            </w:r>
            <w:r>
              <w:rPr>
                <w:rFonts w:hint="eastAsia" w:ascii="宋体" w:hAnsi="宋体" w:eastAsia="宋体" w:cs="宋体"/>
                <w:color w:val="auto"/>
                <w:sz w:val="24"/>
                <w:szCs w:val="24"/>
                <w:lang w:val="en-US" w:eastAsia="zh-CN"/>
              </w:rPr>
              <w:t>；</w:t>
            </w:r>
          </w:p>
          <w:p w14:paraId="5DD3A66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2、方案内容基本全面，仅有细节内容缺失，但符合本项目需求的</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分</w:t>
            </w:r>
            <w:r>
              <w:rPr>
                <w:rFonts w:hint="eastAsia" w:ascii="宋体" w:hAnsi="宋体" w:eastAsia="宋体" w:cs="宋体"/>
                <w:color w:val="auto"/>
                <w:sz w:val="24"/>
                <w:szCs w:val="24"/>
                <w:lang w:val="en-US" w:eastAsia="zh-CN"/>
              </w:rPr>
              <w:t>；</w:t>
            </w:r>
          </w:p>
          <w:p w14:paraId="19A975A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3、有但不能保证培训效果的，得1分</w:t>
            </w:r>
          </w:p>
          <w:p w14:paraId="74FECF71">
            <w:pPr>
              <w:spacing w:line="400" w:lineRule="exact"/>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r w14:paraId="0334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1187" w:type="dxa"/>
            <w:vMerge w:val="continue"/>
            <w:noWrap w:val="0"/>
            <w:vAlign w:val="top"/>
          </w:tcPr>
          <w:p w14:paraId="439F09A7">
            <w:pPr>
              <w:widowControl/>
              <w:adjustRightInd w:val="0"/>
              <w:snapToGrid w:val="0"/>
              <w:spacing w:after="200" w:line="276" w:lineRule="auto"/>
              <w:jc w:val="left"/>
              <w:rPr>
                <w:rFonts w:ascii="宋体" w:hAnsi="宋体" w:eastAsia="宋体" w:cs="Calibri"/>
                <w:bCs/>
                <w:kern w:val="0"/>
                <w:sz w:val="24"/>
                <w:szCs w:val="24"/>
              </w:rPr>
            </w:pPr>
          </w:p>
        </w:tc>
        <w:tc>
          <w:tcPr>
            <w:tcW w:w="1220" w:type="dxa"/>
            <w:noWrap w:val="0"/>
            <w:vAlign w:val="center"/>
          </w:tcPr>
          <w:p w14:paraId="5DF2E040">
            <w:pPr>
              <w:pageBreakBefore w:val="0"/>
              <w:widowControl/>
              <w:kinsoku/>
              <w:overflowPunct/>
              <w:topLinePunct w:val="0"/>
              <w:bidi w:val="0"/>
              <w:spacing w:line="360" w:lineRule="auto"/>
              <w:jc w:val="center"/>
              <w:textAlignment w:val="center"/>
              <w:rPr>
                <w:rFonts w:hint="eastAsia" w:ascii="宋体" w:hAnsi="宋体" w:eastAsia="宋体" w:cs="Calibri"/>
                <w:bCs/>
                <w:kern w:val="0"/>
                <w:sz w:val="24"/>
                <w:szCs w:val="24"/>
                <w:highlight w:val="none"/>
                <w:lang w:val="en-US" w:eastAsia="zh-CN"/>
              </w:rPr>
            </w:pPr>
            <w:r>
              <w:rPr>
                <w:rFonts w:hint="eastAsia" w:ascii="宋体" w:hAnsi="宋体" w:cs="宋体"/>
                <w:color w:val="auto"/>
                <w:kern w:val="0"/>
                <w:sz w:val="24"/>
                <w:highlight w:val="none"/>
              </w:rPr>
              <w:t>售后服务</w:t>
            </w:r>
            <w:r>
              <w:rPr>
                <w:rFonts w:hint="eastAsia" w:ascii="宋体" w:hAnsi="宋体" w:cs="宋体"/>
                <w:color w:val="auto"/>
                <w:kern w:val="0"/>
                <w:sz w:val="24"/>
                <w:highlight w:val="none"/>
                <w:lang w:val="en-US" w:eastAsia="zh-CN"/>
              </w:rPr>
              <w:t>方案</w:t>
            </w:r>
          </w:p>
        </w:tc>
        <w:tc>
          <w:tcPr>
            <w:tcW w:w="1125" w:type="dxa"/>
            <w:noWrap w:val="0"/>
            <w:vAlign w:val="center"/>
          </w:tcPr>
          <w:p w14:paraId="4B265990">
            <w:pPr>
              <w:pageBreakBefore w:val="0"/>
              <w:kinsoku/>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lang w:val="en-US" w:eastAsia="zh-CN"/>
              </w:rPr>
              <w:t>5</w:t>
            </w:r>
            <w:r>
              <w:rPr>
                <w:rFonts w:hint="eastAsia" w:ascii="宋体" w:hAnsi="宋体" w:cs="宋体"/>
                <w:color w:val="auto"/>
                <w:sz w:val="24"/>
              </w:rPr>
              <w:t>分</w:t>
            </w:r>
          </w:p>
        </w:tc>
        <w:tc>
          <w:tcPr>
            <w:tcW w:w="5718" w:type="dxa"/>
            <w:noWrap w:val="0"/>
            <w:vAlign w:val="center"/>
          </w:tcPr>
          <w:p w14:paraId="1DDEFCE3">
            <w:pPr>
              <w:spacing w:line="400" w:lineRule="exact"/>
              <w:jc w:val="left"/>
              <w:rPr>
                <w:rFonts w:hint="eastAsia" w:ascii="宋体" w:hAnsi="宋体" w:eastAsia="宋体" w:cs="宋体"/>
                <w:color w:val="auto"/>
                <w:sz w:val="24"/>
                <w:szCs w:val="24"/>
                <w:highlight w:val="none"/>
                <w:lang w:val="en-US" w:eastAsia="zh-CN"/>
              </w:rPr>
            </w:pPr>
            <w:r>
              <w:rPr>
                <w:rFonts w:hint="eastAsia"/>
                <w:color w:val="auto"/>
                <w:sz w:val="24"/>
              </w:rPr>
              <w:t>售</w:t>
            </w:r>
            <w:r>
              <w:rPr>
                <w:rFonts w:hint="eastAsia" w:ascii="宋体" w:hAnsi="宋体" w:eastAsia="宋体" w:cs="宋体"/>
                <w:color w:val="auto"/>
                <w:sz w:val="24"/>
                <w:szCs w:val="24"/>
                <w:highlight w:val="none"/>
                <w:lang w:val="en-US"/>
              </w:rPr>
              <w:t>后服务</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rPr>
              <w:t>包括服务内容、售后服务体系等</w:t>
            </w:r>
            <w:r>
              <w:rPr>
                <w:rFonts w:hint="eastAsia" w:ascii="宋体" w:hAnsi="宋体" w:eastAsia="宋体" w:cs="宋体"/>
                <w:color w:val="auto"/>
                <w:sz w:val="24"/>
                <w:szCs w:val="24"/>
                <w:highlight w:val="none"/>
                <w:lang w:val="en-US" w:eastAsia="zh-CN"/>
              </w:rPr>
              <w:t>）</w:t>
            </w:r>
          </w:p>
          <w:p w14:paraId="24B8E3DD">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1、方案完整</w:t>
            </w:r>
            <w:r>
              <w:rPr>
                <w:rFonts w:hint="eastAsia" w:ascii="宋体" w:hAnsi="宋体" w:eastAsia="宋体" w:cs="宋体"/>
                <w:color w:val="auto"/>
                <w:sz w:val="24"/>
                <w:szCs w:val="24"/>
                <w:highlight w:val="none"/>
                <w:lang w:val="en-US"/>
              </w:rPr>
              <w:t xml:space="preserve">全面、详尽、符合项目特点，完全满足项目要求的，得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053F05D8">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2、方案</w:t>
            </w:r>
            <w:r>
              <w:rPr>
                <w:rFonts w:hint="eastAsia" w:ascii="宋体" w:hAnsi="宋体" w:eastAsia="宋体" w:cs="宋体"/>
                <w:color w:val="auto"/>
                <w:sz w:val="24"/>
                <w:szCs w:val="24"/>
                <w:highlight w:val="none"/>
                <w:lang w:val="en-US"/>
              </w:rPr>
              <w:t>内容基本全面，仅有细节内容缺失，但符合本项目需求的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p>
          <w:p w14:paraId="0963C3F9">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3、方案</w:t>
            </w:r>
            <w:r>
              <w:rPr>
                <w:rFonts w:hint="eastAsia" w:ascii="宋体" w:hAnsi="宋体" w:eastAsia="宋体" w:cs="宋体"/>
                <w:color w:val="auto"/>
                <w:sz w:val="24"/>
                <w:szCs w:val="24"/>
                <w:highlight w:val="none"/>
                <w:lang w:val="en-US"/>
              </w:rPr>
              <w:t>内容</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lang w:val="en-US"/>
              </w:rPr>
              <w:t>，有细节内容缺失</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p>
          <w:p w14:paraId="1ADF6C24">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r w14:paraId="4E30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187" w:type="dxa"/>
            <w:vMerge w:val="restart"/>
            <w:noWrap w:val="0"/>
            <w:vAlign w:val="center"/>
          </w:tcPr>
          <w:p w14:paraId="3EEB01F4">
            <w:pPr>
              <w:widowControl/>
              <w:spacing w:line="480" w:lineRule="auto"/>
              <w:jc w:val="center"/>
              <w:rPr>
                <w:rFonts w:ascii="宋体" w:hAnsi="宋体" w:eastAsia="宋体" w:cs="宋体"/>
                <w:kern w:val="1"/>
                <w:sz w:val="24"/>
                <w:szCs w:val="24"/>
                <w:lang w:bidi="en-US"/>
              </w:rPr>
            </w:pPr>
          </w:p>
          <w:p w14:paraId="64EDCCE1">
            <w:pPr>
              <w:widowControl/>
              <w:spacing w:line="480" w:lineRule="auto"/>
              <w:jc w:val="center"/>
              <w:rPr>
                <w:rFonts w:ascii="宋体" w:hAnsi="宋体" w:eastAsia="宋体" w:cs="宋体"/>
                <w:kern w:val="1"/>
                <w:sz w:val="24"/>
                <w:szCs w:val="24"/>
                <w:lang w:bidi="en-US"/>
              </w:rPr>
            </w:pPr>
          </w:p>
          <w:p w14:paraId="265BB3F5">
            <w:pPr>
              <w:widowControl/>
              <w:spacing w:line="480" w:lineRule="auto"/>
              <w:jc w:val="center"/>
              <w:rPr>
                <w:rFonts w:ascii="宋体" w:hAnsi="宋体" w:eastAsia="宋体" w:cs="宋体"/>
                <w:kern w:val="1"/>
                <w:sz w:val="24"/>
                <w:szCs w:val="24"/>
                <w:lang w:eastAsia="en-US" w:bidi="en-US"/>
              </w:rPr>
            </w:pPr>
            <w:r>
              <w:rPr>
                <w:rFonts w:hint="eastAsia" w:ascii="宋体" w:hAnsi="宋体" w:eastAsia="宋体" w:cs="宋体"/>
                <w:kern w:val="1"/>
                <w:sz w:val="24"/>
                <w:szCs w:val="24"/>
                <w:lang w:bidi="en-US"/>
              </w:rPr>
              <w:t>商务</w:t>
            </w:r>
            <w:r>
              <w:rPr>
                <w:rFonts w:hint="eastAsia" w:ascii="宋体" w:hAnsi="宋体" w:eastAsia="宋体" w:cs="宋体"/>
                <w:kern w:val="1"/>
                <w:sz w:val="24"/>
                <w:szCs w:val="24"/>
                <w:lang w:eastAsia="en-US" w:bidi="en-US"/>
              </w:rPr>
              <w:t>标</w:t>
            </w:r>
          </w:p>
          <w:p w14:paraId="413CDBF0">
            <w:pPr>
              <w:widowControl/>
              <w:adjustRightInd w:val="0"/>
              <w:snapToGrid w:val="0"/>
              <w:spacing w:after="200" w:line="480" w:lineRule="auto"/>
              <w:jc w:val="center"/>
              <w:rPr>
                <w:rFonts w:ascii="宋体" w:hAnsi="宋体" w:eastAsia="宋体" w:cs="Calibri"/>
                <w:bCs/>
                <w:kern w:val="0"/>
                <w:sz w:val="24"/>
                <w:szCs w:val="24"/>
              </w:rPr>
            </w:pPr>
            <w:r>
              <w:rPr>
                <w:rFonts w:hint="eastAsia" w:ascii="宋体" w:hAnsi="宋体" w:eastAsia="宋体" w:cs="宋体"/>
                <w:kern w:val="1"/>
                <w:sz w:val="24"/>
                <w:szCs w:val="24"/>
                <w:lang w:eastAsia="en-US" w:bidi="en-US"/>
              </w:rPr>
              <w:t>（</w:t>
            </w:r>
            <w:r>
              <w:rPr>
                <w:rFonts w:hint="eastAsia" w:ascii="宋体" w:hAnsi="宋体" w:cs="宋体"/>
                <w:kern w:val="1"/>
                <w:sz w:val="24"/>
                <w:szCs w:val="24"/>
                <w:lang w:val="en-US" w:eastAsia="zh-CN" w:bidi="en-US"/>
              </w:rPr>
              <w:t>25</w:t>
            </w:r>
            <w:r>
              <w:rPr>
                <w:rFonts w:hint="eastAsia" w:ascii="宋体" w:hAnsi="宋体" w:eastAsia="宋体" w:cs="宋体"/>
                <w:kern w:val="1"/>
                <w:sz w:val="24"/>
                <w:szCs w:val="24"/>
                <w:lang w:eastAsia="en-US" w:bidi="en-US"/>
              </w:rPr>
              <w:t>分）</w:t>
            </w:r>
          </w:p>
        </w:tc>
        <w:tc>
          <w:tcPr>
            <w:tcW w:w="1220" w:type="dxa"/>
            <w:noWrap w:val="0"/>
            <w:vAlign w:val="center"/>
          </w:tcPr>
          <w:p w14:paraId="04F96CEE">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tc>
        <w:tc>
          <w:tcPr>
            <w:tcW w:w="1125" w:type="dxa"/>
            <w:noWrap w:val="0"/>
            <w:vAlign w:val="center"/>
          </w:tcPr>
          <w:p w14:paraId="5ADED442">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5718" w:type="dxa"/>
            <w:noWrap w:val="0"/>
            <w:vAlign w:val="center"/>
          </w:tcPr>
          <w:p w14:paraId="314E9FF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bidi="ar"/>
              </w:rPr>
              <w:t>、202</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bidi="ar"/>
              </w:rPr>
              <w:t xml:space="preserve"> 年1月1日以来（以签订合同时间为准），企业承担过类似项目业绩，每有一个得</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bidi="ar"/>
              </w:rPr>
              <w:t>最多得</w:t>
            </w: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bidi="ar"/>
              </w:rPr>
              <w:t>分。</w:t>
            </w:r>
          </w:p>
          <w:p w14:paraId="0BB82A63">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2、业绩证明需提供中标</w:t>
            </w:r>
            <w:r>
              <w:rPr>
                <w:rFonts w:hint="eastAsia" w:ascii="宋体" w:hAnsi="宋体" w:cs="宋体"/>
                <w:color w:val="auto"/>
                <w:kern w:val="0"/>
                <w:sz w:val="24"/>
                <w:szCs w:val="24"/>
                <w:highlight w:val="none"/>
                <w:lang w:val="en-US" w:eastAsia="zh-CN" w:bidi="ar"/>
              </w:rPr>
              <w:t>（成交）</w:t>
            </w:r>
            <w:r>
              <w:rPr>
                <w:rFonts w:hint="eastAsia" w:ascii="宋体" w:hAnsi="宋体" w:eastAsia="宋体" w:cs="宋体"/>
                <w:color w:val="auto"/>
                <w:kern w:val="0"/>
                <w:sz w:val="24"/>
                <w:szCs w:val="24"/>
                <w:highlight w:val="none"/>
                <w:lang w:val="en-US" w:eastAsia="zh-CN" w:bidi="ar"/>
              </w:rPr>
              <w:t>通知书原件扫描件和完整的合同扫描件，未提供不得分。</w:t>
            </w:r>
          </w:p>
        </w:tc>
      </w:tr>
      <w:tr w14:paraId="723F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187" w:type="dxa"/>
            <w:vMerge w:val="continue"/>
            <w:noWrap w:val="0"/>
            <w:vAlign w:val="top"/>
          </w:tcPr>
          <w:p w14:paraId="7274E6EF">
            <w:pPr>
              <w:widowControl/>
              <w:adjustRightInd w:val="0"/>
              <w:snapToGrid w:val="0"/>
              <w:spacing w:after="200" w:line="480" w:lineRule="auto"/>
              <w:jc w:val="left"/>
              <w:rPr>
                <w:rFonts w:ascii="宋体" w:hAnsi="宋体" w:eastAsia="宋体" w:cs="Calibri"/>
                <w:bCs/>
                <w:kern w:val="0"/>
                <w:sz w:val="24"/>
                <w:szCs w:val="24"/>
              </w:rPr>
            </w:pPr>
          </w:p>
        </w:tc>
        <w:tc>
          <w:tcPr>
            <w:tcW w:w="1220" w:type="dxa"/>
            <w:noWrap w:val="0"/>
            <w:vAlign w:val="center"/>
          </w:tcPr>
          <w:p w14:paraId="3A0657C1">
            <w:pPr>
              <w:pageBreakBefore w:val="0"/>
              <w:widowControl/>
              <w:kinsoku/>
              <w:overflowPunct/>
              <w:topLinePunct w:val="0"/>
              <w:bidi w:val="0"/>
              <w:spacing w:line="360" w:lineRule="auto"/>
              <w:jc w:val="center"/>
              <w:textAlignment w:val="center"/>
              <w:rPr>
                <w:rFonts w:hint="eastAsia" w:ascii="宋体" w:hAnsi="宋体" w:eastAsia="宋体" w:cs="Times New Roman"/>
                <w:color w:val="FF0000"/>
                <w:kern w:val="2"/>
                <w:sz w:val="24"/>
                <w:szCs w:val="24"/>
                <w:lang w:val="en-US" w:eastAsia="zh-CN" w:bidi="ar-SA"/>
              </w:rPr>
            </w:pPr>
            <w:r>
              <w:rPr>
                <w:rFonts w:hint="eastAsia" w:ascii="宋体" w:hAnsi="宋体" w:cs="宋体"/>
                <w:color w:val="auto"/>
                <w:sz w:val="24"/>
              </w:rPr>
              <w:t>项目团队人员配置</w:t>
            </w:r>
          </w:p>
        </w:tc>
        <w:tc>
          <w:tcPr>
            <w:tcW w:w="1125" w:type="dxa"/>
            <w:noWrap w:val="0"/>
            <w:vAlign w:val="center"/>
          </w:tcPr>
          <w:p w14:paraId="04429946">
            <w:pPr>
              <w:pageBreakBefore w:val="0"/>
              <w:kinsoku/>
              <w:overflowPunct/>
              <w:topLinePunct w:val="0"/>
              <w:bidi w:val="0"/>
              <w:spacing w:line="360" w:lineRule="auto"/>
              <w:jc w:val="center"/>
              <w:rPr>
                <w:rFonts w:hint="eastAsia" w:ascii="宋体" w:hAnsi="宋体" w:cs="宋体"/>
                <w:color w:val="000000"/>
                <w:sz w:val="24"/>
                <w:szCs w:val="24"/>
                <w:shd w:val="clear" w:color="auto" w:fill="FFFFFF"/>
                <w:lang w:val="en-US" w:eastAsia="zh-CN" w:bidi="ar"/>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5718" w:type="dxa"/>
            <w:noWrap w:val="0"/>
            <w:vAlign w:val="center"/>
          </w:tcPr>
          <w:p w14:paraId="4FCE83A5">
            <w:pPr>
              <w:spacing w:line="400" w:lineRule="exact"/>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配备满足工作需要的专业人员，针对工作方案配备相应人员，提出配备方案及对应人员的工作范围和职责等。</w:t>
            </w:r>
          </w:p>
          <w:p w14:paraId="3FF63881">
            <w:pPr>
              <w:spacing w:line="400" w:lineRule="exact"/>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1、方案合理、突出、详细，得6分；</w:t>
            </w:r>
          </w:p>
          <w:p w14:paraId="01D6AEA4">
            <w:pPr>
              <w:spacing w:line="400" w:lineRule="exact"/>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2、方案较合理，得3分；</w:t>
            </w:r>
          </w:p>
          <w:p w14:paraId="7138D476">
            <w:pPr>
              <w:spacing w:line="400" w:lineRule="exact"/>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3、方案不详细，得1分；</w:t>
            </w:r>
          </w:p>
          <w:p w14:paraId="29CFEEBC">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未提供不得分。</w:t>
            </w:r>
          </w:p>
        </w:tc>
      </w:tr>
      <w:tr w14:paraId="3184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187" w:type="dxa"/>
            <w:vMerge w:val="continue"/>
            <w:noWrap w:val="0"/>
            <w:vAlign w:val="top"/>
          </w:tcPr>
          <w:p w14:paraId="30AB899F">
            <w:pPr>
              <w:widowControl/>
              <w:adjustRightInd w:val="0"/>
              <w:snapToGrid w:val="0"/>
              <w:spacing w:after="200" w:line="480" w:lineRule="auto"/>
              <w:jc w:val="left"/>
              <w:rPr>
                <w:rFonts w:ascii="宋体" w:hAnsi="宋体" w:eastAsia="宋体" w:cs="Calibri"/>
                <w:bCs/>
                <w:kern w:val="0"/>
                <w:sz w:val="24"/>
                <w:szCs w:val="24"/>
              </w:rPr>
            </w:pPr>
          </w:p>
        </w:tc>
        <w:tc>
          <w:tcPr>
            <w:tcW w:w="1220" w:type="dxa"/>
            <w:noWrap w:val="0"/>
            <w:vAlign w:val="center"/>
          </w:tcPr>
          <w:p w14:paraId="08E0EBBE">
            <w:pPr>
              <w:pageBreakBefore w:val="0"/>
              <w:widowControl w:val="0"/>
              <w:kinsoku/>
              <w:wordWrap w:val="0"/>
              <w:overflowPunct/>
              <w:topLinePunct w:val="0"/>
              <w:bidi w:val="0"/>
              <w:spacing w:line="360" w:lineRule="auto"/>
              <w:jc w:val="center"/>
              <w:rPr>
                <w:rFonts w:ascii="宋体" w:hAnsi="宋体" w:eastAsia="宋体" w:cs="宋体"/>
                <w:kern w:val="0"/>
                <w:sz w:val="24"/>
                <w:szCs w:val="24"/>
              </w:rPr>
            </w:pPr>
            <w:r>
              <w:rPr>
                <w:rFonts w:hint="eastAsia" w:ascii="宋体" w:hAnsi="宋体" w:eastAsia="宋体" w:cs="Times New Roman"/>
                <w:color w:val="auto"/>
                <w:kern w:val="2"/>
                <w:sz w:val="24"/>
                <w:szCs w:val="24"/>
                <w:lang w:val="en-US" w:eastAsia="zh-CN" w:bidi="ar-SA"/>
              </w:rPr>
              <w:t>履职尽责承诺</w:t>
            </w:r>
          </w:p>
        </w:tc>
        <w:tc>
          <w:tcPr>
            <w:tcW w:w="1125" w:type="dxa"/>
            <w:noWrap w:val="0"/>
            <w:vAlign w:val="center"/>
          </w:tcPr>
          <w:p w14:paraId="3026FA9C">
            <w:pPr>
              <w:spacing w:line="400" w:lineRule="exact"/>
              <w:jc w:val="center"/>
              <w:rPr>
                <w:rFonts w:ascii="宋体" w:hAnsi="宋体" w:eastAsia="宋体" w:cs="宋体"/>
                <w:kern w:val="0"/>
                <w:sz w:val="24"/>
                <w:szCs w:val="24"/>
              </w:rPr>
            </w:pPr>
            <w:r>
              <w:rPr>
                <w:rFonts w:hint="eastAsia" w:ascii="宋体" w:hAnsi="宋体" w:cs="宋体"/>
                <w:color w:val="000000"/>
                <w:sz w:val="24"/>
                <w:szCs w:val="24"/>
                <w:shd w:val="clear" w:color="auto" w:fill="FFFFFF"/>
                <w:lang w:val="en-US" w:eastAsia="zh-CN" w:bidi="ar"/>
              </w:rPr>
              <w:t>7</w:t>
            </w:r>
            <w:r>
              <w:rPr>
                <w:rFonts w:ascii="宋体" w:hAnsi="宋体" w:eastAsia="宋体" w:cs="宋体"/>
                <w:color w:val="000000"/>
                <w:sz w:val="24"/>
                <w:szCs w:val="24"/>
                <w:shd w:val="clear" w:color="auto" w:fill="FFFFFF"/>
                <w:lang w:bidi="ar"/>
              </w:rPr>
              <w:t>分</w:t>
            </w:r>
          </w:p>
        </w:tc>
        <w:tc>
          <w:tcPr>
            <w:tcW w:w="5718" w:type="dxa"/>
            <w:noWrap w:val="0"/>
            <w:vAlign w:val="center"/>
          </w:tcPr>
          <w:p w14:paraId="62A24F53">
            <w:pPr>
              <w:spacing w:line="440" w:lineRule="exact"/>
              <w:jc w:val="both"/>
              <w:rPr>
                <w:rFonts w:hint="eastAsia"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val="en-US" w:eastAsia="zh-CN" w:bidi="ar"/>
              </w:rPr>
              <w:t>1、</w:t>
            </w:r>
            <w:r>
              <w:rPr>
                <w:rFonts w:hint="eastAsia" w:ascii="宋体" w:hAnsi="宋体" w:eastAsia="宋体" w:cs="宋体"/>
                <w:color w:val="000000"/>
                <w:sz w:val="24"/>
                <w:szCs w:val="24"/>
                <w:shd w:val="clear" w:color="auto" w:fill="FFFFFF"/>
                <w:lang w:bidi="ar"/>
              </w:rPr>
              <w:t>具有全面、详实、可行、合法有效的书面保证技术措施落实到位的承诺和落实不到位的处理承诺，其中包括各关键岗位人员（项目负责人及相关技术人员）的在岗、更换等履职尽责承诺</w:t>
            </w:r>
            <w:r>
              <w:rPr>
                <w:rFonts w:hint="eastAsia" w:ascii="宋体" w:hAnsi="宋体" w:cs="宋体"/>
                <w:color w:val="000000"/>
                <w:sz w:val="24"/>
                <w:szCs w:val="24"/>
                <w:shd w:val="clear" w:color="auto" w:fill="FFFFFF"/>
                <w:lang w:eastAsia="zh-CN" w:bidi="ar"/>
              </w:rPr>
              <w:t>，</w:t>
            </w:r>
            <w:r>
              <w:rPr>
                <w:rFonts w:hint="eastAsia" w:ascii="宋体" w:hAnsi="宋体" w:eastAsia="宋体" w:cs="宋体"/>
                <w:color w:val="000000"/>
                <w:sz w:val="24"/>
                <w:szCs w:val="24"/>
                <w:shd w:val="clear" w:color="auto" w:fill="FFFFFF"/>
                <w:lang w:bidi="ar"/>
              </w:rPr>
              <w:t>得</w:t>
            </w:r>
            <w:r>
              <w:rPr>
                <w:rFonts w:hint="eastAsia" w:ascii="宋体" w:hAnsi="宋体" w:cs="宋体"/>
                <w:color w:val="000000"/>
                <w:sz w:val="24"/>
                <w:szCs w:val="24"/>
                <w:shd w:val="clear" w:color="auto" w:fill="FFFFFF"/>
                <w:lang w:val="en-US" w:eastAsia="zh-CN" w:bidi="ar"/>
              </w:rPr>
              <w:t>7</w:t>
            </w:r>
            <w:r>
              <w:rPr>
                <w:rFonts w:hint="eastAsia" w:ascii="宋体" w:hAnsi="宋体" w:eastAsia="宋体" w:cs="宋体"/>
                <w:color w:val="000000"/>
                <w:sz w:val="24"/>
                <w:szCs w:val="24"/>
                <w:shd w:val="clear" w:color="auto" w:fill="FFFFFF"/>
                <w:lang w:bidi="ar"/>
              </w:rPr>
              <w:t>分；</w:t>
            </w:r>
          </w:p>
          <w:p w14:paraId="3DE383E5">
            <w:pPr>
              <w:spacing w:line="440" w:lineRule="exact"/>
              <w:jc w:val="both"/>
              <w:rPr>
                <w:rFonts w:hint="eastAsia"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val="en-US" w:eastAsia="zh-CN" w:bidi="ar"/>
              </w:rPr>
              <w:t>2、</w:t>
            </w:r>
            <w:r>
              <w:rPr>
                <w:rFonts w:hint="eastAsia" w:ascii="宋体" w:hAnsi="宋体" w:eastAsia="宋体" w:cs="宋体"/>
                <w:color w:val="000000"/>
                <w:sz w:val="24"/>
                <w:szCs w:val="24"/>
                <w:shd w:val="clear" w:color="auto" w:fill="FFFFFF"/>
                <w:lang w:bidi="ar"/>
              </w:rPr>
              <w:t>具有合理、可行、合法有效的书面保证技术措施落实到位的承诺和落实不到位的处理承诺</w:t>
            </w:r>
            <w:r>
              <w:rPr>
                <w:rFonts w:hint="eastAsia" w:ascii="宋体" w:hAnsi="宋体" w:cs="宋体"/>
                <w:color w:val="000000"/>
                <w:sz w:val="24"/>
                <w:szCs w:val="24"/>
                <w:shd w:val="clear" w:color="auto" w:fill="FFFFFF"/>
                <w:lang w:eastAsia="zh-CN" w:bidi="ar"/>
              </w:rPr>
              <w:t>，</w:t>
            </w:r>
            <w:r>
              <w:rPr>
                <w:rFonts w:hint="eastAsia" w:ascii="宋体" w:hAnsi="宋体" w:eastAsia="宋体" w:cs="宋体"/>
                <w:color w:val="000000"/>
                <w:sz w:val="24"/>
                <w:szCs w:val="24"/>
                <w:shd w:val="clear" w:color="auto" w:fill="FFFFFF"/>
                <w:lang w:bidi="ar"/>
              </w:rPr>
              <w:t>得</w:t>
            </w:r>
            <w:r>
              <w:rPr>
                <w:rFonts w:hint="eastAsia" w:ascii="宋体" w:hAnsi="宋体" w:cs="宋体"/>
                <w:color w:val="000000"/>
                <w:sz w:val="24"/>
                <w:szCs w:val="24"/>
                <w:shd w:val="clear" w:color="auto" w:fill="FFFFFF"/>
                <w:lang w:val="en-US" w:eastAsia="zh-CN" w:bidi="ar"/>
              </w:rPr>
              <w:t>5</w:t>
            </w:r>
            <w:r>
              <w:rPr>
                <w:rFonts w:hint="eastAsia" w:ascii="宋体" w:hAnsi="宋体" w:eastAsia="宋体" w:cs="宋体"/>
                <w:color w:val="000000"/>
                <w:sz w:val="24"/>
                <w:szCs w:val="24"/>
                <w:shd w:val="clear" w:color="auto" w:fill="FFFFFF"/>
                <w:lang w:bidi="ar"/>
              </w:rPr>
              <w:t>分；</w:t>
            </w:r>
          </w:p>
          <w:p w14:paraId="01695C8B">
            <w:pPr>
              <w:spacing w:line="440" w:lineRule="exact"/>
              <w:jc w:val="both"/>
              <w:rPr>
                <w:rFonts w:hint="eastAsia"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val="en-US" w:eastAsia="zh-CN" w:bidi="ar"/>
              </w:rPr>
              <w:t>3、</w:t>
            </w:r>
            <w:r>
              <w:rPr>
                <w:rFonts w:hint="eastAsia" w:ascii="宋体" w:hAnsi="宋体" w:eastAsia="宋体" w:cs="宋体"/>
                <w:color w:val="000000"/>
                <w:sz w:val="24"/>
                <w:szCs w:val="24"/>
                <w:shd w:val="clear" w:color="auto" w:fill="FFFFFF"/>
                <w:lang w:bidi="ar"/>
              </w:rPr>
              <w:t>具有基本合理、可行的书面保证技术措施落实到位的承诺和落实不到位的处理承诺</w:t>
            </w:r>
            <w:r>
              <w:rPr>
                <w:rFonts w:hint="eastAsia" w:ascii="宋体" w:hAnsi="宋体" w:cs="宋体"/>
                <w:color w:val="000000"/>
                <w:sz w:val="24"/>
                <w:szCs w:val="24"/>
                <w:shd w:val="clear" w:color="auto" w:fill="FFFFFF"/>
                <w:lang w:eastAsia="zh-CN" w:bidi="ar"/>
              </w:rPr>
              <w:t>，</w:t>
            </w:r>
            <w:r>
              <w:rPr>
                <w:rFonts w:hint="eastAsia" w:ascii="宋体" w:hAnsi="宋体" w:eastAsia="宋体" w:cs="宋体"/>
                <w:color w:val="000000"/>
                <w:sz w:val="24"/>
                <w:szCs w:val="24"/>
                <w:shd w:val="clear" w:color="auto" w:fill="FFFFFF"/>
                <w:lang w:bidi="ar"/>
              </w:rPr>
              <w:t>得</w:t>
            </w:r>
            <w:r>
              <w:rPr>
                <w:rFonts w:hint="eastAsia" w:ascii="宋体" w:hAnsi="宋体" w:eastAsia="宋体" w:cs="宋体"/>
                <w:color w:val="000000"/>
                <w:sz w:val="24"/>
                <w:szCs w:val="24"/>
                <w:shd w:val="clear" w:color="auto" w:fill="FFFFFF"/>
                <w:lang w:val="en-US" w:eastAsia="zh-CN" w:bidi="ar"/>
              </w:rPr>
              <w:t>3</w:t>
            </w:r>
            <w:r>
              <w:rPr>
                <w:rFonts w:hint="eastAsia" w:ascii="宋体" w:hAnsi="宋体" w:eastAsia="宋体" w:cs="宋体"/>
                <w:color w:val="000000"/>
                <w:sz w:val="24"/>
                <w:szCs w:val="24"/>
                <w:shd w:val="clear" w:color="auto" w:fill="FFFFFF"/>
                <w:lang w:bidi="ar"/>
              </w:rPr>
              <w:t>分；</w:t>
            </w:r>
          </w:p>
          <w:p w14:paraId="172A365E">
            <w:pPr>
              <w:spacing w:line="400" w:lineRule="exact"/>
              <w:rPr>
                <w:rFonts w:hint="eastAsia" w:ascii="宋体" w:hAnsi="宋体" w:eastAsia="宋体" w:cs="宋体"/>
                <w:color w:val="000000"/>
                <w:sz w:val="24"/>
                <w:szCs w:val="24"/>
                <w:shd w:val="clear" w:color="auto" w:fill="FFFFFF"/>
                <w:lang w:bidi="ar"/>
              </w:rPr>
            </w:pPr>
            <w:r>
              <w:rPr>
                <w:rFonts w:hint="eastAsia" w:ascii="宋体" w:hAnsi="宋体" w:eastAsia="宋体" w:cs="宋体"/>
                <w:color w:val="auto"/>
                <w:sz w:val="24"/>
                <w:szCs w:val="24"/>
                <w:highlight w:val="none"/>
                <w:lang w:val="en-US" w:eastAsia="zh-CN"/>
              </w:rPr>
              <w:t>未提供不得分。</w:t>
            </w:r>
          </w:p>
        </w:tc>
      </w:tr>
      <w:tr w14:paraId="5AB7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187" w:type="dxa"/>
            <w:vMerge w:val="continue"/>
            <w:noWrap w:val="0"/>
            <w:vAlign w:val="top"/>
          </w:tcPr>
          <w:p w14:paraId="2D9E07D7">
            <w:pPr>
              <w:widowControl/>
              <w:adjustRightInd w:val="0"/>
              <w:snapToGrid w:val="0"/>
              <w:spacing w:after="200" w:line="480" w:lineRule="auto"/>
              <w:jc w:val="left"/>
              <w:rPr>
                <w:rFonts w:ascii="宋体" w:hAnsi="宋体" w:eastAsia="宋体" w:cs="Calibri"/>
                <w:bCs/>
                <w:kern w:val="0"/>
                <w:sz w:val="24"/>
                <w:szCs w:val="24"/>
              </w:rPr>
            </w:pPr>
          </w:p>
        </w:tc>
        <w:tc>
          <w:tcPr>
            <w:tcW w:w="1220" w:type="dxa"/>
            <w:noWrap w:val="0"/>
            <w:vAlign w:val="center"/>
          </w:tcPr>
          <w:p w14:paraId="61E37793">
            <w:pPr>
              <w:pageBreakBefore w:val="0"/>
              <w:widowControl/>
              <w:kinsoku/>
              <w:overflowPunct/>
              <w:topLinePunct w:val="0"/>
              <w:bidi w:val="0"/>
              <w:spacing w:line="36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
              </w:rPr>
              <w:t>故障应急处理方案</w:t>
            </w:r>
          </w:p>
        </w:tc>
        <w:tc>
          <w:tcPr>
            <w:tcW w:w="1125" w:type="dxa"/>
            <w:noWrap w:val="0"/>
            <w:vAlign w:val="center"/>
          </w:tcPr>
          <w:p w14:paraId="19CA247D">
            <w:pPr>
              <w:pageBreakBefore w:val="0"/>
              <w:widowControl/>
              <w:kinsoku/>
              <w:overflowPunct/>
              <w:topLinePunct w:val="0"/>
              <w:bidi w:val="0"/>
              <w:spacing w:line="36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
              </w:rPr>
              <w:t>6分</w:t>
            </w:r>
          </w:p>
        </w:tc>
        <w:tc>
          <w:tcPr>
            <w:tcW w:w="5718" w:type="dxa"/>
            <w:noWrap w:val="0"/>
            <w:vAlign w:val="center"/>
          </w:tcPr>
          <w:p w14:paraId="488A270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应急处理措施服务团队和故障响应、备品备件保障供应等：</w:t>
            </w:r>
          </w:p>
          <w:p w14:paraId="1A92023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color w:val="auto"/>
                <w:sz w:val="24"/>
              </w:rPr>
            </w:pPr>
            <w:r>
              <w:rPr>
                <w:rFonts w:hint="eastAsia" w:ascii="宋体" w:hAnsi="宋体" w:eastAsia="宋体" w:cs="宋体"/>
                <w:color w:val="000000"/>
                <w:sz w:val="24"/>
                <w:szCs w:val="24"/>
                <w:shd w:val="clear" w:color="auto" w:fill="FFFFFF"/>
                <w:lang w:val="en-US" w:eastAsia="zh-CN" w:bidi="ar"/>
              </w:rPr>
              <w:t>1、方案</w:t>
            </w:r>
            <w:r>
              <w:rPr>
                <w:rFonts w:hint="eastAsia"/>
                <w:color w:val="auto"/>
                <w:sz w:val="24"/>
              </w:rPr>
              <w:t>全面、详尽、符合项目特点，完全满足项目要求的，得</w:t>
            </w:r>
            <w:r>
              <w:rPr>
                <w:rFonts w:hint="eastAsia" w:ascii="宋体" w:hAnsi="宋体" w:eastAsia="宋体" w:cs="宋体"/>
                <w:color w:val="000000"/>
                <w:kern w:val="0"/>
                <w:sz w:val="24"/>
                <w:szCs w:val="24"/>
                <w:lang w:val="en-US" w:eastAsia="zh-CN" w:bidi="ar"/>
              </w:rPr>
              <w:t>6</w:t>
            </w:r>
            <w:r>
              <w:rPr>
                <w:rFonts w:hint="eastAsia"/>
                <w:color w:val="auto"/>
                <w:sz w:val="24"/>
              </w:rPr>
              <w:t>分；</w:t>
            </w:r>
          </w:p>
          <w:p w14:paraId="637B753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color w:val="auto"/>
                <w:sz w:val="24"/>
              </w:rPr>
            </w:pPr>
            <w:r>
              <w:rPr>
                <w:rFonts w:hint="eastAsia" w:ascii="宋体" w:hAnsi="宋体" w:eastAsia="宋体" w:cs="宋体"/>
                <w:color w:val="000000"/>
                <w:sz w:val="24"/>
                <w:szCs w:val="24"/>
                <w:shd w:val="clear" w:color="auto" w:fill="FFFFFF"/>
                <w:lang w:val="en-US" w:eastAsia="zh-CN" w:bidi="ar"/>
              </w:rPr>
              <w:t>2</w:t>
            </w:r>
            <w:r>
              <w:rPr>
                <w:rFonts w:hint="eastAsia"/>
                <w:color w:val="auto"/>
                <w:sz w:val="24"/>
                <w:lang w:val="en-US" w:eastAsia="zh-CN"/>
              </w:rPr>
              <w:t>、方案</w:t>
            </w:r>
            <w:r>
              <w:rPr>
                <w:rFonts w:hint="eastAsia"/>
                <w:color w:val="auto"/>
                <w:sz w:val="24"/>
              </w:rPr>
              <w:t>基本全面，仅有细节内容缺失，但符合本项目需求的得</w:t>
            </w:r>
            <w:r>
              <w:rPr>
                <w:rFonts w:hint="eastAsia" w:ascii="宋体" w:hAnsi="宋体" w:eastAsia="宋体" w:cs="宋体"/>
                <w:color w:val="000000"/>
                <w:sz w:val="24"/>
                <w:szCs w:val="24"/>
                <w:shd w:val="clear" w:color="auto" w:fill="FFFFFF"/>
                <w:lang w:val="en-US" w:eastAsia="zh-CN" w:bidi="ar"/>
              </w:rPr>
              <w:t>3</w:t>
            </w:r>
            <w:r>
              <w:rPr>
                <w:rFonts w:hint="eastAsia"/>
                <w:color w:val="auto"/>
                <w:sz w:val="24"/>
              </w:rPr>
              <w:t>分</w:t>
            </w:r>
            <w:r>
              <w:rPr>
                <w:rFonts w:hint="eastAsia"/>
                <w:color w:val="auto"/>
                <w:sz w:val="24"/>
                <w:lang w:val="en-US" w:eastAsia="zh-CN"/>
              </w:rPr>
              <w:t>；</w:t>
            </w:r>
          </w:p>
          <w:p w14:paraId="5FB1DC6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C00000"/>
                <w:kern w:val="0"/>
                <w:sz w:val="24"/>
                <w:szCs w:val="24"/>
                <w:lang w:bidi="ar"/>
              </w:rPr>
            </w:pPr>
            <w:r>
              <w:rPr>
                <w:rFonts w:hint="eastAsia" w:ascii="宋体" w:hAnsi="宋体" w:eastAsia="宋体" w:cs="宋体"/>
                <w:color w:val="000000"/>
                <w:sz w:val="24"/>
                <w:szCs w:val="24"/>
                <w:shd w:val="clear" w:color="auto" w:fill="FFFFFF"/>
                <w:lang w:val="en-US" w:eastAsia="zh-CN" w:bidi="ar"/>
              </w:rPr>
              <w:t>3、方案一般，</w:t>
            </w:r>
            <w:r>
              <w:rPr>
                <w:rFonts w:hint="eastAsia"/>
                <w:color w:val="auto"/>
                <w:sz w:val="24"/>
              </w:rPr>
              <w:t>仅有简单的方案描述</w:t>
            </w:r>
            <w:r>
              <w:rPr>
                <w:rFonts w:hint="eastAsia"/>
                <w:color w:val="auto"/>
                <w:sz w:val="24"/>
                <w:lang w:eastAsia="zh-CN"/>
              </w:rPr>
              <w:t>，</w:t>
            </w:r>
            <w:r>
              <w:rPr>
                <w:rFonts w:hint="eastAsia"/>
                <w:color w:val="auto"/>
                <w:sz w:val="24"/>
              </w:rPr>
              <w:t>得</w:t>
            </w:r>
            <w:r>
              <w:rPr>
                <w:rFonts w:hint="eastAsia" w:ascii="宋体" w:hAnsi="宋体" w:eastAsia="宋体" w:cs="宋体"/>
                <w:color w:val="000000"/>
                <w:sz w:val="24"/>
                <w:szCs w:val="24"/>
                <w:shd w:val="clear" w:color="auto" w:fill="FFFFFF"/>
                <w:lang w:val="en-US" w:eastAsia="zh-CN" w:bidi="ar"/>
              </w:rPr>
              <w:t>1</w:t>
            </w:r>
            <w:r>
              <w:rPr>
                <w:rFonts w:hint="eastAsia"/>
                <w:color w:val="auto"/>
                <w:sz w:val="24"/>
              </w:rPr>
              <w:t>分；</w:t>
            </w:r>
          </w:p>
          <w:p w14:paraId="08FF524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bl>
    <w:p w14:paraId="5AE2DA71">
      <w:pPr>
        <w:spacing w:line="480" w:lineRule="auto"/>
        <w:rPr>
          <w:rFonts w:ascii="宋体" w:hAnsi="宋体" w:eastAsia="宋体" w:cs="Times New Roman"/>
          <w:b/>
          <w:sz w:val="24"/>
          <w:szCs w:val="24"/>
        </w:rPr>
      </w:pPr>
      <w:r>
        <w:rPr>
          <w:rFonts w:hint="eastAsia" w:ascii="宋体" w:hAnsi="宋体" w:eastAsia="宋体" w:cs="Times New Roman"/>
          <w:b/>
          <w:sz w:val="24"/>
          <w:szCs w:val="24"/>
        </w:rPr>
        <w:t>注：1 、评分分值计算保留小数点后两位，小数点后第三位“四舍五入”。</w:t>
      </w:r>
    </w:p>
    <w:p w14:paraId="2DDAED1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2、各评委独立评分。响应人的综合评分为在最大限度地满足竞争性磋商文件实质性要求的前提下，按照竞争性磋商文件中规定的各项因素进行综合评审后，汇总全部评委评分后进行求和的算术平均值。</w:t>
      </w:r>
    </w:p>
    <w:p w14:paraId="0DAB9B7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磋商小组依据各响应人最终得分由高到低的顺序推荐成交候选人 3 名。</w:t>
      </w:r>
    </w:p>
    <w:p w14:paraId="585D552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3、价格调整要素及价格折扣幅度说明：</w:t>
      </w:r>
    </w:p>
    <w:p w14:paraId="5B462F4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磋商小组根据政府采购法相关规定，对有效投标、符合价格折扣条件的供应商，按照价格调整因素及比例进行报价调整，以调整后的价格作为响应人的评标价。</w:t>
      </w:r>
    </w:p>
    <w:p w14:paraId="071644DE">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、提供相同品牌的评审办法</w:t>
      </w:r>
    </w:p>
    <w:p w14:paraId="6343143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提供相同品牌产品且通过资格审查、符合性审查的不同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参加同一包下投标的，按一家</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计算，评审后得分最高的同品牌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获得</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人推荐资格；评审得分相同的，以投标报价低者获得</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人推荐资格，其他同品牌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不作为</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候选人。</w:t>
      </w:r>
    </w:p>
    <w:p w14:paraId="4BB0D63B">
      <w:pPr>
        <w:tabs>
          <w:tab w:val="left" w:pos="900"/>
        </w:tabs>
        <w:spacing w:line="360" w:lineRule="auto"/>
        <w:jc w:val="left"/>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5、《关于推动解决政府采购异常低价问题的通知》 财库〔2026〕2号</w:t>
      </w:r>
    </w:p>
    <w:p w14:paraId="595D1402">
      <w:pPr>
        <w:tabs>
          <w:tab w:val="left" w:pos="900"/>
        </w:tabs>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评审中出现下列情形之一的，</w:t>
      </w:r>
      <w:r>
        <w:rPr>
          <w:rFonts w:hint="eastAsia" w:ascii="宋体" w:hAnsi="宋体" w:cs="宋体"/>
          <w:color w:val="auto"/>
          <w:kern w:val="0"/>
          <w:sz w:val="24"/>
          <w:szCs w:val="24"/>
          <w:highlight w:val="none"/>
          <w:lang w:val="en-US" w:eastAsia="zh-CN"/>
        </w:rPr>
        <w:t>磋商小组</w:t>
      </w:r>
      <w:r>
        <w:rPr>
          <w:rFonts w:hint="eastAsia" w:ascii="宋体" w:hAnsi="宋体" w:eastAsia="宋体" w:cs="宋体"/>
          <w:color w:val="auto"/>
          <w:kern w:val="0"/>
          <w:sz w:val="24"/>
          <w:szCs w:val="24"/>
          <w:highlight w:val="none"/>
          <w:lang w:val="en-US" w:eastAsia="zh-CN"/>
        </w:rPr>
        <w:t>可以启动异常低价投标（响应）审查程序：</w:t>
      </w:r>
    </w:p>
    <w:p w14:paraId="6F1192A4">
      <w:pPr>
        <w:numPr>
          <w:ilvl w:val="0"/>
          <w:numId w:val="0"/>
        </w:numPr>
        <w:tabs>
          <w:tab w:val="left" w:pos="900"/>
        </w:tabs>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磋商小组</w:t>
      </w:r>
      <w:r>
        <w:rPr>
          <w:rFonts w:hint="default" w:ascii="宋体" w:hAnsi="宋体" w:eastAsia="宋体" w:cs="宋体"/>
          <w:color w:val="auto"/>
          <w:kern w:val="0"/>
          <w:sz w:val="24"/>
          <w:szCs w:val="24"/>
          <w:highlight w:val="none"/>
          <w:lang w:val="en-US" w:eastAsia="zh-CN"/>
        </w:rPr>
        <w:t>基于专业判断，认为供应商报价过低，有可能影响产品质量或者不能诚信履约的其他情形。</w:t>
      </w:r>
    </w:p>
    <w:p w14:paraId="7B021F34">
      <w:pPr>
        <w:numPr>
          <w:ilvl w:val="0"/>
          <w:numId w:val="0"/>
        </w:numPr>
        <w:tabs>
          <w:tab w:val="left" w:pos="900"/>
        </w:tabs>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i w:val="0"/>
          <w:iCs w:val="0"/>
          <w:caps w:val="0"/>
          <w:color w:val="000000"/>
          <w:spacing w:val="0"/>
          <w:sz w:val="24"/>
          <w:szCs w:val="24"/>
          <w:shd w:val="clear" w:fill="FFFFFF"/>
          <w:lang w:eastAsia="zh-CN"/>
        </w:rPr>
        <w:t>磋商小组</w:t>
      </w:r>
      <w:r>
        <w:rPr>
          <w:rFonts w:hint="eastAsia" w:ascii="宋体" w:hAnsi="宋体" w:eastAsia="宋体" w:cs="宋体"/>
          <w:i w:val="0"/>
          <w:iCs w:val="0"/>
          <w:caps w:val="0"/>
          <w:color w:val="000000"/>
          <w:spacing w:val="0"/>
          <w:sz w:val="24"/>
          <w:szCs w:val="24"/>
          <w:shd w:val="clear" w:fill="FFFFFF"/>
        </w:rPr>
        <w:t>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r>
        <w:rPr>
          <w:rFonts w:hint="default" w:ascii="宋体" w:hAnsi="宋体" w:eastAsia="宋体" w:cs="宋体"/>
          <w:color w:val="auto"/>
          <w:kern w:val="0"/>
          <w:sz w:val="24"/>
          <w:szCs w:val="24"/>
          <w:highlight w:val="none"/>
          <w:lang w:val="en-US" w:eastAsia="zh-CN"/>
        </w:rPr>
        <w:t>。</w:t>
      </w:r>
    </w:p>
    <w:p w14:paraId="529956AE">
      <w:pPr>
        <w:numPr>
          <w:ilvl w:val="0"/>
          <w:numId w:val="0"/>
        </w:numPr>
        <w:tabs>
          <w:tab w:val="left" w:pos="900"/>
        </w:tabs>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i w:val="0"/>
          <w:iCs w:val="0"/>
          <w:caps w:val="0"/>
          <w:color w:val="000000"/>
          <w:spacing w:val="0"/>
          <w:sz w:val="24"/>
          <w:szCs w:val="24"/>
          <w:shd w:val="clear" w:fill="FFFFFF"/>
          <w:lang w:eastAsia="zh-CN"/>
        </w:rPr>
        <w:t>磋商小组</w:t>
      </w:r>
      <w:r>
        <w:rPr>
          <w:rFonts w:hint="eastAsia" w:ascii="宋体" w:hAnsi="宋体" w:eastAsia="宋体" w:cs="宋体"/>
          <w:i w:val="0"/>
          <w:iCs w:val="0"/>
          <w:caps w:val="0"/>
          <w:color w:val="000000"/>
          <w:spacing w:val="0"/>
          <w:sz w:val="24"/>
          <w:szCs w:val="24"/>
          <w:shd w:val="clear" w:fill="FFFFFF"/>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i w:val="0"/>
          <w:iCs w:val="0"/>
          <w:caps w:val="0"/>
          <w:color w:val="000000"/>
          <w:spacing w:val="0"/>
          <w:sz w:val="24"/>
          <w:szCs w:val="24"/>
          <w:shd w:val="clear" w:fill="FFFFFF"/>
          <w:lang w:eastAsia="zh-CN"/>
        </w:rPr>
        <w:t>磋商小组</w:t>
      </w:r>
      <w:r>
        <w:rPr>
          <w:rFonts w:hint="eastAsia" w:ascii="宋体" w:hAnsi="宋体" w:eastAsia="宋体" w:cs="宋体"/>
          <w:i w:val="0"/>
          <w:iCs w:val="0"/>
          <w:caps w:val="0"/>
          <w:color w:val="000000"/>
          <w:spacing w:val="0"/>
          <w:sz w:val="24"/>
          <w:szCs w:val="24"/>
          <w:shd w:val="clear" w:fill="FFFFFF"/>
        </w:rPr>
        <w:t>应当将其作为无效投标（响应）处理</w:t>
      </w:r>
      <w:r>
        <w:rPr>
          <w:rFonts w:hint="eastAsia" w:ascii="宋体" w:hAnsi="宋体" w:eastAsia="宋体" w:cs="宋体"/>
          <w:i w:val="0"/>
          <w:iCs w:val="0"/>
          <w:caps w:val="0"/>
          <w:color w:val="000000"/>
          <w:spacing w:val="0"/>
          <w:sz w:val="24"/>
          <w:szCs w:val="24"/>
          <w:shd w:val="clear" w:fill="FFFFFF"/>
          <w:lang w:eastAsia="zh-CN"/>
        </w:rPr>
        <w:t>。</w:t>
      </w:r>
    </w:p>
    <w:p w14:paraId="58A634A8">
      <w:pPr>
        <w:spacing w:line="360" w:lineRule="auto"/>
        <w:rPr>
          <w:rFonts w:hint="eastAsia" w:ascii="宋体" w:hAnsi="宋体" w:eastAsia="宋体" w:cs="宋体"/>
          <w:color w:val="auto"/>
          <w:sz w:val="24"/>
          <w:szCs w:val="24"/>
          <w:highlight w:val="none"/>
          <w:lang w:val="en-US" w:eastAsia="zh-CN"/>
        </w:rPr>
        <w:sectPr>
          <w:footerReference r:id="rId6" w:type="first"/>
          <w:footerReference r:id="rId5" w:type="default"/>
          <w:pgSz w:w="11906" w:h="16838"/>
          <w:pgMar w:top="1134" w:right="1417" w:bottom="1134" w:left="1417" w:header="720" w:footer="720" w:gutter="0"/>
          <w:pgNumType w:fmt="decimal" w:start="1"/>
          <w:cols w:space="720" w:num="1"/>
          <w:titlePg/>
          <w:docGrid w:type="lines" w:linePitch="312" w:charSpace="0"/>
        </w:sectPr>
      </w:pPr>
    </w:p>
    <w:p w14:paraId="5F7F2498">
      <w:pPr>
        <w:pStyle w:val="2"/>
        <w:rPr>
          <w:rFonts w:hint="eastAsia" w:ascii="宋体" w:hAnsi="宋体" w:cs="宋体"/>
          <w:bCs/>
          <w:color w:val="000000"/>
          <w:szCs w:val="32"/>
        </w:rPr>
      </w:pPr>
      <w:bookmarkStart w:id="349" w:name="_Toc29446"/>
      <w:bookmarkStart w:id="350" w:name="_Toc144905398"/>
      <w:r>
        <w:rPr>
          <w:rFonts w:hint="eastAsia" w:ascii="宋体" w:hAnsi="宋体" w:cs="宋体"/>
          <w:bCs/>
          <w:color w:val="000000"/>
          <w:szCs w:val="32"/>
        </w:rPr>
        <w:t>第</w:t>
      </w:r>
      <w:r>
        <w:rPr>
          <w:rFonts w:hint="eastAsia" w:ascii="宋体" w:hAnsi="宋体" w:cs="宋体"/>
          <w:bCs/>
          <w:color w:val="000000"/>
          <w:szCs w:val="32"/>
          <w:lang w:val="en-US" w:eastAsia="zh-CN"/>
        </w:rPr>
        <w:t>四</w:t>
      </w:r>
      <w:r>
        <w:rPr>
          <w:rFonts w:hint="eastAsia" w:ascii="宋体" w:hAnsi="宋体" w:cs="宋体"/>
          <w:bCs/>
          <w:color w:val="000000"/>
          <w:szCs w:val="32"/>
        </w:rPr>
        <w:t>章 采购内容及要求</w:t>
      </w:r>
      <w:bookmarkEnd w:id="349"/>
    </w:p>
    <w:tbl>
      <w:tblPr>
        <w:tblStyle w:val="20"/>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4"/>
        <w:gridCol w:w="1048"/>
        <w:gridCol w:w="6149"/>
        <w:gridCol w:w="577"/>
        <w:gridCol w:w="717"/>
      </w:tblGrid>
      <w:tr w14:paraId="76C8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949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351" w:name="_Toc24680"/>
            <w:bookmarkStart w:id="352" w:name="_Toc6109"/>
            <w:bookmarkStart w:id="353" w:name="_Toc488052458"/>
            <w:r>
              <w:rPr>
                <w:rFonts w:hint="eastAsia" w:ascii="宋体" w:hAnsi="宋体" w:eastAsia="宋体" w:cs="宋体"/>
                <w:b/>
                <w:bCs/>
                <w:i w:val="0"/>
                <w:iCs w:val="0"/>
                <w:color w:val="000000"/>
                <w:kern w:val="0"/>
                <w:sz w:val="20"/>
                <w:szCs w:val="20"/>
                <w:u w:val="none"/>
                <w:lang w:val="en-US" w:eastAsia="zh-CN" w:bidi="ar"/>
              </w:rPr>
              <w:t>序号</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7D6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产品类别</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466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技术规格</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8E7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86C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4139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92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781E87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一、指挥中心展示屏</w:t>
            </w:r>
          </w:p>
        </w:tc>
      </w:tr>
      <w:tr w14:paraId="3561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0"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720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BAE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节能冷屏 MIP LED箱体 (MIP)</w:t>
            </w:r>
          </w:p>
        </w:tc>
        <w:tc>
          <w:tcPr>
            <w:tcW w:w="61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0D2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LED像素点间距≤1.25mm;像素密度≥640000点/㎡，RGB全倒装共阴，LED晶片单边最短尺寸＜80μm。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单元尺寸≤600x337.5x29.5（mm），重量≤3.5kg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显示屏幕白平衡峰值亮度≥800nits,峰值功耗＜295W/㎡ （800nits亮度），平均功耗＜98W/㎡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根据 SJ/T 11590-2016 LED显示屏图像质量主观评价方法，从显示屏正面分别观察高速行驶中的汽车车牌，奔跑中的运动员面容，图像清晰无拖影、能轻松识 别车牌号及运动员面部特征。符合评价优（5分）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根据 SJ/T 11590-2016 LED显示屏图像质量主观评价方法，观察显示屏正面及侧面人的肤色是否逼真、蓝天、白云、红旗，绿草地是否存在偏色现象。符合评价优（5分）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根据 SJ/T 11590-2016 LED 显示屏图像质量主观评价方法，从正面及侧面分别观察亮度及色度是否均匀，是否有马赛克现象及灰尘效应。符合评价为优（5分）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根据 SJ/T 11141-2017 显示屏结构检验，从正面及侧面分别观察模块及箱体的拼缝处，是否存在高于正常亮度的亮线条或低于正常亮度的暗线条。检验结果符合。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依据GB/T 20145-2006 标准要求，LED显示屏辐亮度≤1.5 W·m^-2·sr^-1 ，判定级别为RG0无危害级，LED屏幕蓝光辐射符合国标无危害级要求。 注：报告需体现白光，蓝光测试数据和图片，报告应体现测试现场图片，箱体背部图片与投标样品一致。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具备防蓝光护眼功能，在蓝光峰值波长≥460nm，10000s(约2.8h)内，设备的限值应满足：LB≤20W·m-2·sr-1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LED单元箱体间连接网线具备L型等非矩形框架走线方式，网口利用率＞95%。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LED屏幕通过局域网客户端，局域网WEB端，红外遥控器，射频遥控器，物理按键五种种方式实现亮度调节。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屏幕控制参数，联屏文件设置数据通过TCP/IP通讯协议实现多级级联管理和控制。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支持信源接入状态显示，可通过物理按键、客户端、遥控器、设备自带Web浏览器进行信源切换。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具备 OSD 菜单显示功能，支持可视化屏幕调节功能。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通过Web浏览器，查看LED整墙的概览信息和LED屏连线状态；支持查看行列网格展示屏幕接收卡规模、在Web端鼠标移到网格上时，可展示该网格所属网口的所有接收卡单元，高亮展示，展示网线连线顺序，网口号，展示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支持从客户端设备自带Web浏览器查看与绑定的接收卡的序号接收卡型号、接收卡软件版本、网口link状态接收卡电压、接收卡温度。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5CB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F96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w:t>
            </w:r>
          </w:p>
        </w:tc>
      </w:tr>
      <w:tr w14:paraId="1150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3AEA9F">
            <w:pPr>
              <w:jc w:val="center"/>
              <w:rPr>
                <w:rFonts w:hint="eastAsia" w:ascii="宋体" w:hAnsi="宋体" w:eastAsia="宋体" w:cs="宋体"/>
                <w:i w:val="0"/>
                <w:iCs w:val="0"/>
                <w:color w:val="000000"/>
                <w:sz w:val="20"/>
                <w:szCs w:val="20"/>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14639">
            <w:pPr>
              <w:jc w:val="center"/>
              <w:rPr>
                <w:rFonts w:hint="eastAsia" w:ascii="宋体" w:hAnsi="宋体" w:eastAsia="宋体" w:cs="宋体"/>
                <w:i w:val="0"/>
                <w:iCs w:val="0"/>
                <w:color w:val="000000"/>
                <w:sz w:val="20"/>
                <w:szCs w:val="20"/>
                <w:u w:val="none"/>
              </w:rPr>
            </w:pPr>
          </w:p>
        </w:tc>
        <w:tc>
          <w:tcPr>
            <w:tcW w:w="61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D2A08">
            <w:pPr>
              <w:jc w:val="left"/>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41E1E5">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D1370B">
            <w:pPr>
              <w:jc w:val="center"/>
              <w:rPr>
                <w:rFonts w:hint="eastAsia" w:ascii="宋体" w:hAnsi="宋体" w:eastAsia="宋体" w:cs="宋体"/>
                <w:i w:val="0"/>
                <w:iCs w:val="0"/>
                <w:color w:val="000000"/>
                <w:sz w:val="20"/>
                <w:szCs w:val="20"/>
                <w:u w:val="none"/>
              </w:rPr>
            </w:pPr>
          </w:p>
        </w:tc>
      </w:tr>
      <w:tr w14:paraId="2AE0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33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22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节能冷屏 MIP LED箱体安装服务 (MIP)</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49A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1、图纸方案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3、屏幕及发送卡安装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4、配电柜安装（不含380V强电接线）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5、线缆布线（不含桥架、线管、穿墙打孔）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7、使用培训</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13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3E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w:t>
            </w:r>
          </w:p>
        </w:tc>
      </w:tr>
      <w:tr w14:paraId="77DD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33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02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室内支架</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B4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LED室内通天地支架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性价比高，快速安装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固定螺丝包；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重量（/m²）：8kg/m²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材质：优质冷轧钢板(SPCC)，材料厚度从T1.2-T5不等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厚度：适用箱体：90mm+屏厚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表面处理：静电喷塑，涂层厚度&gt;60微米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弧度：不支持弧形定制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适用规模：使用环境为4m房间高度以内 </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3F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1C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18.48</w:t>
            </w:r>
          </w:p>
        </w:tc>
      </w:tr>
      <w:tr w14:paraId="2E25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970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77B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LED同步控制器</w:t>
            </w:r>
          </w:p>
        </w:tc>
        <w:tc>
          <w:tcPr>
            <w:tcW w:w="61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CB1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输入接口：具有1个HDMI1.4接口、1个USB2.0接口、1个DEBUG接口、2个控制网口、1个RS485接口、1个IR IN接口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输出接口：1个3.5mm Line out接口，6个带载网口，具备1个开关按键、3个功能按键。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具有2个控制网口，支持TCP/IP网络协议，双网口均可用于控制设备或设备网络级联，其中一个接口用于控制设备时，另外一个网口就用于设备网络级联。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支持HDMI1.4接口输入260W@60Hz视频展示，支持通过HDMI输入极限高度4096的视频进行展示，支持通过HDMI输入极限宽度4096的视频进行展示，支持HDCP。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单网口带载支持65W像素，设备总带载支持390W像素。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支持通过设备自带Web浏览器、客户端、遥控器操作，支持对图像的亮度、色温以及图像模式进行调节设置。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支持亮度调节，可通过LED显示屏客户端、遥控器、物理按键进行亮度调节。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支持通过客户端和设备自带Web浏览器进行多台设备同时远程重启操作，响应正常。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设备支持通过客户端、物理按键、Web浏览器对屏幕红、绿、蓝、白、条纹逐行扫描进行自检操作。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可通过设备自带客户端、遥控器同时控制多台发送卡设备参数的调节。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支持设置多种显示模式，具体包括常规，文稿、广告、视讯、HDR、影院、安防、自定义模式。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支持设备自带Web浏览器、PC客户端、遥控器、物理按键进行控制。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支持手动校时，支持 NTP校时。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支持标准带载模式，该模式下单网口最大支持带载292.5W像素点。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支持带载模式切换，支持在客户端、web端进行迷你带载模式和标准带载模式的切换，功能响应正常。</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F67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BC0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00C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8"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B8D3A2">
            <w:pPr>
              <w:jc w:val="center"/>
              <w:rPr>
                <w:rFonts w:hint="eastAsia" w:ascii="宋体" w:hAnsi="宋体" w:eastAsia="宋体" w:cs="宋体"/>
                <w:i w:val="0"/>
                <w:iCs w:val="0"/>
                <w:color w:val="000000"/>
                <w:sz w:val="20"/>
                <w:szCs w:val="20"/>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D528EA">
            <w:pPr>
              <w:jc w:val="center"/>
              <w:rPr>
                <w:rFonts w:hint="eastAsia" w:ascii="宋体" w:hAnsi="宋体" w:eastAsia="宋体" w:cs="宋体"/>
                <w:i w:val="0"/>
                <w:iCs w:val="0"/>
                <w:color w:val="000000"/>
                <w:sz w:val="20"/>
                <w:szCs w:val="20"/>
                <w:u w:val="none"/>
              </w:rPr>
            </w:pPr>
          </w:p>
        </w:tc>
        <w:tc>
          <w:tcPr>
            <w:tcW w:w="61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9CE9D9">
            <w:pPr>
              <w:jc w:val="left"/>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E8979F">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C7B9E2">
            <w:pPr>
              <w:jc w:val="center"/>
              <w:rPr>
                <w:rFonts w:hint="eastAsia" w:ascii="宋体" w:hAnsi="宋体" w:eastAsia="宋体" w:cs="宋体"/>
                <w:i w:val="0"/>
                <w:iCs w:val="0"/>
                <w:color w:val="000000"/>
                <w:sz w:val="20"/>
                <w:szCs w:val="20"/>
                <w:u w:val="none"/>
              </w:rPr>
            </w:pPr>
          </w:p>
        </w:tc>
      </w:tr>
      <w:tr w14:paraId="5A90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0"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D3F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167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61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FEA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采用嵌入式纯硬件架构,无需其他操作系统。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支持客户端软件上添加、删除、修改用户。可为不同用户设置不同画面管理区域，包括资源权限、配置权限、操作权限;最大可设置 32个用户。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支持选中取流成功的窗口操作远程云台功能。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支持将远程笔记本桌面进行整屏、单窗口抓屏上墙，实时画面帧率最大≥30fps: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支持同时8路4K(3840x2160)信号上墙显示，且上墙前后CPU占用率无明显变化;支持在电视墙进行8画面分割显示。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单墙预编辑操作的过程中其他电视墙不受影响。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支持将1路输入视频图像发送至多个输出接口拼接显示;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具有窗口叠加功能，可调整叠加窗口顺序，可设置置顶窗口，置顶窗口始终位于最顶层;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支持虚拟LED字幕功能，支持设置字体颜色、背景颜色，滚动和静止模式，滚动速度，滚动的情况下要求流畅无卡顿;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单子板解码能力:2路3200W/2路2400W/4路1600W/5路1200W/8路800W/10路600W/12路500W/16路400W/20路300W/32路200w/64路720P及以下分辨率;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整机8张解码卡解码能力:16路3200W/16路2400W路1600W/40路1200W/64路800W/80路600W/18路400W/256路1080P/512路720P/D1及以下分辨率。（需要板卡满配）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支持以下输入分辨率:1024x768@60Hz、1280x1024@60Hz、1366x768@60Hz、1440x900@60Hz、1680X1050@60Hz、1280X960@60Hz、1600x1200@60Hz、1280x720P@50Hz、1280x720P@60Hz、1920x1080P@50Hz、1920 x1080P@60Hz、1920x1200@60Hz、3840X2160@30Hz。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支持以下输出视频分辨率:1024x768@60 Hz、1280x1024@60Hz、1280x720@60Hz、1600x1200@60Hz、1680X1050@60Hz、1920x1200@60Hz、1920x1080@60Hz、3840x2160@30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支持电源冗余设置，支持(1+1)冗余电源，当一路电源模块出现异常时，系统可以自动无缝切换到备用电源模块，电源切换过程系统运行不受影响。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支持通过网络键盘/串口键盘控制带有云台功能的前端相机。 支持通过摇杆和触控屏实现对云台设备的控制，支持预置位、自动巡航、模式路径、光圈调节、变焦、变倍、雨刷、灯光等控制功能。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支持超高分KVM控制模式：支持16K超高分辨率融合大屏以复制模式再4K或2K分辨率显示屏上智能缩放并同步操作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烟雾检测场景：支持接入具有烟雾检测功能的前端摄像机，检测指定区域内是否有烟雾；当检测到烟雾时，可在显示画面中实时指示烟雾位置，可对前端码流里面的智能信息进行解码并显示，并触发报警弹窗、联动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值岗检测：支持接入具有值岗检测功能的前端摄像机，支持人员是否在岗、是否玩手机、是否睡觉的检测，可对前端码流里面的智能信息进行解码并显示，并触发报警弹窗、联动报警输出。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支持通过控制面板远程无线控制，控制距离最远支持到10米，控制角度范围可支持水平-80°～80°。可进行显示单元开关机、亮度调节等操作。</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725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9FC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08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4F1D05">
            <w:pPr>
              <w:jc w:val="center"/>
              <w:rPr>
                <w:rFonts w:hint="eastAsia" w:ascii="宋体" w:hAnsi="宋体" w:eastAsia="宋体" w:cs="宋体"/>
                <w:i w:val="0"/>
                <w:iCs w:val="0"/>
                <w:color w:val="000000"/>
                <w:sz w:val="20"/>
                <w:szCs w:val="20"/>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57B0E0">
            <w:pPr>
              <w:jc w:val="center"/>
              <w:rPr>
                <w:rFonts w:hint="eastAsia" w:ascii="宋体" w:hAnsi="宋体" w:eastAsia="宋体" w:cs="宋体"/>
                <w:i w:val="0"/>
                <w:iCs w:val="0"/>
                <w:color w:val="000000"/>
                <w:sz w:val="20"/>
                <w:szCs w:val="20"/>
                <w:u w:val="none"/>
              </w:rPr>
            </w:pPr>
          </w:p>
        </w:tc>
        <w:tc>
          <w:tcPr>
            <w:tcW w:w="61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84901B">
            <w:pPr>
              <w:jc w:val="left"/>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362E6">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C8AB1">
            <w:pPr>
              <w:jc w:val="center"/>
              <w:rPr>
                <w:rFonts w:hint="eastAsia" w:ascii="宋体" w:hAnsi="宋体" w:eastAsia="宋体" w:cs="宋体"/>
                <w:i w:val="0"/>
                <w:iCs w:val="0"/>
                <w:color w:val="000000"/>
                <w:sz w:val="20"/>
                <w:szCs w:val="20"/>
                <w:u w:val="none"/>
              </w:rPr>
            </w:pPr>
          </w:p>
        </w:tc>
      </w:tr>
      <w:tr w14:paraId="179B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2D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8B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配电柜产品</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500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配电柜额定功率≥10KW，具备3个单相回路。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可通过RS485接口读取配电柜内部温度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检测到烟雾后可自动断电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超过温度阈值后可自动断电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输入输出均有断路器保护措施，在发生过流或短路后可以自动断电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支持手动一键启动、停止；支持单路（单交流控制器）启动停止；支持分时段控制；支持电脑远程控制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支持记录电源参数、运行状态、异常报警(高温、烟雾)等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网络接口：支持MODBUS-TCP协议；串口通讯端口：支持RS485,MODBUS-RTU协议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支持设备分级上电，避免瞬间电流过大</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BF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01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E3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74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DE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LED电源线组件包</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EE9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LED室内600箱体电源线组件包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无氧铜导体，电阻低，损耗小，发热小，安全节能。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多股铜丝绞合，线缆柔软，布线方便。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环保聚氯乙烯（PVC）绝缘厚度均匀，耐磨耐拉伸，可靠耐用。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护套类型：PVC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导体类型：无氧铜</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EA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D3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54D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65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98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LED网线组件包</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EC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LED室内箱体网线组件包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网线导体采用多股铜丝绞合，线缆柔软，走线方便。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主网线支持自定义长度制作，布线更方便。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支持箱体级联网线。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护套类型：PVC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导体类型：无氧铜</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7A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88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7A5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2A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0B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5米高清数据线</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50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端子镀金，耐氧化，阻抗小，信号传输更稳定。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端子内部特殊设计，增强端子和线缆连接强度。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环保加厚外被，耐磨不易破裂，经久耐用。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支持HDMI 4K60Hz型号稳定传输。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即插即用，无需驱动程序。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线缆类型（音视频线）：铜缆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视频版本：HDMI 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支持最大分辨率：4K 60Hz</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1B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21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9E1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89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44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Smart Wall</w:t>
            </w:r>
            <w:r>
              <w:rPr>
                <w:rFonts w:hint="eastAsia" w:ascii="宋体" w:hAnsi="宋体" w:cs="宋体"/>
                <w:i w:val="0"/>
                <w:iCs w:val="0"/>
                <w:color w:val="000000"/>
                <w:kern w:val="0"/>
                <w:sz w:val="20"/>
                <w:szCs w:val="20"/>
                <w:highlight w:val="none"/>
                <w:u w:val="none"/>
                <w:lang w:val="en-US" w:eastAsia="zh-CN" w:bidi="ar"/>
              </w:rPr>
              <w:t>（智能墙）</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93B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支持管理LCD、LED电视墙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支持信号源预览，支持电视墙可视化操作（受控设备需支持该功能）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支持登录网络源的账号密码进行网络源预览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支持窗口创建、清空、移动、改变大小、置顶、置底操作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支持窗口放大还原、全屏显示、画面拼接，支持窗口锁定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支持监控画面及本地源画面上墙操作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支持添加字幕，编辑字幕信息，包括文字字幕、时钟字幕等，支持编辑字幕背景色，透明度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支持预编辑功能：支持进入预编辑操作界面，对电视墙进行进行操作，实际电视墙无变化，通过上墙按键将配置的电视墙界面投到大屏中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支持场景保存，支持场景调用及场景切换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支持一键清空所有窗口信息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支持多媒体内容图片、视频、文字、office文件的增删改查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支持编辑内容名称及描述信息。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支持内容窗口的增、删、移动等操作；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支持播控内容的可前进、后退、刷新操作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支持通视频播放进度的控制，可以看到对应的视频缩略图</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BE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69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2F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92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984A74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二、指挥中心机房</w:t>
            </w:r>
          </w:p>
        </w:tc>
      </w:tr>
      <w:tr w14:paraId="3A31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0"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E6E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BA2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48盘位磁盘阵列</w:t>
            </w:r>
          </w:p>
        </w:tc>
        <w:tc>
          <w:tcPr>
            <w:tcW w:w="61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9DF4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设备配置：≥1颗64位多核处理器，≥8GB内存，内存支持扩展到≥256GB，内置SSD固态硬盘（可以扩展到4个SSD作为缓存盘），配置≥8个风扇，风扇支持热插拔并可冗余温控调速；支持热插拔1+1AC220V电源或1+1直流冗余电源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设备标配：≥4个2.5Gb网口，支持2个前置 USB2.0接口、2个后置USB3.0接口，支持1个前置VGA接口、1个后置HDMI接口，支持1个RS-232串口，支持4个PCI-E扩展槽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具有48个硬盘热插拔插槽；支持硬盘热插拔设备在读写数据时，热插拔设备内的任意块硬盘，设备正常运行不宕机，硬盘不损坏，数据不丢失，业务不中断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设备具备1个定位灯、1个电源灯、1个设备报警灯、1个就绪灯、1个网络状态灯、1个系统盘状态灯、1个硬盘状态灯，机箱具备防尘滤网，采用双立柱防震设计。设备左右侧面各2个抬手，具备前面板抽拉标签卡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可接入2T/3T/4T/6T/8T/10T/12T/14T/16T/18T/20T/25T/26T/30T SATA/SAS硬盘；支持NL-SAS 硬盘、HDD硬盘、SSD硬盘、氦气硬盘、空气硬盘；支持 CMR或SMR硬盘；支持硬盘交错/分时启动</w:t>
            </w:r>
            <w:r>
              <w:rPr>
                <w:rFonts w:hint="eastAsia" w:ascii="宋体" w:hAnsi="宋体" w:cs="宋体"/>
                <w:i w:val="0"/>
                <w:iCs w:val="0"/>
                <w:color w:val="000000"/>
                <w:kern w:val="0"/>
                <w:sz w:val="20"/>
                <w:szCs w:val="20"/>
                <w:u w:val="none"/>
                <w:lang w:val="en-US" w:eastAsia="zh-CN" w:bidi="ar"/>
              </w:rPr>
              <w:t>。设备内置48块8Tlot企业级硬盘。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支持视音频、图片、智能数据流进行混合直存，无须存储服务器和图片服务器的参与，平台服务器宕机时，存储业务正常；支持国际GB/T 28181和Onvif视频流直存模式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 ONVIF、PSIA、TCP/IP、UDP、SIP、SIP2.0、RTSP、RTP、RTCP、iSCSI、CIFS(SMB)、NFS、FTP、HTTP、AFP、RSYNC、SNMP、IPV4、IPV6、HLS、S3、OSS等协议，支持IP组播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网络RAID纠删码技术，多台存储设备组建网络RAID，设置为负载均衡；单台或多台存储设备组建网络RAID，允许每组RAID中任意1-18个磁盘发生故障，数据不丢失，存储服务不中断；允许每组RAID中任意20块硬盘发生故障，业务不中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设备支持版本回退功能，在当前版本出现故障或操作失误后，可进行回退到历史版本，回退后录像正常回放，且历史录像完整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设备支持MAID2.0磁盘节能功能，当磁盘不工作时，可根据设置的时间自动启动磁盘降速或磁盘休眠指令，降低磁盘驱动能耗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设备支持硬盘的多级工作模式，包括性能模式、空闲模式（A\B\C，A：硬盘短时空闲，可以正常响应IO；B：较多空闲，磁头不再移动，硬盘满转；C:硬盘完全空闲，磁头不再移动，硬盘降速）、休眠模式（硬盘不再旋转，新下发IO需要唤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BMC支持复杂密码，设备首次使用默认密码登录BMC时，提示修改密码，并且需要强制修改完密码后重新登陆，否则无法进入BMC web</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BA3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075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D9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FFCF4">
            <w:pPr>
              <w:jc w:val="center"/>
              <w:rPr>
                <w:rFonts w:hint="eastAsia" w:ascii="宋体" w:hAnsi="宋体" w:eastAsia="宋体" w:cs="宋体"/>
                <w:i w:val="0"/>
                <w:iCs w:val="0"/>
                <w:color w:val="000000"/>
                <w:sz w:val="20"/>
                <w:szCs w:val="20"/>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F0F16E">
            <w:pPr>
              <w:jc w:val="center"/>
              <w:rPr>
                <w:rFonts w:hint="eastAsia" w:ascii="宋体" w:hAnsi="宋体" w:eastAsia="宋体" w:cs="宋体"/>
                <w:i w:val="0"/>
                <w:iCs w:val="0"/>
                <w:color w:val="000000"/>
                <w:sz w:val="20"/>
                <w:szCs w:val="20"/>
                <w:u w:val="none"/>
              </w:rPr>
            </w:pPr>
          </w:p>
        </w:tc>
        <w:tc>
          <w:tcPr>
            <w:tcW w:w="61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946B96">
            <w:pPr>
              <w:jc w:val="left"/>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48D068">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770363">
            <w:pPr>
              <w:jc w:val="center"/>
              <w:rPr>
                <w:rFonts w:hint="eastAsia" w:ascii="宋体" w:hAnsi="宋体" w:eastAsia="宋体" w:cs="宋体"/>
                <w:i w:val="0"/>
                <w:iCs w:val="0"/>
                <w:color w:val="000000"/>
                <w:sz w:val="20"/>
                <w:szCs w:val="20"/>
                <w:u w:val="none"/>
              </w:rPr>
            </w:pPr>
          </w:p>
        </w:tc>
      </w:tr>
      <w:tr w14:paraId="7A56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2C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EC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光纤收发器接收机</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08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导轨式千兆光纤收发器接收端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接口：1个千兆RJ45，1个千兆FC光口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光纤类型：单模单纤，9/125um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传输距离：0~20公里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波长：Tx1550nm/Rx1310nm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发射功率：-9~-1dB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接收灵敏度：-21dB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安装方式：DIN卡轨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浪涌防护：4KV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防护等级：IP40</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E5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A0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669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9C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DB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光纤收发器发送机</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156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导轨式千兆光纤收发器发送端（1光1电，20公里）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接口：1个千兆RJ45，1个千兆FC光口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光纤类型：单模单纤，9/125um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传输距离：0~20公里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波长：Tx1310nm/Rx1550nm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发射功率：-6~-1dB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接收灵敏度：-21dB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安装方式：DIN卡轨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浪涌防护：4KV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防护等级：IP40</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3D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3D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AA0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79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FB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核心交换机</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CD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配置：可用千兆电接口数量≥24，非复用千兆光接口数量≥4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支持独立的console管理串口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交换容量≥336Gbps/3.36Tbps，包转发率≥126Mpps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提供工信部入网许可证，入网检测报告证明及CQC认证证书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支持STP、RSTP、MSTP、ERPS功能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支持端口节能功能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支持等价路由、VRRP、OSPFv1/v2、OSPF v3、BGP、ISIS等增强三层路由协议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支持NQA功能，NQA能够正常探测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支持以不同图标展示接入设备间的连接方式，包括网线、光纤和无线连接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支持接入设备间的链路详情展示，包括传输速率、链路两端设备信息和链路带宽告警展示</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DE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7B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09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6C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F5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虚拟云服务器</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FD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CPU：配置≥2颗 C86架构HG3350处理器，核数≥8核，主频≥3.0GHz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内存：配置≥4根32G DDR4，8根内存插槽，最大可支持扩展至1TB；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硬盘：配置≥8盘位，系统盘≥1块480G SSD，数据盘≥1块960G SSD（无RAID)，备份盘≥1块4T 7.2K SATA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PCIE扩展：最大支持4个标准PCIE插槽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网口：≥2个千兆电口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其他接口：标配≥1个IPMI RJ-45管理接口，位于机箱后部；≥7个USB 3.0接口 ≥4个位于机箱后部，≥2个位于机箱前部，≥1个位于机箱内部；≥2个VGA接口 ≥1个位于机箱前部，≥1个位于机箱后部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支持有代理和无代理两种监控模式 ，可在页面上进行监控的切换。在无代理监控模式下，无需部署任何脚本工具，即可监控CPU、内存、磁盘、网络等运行情况。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内置备份模块 ，无需单独安装备份软件，在管理平台界面即可实现备份功能。备份时对业务运行无影响，支持按时间（按天/周/月）设置自动化备份策略。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支持设置自动备份策略， 支持无代理备份，支持全量备份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支持在不中断已有业务的情况下 ，对数据中心内部各类已有服务器设备进行监控纳管，包括X86服务器、ARM服务器、存储服务器、专有智能设备。支持通过IPMI协议对纳管的存量服务器进行远程开关机、远程监控等，管理员或租户可对纳管的服务器进行资产分配，分配给不同的租户或用户进行管理，并支持资产回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内置在线迁移工具，支 持业界主流的操作系统，支持将windows、linux物理机在线迁移至平台，支持通过本地套接字和ssh两种方式接入到源主机上进行迁移，迁移过程中支持对迁移数据进行压缩加密，支持控制迁移速率。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支持卡死及蓝屏的检测 功能并自动重启，无需人工干预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支持创建QoS规则， 可对硬盘IOPS、吞吐量等指标进行限制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支持精简配置方式， 系统根据精简配置卷的实际使用情况动态分配空间</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80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91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BC0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0"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DDE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316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安防管控综合平台</w:t>
            </w:r>
          </w:p>
        </w:tc>
        <w:tc>
          <w:tcPr>
            <w:tcW w:w="61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95DF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提供门户首页内容自定义能力，支持自定义快捷入口、自定义菜单内容、自定义页面元素设置；支持门户展示元素自定义，包括页面logo图标、修改网站标题、设置并添加网站外部链接；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提供统一的认证、鉴权管理、应用管理、菜单管理、用户管理、角色管理、组织管理、资源管理等能力；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提供用户权限管理能力，包括菜单权限、组织权限、区域权限、资源权限、功能控制权限；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提供组织、区域、设备、人员、卡片、车辆等资源统一管理；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提供用户安全管理，支持账户绑定用户mac地址及IP地址能力，提供账户安全设置，支持账户密码有效期设置，支持登录类型（Web端、PC客户端、移动端）和认证方式（密码、PKI）的配置；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支持停车场出入口设备的管理，包含出入口抓拍机、道闸、显示屏等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支持嵌套停车场场景下的车辆进出管理和余位统计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支持配置特殊车辆（警车、使馆车）、车牌类型、车牌前缀，自动放行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支持配置节假日车辆自动免费放行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支持根据车道类型自定义配置LED屏的显示内容，支持过车显示内容和空闲显示内容，显示内容可自定义配置文字颜色、文字对齐方式、显示方式和显示内容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出入口显示屏的空闲显示内容包括：空余车位、当前时间、当前日期及自定义文字4、出入口显示屏支持根据车道的启用和禁用状态显示对应的图标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支持根据车辆类型，自定义配置入场播报、出场播报和放行播报的语音播报内容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支持多种记录查询包括：过车记录、停车记录、场内车辆记录、预约记录、班次记录；查询结果支持列表和图片两种方式展示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支持查看车道的过车记录，包含过车时间、车牌号码、车辆类型、停车库、入库口等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支持在中心查看一户多车车辆的车辆信息和在场状态，可通过强制离场操作将已在场内的一户多车车辆改为离场状态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支持卡口设备、终端服务器、违停球设备的接入1、支持园区道路车辆抓拍识别，包含车牌号码、车牌类型、车牌颜色、车辆类型、车辆颜色、车辆品牌等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支持卡口设备的视频预览和回放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支持按车牌号、车牌颜色查询运行轨迹信息，并支持车辆经过各卡口点位的运行轨迹回放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支持将违章车辆信息推送到LED上进行展示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 支持配置车辆违规超次的阈值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 提供模型管理、模型下发、智能分析配置、抓图计划配置。通过将AI模型下发至设备，为设备通道配置智能分析任务，使设备拥有针对特定对象和场景的智能分析能力，能够解决碎片化场景下的智能分析问题。</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899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C07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CB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DC1BBF">
            <w:pPr>
              <w:jc w:val="center"/>
              <w:rPr>
                <w:rFonts w:hint="eastAsia" w:ascii="宋体" w:hAnsi="宋体" w:eastAsia="宋体" w:cs="宋体"/>
                <w:i w:val="0"/>
                <w:iCs w:val="0"/>
                <w:color w:val="000000"/>
                <w:sz w:val="20"/>
                <w:szCs w:val="20"/>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35F33">
            <w:pPr>
              <w:jc w:val="center"/>
              <w:rPr>
                <w:rFonts w:hint="eastAsia" w:ascii="宋体" w:hAnsi="宋体" w:eastAsia="宋体" w:cs="宋体"/>
                <w:i w:val="0"/>
                <w:iCs w:val="0"/>
                <w:color w:val="000000"/>
                <w:sz w:val="20"/>
                <w:szCs w:val="20"/>
                <w:u w:val="none"/>
              </w:rPr>
            </w:pPr>
          </w:p>
        </w:tc>
        <w:tc>
          <w:tcPr>
            <w:tcW w:w="61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9296F">
            <w:pPr>
              <w:jc w:val="left"/>
              <w:rPr>
                <w:rFonts w:hint="eastAsia" w:ascii="宋体" w:hAnsi="宋体" w:eastAsia="宋体" w:cs="宋体"/>
                <w:i w:val="0"/>
                <w:iCs w:val="0"/>
                <w:color w:val="000000"/>
                <w:sz w:val="20"/>
                <w:szCs w:val="20"/>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F8587">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FDDFC">
            <w:pPr>
              <w:jc w:val="center"/>
              <w:rPr>
                <w:rFonts w:hint="eastAsia" w:ascii="宋体" w:hAnsi="宋体" w:eastAsia="宋体" w:cs="宋体"/>
                <w:i w:val="0"/>
                <w:iCs w:val="0"/>
                <w:color w:val="000000"/>
                <w:sz w:val="20"/>
                <w:szCs w:val="20"/>
                <w:u w:val="none"/>
              </w:rPr>
            </w:pPr>
          </w:p>
        </w:tc>
      </w:tr>
      <w:tr w14:paraId="249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28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5D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定于对接预留费用</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AB8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与三方平台做数据对接和推送</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44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04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C6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86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15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40KVAUPS主机</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874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三进三出 or 三进单出可调，高频在线式UPS主机，36KW/40KVA，长延时机型，高频机，可塔式可机架式安装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额定容量：36KW/40KVA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额定输入电压：380/400/415Vac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输入电压范围：138～485Vac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相数：三相五线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输入频率范围：40~70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输入功率因数：满载≥0.99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输出电压：380/400/415(1±1%)Vac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输出频率：市电模式：与输入同步；当市电频率超出最大±10%（可设置±1%、±2%、±4%、±5%）时，输出频率50/60(±0.1); 电池模式：50/60(±0.1)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整机效率：≥95%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功率因数：0.9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过载能力：115％以下：长时间运行；115％~130％：15min；130％~155％：1min；＞155%：200ms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电池电压：支持24-40节可设(默认32节)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工作海拔：&lt;1500米，超过按照GB/T 3859.2规定降额使用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告警功能：具备LCD和蜂鸣器声光告警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保护功能：具备输出过载、短路；电池欠压、过压；充电过温、短路；交流输入电压、频率、相序异常；UPS过温、风机故障等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通信功能：通讯功能标配 RS485，可定制 RS232、干接点 、SNMP 环境温度为25℃时，在正常工作条件、异常工作条件和单一故障条件下，设备可触及的外表面和零部件的接触温度应符合GB 16796-2022中表6规定的要求。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UPS主机具有双键组合开关机功能，主机开机应同时按ON双键，关机应同时按OFF双键。</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84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F5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C83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B2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8A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120AH电池</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95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1、标称电压：12V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2：额定容量：120Ah（C10，1.8V/单体、25℃）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3、尺寸：407*173*237mm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4、重量：33.5Kg±3%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5、内阻：约4.8mΩ（荷电状态25℃）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6、短路电流：2500A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7、自放电：≤3%/月（25℃）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8、适用温度范围：-20℃~50℃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9、设计寿命：10年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10、执行标准：GB/T 19638.1-2014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11、均充电压：2.35V/单体（25℃）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12、浮充电压V/单体：2.25V/单体（25℃）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13、温度补偿系数：-4mV/℃·单体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14、最大充电电流 ：30A</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2F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E4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r>
      <w:tr w14:paraId="4A27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BF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E3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电池箱</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ED6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颜色：黑色（RAL9005）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外观尺寸：长*宽*高=950*780*1200(mm)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净重（KG）：75KG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毛重（KG）：76.5KG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安装方式：框架焊接式，前后插板，四层结构，每层8只电池；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材料类型：冷轧钢板（SPCC）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板材厚度：左壁1.0mm，右壁1.0mm，顶盖0.6mm。层板：30*30/40*40角铁，尺寸724*937mm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其他板厚：立柱为角铁型材增加加强筋结构，柜体为整体受力结构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接线柱：含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空开：1个63A/3P</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72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98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88F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0B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5B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电池间连接线</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75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适配32节电池箱用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套装内物料：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1、连接线缆：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规格: ZR-BVR-16方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数量：长度1200mm*2根,450mm*33根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2、绝缘帽：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数量：68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颜色：红/黑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3、铜鼻子：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规格：OT-8，已压接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数量（套）：70</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32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73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90E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41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49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汇流箱</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8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颜色：黑色（RAL9005）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安装方式：挂壁式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尺寸：宽*深*高=500*200*600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材质：优质镀锌板材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板厚：1.2mm厚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空开：1个125A/3P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其他：柜门增加加强筋结构，含接地装置</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FA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9C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FF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23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94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42U机柜</w:t>
            </w:r>
          </w:p>
        </w:tc>
        <w:tc>
          <w:tcPr>
            <w:tcW w:w="6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9E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42U，网孔门，落地机柜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承重：静态1000KG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前后门材质：前单开网孔门，后双开网孔门，冷轧板 T=1.2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门敞开百分比：前门78%，后门77.2%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侧门材质：冷轧板 T=1.0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门框左右立柱材质：冷轧板 T=1.2（框架）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左右支架：冷轧板 T=2.0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横梁：冷轧板 T=1.2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层板：1个，宽470*深850*高48  mm，承重60KG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L型隔条/支架：1对，长850*宽38*高38  mm，承重30KG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PDU：1个，8口PDU，输入10A，带2M线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滚轮：支持，4个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脚撑：支持，4个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风扇：不含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辅件：40套安装螺丝，前/后侧门钥匙各两把</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E6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F0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28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92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81F4C0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三、指挥中心办公弱电</w:t>
            </w:r>
          </w:p>
        </w:tc>
      </w:tr>
      <w:tr w14:paraId="457C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7D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0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AC管理器</w:t>
            </w:r>
          </w:p>
        </w:tc>
        <w:tc>
          <w:tcPr>
            <w:tcW w:w="0" w:type="auto"/>
            <w:tcBorders>
              <w:top w:val="nil"/>
              <w:left w:val="nil"/>
              <w:bottom w:val="nil"/>
              <w:right w:val="nil"/>
            </w:tcBorders>
            <w:shd w:val="clear" w:color="auto" w:fill="auto"/>
            <w:noWrap/>
            <w:vAlign w:val="center"/>
          </w:tcPr>
          <w:p w14:paraId="6005F4BC">
            <w:pPr>
              <w:keepNext w:val="0"/>
              <w:keepLines w:val="0"/>
              <w:widowControl/>
              <w:suppressLineNumbers w:val="0"/>
              <w:jc w:val="both"/>
              <w:textAlignment w:val="center"/>
              <w:rPr>
                <w:rFonts w:hint="eastAsia" w:ascii="宋体" w:hAnsi="宋体" w:eastAsia="宋体" w:cs="宋体"/>
                <w:i w:val="0"/>
                <w:iCs w:val="0"/>
                <w:color w:val="1A1A1A"/>
                <w:sz w:val="20"/>
                <w:szCs w:val="20"/>
                <w:u w:val="none"/>
              </w:rPr>
            </w:pPr>
            <w:r>
              <w:rPr>
                <w:rFonts w:hint="eastAsia" w:ascii="宋体" w:hAnsi="宋体" w:eastAsia="宋体" w:cs="宋体"/>
                <w:i w:val="0"/>
                <w:iCs w:val="0"/>
                <w:color w:val="1A1A1A"/>
                <w:kern w:val="0"/>
                <w:sz w:val="20"/>
                <w:szCs w:val="20"/>
                <w:u w:val="none"/>
                <w:lang w:val="en-US" w:eastAsia="zh-CN" w:bidi="ar"/>
              </w:rPr>
              <w:t>101-150终端 支持 SSL VPN，L2tp VPN</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6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3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71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F1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E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C8FC">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POE/DC供电   吸顶AP  频段2.4GHz；5GHz；2.4GHz+5GHz</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1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F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C62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27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D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8口POE交换机</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DF79">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非网管POE供电交换机</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3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8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D85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3C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9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半球摄像头</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C43D">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2.8mm 吸顶式、300W像素</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1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6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6039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A2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B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7203">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超六类室内网线</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0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EC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15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E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B821">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1.8米高</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B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5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52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45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B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E6AB">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1.5米高</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4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2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8B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98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1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理线架</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88E4">
            <w:pPr>
              <w:jc w:val="both"/>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国标</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E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2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E2B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A0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D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32路录像机</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5B79">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32路，双盘位</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F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B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2D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08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6T硬盘</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66BE">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A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3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63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DB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7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4T硬盘</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65C3">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4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C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05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01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6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切换器</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1283">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双路信号、支持音频切换</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D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C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4C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CA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1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高清线</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96A3">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4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8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E96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1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操作台</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C218">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弧形钢木混合、170*20铝型材 专业定制</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4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1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077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89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0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0125">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网布椅 专业定制</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A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1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5D1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FF85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4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8145">
            <w:pPr>
              <w:jc w:val="both"/>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国标</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D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4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6F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CFE8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8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包边</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C293">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黑色不锈钢0.8厚</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1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63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9040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2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编码器</w:t>
            </w:r>
          </w:p>
        </w:tc>
        <w:tc>
          <w:tcPr>
            <w:tcW w:w="0" w:type="auto"/>
            <w:tcBorders>
              <w:top w:val="nil"/>
              <w:left w:val="nil"/>
              <w:bottom w:val="nil"/>
              <w:right w:val="nil"/>
            </w:tcBorders>
            <w:shd w:val="clear" w:color="auto" w:fill="auto"/>
            <w:noWrap/>
            <w:vAlign w:val="center"/>
          </w:tcPr>
          <w:p w14:paraId="082EBAEB">
            <w:pPr>
              <w:keepNext w:val="0"/>
              <w:keepLines w:val="0"/>
              <w:widowControl/>
              <w:suppressLineNumbers w:val="0"/>
              <w:jc w:val="both"/>
              <w:textAlignment w:val="center"/>
              <w:rPr>
                <w:rFonts w:hint="eastAsia" w:ascii="宋体" w:hAnsi="宋体" w:eastAsia="宋体" w:cs="宋体"/>
                <w:i w:val="0"/>
                <w:iCs w:val="0"/>
                <w:color w:val="1A1A1A"/>
                <w:sz w:val="20"/>
                <w:szCs w:val="20"/>
                <w:u w:val="none"/>
              </w:rPr>
            </w:pPr>
            <w:r>
              <w:rPr>
                <w:rFonts w:hint="eastAsia" w:ascii="宋体" w:hAnsi="宋体" w:eastAsia="宋体" w:cs="宋体"/>
                <w:i w:val="0"/>
                <w:iCs w:val="0"/>
                <w:color w:val="1A1A1A"/>
                <w:kern w:val="0"/>
                <w:sz w:val="20"/>
                <w:szCs w:val="20"/>
                <w:u w:val="none"/>
                <w:lang w:val="en-US" w:eastAsia="zh-CN" w:bidi="ar"/>
              </w:rPr>
              <w:t>HDMI编码器</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4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1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C44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0BB7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5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DVI转HDMI线</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5A98">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2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4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6A8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A180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B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6A4D">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千兆网口   VPN类型：SSL VPN，L2tp VPN，IPSec VPN 支持APP控制</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2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F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02C87DBB">
      <w:pPr>
        <w:rPr>
          <w:rFonts w:hint="eastAsia" w:ascii="宋体" w:hAnsi="宋体" w:cs="宋体"/>
          <w:bCs/>
          <w:color w:val="000000"/>
          <w:szCs w:val="32"/>
        </w:rPr>
      </w:pPr>
      <w:r>
        <w:rPr>
          <w:rFonts w:hint="eastAsia" w:ascii="宋体" w:hAnsi="宋体" w:cs="宋体"/>
          <w:bCs/>
          <w:color w:val="000000"/>
          <w:szCs w:val="32"/>
        </w:rPr>
        <w:br w:type="page"/>
      </w:r>
    </w:p>
    <w:bookmarkEnd w:id="351"/>
    <w:bookmarkEnd w:id="352"/>
    <w:bookmarkEnd w:id="353"/>
    <w:p w14:paraId="635DD6F5">
      <w:pPr>
        <w:pStyle w:val="2"/>
        <w:rPr>
          <w:rFonts w:hint="eastAsia" w:ascii="宋体" w:hAnsi="宋体" w:cs="宋体"/>
          <w:color w:val="000000"/>
          <w:sz w:val="32"/>
          <w:szCs w:val="32"/>
        </w:rPr>
      </w:pPr>
      <w:bookmarkStart w:id="354" w:name="_Toc3852"/>
      <w:r>
        <w:rPr>
          <w:rFonts w:hint="eastAsia" w:ascii="宋体" w:hAnsi="宋体" w:cs="宋体"/>
          <w:bCs/>
          <w:color w:val="000000"/>
          <w:sz w:val="32"/>
          <w:szCs w:val="32"/>
        </w:rPr>
        <w:t>第</w:t>
      </w:r>
      <w:r>
        <w:rPr>
          <w:rFonts w:hint="eastAsia" w:ascii="宋体" w:hAnsi="宋体" w:cs="宋体"/>
          <w:bCs/>
          <w:color w:val="000000"/>
          <w:sz w:val="32"/>
          <w:szCs w:val="32"/>
          <w:lang w:val="en-US" w:eastAsia="zh-CN"/>
        </w:rPr>
        <w:t>五</w:t>
      </w:r>
      <w:r>
        <w:rPr>
          <w:rFonts w:hint="eastAsia" w:ascii="宋体" w:hAnsi="宋体" w:cs="宋体"/>
          <w:bCs/>
          <w:color w:val="000000"/>
          <w:sz w:val="32"/>
          <w:szCs w:val="32"/>
        </w:rPr>
        <w:t>章 合同条款及格式</w:t>
      </w:r>
      <w:bookmarkEnd w:id="96"/>
      <w:bookmarkEnd w:id="350"/>
      <w:bookmarkEnd w:id="354"/>
    </w:p>
    <w:p w14:paraId="1943C315">
      <w:pPr>
        <w:adjustRightInd w:val="0"/>
        <w:snapToGrid w:val="0"/>
        <w:spacing w:line="360" w:lineRule="auto"/>
        <w:jc w:val="center"/>
        <w:rPr>
          <w:rFonts w:hint="eastAsia" w:ascii="宋体" w:hAnsi="宋体" w:eastAsia="宋体" w:cs="宋体"/>
          <w:b/>
          <w:color w:val="000000"/>
          <w:szCs w:val="21"/>
          <w:lang w:eastAsia="zh-CN"/>
        </w:rPr>
      </w:pPr>
      <w:r>
        <w:rPr>
          <w:rFonts w:hint="eastAsia" w:ascii="宋体" w:hAnsi="宋体" w:cs="宋体"/>
          <w:b/>
          <w:color w:val="000000"/>
          <w:szCs w:val="21"/>
          <w:lang w:eastAsia="zh-CN"/>
        </w:rPr>
        <w:t>（</w:t>
      </w:r>
      <w:r>
        <w:rPr>
          <w:rFonts w:hint="eastAsia" w:ascii="宋体" w:hAnsi="宋体" w:cs="宋体"/>
          <w:b/>
          <w:color w:val="000000"/>
          <w:szCs w:val="21"/>
        </w:rPr>
        <w:t>注：本合同仅</w:t>
      </w:r>
      <w:r>
        <w:rPr>
          <w:rFonts w:hint="eastAsia" w:ascii="宋体" w:hAnsi="宋体" w:cs="宋体"/>
          <w:b/>
          <w:color w:val="000000"/>
          <w:szCs w:val="21"/>
          <w:lang w:eastAsia="zh-CN"/>
        </w:rPr>
        <w:t>供</w:t>
      </w:r>
      <w:r>
        <w:rPr>
          <w:rFonts w:hint="eastAsia" w:ascii="宋体" w:hAnsi="宋体" w:cs="宋体"/>
          <w:b/>
          <w:color w:val="000000"/>
          <w:szCs w:val="21"/>
        </w:rPr>
        <w:t>参考</w:t>
      </w:r>
      <w:r>
        <w:rPr>
          <w:rFonts w:hint="eastAsia" w:ascii="宋体" w:hAnsi="宋体" w:cs="宋体"/>
          <w:b/>
          <w:color w:val="000000"/>
          <w:szCs w:val="21"/>
          <w:lang w:eastAsia="zh-CN"/>
        </w:rPr>
        <w:t>）</w:t>
      </w:r>
    </w:p>
    <w:p w14:paraId="6B782FFF">
      <w:pPr>
        <w:pStyle w:val="6"/>
        <w:spacing w:before="226"/>
        <w:ind w:firstLine="1200" w:firstLineChars="500"/>
        <w:jc w:val="both"/>
        <w:rPr>
          <w:rFonts w:ascii="宋体" w:hAnsi="宋体"/>
          <w:sz w:val="24"/>
          <w:szCs w:val="24"/>
        </w:rPr>
      </w:pPr>
      <w:bookmarkStart w:id="355" w:name="_Toc144905400"/>
      <w:r>
        <w:rPr>
          <w:rFonts w:ascii="宋体" w:hAnsi="宋体"/>
          <w:sz w:val="24"/>
          <w:szCs w:val="24"/>
        </w:rPr>
        <w:t>甲方：（采购人）</w:t>
      </w:r>
      <w:r>
        <w:rPr>
          <w:rFonts w:hint="eastAsia" w:ascii="宋体" w:hAnsi="宋体"/>
          <w:sz w:val="24"/>
          <w:szCs w:val="24"/>
          <w:u w:val="single"/>
        </w:rPr>
        <w:t xml:space="preserve">                      </w:t>
      </w:r>
      <w:r>
        <w:rPr>
          <w:rFonts w:hint="eastAsia" w:ascii="宋体" w:hAnsi="宋体"/>
          <w:sz w:val="24"/>
          <w:szCs w:val="24"/>
        </w:rPr>
        <w:t>（</w:t>
      </w:r>
      <w:r>
        <w:rPr>
          <w:rFonts w:ascii="宋体" w:hAnsi="宋体"/>
          <w:sz w:val="24"/>
          <w:szCs w:val="24"/>
        </w:rPr>
        <w:t>以下简称甲方）</w:t>
      </w:r>
    </w:p>
    <w:p w14:paraId="0360D17E">
      <w:pPr>
        <w:pStyle w:val="6"/>
        <w:tabs>
          <w:tab w:val="left" w:pos="4880"/>
        </w:tabs>
        <w:spacing w:before="170"/>
        <w:ind w:firstLine="1200" w:firstLineChars="500"/>
        <w:jc w:val="both"/>
        <w:rPr>
          <w:rFonts w:ascii="宋体" w:hAnsi="宋体"/>
          <w:sz w:val="24"/>
          <w:szCs w:val="24"/>
        </w:rPr>
      </w:pPr>
      <w:r>
        <w:rPr>
          <w:rFonts w:ascii="宋体" w:hAnsi="宋体"/>
          <w:sz w:val="24"/>
          <w:szCs w:val="24"/>
        </w:rPr>
        <w:t>乙方：（成交供应商）</w:t>
      </w:r>
      <w:r>
        <w:rPr>
          <w:rFonts w:ascii="宋体" w:hAnsi="宋体"/>
          <w:sz w:val="24"/>
          <w:szCs w:val="24"/>
          <w:u w:val="single"/>
        </w:rPr>
        <w:tab/>
      </w:r>
      <w:r>
        <w:rPr>
          <w:rFonts w:hint="eastAsia" w:ascii="宋体" w:hAnsi="宋体"/>
          <w:sz w:val="24"/>
          <w:szCs w:val="24"/>
          <w:u w:val="single"/>
          <w:lang w:val="en-US" w:eastAsia="zh-CN"/>
        </w:rPr>
        <w:t xml:space="preserve">       </w:t>
      </w:r>
      <w:r>
        <w:rPr>
          <w:rFonts w:ascii="宋体" w:hAnsi="宋体"/>
          <w:sz w:val="24"/>
          <w:szCs w:val="24"/>
        </w:rPr>
        <w:t>（以下简称乙方）</w:t>
      </w:r>
    </w:p>
    <w:p w14:paraId="24D676D9">
      <w:pPr>
        <w:adjustRightInd w:val="0"/>
        <w:snapToGrid w:val="0"/>
        <w:spacing w:line="360" w:lineRule="auto"/>
        <w:jc w:val="left"/>
        <w:rPr>
          <w:rFonts w:ascii="宋体" w:hAnsi="宋体"/>
          <w:sz w:val="24"/>
          <w:szCs w:val="24"/>
        </w:rPr>
      </w:pPr>
      <w:r>
        <w:rPr>
          <w:rFonts w:hint="eastAsia" w:ascii="宋体" w:hAnsi="宋体"/>
          <w:sz w:val="24"/>
          <w:szCs w:val="24"/>
        </w:rPr>
        <w:t xml:space="preserve">    </w:t>
      </w:r>
      <w:r>
        <w:rPr>
          <w:rFonts w:ascii="宋体" w:hAnsi="宋体"/>
          <w:sz w:val="24"/>
          <w:szCs w:val="24"/>
          <w:lang w:val="zh-CN"/>
        </w:rPr>
        <w:t>经过竞争性磋商采购，甲方将乙方作为</w:t>
      </w:r>
      <w:r>
        <w:rPr>
          <w:rFonts w:hint="eastAsia" w:ascii="宋体" w:hAnsi="宋体"/>
          <w:sz w:val="24"/>
          <w:szCs w:val="24"/>
          <w:lang w:eastAsia="zh-CN"/>
        </w:rPr>
        <w:t>灵宝市矿山税收一体化综合服务中心信息化改造项目</w:t>
      </w:r>
      <w:r>
        <w:rPr>
          <w:rFonts w:ascii="宋体" w:hAnsi="宋体"/>
          <w:sz w:val="24"/>
          <w:szCs w:val="24"/>
        </w:rPr>
        <w:t>成交供应商。依照《中华人民共和国</w:t>
      </w:r>
      <w:r>
        <w:rPr>
          <w:rFonts w:hint="eastAsia" w:ascii="宋体" w:hAnsi="宋体"/>
          <w:sz w:val="24"/>
          <w:szCs w:val="24"/>
          <w:lang w:val="en-US" w:eastAsia="zh-CN"/>
        </w:rPr>
        <w:t>民法典</w:t>
      </w:r>
      <w:r>
        <w:rPr>
          <w:rFonts w:ascii="宋体" w:hAnsi="宋体"/>
          <w:sz w:val="24"/>
          <w:szCs w:val="24"/>
        </w:rPr>
        <w:t>》、《政府采购竞争性磋商采购方式管理暂行办法》，遵循平等、自愿、公平和诚信的原则， 经甲乙双方协商一致，签订如下协议</w:t>
      </w:r>
    </w:p>
    <w:p w14:paraId="069D0062">
      <w:pPr>
        <w:numPr>
          <w:ilvl w:val="0"/>
          <w:numId w:val="0"/>
        </w:numPr>
        <w:tabs>
          <w:tab w:val="left" w:pos="1045"/>
        </w:tabs>
        <w:spacing w:before="94"/>
        <w:ind w:left="1044" w:leftChars="0" w:hanging="244" w:firstLineChars="0"/>
        <w:rPr>
          <w:rFonts w:ascii="宋体" w:hAnsi="宋体"/>
          <w:sz w:val="24"/>
          <w:szCs w:val="24"/>
        </w:rPr>
      </w:pPr>
      <w:bookmarkStart w:id="356" w:name="_Toc6654_WPSOffice_Level3"/>
      <w:r>
        <w:rPr>
          <w:rFonts w:hint="default" w:ascii="宋体" w:hAnsi="宋体" w:eastAsia="宋体" w:cs="宋体"/>
          <w:b w:val="0"/>
          <w:bCs w:val="0"/>
          <w:spacing w:val="-3"/>
          <w:w w:val="99"/>
          <w:kern w:val="2"/>
          <w:sz w:val="24"/>
          <w:szCs w:val="24"/>
          <w:lang w:val="zh-CN" w:eastAsia="zh-CN" w:bidi="zh-CN"/>
        </w:rPr>
        <w:t>1.</w:t>
      </w:r>
      <w:r>
        <w:rPr>
          <w:rFonts w:ascii="宋体" w:hAnsi="宋体"/>
          <w:sz w:val="24"/>
          <w:szCs w:val="24"/>
        </w:rPr>
        <w:t>货物内容</w:t>
      </w:r>
      <w:bookmarkEnd w:id="356"/>
    </w:p>
    <w:p w14:paraId="7D6C8925">
      <w:pPr>
        <w:pStyle w:val="36"/>
        <w:numPr>
          <w:ilvl w:val="1"/>
          <w:numId w:val="0"/>
        </w:numPr>
        <w:tabs>
          <w:tab w:val="left" w:pos="1281"/>
        </w:tabs>
        <w:spacing w:before="211"/>
        <w:ind w:left="1320" w:leftChars="0" w:hanging="480" w:firstLineChars="0"/>
        <w:rPr>
          <w:rFonts w:ascii="宋体" w:hAnsi="宋体"/>
          <w:sz w:val="24"/>
          <w:szCs w:val="24"/>
          <w:lang w:val="zh-CN"/>
        </w:rPr>
      </w:pPr>
      <w:r>
        <w:rPr>
          <w:rFonts w:hint="default" w:ascii="宋体" w:hAnsi="宋体" w:eastAsia="宋体" w:cs="宋体"/>
          <w:w w:val="100"/>
          <w:kern w:val="2"/>
          <w:sz w:val="24"/>
          <w:szCs w:val="24"/>
          <w:lang w:val="zh-CN" w:eastAsia="zh-CN" w:bidi="zh-CN"/>
        </w:rPr>
        <w:t>1.1</w:t>
      </w:r>
      <w:r>
        <w:rPr>
          <w:rFonts w:ascii="宋体" w:hAnsi="宋体"/>
          <w:sz w:val="24"/>
          <w:szCs w:val="24"/>
          <w:lang w:val="zh-CN"/>
        </w:rPr>
        <w:t>货物名称：</w:t>
      </w:r>
    </w:p>
    <w:p w14:paraId="28969B43">
      <w:pPr>
        <w:pStyle w:val="36"/>
        <w:numPr>
          <w:ilvl w:val="1"/>
          <w:numId w:val="0"/>
        </w:numPr>
        <w:tabs>
          <w:tab w:val="left" w:pos="1281"/>
        </w:tabs>
        <w:spacing w:before="213"/>
        <w:ind w:left="1320" w:leftChars="0" w:hanging="480" w:firstLineChars="0"/>
        <w:rPr>
          <w:rFonts w:ascii="宋体" w:hAnsi="宋体"/>
          <w:sz w:val="24"/>
          <w:szCs w:val="24"/>
          <w:lang w:val="zh-CN"/>
        </w:rPr>
      </w:pPr>
      <w:r>
        <w:rPr>
          <w:rFonts w:hint="default" w:ascii="宋体" w:hAnsi="宋体" w:eastAsia="宋体" w:cs="宋体"/>
          <w:w w:val="100"/>
          <w:kern w:val="2"/>
          <w:sz w:val="24"/>
          <w:szCs w:val="24"/>
          <w:lang w:val="zh-CN" w:eastAsia="zh-CN" w:bidi="zh-CN"/>
        </w:rPr>
        <w:t>1.2</w:t>
      </w:r>
      <w:r>
        <w:rPr>
          <w:rFonts w:ascii="宋体" w:hAnsi="宋体"/>
          <w:sz w:val="24"/>
          <w:szCs w:val="24"/>
          <w:lang w:val="zh-CN"/>
        </w:rPr>
        <w:t>型号规格：</w:t>
      </w:r>
    </w:p>
    <w:p w14:paraId="60E3D46D">
      <w:pPr>
        <w:pStyle w:val="36"/>
        <w:numPr>
          <w:ilvl w:val="1"/>
          <w:numId w:val="0"/>
        </w:numPr>
        <w:tabs>
          <w:tab w:val="left" w:pos="1281"/>
        </w:tabs>
        <w:spacing w:before="213"/>
        <w:ind w:left="1320" w:leftChars="0" w:hanging="480" w:firstLineChars="0"/>
        <w:rPr>
          <w:rFonts w:ascii="宋体" w:hAnsi="宋体"/>
          <w:sz w:val="24"/>
          <w:szCs w:val="24"/>
          <w:lang w:val="zh-CN"/>
        </w:rPr>
      </w:pPr>
      <w:r>
        <w:rPr>
          <w:rFonts w:hint="default" w:ascii="宋体" w:hAnsi="宋体" w:eastAsia="宋体" w:cs="宋体"/>
          <w:w w:val="100"/>
          <w:kern w:val="2"/>
          <w:sz w:val="24"/>
          <w:szCs w:val="24"/>
          <w:lang w:val="zh-CN" w:eastAsia="zh-CN" w:bidi="zh-CN"/>
        </w:rPr>
        <w:t>1.3</w:t>
      </w:r>
      <w:r>
        <w:rPr>
          <w:rFonts w:ascii="宋体" w:hAnsi="宋体"/>
          <w:sz w:val="24"/>
          <w:szCs w:val="24"/>
          <w:lang w:val="zh-CN"/>
        </w:rPr>
        <w:t>技术参数：</w:t>
      </w:r>
    </w:p>
    <w:p w14:paraId="223ACE03">
      <w:pPr>
        <w:pStyle w:val="36"/>
        <w:numPr>
          <w:ilvl w:val="1"/>
          <w:numId w:val="0"/>
        </w:numPr>
        <w:tabs>
          <w:tab w:val="left" w:pos="1281"/>
        </w:tabs>
        <w:spacing w:before="211"/>
        <w:ind w:left="1320" w:leftChars="0" w:hanging="480" w:firstLineChars="0"/>
        <w:rPr>
          <w:rFonts w:ascii="宋体" w:hAnsi="宋体"/>
          <w:sz w:val="24"/>
          <w:szCs w:val="24"/>
          <w:lang w:val="zh-CN"/>
        </w:rPr>
      </w:pPr>
      <w:r>
        <w:rPr>
          <w:rFonts w:hint="default" w:ascii="宋体" w:hAnsi="宋体" w:eastAsia="宋体" w:cs="宋体"/>
          <w:w w:val="100"/>
          <w:kern w:val="2"/>
          <w:sz w:val="24"/>
          <w:szCs w:val="24"/>
          <w:lang w:val="zh-CN" w:eastAsia="zh-CN" w:bidi="zh-CN"/>
        </w:rPr>
        <w:t>1.4</w:t>
      </w:r>
      <w:r>
        <w:rPr>
          <w:rFonts w:ascii="宋体" w:hAnsi="宋体"/>
          <w:sz w:val="24"/>
          <w:szCs w:val="24"/>
          <w:lang w:val="zh-CN"/>
        </w:rPr>
        <w:t>数量（单位）：</w:t>
      </w:r>
    </w:p>
    <w:p w14:paraId="4FD9E19F">
      <w:pPr>
        <w:numPr>
          <w:ilvl w:val="0"/>
          <w:numId w:val="0"/>
        </w:numPr>
        <w:tabs>
          <w:tab w:val="left" w:pos="1045"/>
        </w:tabs>
        <w:spacing w:before="213"/>
        <w:ind w:left="1044" w:leftChars="0" w:hanging="244" w:firstLineChars="0"/>
        <w:rPr>
          <w:rFonts w:ascii="宋体" w:hAnsi="宋体"/>
          <w:sz w:val="24"/>
          <w:szCs w:val="24"/>
          <w:lang w:val="zh-CN"/>
        </w:rPr>
      </w:pPr>
      <w:bookmarkStart w:id="357" w:name="_Toc13068_WPSOffice_Level3"/>
      <w:r>
        <w:rPr>
          <w:rFonts w:hint="default" w:ascii="宋体" w:hAnsi="宋体" w:eastAsia="宋体" w:cs="宋体"/>
          <w:b w:val="0"/>
          <w:bCs w:val="0"/>
          <w:spacing w:val="-3"/>
          <w:w w:val="99"/>
          <w:kern w:val="2"/>
          <w:sz w:val="24"/>
          <w:szCs w:val="24"/>
          <w:lang w:val="zh-CN" w:eastAsia="zh-CN" w:bidi="zh-CN"/>
        </w:rPr>
        <w:t>2.</w:t>
      </w:r>
      <w:r>
        <w:rPr>
          <w:rFonts w:ascii="宋体" w:hAnsi="宋体"/>
          <w:sz w:val="24"/>
          <w:szCs w:val="24"/>
          <w:lang w:val="zh-CN"/>
        </w:rPr>
        <w:t>合同金额</w:t>
      </w:r>
      <w:bookmarkEnd w:id="357"/>
    </w:p>
    <w:p w14:paraId="5FCDD3AC">
      <w:pPr>
        <w:pStyle w:val="6"/>
        <w:tabs>
          <w:tab w:val="left" w:pos="5360"/>
          <w:tab w:val="left" w:pos="7040"/>
        </w:tabs>
        <w:spacing w:before="214"/>
        <w:ind w:left="800"/>
        <w:rPr>
          <w:rFonts w:ascii="宋体" w:hAnsi="宋体"/>
          <w:sz w:val="24"/>
          <w:szCs w:val="24"/>
          <w:lang w:val="zh-CN"/>
        </w:rPr>
      </w:pPr>
      <w:r>
        <w:rPr>
          <w:rFonts w:ascii="宋体" w:hAnsi="宋体"/>
          <w:sz w:val="24"/>
          <w:szCs w:val="24"/>
          <w:lang w:val="zh-CN"/>
        </w:rPr>
        <w:t>本合同金额为人民币（大写）：</w:t>
      </w:r>
      <w:r>
        <w:rPr>
          <w:rFonts w:ascii="宋体" w:hAnsi="宋体"/>
          <w:sz w:val="24"/>
          <w:szCs w:val="24"/>
          <w:lang w:val="zh-CN"/>
        </w:rPr>
        <w:tab/>
      </w:r>
      <w:r>
        <w:rPr>
          <w:rFonts w:ascii="宋体" w:hAnsi="宋体"/>
          <w:sz w:val="24"/>
          <w:szCs w:val="24"/>
          <w:lang w:val="zh-CN"/>
        </w:rPr>
        <w:t>元（￥</w:t>
      </w:r>
      <w:r>
        <w:rPr>
          <w:rFonts w:ascii="宋体" w:hAnsi="宋体"/>
          <w:sz w:val="24"/>
          <w:szCs w:val="24"/>
          <w:lang w:val="zh-CN"/>
        </w:rPr>
        <w:tab/>
      </w:r>
      <w:r>
        <w:rPr>
          <w:rFonts w:ascii="宋体" w:hAnsi="宋体"/>
          <w:sz w:val="24"/>
          <w:szCs w:val="24"/>
          <w:lang w:val="zh-CN"/>
        </w:rPr>
        <w:t>元）。</w:t>
      </w:r>
    </w:p>
    <w:p w14:paraId="79EFC19E">
      <w:pPr>
        <w:numPr>
          <w:ilvl w:val="0"/>
          <w:numId w:val="0"/>
        </w:numPr>
        <w:tabs>
          <w:tab w:val="left" w:pos="1045"/>
        </w:tabs>
        <w:spacing w:before="211"/>
        <w:ind w:left="1044" w:leftChars="0" w:hanging="244" w:firstLineChars="0"/>
        <w:rPr>
          <w:rFonts w:ascii="宋体" w:hAnsi="宋体"/>
          <w:sz w:val="24"/>
          <w:szCs w:val="24"/>
          <w:lang w:val="zh-CN"/>
        </w:rPr>
      </w:pPr>
      <w:bookmarkStart w:id="358" w:name="_Toc9443_WPSOffice_Level3"/>
      <w:r>
        <w:rPr>
          <w:rFonts w:hint="default" w:ascii="宋体" w:hAnsi="宋体" w:eastAsia="宋体" w:cs="宋体"/>
          <w:b w:val="0"/>
          <w:bCs w:val="0"/>
          <w:spacing w:val="-3"/>
          <w:w w:val="99"/>
          <w:kern w:val="2"/>
          <w:sz w:val="24"/>
          <w:szCs w:val="24"/>
          <w:lang w:val="zh-CN" w:eastAsia="zh-CN" w:bidi="zh-CN"/>
        </w:rPr>
        <w:t>3.</w:t>
      </w:r>
      <w:r>
        <w:rPr>
          <w:rFonts w:ascii="宋体" w:hAnsi="宋体"/>
          <w:sz w:val="24"/>
          <w:szCs w:val="24"/>
          <w:lang w:val="zh-CN"/>
        </w:rPr>
        <w:t>技术资料</w:t>
      </w:r>
      <w:bookmarkEnd w:id="358"/>
    </w:p>
    <w:p w14:paraId="7A8F0550">
      <w:pPr>
        <w:pStyle w:val="36"/>
        <w:numPr>
          <w:ilvl w:val="1"/>
          <w:numId w:val="0"/>
        </w:numPr>
        <w:tabs>
          <w:tab w:val="left" w:pos="1281"/>
        </w:tabs>
        <w:spacing w:before="213"/>
        <w:ind w:left="1320" w:leftChars="0" w:hanging="480" w:firstLineChars="0"/>
        <w:rPr>
          <w:rFonts w:ascii="宋体" w:hAnsi="宋体"/>
          <w:sz w:val="24"/>
          <w:szCs w:val="24"/>
          <w:lang w:val="zh-CN"/>
        </w:rPr>
      </w:pPr>
      <w:r>
        <w:rPr>
          <w:rFonts w:hint="default" w:ascii="宋体" w:hAnsi="宋体" w:eastAsia="宋体" w:cs="宋体"/>
          <w:w w:val="100"/>
          <w:kern w:val="2"/>
          <w:sz w:val="24"/>
          <w:szCs w:val="24"/>
          <w:lang w:val="zh-CN" w:eastAsia="zh-CN" w:bidi="zh-CN"/>
        </w:rPr>
        <w:t>3.1</w:t>
      </w:r>
      <w:r>
        <w:rPr>
          <w:rFonts w:ascii="宋体" w:hAnsi="宋体"/>
          <w:sz w:val="24"/>
          <w:szCs w:val="24"/>
          <w:lang w:val="zh-CN"/>
        </w:rPr>
        <w:t>乙方按磋商文件规定的时间向甲方提供使用货物的有关技术资料。</w:t>
      </w:r>
    </w:p>
    <w:p w14:paraId="7A64D1B5">
      <w:pPr>
        <w:pStyle w:val="36"/>
        <w:numPr>
          <w:ilvl w:val="1"/>
          <w:numId w:val="0"/>
        </w:numPr>
        <w:tabs>
          <w:tab w:val="left" w:pos="1281"/>
        </w:tabs>
        <w:spacing w:before="213" w:line="405" w:lineRule="auto"/>
        <w:ind w:left="360" w:leftChars="0" w:right="403" w:rightChars="0" w:firstLine="480" w:firstLineChars="0"/>
        <w:rPr>
          <w:rFonts w:ascii="宋体" w:hAnsi="宋体"/>
          <w:sz w:val="24"/>
          <w:szCs w:val="24"/>
          <w:lang w:val="zh-CN"/>
        </w:rPr>
      </w:pPr>
      <w:r>
        <w:rPr>
          <w:rFonts w:hint="default" w:ascii="宋体" w:hAnsi="宋体" w:eastAsia="宋体" w:cs="宋体"/>
          <w:w w:val="100"/>
          <w:kern w:val="2"/>
          <w:sz w:val="24"/>
          <w:szCs w:val="24"/>
          <w:lang w:val="zh-CN" w:eastAsia="zh-CN" w:bidi="zh-CN"/>
        </w:rPr>
        <w:t>3.2</w:t>
      </w:r>
      <w:r>
        <w:rPr>
          <w:rFonts w:ascii="宋体" w:hAnsi="宋体"/>
          <w:sz w:val="24"/>
          <w:szCs w:val="24"/>
          <w:lang w:val="zh-CN"/>
        </w:rPr>
        <w:t>没有甲方事先书面同意，乙方不得将由甲方提供的有关合同或任何合同条文、规格、计划、样品或资料提供给与履行本合同无关的任何其他人。</w:t>
      </w:r>
    </w:p>
    <w:p w14:paraId="6A28C419">
      <w:pPr>
        <w:numPr>
          <w:ilvl w:val="0"/>
          <w:numId w:val="0"/>
        </w:numPr>
        <w:tabs>
          <w:tab w:val="left" w:pos="1045"/>
        </w:tabs>
        <w:ind w:left="1044" w:leftChars="0" w:hanging="244" w:firstLineChars="0"/>
        <w:rPr>
          <w:rFonts w:ascii="宋体" w:hAnsi="宋体"/>
          <w:sz w:val="24"/>
          <w:szCs w:val="24"/>
          <w:lang w:val="zh-CN"/>
        </w:rPr>
      </w:pPr>
      <w:bookmarkStart w:id="359" w:name="_Toc14925_WPSOffice_Level3"/>
      <w:r>
        <w:rPr>
          <w:rFonts w:hint="default" w:ascii="宋体" w:hAnsi="宋体" w:eastAsia="宋体" w:cs="宋体"/>
          <w:b w:val="0"/>
          <w:bCs w:val="0"/>
          <w:spacing w:val="-3"/>
          <w:w w:val="99"/>
          <w:kern w:val="2"/>
          <w:sz w:val="24"/>
          <w:szCs w:val="24"/>
          <w:lang w:val="zh-CN" w:eastAsia="zh-CN" w:bidi="zh-CN"/>
        </w:rPr>
        <w:t>4.</w:t>
      </w:r>
      <w:r>
        <w:rPr>
          <w:rFonts w:ascii="宋体" w:hAnsi="宋体"/>
          <w:sz w:val="24"/>
          <w:szCs w:val="24"/>
          <w:lang w:val="zh-CN"/>
        </w:rPr>
        <w:t>知识产权</w:t>
      </w:r>
      <w:bookmarkEnd w:id="359"/>
    </w:p>
    <w:p w14:paraId="61F730B7">
      <w:pPr>
        <w:pStyle w:val="6"/>
        <w:spacing w:before="213"/>
        <w:ind w:left="800"/>
        <w:rPr>
          <w:rFonts w:ascii="宋体" w:hAnsi="宋体"/>
          <w:sz w:val="24"/>
          <w:szCs w:val="24"/>
          <w:lang w:val="zh-CN"/>
        </w:rPr>
      </w:pPr>
      <w:r>
        <w:rPr>
          <w:rFonts w:ascii="宋体" w:hAnsi="宋体"/>
          <w:sz w:val="24"/>
          <w:szCs w:val="24"/>
          <w:lang w:val="zh-CN"/>
        </w:rPr>
        <w:t>乙方保证所提供的货物或其任何一部分均不会侵犯任何第三方的知识产权。</w:t>
      </w:r>
    </w:p>
    <w:p w14:paraId="5279B364">
      <w:pPr>
        <w:numPr>
          <w:ilvl w:val="0"/>
          <w:numId w:val="0"/>
        </w:numPr>
        <w:tabs>
          <w:tab w:val="left" w:pos="1045"/>
        </w:tabs>
        <w:spacing w:before="211"/>
        <w:ind w:left="1044" w:leftChars="0" w:hanging="244" w:firstLineChars="0"/>
        <w:rPr>
          <w:rFonts w:ascii="宋体" w:hAnsi="宋体"/>
          <w:sz w:val="24"/>
          <w:szCs w:val="24"/>
          <w:lang w:val="zh-CN"/>
        </w:rPr>
      </w:pPr>
      <w:bookmarkStart w:id="360" w:name="_Toc4972_WPSOffice_Level3"/>
      <w:r>
        <w:rPr>
          <w:rFonts w:hint="default" w:ascii="宋体" w:hAnsi="宋体" w:eastAsia="宋体" w:cs="宋体"/>
          <w:b w:val="0"/>
          <w:bCs w:val="0"/>
          <w:spacing w:val="-3"/>
          <w:w w:val="99"/>
          <w:kern w:val="2"/>
          <w:sz w:val="24"/>
          <w:szCs w:val="24"/>
          <w:lang w:val="zh-CN" w:eastAsia="zh-CN" w:bidi="zh-CN"/>
        </w:rPr>
        <w:t>5.</w:t>
      </w:r>
      <w:r>
        <w:rPr>
          <w:rFonts w:ascii="宋体" w:hAnsi="宋体"/>
          <w:sz w:val="24"/>
          <w:szCs w:val="24"/>
          <w:lang w:val="zh-CN"/>
        </w:rPr>
        <w:t>产权担保</w:t>
      </w:r>
      <w:bookmarkEnd w:id="360"/>
    </w:p>
    <w:p w14:paraId="13E1D648">
      <w:pPr>
        <w:pStyle w:val="6"/>
        <w:spacing w:before="214"/>
        <w:ind w:left="800"/>
        <w:rPr>
          <w:rFonts w:ascii="宋体" w:hAnsi="宋体"/>
          <w:sz w:val="24"/>
          <w:szCs w:val="24"/>
          <w:lang w:val="zh-CN"/>
        </w:rPr>
      </w:pPr>
      <w:r>
        <w:rPr>
          <w:rFonts w:ascii="宋体" w:hAnsi="宋体"/>
          <w:sz w:val="24"/>
          <w:szCs w:val="24"/>
          <w:lang w:val="zh-CN"/>
        </w:rPr>
        <w:t>乙方保证所交付的货物的所有权完全属于乙方且无任何抵押、查封等产权瑕疵。</w:t>
      </w:r>
    </w:p>
    <w:p w14:paraId="3CF4F0E6">
      <w:pPr>
        <w:numPr>
          <w:ilvl w:val="0"/>
          <w:numId w:val="0"/>
        </w:numPr>
        <w:tabs>
          <w:tab w:val="left" w:pos="1045"/>
        </w:tabs>
        <w:spacing w:before="213"/>
        <w:ind w:left="1044" w:leftChars="0" w:hanging="244" w:firstLineChars="0"/>
        <w:rPr>
          <w:rFonts w:ascii="宋体" w:hAnsi="宋体"/>
          <w:sz w:val="24"/>
          <w:szCs w:val="24"/>
          <w:lang w:val="zh-CN"/>
        </w:rPr>
      </w:pPr>
      <w:bookmarkStart w:id="361" w:name="_Toc28006_WPSOffice_Level3"/>
      <w:r>
        <w:rPr>
          <w:rFonts w:hint="default" w:ascii="宋体" w:hAnsi="宋体" w:eastAsia="宋体" w:cs="宋体"/>
          <w:b w:val="0"/>
          <w:bCs w:val="0"/>
          <w:spacing w:val="-3"/>
          <w:w w:val="99"/>
          <w:kern w:val="2"/>
          <w:sz w:val="24"/>
          <w:szCs w:val="24"/>
          <w:lang w:val="zh-CN" w:eastAsia="zh-CN" w:bidi="zh-CN"/>
        </w:rPr>
        <w:t>6.</w:t>
      </w:r>
      <w:r>
        <w:rPr>
          <w:rFonts w:ascii="宋体" w:hAnsi="宋体"/>
          <w:sz w:val="24"/>
          <w:szCs w:val="24"/>
          <w:lang w:val="zh-CN"/>
        </w:rPr>
        <w:t>质量保证金</w:t>
      </w:r>
      <w:bookmarkEnd w:id="361"/>
    </w:p>
    <w:p w14:paraId="7267A90C">
      <w:pPr>
        <w:numPr>
          <w:ilvl w:val="0"/>
          <w:numId w:val="0"/>
        </w:numPr>
        <w:tabs>
          <w:tab w:val="left" w:pos="1045"/>
        </w:tabs>
        <w:spacing w:before="211"/>
        <w:ind w:left="1044" w:leftChars="0" w:hanging="244" w:firstLineChars="0"/>
        <w:rPr>
          <w:rFonts w:hint="eastAsia" w:ascii="宋体" w:hAnsi="宋体" w:eastAsia="宋体" w:cs="宋体"/>
          <w:b w:val="0"/>
          <w:bCs w:val="0"/>
          <w:spacing w:val="-3"/>
          <w:w w:val="99"/>
          <w:kern w:val="2"/>
          <w:sz w:val="24"/>
          <w:szCs w:val="24"/>
          <w:lang w:val="zh-CN" w:eastAsia="zh-CN" w:bidi="zh-CN"/>
        </w:rPr>
      </w:pPr>
      <w:r>
        <w:rPr>
          <w:rFonts w:hint="eastAsia" w:ascii="宋体" w:hAnsi="宋体" w:eastAsia="宋体" w:cs="Times New Roman"/>
          <w:kern w:val="2"/>
          <w:sz w:val="24"/>
          <w:szCs w:val="24"/>
          <w:lang w:val="zh-CN" w:eastAsia="zh-CN" w:bidi="ar-SA"/>
        </w:rPr>
        <w:t>6.1扣除合同总价的作为质量保证金</w:t>
      </w:r>
      <w:r>
        <w:rPr>
          <w:rFonts w:hint="eastAsia" w:ascii="宋体" w:hAnsi="宋体" w:eastAsia="宋体" w:cs="宋体"/>
          <w:b w:val="0"/>
          <w:bCs w:val="0"/>
          <w:spacing w:val="-3"/>
          <w:w w:val="99"/>
          <w:kern w:val="2"/>
          <w:sz w:val="24"/>
          <w:szCs w:val="24"/>
          <w:lang w:val="zh-CN" w:eastAsia="zh-CN" w:bidi="zh-CN"/>
        </w:rPr>
        <w:t>。</w:t>
      </w:r>
    </w:p>
    <w:p w14:paraId="30CCBE1E">
      <w:pPr>
        <w:pStyle w:val="36"/>
        <w:numPr>
          <w:ilvl w:val="1"/>
          <w:numId w:val="0"/>
        </w:numPr>
        <w:tabs>
          <w:tab w:val="left" w:pos="1401"/>
        </w:tabs>
        <w:spacing w:before="211" w:line="405" w:lineRule="auto"/>
        <w:ind w:left="360" w:leftChars="0" w:right="338" w:rightChars="0" w:firstLine="480" w:firstLineChars="0"/>
        <w:rPr>
          <w:rFonts w:hint="default" w:ascii="宋体" w:hAnsi="宋体" w:eastAsia="宋体" w:cs="宋体"/>
          <w:w w:val="100"/>
          <w:kern w:val="2"/>
          <w:sz w:val="24"/>
          <w:szCs w:val="24"/>
          <w:lang w:val="zh-CN" w:eastAsia="zh-CN" w:bidi="zh-CN"/>
        </w:rPr>
      </w:pPr>
      <w:r>
        <w:rPr>
          <w:rFonts w:hint="eastAsia" w:ascii="宋体" w:hAnsi="宋体" w:eastAsia="宋体" w:cs="宋体"/>
          <w:w w:val="100"/>
          <w:kern w:val="2"/>
          <w:sz w:val="24"/>
          <w:szCs w:val="24"/>
          <w:lang w:val="en-US" w:eastAsia="zh-CN" w:bidi="zh-CN"/>
        </w:rPr>
        <w:t>6.2</w:t>
      </w:r>
      <w:r>
        <w:rPr>
          <w:rFonts w:hint="eastAsia" w:ascii="宋体" w:hAnsi="宋体" w:eastAsia="宋体" w:cs="宋体"/>
          <w:w w:val="100"/>
          <w:kern w:val="2"/>
          <w:sz w:val="24"/>
          <w:szCs w:val="24"/>
          <w:lang w:val="zh-CN" w:eastAsia="zh-CN" w:bidi="zh-CN"/>
        </w:rPr>
        <w:t>在质保期内成交供应商提供的货物质量和服务符合合同约定，经验收合格，质保期满后 10 个工作日内该款无息退还</w:t>
      </w:r>
      <w:r>
        <w:rPr>
          <w:rFonts w:hint="default" w:ascii="宋体" w:hAnsi="宋体" w:eastAsia="宋体" w:cs="宋体"/>
          <w:w w:val="100"/>
          <w:kern w:val="2"/>
          <w:sz w:val="24"/>
          <w:szCs w:val="24"/>
          <w:lang w:val="zh-CN" w:eastAsia="zh-CN" w:bidi="zh-CN"/>
        </w:rPr>
        <w:t>。</w:t>
      </w:r>
      <w:bookmarkStart w:id="362" w:name="_Toc23332_WPSOffice_Level3"/>
    </w:p>
    <w:p w14:paraId="7A5E6D84">
      <w:pPr>
        <w:numPr>
          <w:ilvl w:val="0"/>
          <w:numId w:val="0"/>
        </w:numPr>
        <w:tabs>
          <w:tab w:val="left" w:pos="1045"/>
        </w:tabs>
        <w:spacing w:before="39"/>
        <w:ind w:left="800" w:leftChars="0"/>
        <w:rPr>
          <w:rFonts w:ascii="宋体" w:hAnsi="宋体"/>
          <w:sz w:val="24"/>
          <w:szCs w:val="24"/>
          <w:lang w:val="zh-CN"/>
        </w:rPr>
      </w:pPr>
      <w:r>
        <w:rPr>
          <w:rFonts w:hint="eastAsia" w:ascii="宋体" w:hAnsi="宋体"/>
          <w:sz w:val="24"/>
          <w:szCs w:val="24"/>
          <w:lang w:val="en-US" w:eastAsia="zh-CN"/>
        </w:rPr>
        <w:t>7.</w:t>
      </w:r>
      <w:r>
        <w:rPr>
          <w:rFonts w:ascii="宋体" w:hAnsi="宋体"/>
          <w:sz w:val="24"/>
          <w:szCs w:val="24"/>
          <w:lang w:val="zh-CN"/>
        </w:rPr>
        <w:t>转包或分包</w:t>
      </w:r>
      <w:bookmarkEnd w:id="362"/>
    </w:p>
    <w:p w14:paraId="570D18B6">
      <w:pPr>
        <w:pStyle w:val="36"/>
        <w:numPr>
          <w:ilvl w:val="0"/>
          <w:numId w:val="0"/>
        </w:numPr>
        <w:tabs>
          <w:tab w:val="left" w:pos="1281"/>
        </w:tabs>
        <w:spacing w:before="213"/>
        <w:ind w:left="840" w:leftChars="0"/>
        <w:rPr>
          <w:rFonts w:ascii="宋体" w:hAnsi="宋体"/>
          <w:sz w:val="24"/>
          <w:szCs w:val="24"/>
          <w:lang w:val="zh-CN"/>
        </w:rPr>
      </w:pPr>
      <w:r>
        <w:rPr>
          <w:rFonts w:hint="eastAsia" w:ascii="宋体" w:hAnsi="宋体"/>
          <w:sz w:val="24"/>
          <w:szCs w:val="24"/>
          <w:lang w:val="en-US" w:eastAsia="zh-CN"/>
        </w:rPr>
        <w:t>7.1</w:t>
      </w:r>
      <w:r>
        <w:rPr>
          <w:rFonts w:ascii="宋体" w:hAnsi="宋体"/>
          <w:sz w:val="24"/>
          <w:szCs w:val="24"/>
          <w:lang w:val="zh-CN"/>
        </w:rPr>
        <w:t>本合同范围的货物，由乙方直接供应，不得转让他人供应。</w:t>
      </w:r>
    </w:p>
    <w:p w14:paraId="06629359">
      <w:pPr>
        <w:pStyle w:val="36"/>
        <w:numPr>
          <w:ilvl w:val="0"/>
          <w:numId w:val="0"/>
        </w:numPr>
        <w:tabs>
          <w:tab w:val="left" w:pos="1281"/>
        </w:tabs>
        <w:spacing w:before="213"/>
        <w:ind w:firstLine="960" w:firstLineChars="400"/>
        <w:rPr>
          <w:rFonts w:ascii="宋体" w:hAnsi="宋体"/>
          <w:sz w:val="24"/>
          <w:szCs w:val="24"/>
          <w:lang w:val="zh-CN"/>
        </w:rPr>
      </w:pPr>
      <w:r>
        <w:rPr>
          <w:rFonts w:hint="eastAsia" w:ascii="宋体" w:hAnsi="宋体" w:eastAsia="宋体" w:cs="Times New Roman"/>
          <w:sz w:val="24"/>
          <w:szCs w:val="24"/>
          <w:lang w:val="en-US" w:eastAsia="zh-CN"/>
        </w:rPr>
        <w:t>7.2</w:t>
      </w:r>
      <w:r>
        <w:rPr>
          <w:rFonts w:hint="eastAsia" w:ascii="宋体" w:hAnsi="宋体" w:eastAsia="宋体" w:cs="Times New Roman"/>
          <w:sz w:val="24"/>
          <w:szCs w:val="24"/>
          <w:lang w:val="zh-CN" w:eastAsia="zh-CN"/>
        </w:rPr>
        <w:t>除非得到甲方</w:t>
      </w:r>
      <w:r>
        <w:rPr>
          <w:rFonts w:ascii="宋体" w:hAnsi="宋体"/>
          <w:sz w:val="24"/>
          <w:szCs w:val="24"/>
          <w:lang w:val="zh-CN"/>
        </w:rPr>
        <w:t>的书面同意，乙方不得部分分包给他人供应。</w:t>
      </w:r>
    </w:p>
    <w:p w14:paraId="2DF8532B">
      <w:pPr>
        <w:pStyle w:val="36"/>
        <w:numPr>
          <w:ilvl w:val="1"/>
          <w:numId w:val="0"/>
        </w:numPr>
        <w:tabs>
          <w:tab w:val="left" w:pos="1221"/>
        </w:tabs>
        <w:spacing w:before="211"/>
        <w:ind w:left="1260" w:leftChars="0" w:hanging="420" w:firstLineChars="0"/>
        <w:rPr>
          <w:rFonts w:ascii="宋体" w:hAnsi="宋体"/>
          <w:sz w:val="24"/>
          <w:szCs w:val="24"/>
          <w:lang w:val="zh-CN"/>
        </w:rPr>
      </w:pPr>
      <w:r>
        <w:rPr>
          <w:rFonts w:hint="eastAsia" w:ascii="宋体" w:hAnsi="宋体" w:cs="宋体"/>
          <w:w w:val="100"/>
          <w:kern w:val="2"/>
          <w:sz w:val="24"/>
          <w:szCs w:val="24"/>
          <w:lang w:val="en-US" w:eastAsia="zh-CN" w:bidi="zh-CN"/>
        </w:rPr>
        <w:t>7.3</w:t>
      </w:r>
      <w:r>
        <w:rPr>
          <w:rFonts w:ascii="宋体" w:hAnsi="宋体"/>
          <w:sz w:val="24"/>
          <w:szCs w:val="24"/>
          <w:lang w:val="zh-CN"/>
        </w:rPr>
        <w:t>如有转让和未经甲方同意的分包行为，甲方有权给予终止合同。</w:t>
      </w:r>
    </w:p>
    <w:p w14:paraId="524E2B13">
      <w:pPr>
        <w:numPr>
          <w:ilvl w:val="0"/>
          <w:numId w:val="0"/>
        </w:numPr>
        <w:tabs>
          <w:tab w:val="left" w:pos="1045"/>
        </w:tabs>
        <w:spacing w:before="213"/>
        <w:ind w:left="1044" w:leftChars="0" w:hanging="244" w:firstLineChars="0"/>
        <w:rPr>
          <w:rFonts w:ascii="宋体" w:hAnsi="宋体"/>
          <w:sz w:val="24"/>
          <w:szCs w:val="24"/>
          <w:lang w:val="zh-CN"/>
        </w:rPr>
      </w:pPr>
      <w:bookmarkStart w:id="363" w:name="_Toc23515_WPSOffice_Level3"/>
      <w:r>
        <w:rPr>
          <w:rFonts w:hint="eastAsia" w:ascii="宋体" w:hAnsi="宋体" w:eastAsia="宋体" w:cs="宋体"/>
          <w:b w:val="0"/>
          <w:bCs w:val="0"/>
          <w:spacing w:val="-3"/>
          <w:w w:val="99"/>
          <w:kern w:val="2"/>
          <w:sz w:val="24"/>
          <w:szCs w:val="24"/>
          <w:lang w:val="en-US" w:eastAsia="zh-CN" w:bidi="zh-CN"/>
        </w:rPr>
        <w:t>8</w:t>
      </w:r>
      <w:r>
        <w:rPr>
          <w:rFonts w:hint="default" w:ascii="宋体" w:hAnsi="宋体" w:eastAsia="宋体" w:cs="宋体"/>
          <w:b w:val="0"/>
          <w:bCs w:val="0"/>
          <w:spacing w:val="-3"/>
          <w:w w:val="99"/>
          <w:kern w:val="2"/>
          <w:sz w:val="24"/>
          <w:szCs w:val="24"/>
          <w:lang w:val="zh-CN" w:eastAsia="zh-CN" w:bidi="zh-CN"/>
        </w:rPr>
        <w:t>.</w:t>
      </w:r>
      <w:r>
        <w:rPr>
          <w:rFonts w:ascii="宋体" w:hAnsi="宋体"/>
          <w:sz w:val="24"/>
          <w:szCs w:val="24"/>
          <w:lang w:val="zh-CN"/>
        </w:rPr>
        <w:t>交货期、交货方式及交货地点</w:t>
      </w:r>
      <w:bookmarkEnd w:id="363"/>
    </w:p>
    <w:p w14:paraId="7007F5BA">
      <w:pPr>
        <w:pStyle w:val="36"/>
        <w:numPr>
          <w:ilvl w:val="1"/>
          <w:numId w:val="0"/>
        </w:numPr>
        <w:tabs>
          <w:tab w:val="left" w:pos="1281"/>
        </w:tabs>
        <w:spacing w:before="214"/>
        <w:ind w:left="1320" w:leftChars="0" w:hanging="480" w:firstLineChars="0"/>
        <w:rPr>
          <w:rFonts w:ascii="宋体" w:hAnsi="宋体"/>
          <w:sz w:val="24"/>
          <w:szCs w:val="24"/>
          <w:lang w:val="zh-CN"/>
        </w:rPr>
      </w:pPr>
      <w:r>
        <w:rPr>
          <w:rFonts w:hint="eastAsia" w:ascii="宋体" w:hAnsi="宋体" w:cs="宋体"/>
          <w:w w:val="100"/>
          <w:kern w:val="2"/>
          <w:sz w:val="24"/>
          <w:szCs w:val="24"/>
          <w:lang w:val="en-US" w:eastAsia="zh-CN" w:bidi="zh-CN"/>
        </w:rPr>
        <w:t>8</w:t>
      </w:r>
      <w:r>
        <w:rPr>
          <w:rFonts w:hint="default" w:ascii="宋体" w:hAnsi="宋体" w:eastAsia="宋体" w:cs="宋体"/>
          <w:w w:val="100"/>
          <w:kern w:val="2"/>
          <w:sz w:val="24"/>
          <w:szCs w:val="24"/>
          <w:lang w:val="zh-CN" w:eastAsia="zh-CN" w:bidi="zh-CN"/>
        </w:rPr>
        <w:t>.1</w:t>
      </w:r>
      <w:r>
        <w:rPr>
          <w:rFonts w:ascii="宋体" w:hAnsi="宋体"/>
          <w:sz w:val="24"/>
          <w:szCs w:val="24"/>
          <w:lang w:val="zh-CN"/>
        </w:rPr>
        <w:t>交货期：</w:t>
      </w:r>
    </w:p>
    <w:p w14:paraId="69FD6BB3">
      <w:pPr>
        <w:pStyle w:val="36"/>
        <w:numPr>
          <w:ilvl w:val="1"/>
          <w:numId w:val="0"/>
        </w:numPr>
        <w:tabs>
          <w:tab w:val="left" w:pos="1281"/>
        </w:tabs>
        <w:spacing w:before="211"/>
        <w:ind w:left="1320" w:leftChars="0" w:hanging="480" w:firstLineChars="0"/>
        <w:rPr>
          <w:rFonts w:ascii="宋体" w:hAnsi="宋体"/>
          <w:sz w:val="24"/>
          <w:szCs w:val="24"/>
          <w:lang w:val="zh-CN"/>
        </w:rPr>
      </w:pPr>
      <w:r>
        <w:rPr>
          <w:rFonts w:hint="eastAsia" w:ascii="宋体" w:hAnsi="宋体" w:cs="宋体"/>
          <w:w w:val="100"/>
          <w:kern w:val="2"/>
          <w:sz w:val="24"/>
          <w:szCs w:val="24"/>
          <w:lang w:val="en-US" w:eastAsia="zh-CN" w:bidi="zh-CN"/>
        </w:rPr>
        <w:t>8</w:t>
      </w:r>
      <w:r>
        <w:rPr>
          <w:rFonts w:hint="default" w:ascii="宋体" w:hAnsi="宋体" w:eastAsia="宋体" w:cs="宋体"/>
          <w:w w:val="100"/>
          <w:kern w:val="2"/>
          <w:sz w:val="24"/>
          <w:szCs w:val="24"/>
          <w:lang w:val="zh-CN" w:eastAsia="zh-CN" w:bidi="zh-CN"/>
        </w:rPr>
        <w:t>.2</w:t>
      </w:r>
      <w:r>
        <w:rPr>
          <w:rFonts w:ascii="宋体" w:hAnsi="宋体"/>
          <w:sz w:val="24"/>
          <w:szCs w:val="24"/>
          <w:lang w:val="zh-CN"/>
        </w:rPr>
        <w:t>交货方式：</w:t>
      </w:r>
    </w:p>
    <w:p w14:paraId="0CC5C91D">
      <w:pPr>
        <w:pStyle w:val="36"/>
        <w:numPr>
          <w:ilvl w:val="1"/>
          <w:numId w:val="0"/>
        </w:numPr>
        <w:tabs>
          <w:tab w:val="left" w:pos="1281"/>
        </w:tabs>
        <w:spacing w:before="213"/>
        <w:ind w:left="1320" w:leftChars="0" w:hanging="480" w:firstLineChars="0"/>
        <w:rPr>
          <w:rFonts w:ascii="宋体" w:hAnsi="宋体"/>
          <w:sz w:val="24"/>
          <w:szCs w:val="24"/>
          <w:lang w:val="zh-CN"/>
        </w:rPr>
      </w:pPr>
      <w:r>
        <w:rPr>
          <w:rFonts w:hint="eastAsia" w:ascii="宋体" w:hAnsi="宋体" w:cs="宋体"/>
          <w:w w:val="100"/>
          <w:kern w:val="2"/>
          <w:sz w:val="24"/>
          <w:szCs w:val="24"/>
          <w:lang w:val="en-US" w:eastAsia="zh-CN" w:bidi="zh-CN"/>
        </w:rPr>
        <w:t>8</w:t>
      </w:r>
      <w:r>
        <w:rPr>
          <w:rFonts w:hint="default" w:ascii="宋体" w:hAnsi="宋体" w:eastAsia="宋体" w:cs="宋体"/>
          <w:w w:val="100"/>
          <w:kern w:val="2"/>
          <w:sz w:val="24"/>
          <w:szCs w:val="24"/>
          <w:lang w:val="zh-CN" w:eastAsia="zh-CN" w:bidi="zh-CN"/>
        </w:rPr>
        <w:t>.3</w:t>
      </w:r>
      <w:r>
        <w:rPr>
          <w:rFonts w:ascii="宋体" w:hAnsi="宋体"/>
          <w:sz w:val="24"/>
          <w:szCs w:val="24"/>
          <w:lang w:val="zh-CN"/>
        </w:rPr>
        <w:t>交货地点：</w:t>
      </w:r>
    </w:p>
    <w:p w14:paraId="2DBE91AC">
      <w:pPr>
        <w:numPr>
          <w:ilvl w:val="0"/>
          <w:numId w:val="0"/>
        </w:numPr>
        <w:tabs>
          <w:tab w:val="left" w:pos="1045"/>
        </w:tabs>
        <w:spacing w:before="213"/>
        <w:ind w:left="1044" w:leftChars="0" w:hanging="244" w:firstLineChars="0"/>
        <w:rPr>
          <w:rFonts w:ascii="宋体" w:hAnsi="宋体"/>
          <w:sz w:val="24"/>
          <w:szCs w:val="24"/>
          <w:lang w:val="zh-CN"/>
        </w:rPr>
      </w:pPr>
      <w:bookmarkStart w:id="364" w:name="_Toc1300_WPSOffice_Level3"/>
      <w:r>
        <w:rPr>
          <w:rFonts w:hint="eastAsia" w:ascii="宋体" w:hAnsi="宋体" w:eastAsia="宋体" w:cs="宋体"/>
          <w:b w:val="0"/>
          <w:bCs w:val="0"/>
          <w:spacing w:val="-3"/>
          <w:w w:val="99"/>
          <w:kern w:val="2"/>
          <w:sz w:val="24"/>
          <w:szCs w:val="24"/>
          <w:lang w:val="en-US" w:eastAsia="zh-CN" w:bidi="zh-CN"/>
        </w:rPr>
        <w:t>9</w:t>
      </w:r>
      <w:r>
        <w:rPr>
          <w:rFonts w:hint="default" w:ascii="宋体" w:hAnsi="宋体" w:eastAsia="宋体" w:cs="宋体"/>
          <w:b w:val="0"/>
          <w:bCs w:val="0"/>
          <w:spacing w:val="-3"/>
          <w:w w:val="99"/>
          <w:kern w:val="2"/>
          <w:sz w:val="24"/>
          <w:szCs w:val="24"/>
          <w:lang w:val="zh-CN" w:eastAsia="zh-CN" w:bidi="zh-CN"/>
        </w:rPr>
        <w:t>.</w:t>
      </w:r>
      <w:r>
        <w:rPr>
          <w:rFonts w:ascii="宋体" w:hAnsi="宋体"/>
          <w:sz w:val="24"/>
          <w:szCs w:val="24"/>
          <w:lang w:val="zh-CN"/>
        </w:rPr>
        <w:t>货款支付：双方协商。</w:t>
      </w:r>
      <w:bookmarkEnd w:id="364"/>
    </w:p>
    <w:p w14:paraId="17FEFE0D">
      <w:pPr>
        <w:numPr>
          <w:ilvl w:val="0"/>
          <w:numId w:val="0"/>
        </w:numPr>
        <w:tabs>
          <w:tab w:val="left" w:pos="1165"/>
        </w:tabs>
        <w:spacing w:before="211"/>
        <w:ind w:left="1164" w:leftChars="0" w:hanging="364" w:firstLineChars="0"/>
        <w:rPr>
          <w:rFonts w:ascii="宋体" w:hAnsi="宋体"/>
          <w:sz w:val="24"/>
          <w:szCs w:val="24"/>
          <w:lang w:val="zh-CN"/>
        </w:rPr>
      </w:pPr>
      <w:bookmarkStart w:id="365" w:name="_Toc11198_WPSOffice_Level3"/>
      <w:r>
        <w:rPr>
          <w:rFonts w:hint="eastAsia" w:ascii="宋体" w:hAnsi="宋体" w:eastAsia="宋体" w:cs="宋体"/>
          <w:b w:val="0"/>
          <w:bCs w:val="0"/>
          <w:spacing w:val="-3"/>
          <w:w w:val="99"/>
          <w:kern w:val="2"/>
          <w:sz w:val="24"/>
          <w:szCs w:val="24"/>
          <w:lang w:val="en-US" w:eastAsia="zh-CN" w:bidi="zh-CN"/>
        </w:rPr>
        <w:t>10</w:t>
      </w:r>
      <w:r>
        <w:rPr>
          <w:rFonts w:hint="default" w:ascii="宋体" w:hAnsi="宋体" w:eastAsia="宋体" w:cs="宋体"/>
          <w:b w:val="0"/>
          <w:bCs w:val="0"/>
          <w:spacing w:val="-3"/>
          <w:w w:val="99"/>
          <w:kern w:val="2"/>
          <w:sz w:val="24"/>
          <w:szCs w:val="24"/>
          <w:lang w:val="zh-CN" w:eastAsia="zh-CN" w:bidi="zh-CN"/>
        </w:rPr>
        <w:t>.</w:t>
      </w:r>
      <w:r>
        <w:rPr>
          <w:rFonts w:ascii="宋体" w:hAnsi="宋体"/>
          <w:sz w:val="24"/>
          <w:szCs w:val="24"/>
          <w:lang w:val="zh-CN"/>
        </w:rPr>
        <w:t>税费</w:t>
      </w:r>
      <w:bookmarkEnd w:id="365"/>
    </w:p>
    <w:p w14:paraId="54C90125">
      <w:pPr>
        <w:pStyle w:val="6"/>
        <w:spacing w:before="213"/>
        <w:ind w:left="800"/>
        <w:rPr>
          <w:rFonts w:ascii="宋体" w:hAnsi="宋体"/>
          <w:sz w:val="24"/>
          <w:szCs w:val="20"/>
          <w:lang w:val="zh-CN"/>
        </w:rPr>
      </w:pPr>
      <w:r>
        <w:rPr>
          <w:rFonts w:ascii="宋体" w:hAnsi="宋体"/>
          <w:sz w:val="24"/>
          <w:szCs w:val="20"/>
          <w:lang w:val="zh-CN"/>
        </w:rPr>
        <w:t>本合同执行中相关的一切税费均由乙方负担。</w:t>
      </w:r>
    </w:p>
    <w:p w14:paraId="6B8D6AF8">
      <w:pPr>
        <w:numPr>
          <w:ilvl w:val="0"/>
          <w:numId w:val="0"/>
        </w:numPr>
        <w:tabs>
          <w:tab w:val="left" w:pos="1165"/>
        </w:tabs>
        <w:spacing w:before="214"/>
        <w:ind w:left="1164" w:leftChars="0" w:hanging="364" w:firstLineChars="0"/>
        <w:rPr>
          <w:rFonts w:ascii="宋体" w:hAnsi="宋体"/>
          <w:sz w:val="24"/>
          <w:lang w:val="zh-CN"/>
        </w:rPr>
      </w:pPr>
      <w:bookmarkStart w:id="366" w:name="_Toc9072_WPSOffice_Level3"/>
      <w:r>
        <w:rPr>
          <w:rFonts w:hint="default" w:ascii="宋体" w:hAnsi="宋体" w:eastAsia="宋体" w:cs="宋体"/>
          <w:b w:val="0"/>
          <w:bCs w:val="0"/>
          <w:spacing w:val="-3"/>
          <w:w w:val="99"/>
          <w:kern w:val="2"/>
          <w:sz w:val="22"/>
          <w:szCs w:val="22"/>
          <w:lang w:val="zh-CN" w:eastAsia="zh-CN" w:bidi="zh-CN"/>
        </w:rPr>
        <w:t>1</w:t>
      </w:r>
      <w:r>
        <w:rPr>
          <w:rFonts w:hint="eastAsia" w:ascii="宋体" w:hAnsi="宋体" w:eastAsia="宋体" w:cs="宋体"/>
          <w:b w:val="0"/>
          <w:bCs w:val="0"/>
          <w:spacing w:val="-3"/>
          <w:w w:val="99"/>
          <w:kern w:val="2"/>
          <w:sz w:val="22"/>
          <w:szCs w:val="22"/>
          <w:lang w:val="en-US" w:eastAsia="zh-CN" w:bidi="zh-CN"/>
        </w:rPr>
        <w:t>1</w:t>
      </w:r>
      <w:r>
        <w:rPr>
          <w:rFonts w:hint="default" w:ascii="宋体" w:hAnsi="宋体" w:eastAsia="宋体" w:cs="宋体"/>
          <w:b w:val="0"/>
          <w:bCs w:val="0"/>
          <w:spacing w:val="-3"/>
          <w:w w:val="99"/>
          <w:kern w:val="2"/>
          <w:sz w:val="22"/>
          <w:szCs w:val="22"/>
          <w:lang w:val="zh-CN" w:eastAsia="zh-CN" w:bidi="zh-CN"/>
        </w:rPr>
        <w:t>.</w:t>
      </w:r>
      <w:r>
        <w:rPr>
          <w:rFonts w:ascii="宋体" w:hAnsi="宋体"/>
          <w:sz w:val="24"/>
          <w:lang w:val="zh-CN"/>
        </w:rPr>
        <w:t>货物包装、发运及运输</w:t>
      </w:r>
      <w:bookmarkEnd w:id="366"/>
    </w:p>
    <w:p w14:paraId="069A53F5">
      <w:pPr>
        <w:pStyle w:val="36"/>
        <w:numPr>
          <w:ilvl w:val="1"/>
          <w:numId w:val="0"/>
        </w:numPr>
        <w:tabs>
          <w:tab w:val="left" w:pos="1401"/>
        </w:tabs>
        <w:spacing w:before="211" w:line="405" w:lineRule="auto"/>
        <w:ind w:left="360" w:leftChars="0" w:right="338"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1</w:t>
      </w:r>
      <w:r>
        <w:rPr>
          <w:rFonts w:hint="default" w:ascii="宋体" w:hAnsi="宋体" w:eastAsia="宋体" w:cs="宋体"/>
          <w:w w:val="100"/>
          <w:kern w:val="2"/>
          <w:sz w:val="24"/>
          <w:szCs w:val="24"/>
          <w:lang w:val="zh-CN" w:eastAsia="zh-CN" w:bidi="zh-CN"/>
        </w:rPr>
        <w:t>.1</w:t>
      </w:r>
      <w:r>
        <w:rPr>
          <w:rFonts w:ascii="宋体" w:hAnsi="宋体"/>
          <w:sz w:val="24"/>
          <w:lang w:val="zh-CN"/>
        </w:rPr>
        <w:t>乙方在货物发运前对其进行满足运输距离、防潮、防震、防锈和防破损装卸等要求包装，以保证货物安全运达甲方指定地点。</w:t>
      </w:r>
    </w:p>
    <w:p w14:paraId="54459252">
      <w:pPr>
        <w:pStyle w:val="36"/>
        <w:numPr>
          <w:ilvl w:val="1"/>
          <w:numId w:val="0"/>
        </w:numPr>
        <w:tabs>
          <w:tab w:val="left" w:pos="1401"/>
        </w:tabs>
        <w:spacing w:before="2"/>
        <w:ind w:left="1440" w:leftChars="0" w:hanging="60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1</w:t>
      </w:r>
      <w:r>
        <w:rPr>
          <w:rFonts w:hint="default" w:ascii="宋体" w:hAnsi="宋体" w:eastAsia="宋体" w:cs="宋体"/>
          <w:w w:val="100"/>
          <w:kern w:val="2"/>
          <w:sz w:val="24"/>
          <w:szCs w:val="24"/>
          <w:lang w:val="zh-CN" w:eastAsia="zh-CN" w:bidi="zh-CN"/>
        </w:rPr>
        <w:t>.2</w:t>
      </w:r>
      <w:r>
        <w:rPr>
          <w:rFonts w:ascii="宋体" w:hAnsi="宋体"/>
          <w:sz w:val="24"/>
          <w:lang w:val="zh-CN"/>
        </w:rPr>
        <w:t>使用说明书、质量检验证明书、随配附件和工具以及清单一并附于货物内。</w:t>
      </w:r>
    </w:p>
    <w:p w14:paraId="10A03CB8">
      <w:pPr>
        <w:pStyle w:val="36"/>
        <w:numPr>
          <w:ilvl w:val="1"/>
          <w:numId w:val="0"/>
        </w:numPr>
        <w:tabs>
          <w:tab w:val="left" w:pos="1401"/>
        </w:tabs>
        <w:spacing w:before="211" w:line="405" w:lineRule="auto"/>
        <w:ind w:left="360" w:leftChars="0" w:right="338"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1</w:t>
      </w:r>
      <w:r>
        <w:rPr>
          <w:rFonts w:hint="default" w:ascii="宋体" w:hAnsi="宋体" w:eastAsia="宋体" w:cs="宋体"/>
          <w:w w:val="100"/>
          <w:kern w:val="2"/>
          <w:sz w:val="24"/>
          <w:szCs w:val="24"/>
          <w:lang w:val="zh-CN" w:eastAsia="zh-CN" w:bidi="zh-CN"/>
        </w:rPr>
        <w:t>.3</w:t>
      </w:r>
      <w:r>
        <w:rPr>
          <w:rFonts w:ascii="宋体" w:hAnsi="宋体"/>
          <w:sz w:val="24"/>
          <w:lang w:val="zh-CN"/>
        </w:rPr>
        <w:t>乙方在货物发运手续办理完毕后 24 小时内或货到甲方 48 小时前通知甲方，以准备接货。</w:t>
      </w:r>
    </w:p>
    <w:p w14:paraId="6077A09A">
      <w:pPr>
        <w:pStyle w:val="36"/>
        <w:numPr>
          <w:ilvl w:val="1"/>
          <w:numId w:val="0"/>
        </w:numPr>
        <w:tabs>
          <w:tab w:val="left" w:pos="1401"/>
        </w:tabs>
        <w:spacing w:before="2"/>
        <w:ind w:left="1440" w:leftChars="0" w:hanging="60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1</w:t>
      </w:r>
      <w:r>
        <w:rPr>
          <w:rFonts w:hint="default" w:ascii="宋体" w:hAnsi="宋体" w:eastAsia="宋体" w:cs="宋体"/>
          <w:w w:val="100"/>
          <w:kern w:val="2"/>
          <w:sz w:val="24"/>
          <w:szCs w:val="24"/>
          <w:lang w:val="zh-CN" w:eastAsia="zh-CN" w:bidi="zh-CN"/>
        </w:rPr>
        <w:t>.4</w:t>
      </w:r>
      <w:r>
        <w:rPr>
          <w:rFonts w:ascii="宋体" w:hAnsi="宋体"/>
          <w:sz w:val="24"/>
          <w:lang w:val="zh-CN"/>
        </w:rPr>
        <w:t>货物在交付甲方前发生的风险均由乙方负责。</w:t>
      </w:r>
    </w:p>
    <w:p w14:paraId="2805FE3D">
      <w:pPr>
        <w:pStyle w:val="36"/>
        <w:numPr>
          <w:ilvl w:val="1"/>
          <w:numId w:val="0"/>
        </w:numPr>
        <w:tabs>
          <w:tab w:val="left" w:pos="1401"/>
        </w:tabs>
        <w:spacing w:before="211" w:line="405" w:lineRule="auto"/>
        <w:ind w:left="360" w:leftChars="0" w:right="338"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1</w:t>
      </w:r>
      <w:r>
        <w:rPr>
          <w:rFonts w:hint="default" w:ascii="宋体" w:hAnsi="宋体" w:eastAsia="宋体" w:cs="宋体"/>
          <w:w w:val="100"/>
          <w:kern w:val="2"/>
          <w:sz w:val="24"/>
          <w:szCs w:val="24"/>
          <w:lang w:val="zh-CN" w:eastAsia="zh-CN" w:bidi="zh-CN"/>
        </w:rPr>
        <w:t>.5</w:t>
      </w:r>
      <w:r>
        <w:rPr>
          <w:rFonts w:ascii="宋体" w:hAnsi="宋体"/>
          <w:sz w:val="24"/>
          <w:lang w:val="zh-CN"/>
        </w:rPr>
        <w:t>货物在规定的交付期限内由乙方送达甲方指定的地点视为交付，乙方同时需通知甲方货物已送达。</w:t>
      </w:r>
    </w:p>
    <w:p w14:paraId="7811794D">
      <w:pPr>
        <w:numPr>
          <w:ilvl w:val="0"/>
          <w:numId w:val="0"/>
        </w:numPr>
        <w:tabs>
          <w:tab w:val="left" w:pos="1165"/>
        </w:tabs>
        <w:spacing w:before="2"/>
        <w:ind w:left="1164" w:leftChars="0" w:hanging="364" w:firstLineChars="0"/>
        <w:rPr>
          <w:rFonts w:ascii="宋体" w:hAnsi="宋体"/>
          <w:sz w:val="24"/>
          <w:lang w:val="zh-CN"/>
        </w:rPr>
      </w:pPr>
      <w:bookmarkStart w:id="367" w:name="_Toc16694_WPSOffice_Level3"/>
      <w:r>
        <w:rPr>
          <w:rFonts w:hint="default" w:ascii="宋体" w:hAnsi="宋体" w:eastAsia="宋体" w:cs="宋体"/>
          <w:b w:val="0"/>
          <w:bCs w:val="0"/>
          <w:spacing w:val="-3"/>
          <w:w w:val="99"/>
          <w:kern w:val="2"/>
          <w:sz w:val="22"/>
          <w:szCs w:val="22"/>
          <w:lang w:val="zh-CN" w:eastAsia="zh-CN" w:bidi="zh-CN"/>
        </w:rPr>
        <w:t>1</w:t>
      </w:r>
      <w:r>
        <w:rPr>
          <w:rFonts w:hint="eastAsia" w:ascii="宋体" w:hAnsi="宋体" w:eastAsia="宋体" w:cs="宋体"/>
          <w:b w:val="0"/>
          <w:bCs w:val="0"/>
          <w:spacing w:val="-3"/>
          <w:w w:val="99"/>
          <w:kern w:val="2"/>
          <w:sz w:val="22"/>
          <w:szCs w:val="22"/>
          <w:lang w:val="en-US" w:eastAsia="zh-CN" w:bidi="zh-CN"/>
        </w:rPr>
        <w:t>2</w:t>
      </w:r>
      <w:r>
        <w:rPr>
          <w:rFonts w:hint="default" w:ascii="宋体" w:hAnsi="宋体" w:eastAsia="宋体" w:cs="宋体"/>
          <w:b w:val="0"/>
          <w:bCs w:val="0"/>
          <w:spacing w:val="-3"/>
          <w:w w:val="99"/>
          <w:kern w:val="2"/>
          <w:sz w:val="22"/>
          <w:szCs w:val="22"/>
          <w:lang w:val="zh-CN" w:eastAsia="zh-CN" w:bidi="zh-CN"/>
        </w:rPr>
        <w:t>.</w:t>
      </w:r>
      <w:r>
        <w:rPr>
          <w:rFonts w:ascii="宋体" w:hAnsi="宋体"/>
          <w:sz w:val="24"/>
          <w:lang w:val="zh-CN"/>
        </w:rPr>
        <w:t>质量保证及售后服务</w:t>
      </w:r>
      <w:bookmarkEnd w:id="367"/>
    </w:p>
    <w:p w14:paraId="7DD45790">
      <w:pPr>
        <w:pStyle w:val="36"/>
        <w:numPr>
          <w:ilvl w:val="1"/>
          <w:numId w:val="0"/>
        </w:numPr>
        <w:tabs>
          <w:tab w:val="left" w:pos="1401"/>
        </w:tabs>
        <w:spacing w:before="211" w:line="405" w:lineRule="auto"/>
        <w:ind w:left="360" w:leftChars="0" w:right="338"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2</w:t>
      </w:r>
      <w:r>
        <w:rPr>
          <w:rFonts w:hint="default" w:ascii="宋体" w:hAnsi="宋体" w:eastAsia="宋体" w:cs="宋体"/>
          <w:w w:val="100"/>
          <w:kern w:val="2"/>
          <w:sz w:val="24"/>
          <w:szCs w:val="24"/>
          <w:lang w:val="zh-CN" w:eastAsia="zh-CN" w:bidi="zh-CN"/>
        </w:rPr>
        <w:t>.1</w:t>
      </w:r>
      <w:r>
        <w:rPr>
          <w:rFonts w:ascii="宋体" w:hAnsi="宋体"/>
          <w:sz w:val="24"/>
          <w:lang w:val="zh-CN"/>
        </w:rPr>
        <w:t>乙方提供的货物是全新、未使用过的，并完全符合强制性的国家技术质量规范和磋商文件规定的质量、规格、性能和技术规范等的要求。</w:t>
      </w:r>
    </w:p>
    <w:p w14:paraId="51FE3843">
      <w:pPr>
        <w:pStyle w:val="36"/>
        <w:numPr>
          <w:ilvl w:val="1"/>
          <w:numId w:val="0"/>
        </w:numPr>
        <w:tabs>
          <w:tab w:val="left" w:pos="1341"/>
        </w:tabs>
        <w:spacing w:before="39" w:line="405" w:lineRule="auto"/>
        <w:ind w:left="360" w:leftChars="0" w:right="343" w:rightChars="0" w:firstLine="480" w:firstLineChars="0"/>
        <w:rPr>
          <w:rFonts w:ascii="宋体" w:hAnsi="宋体"/>
          <w:sz w:val="24"/>
          <w:szCs w:val="20"/>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2</w:t>
      </w:r>
      <w:r>
        <w:rPr>
          <w:rFonts w:hint="default" w:ascii="宋体" w:hAnsi="宋体" w:eastAsia="宋体" w:cs="宋体"/>
          <w:w w:val="100"/>
          <w:kern w:val="2"/>
          <w:sz w:val="24"/>
          <w:szCs w:val="24"/>
          <w:lang w:val="zh-CN" w:eastAsia="zh-CN" w:bidi="zh-CN"/>
        </w:rPr>
        <w:t>.2</w:t>
      </w:r>
      <w:r>
        <w:rPr>
          <w:rFonts w:ascii="宋体" w:hAnsi="宋体"/>
          <w:sz w:val="24"/>
          <w:lang w:val="zh-CN"/>
        </w:rPr>
        <w:t>乙方提供的货物经正确安装、正常运转和保养，在其使用寿命期内须具有符合质量要求和产品说明书的性能。在货物质量保证期之内，乙方须对由于设计、工艺或材料的缺陷而发生的任何不足或故障负责。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 日内应免费维修或更换有缺陷的货物或部件。如果乙方在收到通知后</w:t>
      </w:r>
      <w:r>
        <w:rPr>
          <w:rFonts w:hint="eastAsia" w:ascii="宋体" w:hAnsi="宋体"/>
          <w:sz w:val="24"/>
          <w:lang w:val="en-US" w:eastAsia="zh-CN"/>
        </w:rPr>
        <w:t xml:space="preserve"> </w:t>
      </w:r>
      <w:r>
        <w:rPr>
          <w:rFonts w:ascii="宋体" w:hAnsi="宋体"/>
          <w:sz w:val="24"/>
          <w:szCs w:val="20"/>
          <w:lang w:val="zh-CN"/>
        </w:rPr>
        <w:t>日内没有弥补缺陷，甲方可采取必要的补救措施，但由此引发的风险和费用将由乙方承担。</w:t>
      </w:r>
    </w:p>
    <w:p w14:paraId="75394F57">
      <w:pPr>
        <w:pStyle w:val="36"/>
        <w:numPr>
          <w:ilvl w:val="1"/>
          <w:numId w:val="0"/>
        </w:numPr>
        <w:tabs>
          <w:tab w:val="left" w:pos="1341"/>
          <w:tab w:val="left" w:pos="7340"/>
        </w:tabs>
        <w:spacing w:line="405" w:lineRule="auto"/>
        <w:ind w:left="360" w:leftChars="0" w:right="218"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2</w:t>
      </w:r>
      <w:r>
        <w:rPr>
          <w:rFonts w:hint="default" w:ascii="宋体" w:hAnsi="宋体" w:eastAsia="宋体" w:cs="宋体"/>
          <w:w w:val="100"/>
          <w:kern w:val="2"/>
          <w:sz w:val="24"/>
          <w:szCs w:val="24"/>
          <w:lang w:val="zh-CN" w:eastAsia="zh-CN" w:bidi="zh-CN"/>
        </w:rPr>
        <w:t>.3</w:t>
      </w:r>
      <w:r>
        <w:rPr>
          <w:rFonts w:ascii="宋体" w:hAnsi="宋体"/>
          <w:sz w:val="24"/>
          <w:lang w:val="zh-CN"/>
        </w:rPr>
        <w:t>合同项下货物的质量保证期为自货物通过最终验收起个</w:t>
      </w:r>
      <w:r>
        <w:rPr>
          <w:rFonts w:ascii="宋体" w:hAnsi="宋体"/>
          <w:sz w:val="24"/>
          <w:lang w:val="zh-CN"/>
        </w:rPr>
        <w:tab/>
      </w:r>
      <w:r>
        <w:rPr>
          <w:rFonts w:ascii="宋体" w:hAnsi="宋体"/>
          <w:sz w:val="24"/>
          <w:lang w:val="zh-CN"/>
        </w:rPr>
        <w:t>月，在质保期内，因人为因素出现故障外，乙方对货物出现的质量及安全问题负责处理解决并承担一切费用。</w:t>
      </w:r>
    </w:p>
    <w:p w14:paraId="72B6050F">
      <w:pPr>
        <w:pStyle w:val="36"/>
        <w:numPr>
          <w:ilvl w:val="1"/>
          <w:numId w:val="0"/>
        </w:numPr>
        <w:tabs>
          <w:tab w:val="left" w:pos="1341"/>
        </w:tabs>
        <w:spacing w:before="2" w:line="405" w:lineRule="auto"/>
        <w:ind w:left="360" w:leftChars="0" w:right="343"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2</w:t>
      </w:r>
      <w:r>
        <w:rPr>
          <w:rFonts w:hint="default" w:ascii="宋体" w:hAnsi="宋体" w:eastAsia="宋体" w:cs="宋体"/>
          <w:w w:val="100"/>
          <w:kern w:val="2"/>
          <w:sz w:val="24"/>
          <w:szCs w:val="24"/>
          <w:lang w:val="zh-CN" w:eastAsia="zh-CN" w:bidi="zh-CN"/>
        </w:rPr>
        <w:t>.4</w:t>
      </w:r>
      <w:r>
        <w:rPr>
          <w:rFonts w:ascii="宋体" w:hAnsi="宋体"/>
          <w:sz w:val="24"/>
          <w:lang w:val="zh-CN"/>
        </w:rPr>
        <w:t>合同项下货物免费保修期为质量保证期满后个月，因人为因素出现的故障不在免费保修范围内。对超过保修期的货物终生维修，维修时只收部件成本费。</w:t>
      </w:r>
    </w:p>
    <w:p w14:paraId="169E038A">
      <w:pPr>
        <w:pStyle w:val="36"/>
        <w:numPr>
          <w:ilvl w:val="1"/>
          <w:numId w:val="0"/>
        </w:numPr>
        <w:tabs>
          <w:tab w:val="left" w:pos="1341"/>
        </w:tabs>
        <w:spacing w:line="405" w:lineRule="auto"/>
        <w:ind w:left="600" w:leftChars="0" w:right="343" w:rightChars="0" w:firstLine="24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2</w:t>
      </w:r>
      <w:r>
        <w:rPr>
          <w:rFonts w:hint="default" w:ascii="宋体" w:hAnsi="宋体" w:eastAsia="宋体" w:cs="宋体"/>
          <w:w w:val="100"/>
          <w:kern w:val="2"/>
          <w:sz w:val="24"/>
          <w:szCs w:val="24"/>
          <w:lang w:val="zh-CN" w:eastAsia="zh-CN" w:bidi="zh-CN"/>
        </w:rPr>
        <w:t>.5</w:t>
      </w:r>
      <w:r>
        <w:rPr>
          <w:rFonts w:ascii="宋体" w:hAnsi="宋体"/>
          <w:sz w:val="24"/>
          <w:lang w:val="zh-CN"/>
        </w:rPr>
        <w:t>在使用过程中发生故障，乙方在接到甲方通知后在小时内到达甲方现场，小时内解除故障。</w:t>
      </w:r>
    </w:p>
    <w:p w14:paraId="4F8E132B">
      <w:pPr>
        <w:numPr>
          <w:ilvl w:val="0"/>
          <w:numId w:val="0"/>
        </w:numPr>
        <w:tabs>
          <w:tab w:val="left" w:pos="1165"/>
        </w:tabs>
        <w:ind w:left="1164" w:leftChars="0" w:hanging="364" w:firstLineChars="0"/>
        <w:rPr>
          <w:rFonts w:ascii="宋体" w:hAnsi="宋体"/>
          <w:sz w:val="24"/>
          <w:lang w:val="zh-CN"/>
        </w:rPr>
      </w:pPr>
      <w:bookmarkStart w:id="368" w:name="_Toc16767_WPSOffice_Level3"/>
      <w:r>
        <w:rPr>
          <w:rFonts w:hint="eastAsia" w:ascii="宋体" w:hAnsi="宋体" w:eastAsia="宋体" w:cs="宋体"/>
          <w:b w:val="0"/>
          <w:bCs w:val="0"/>
          <w:spacing w:val="-3"/>
          <w:w w:val="99"/>
          <w:kern w:val="2"/>
          <w:sz w:val="24"/>
          <w:szCs w:val="24"/>
          <w:lang w:val="en-US" w:eastAsia="zh-CN" w:bidi="zh-CN"/>
        </w:rPr>
        <w:t>13</w:t>
      </w:r>
      <w:r>
        <w:rPr>
          <w:rFonts w:hint="default" w:ascii="宋体" w:hAnsi="宋体" w:eastAsia="宋体" w:cs="宋体"/>
          <w:b w:val="0"/>
          <w:bCs w:val="0"/>
          <w:spacing w:val="-3"/>
          <w:w w:val="99"/>
          <w:kern w:val="2"/>
          <w:sz w:val="24"/>
          <w:szCs w:val="24"/>
          <w:lang w:val="zh-CN" w:eastAsia="zh-CN" w:bidi="zh-CN"/>
        </w:rPr>
        <w:t>.</w:t>
      </w:r>
      <w:r>
        <w:rPr>
          <w:rFonts w:ascii="宋体" w:hAnsi="宋体"/>
          <w:sz w:val="24"/>
          <w:lang w:val="zh-CN"/>
        </w:rPr>
        <w:t>调试和验收</w:t>
      </w:r>
      <w:bookmarkEnd w:id="368"/>
    </w:p>
    <w:p w14:paraId="24D72C55">
      <w:pPr>
        <w:pStyle w:val="36"/>
        <w:numPr>
          <w:ilvl w:val="1"/>
          <w:numId w:val="0"/>
        </w:numPr>
        <w:tabs>
          <w:tab w:val="left" w:pos="1341"/>
        </w:tabs>
        <w:spacing w:before="213" w:line="405" w:lineRule="auto"/>
        <w:ind w:left="360" w:leftChars="0" w:right="343"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3</w:t>
      </w:r>
      <w:r>
        <w:rPr>
          <w:rFonts w:hint="default" w:ascii="宋体" w:hAnsi="宋体" w:eastAsia="宋体" w:cs="宋体"/>
          <w:w w:val="100"/>
          <w:kern w:val="2"/>
          <w:sz w:val="24"/>
          <w:szCs w:val="24"/>
          <w:lang w:val="zh-CN" w:eastAsia="zh-CN" w:bidi="zh-CN"/>
        </w:rPr>
        <w:t>.1</w:t>
      </w:r>
      <w:r>
        <w:rPr>
          <w:rFonts w:ascii="宋体" w:hAnsi="宋体"/>
          <w:sz w:val="24"/>
          <w:lang w:val="zh-CN"/>
        </w:rPr>
        <w:t>乙方交货前对产品做出全面检查和对验收文件进行整理，并列出清单，作为甲方收货验收和使用的技术条件依据，检验的结果应随货物交甲方。</w:t>
      </w:r>
    </w:p>
    <w:p w14:paraId="17907B3C">
      <w:pPr>
        <w:pStyle w:val="36"/>
        <w:numPr>
          <w:ilvl w:val="1"/>
          <w:numId w:val="0"/>
        </w:numPr>
        <w:tabs>
          <w:tab w:val="left" w:pos="1341"/>
        </w:tabs>
        <w:ind w:left="1380" w:leftChars="0" w:hanging="54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3</w:t>
      </w:r>
      <w:r>
        <w:rPr>
          <w:rFonts w:hint="default" w:ascii="宋体" w:hAnsi="宋体" w:eastAsia="宋体" w:cs="宋体"/>
          <w:w w:val="100"/>
          <w:kern w:val="2"/>
          <w:sz w:val="24"/>
          <w:szCs w:val="24"/>
          <w:lang w:val="zh-CN" w:eastAsia="zh-CN" w:bidi="zh-CN"/>
        </w:rPr>
        <w:t>.2</w:t>
      </w:r>
      <w:r>
        <w:rPr>
          <w:rFonts w:ascii="宋体" w:hAnsi="宋体"/>
          <w:sz w:val="24"/>
          <w:lang w:val="zh-CN"/>
        </w:rPr>
        <w:t>货物运抵现场后，甲方依据磋商文件上的技术规格要求和国家有关质量标准在</w:t>
      </w:r>
    </w:p>
    <w:p w14:paraId="0C4D3460">
      <w:pPr>
        <w:pStyle w:val="36"/>
        <w:numPr>
          <w:ilvl w:val="0"/>
          <w:numId w:val="1"/>
        </w:numPr>
        <w:tabs>
          <w:tab w:val="left" w:pos="501"/>
        </w:tabs>
        <w:spacing w:before="213" w:line="405" w:lineRule="auto"/>
        <w:ind w:right="338" w:firstLine="0"/>
        <w:jc w:val="left"/>
        <w:rPr>
          <w:rFonts w:ascii="宋体" w:hAnsi="宋体"/>
          <w:sz w:val="24"/>
          <w:lang w:val="zh-CN"/>
        </w:rPr>
      </w:pPr>
      <w:r>
        <w:rPr>
          <w:rFonts w:ascii="宋体" w:hAnsi="宋体"/>
          <w:sz w:val="24"/>
          <w:lang w:val="zh-CN"/>
        </w:rPr>
        <w:t>个工作日内组织初步验收，并制作验收备忘录，签署验收意见。初步验收不合格的不予签收。</w:t>
      </w:r>
    </w:p>
    <w:p w14:paraId="0844ADF3">
      <w:pPr>
        <w:pStyle w:val="36"/>
        <w:numPr>
          <w:ilvl w:val="1"/>
          <w:numId w:val="0"/>
        </w:numPr>
        <w:tabs>
          <w:tab w:val="left" w:pos="1401"/>
        </w:tabs>
        <w:spacing w:line="405" w:lineRule="auto"/>
        <w:ind w:left="360" w:leftChars="0" w:right="338"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3</w:t>
      </w:r>
      <w:r>
        <w:rPr>
          <w:rFonts w:hint="default" w:ascii="宋体" w:hAnsi="宋体" w:eastAsia="宋体" w:cs="宋体"/>
          <w:w w:val="100"/>
          <w:kern w:val="2"/>
          <w:sz w:val="24"/>
          <w:szCs w:val="24"/>
          <w:lang w:val="zh-CN" w:eastAsia="zh-CN" w:bidi="zh-CN"/>
        </w:rPr>
        <w:t>.3</w:t>
      </w:r>
      <w:r>
        <w:rPr>
          <w:rFonts w:ascii="宋体" w:hAnsi="宋体"/>
          <w:sz w:val="24"/>
          <w:lang w:val="zh-CN"/>
        </w:rPr>
        <w:t>甲方对乙方提供的货物在使用前进行调试时，乙方负责安装并培训甲方的使用操作人员，并协助甲方一起调试，直到符合技术要求，甲方才做最终验收并签署验收意见。</w:t>
      </w:r>
    </w:p>
    <w:p w14:paraId="38A50AED">
      <w:pPr>
        <w:pStyle w:val="36"/>
        <w:numPr>
          <w:ilvl w:val="1"/>
          <w:numId w:val="0"/>
        </w:numPr>
        <w:tabs>
          <w:tab w:val="left" w:pos="1401"/>
        </w:tabs>
        <w:spacing w:before="1" w:line="405" w:lineRule="auto"/>
        <w:ind w:left="360" w:leftChars="0" w:right="338"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3</w:t>
      </w:r>
      <w:r>
        <w:rPr>
          <w:rFonts w:hint="default" w:ascii="宋体" w:hAnsi="宋体" w:eastAsia="宋体" w:cs="宋体"/>
          <w:w w:val="100"/>
          <w:kern w:val="2"/>
          <w:sz w:val="24"/>
          <w:szCs w:val="24"/>
          <w:lang w:val="zh-CN" w:eastAsia="zh-CN" w:bidi="zh-CN"/>
        </w:rPr>
        <w:t>.4</w:t>
      </w:r>
      <w:r>
        <w:rPr>
          <w:rFonts w:ascii="宋体" w:hAnsi="宋体"/>
          <w:sz w:val="24"/>
          <w:lang w:val="zh-CN"/>
        </w:rPr>
        <w:t>对大型或技术复杂的货物，甲方应邀请国家认可的专业检测机构参与初步验收及最终验收，并由其出具质量检测报告。</w:t>
      </w:r>
    </w:p>
    <w:p w14:paraId="54B4037D">
      <w:pPr>
        <w:pStyle w:val="36"/>
        <w:numPr>
          <w:ilvl w:val="1"/>
          <w:numId w:val="0"/>
        </w:numPr>
        <w:tabs>
          <w:tab w:val="left" w:pos="1401"/>
        </w:tabs>
        <w:spacing w:before="1" w:line="405" w:lineRule="auto"/>
        <w:ind w:left="360" w:leftChars="0" w:right="338" w:rightChars="0" w:firstLine="480" w:firstLineChars="0"/>
        <w:rPr>
          <w:rFonts w:hint="default" w:ascii="宋体" w:hAnsi="宋体" w:eastAsia="宋体" w:cs="宋体"/>
          <w:w w:val="100"/>
          <w:kern w:val="2"/>
          <w:sz w:val="24"/>
          <w:szCs w:val="24"/>
          <w:lang w:val="zh-CN" w:eastAsia="zh-CN" w:bidi="zh-CN"/>
        </w:rPr>
      </w:pPr>
      <w:r>
        <w:rPr>
          <w:rFonts w:hint="default" w:ascii="宋体" w:hAnsi="宋体" w:eastAsia="宋体" w:cs="宋体"/>
          <w:w w:val="100"/>
          <w:kern w:val="2"/>
          <w:sz w:val="24"/>
          <w:szCs w:val="24"/>
          <w:lang w:val="zh-CN" w:eastAsia="zh-CN" w:bidi="zh-CN"/>
        </w:rPr>
        <w:t>1</w:t>
      </w:r>
      <w:r>
        <w:rPr>
          <w:rFonts w:hint="eastAsia" w:ascii="宋体" w:hAnsi="宋体" w:eastAsia="宋体" w:cs="宋体"/>
          <w:w w:val="100"/>
          <w:kern w:val="2"/>
          <w:sz w:val="24"/>
          <w:szCs w:val="24"/>
          <w:lang w:val="en-US" w:eastAsia="zh-CN" w:bidi="zh-CN"/>
        </w:rPr>
        <w:t>3</w:t>
      </w:r>
      <w:r>
        <w:rPr>
          <w:rFonts w:hint="default" w:ascii="宋体" w:hAnsi="宋体" w:eastAsia="宋体" w:cs="宋体"/>
          <w:w w:val="100"/>
          <w:kern w:val="2"/>
          <w:sz w:val="24"/>
          <w:szCs w:val="24"/>
          <w:lang w:val="zh-CN" w:eastAsia="zh-CN" w:bidi="zh-CN"/>
        </w:rPr>
        <w:t>.5验收时乙方必须在现场，验收完毕后作出验收结果报告。验收费用由乙方负责。</w:t>
      </w:r>
    </w:p>
    <w:p w14:paraId="3ED612D5">
      <w:pPr>
        <w:pStyle w:val="36"/>
        <w:numPr>
          <w:ilvl w:val="1"/>
          <w:numId w:val="0"/>
        </w:numPr>
        <w:tabs>
          <w:tab w:val="left" w:pos="1401"/>
        </w:tabs>
        <w:spacing w:before="1" w:line="405" w:lineRule="auto"/>
        <w:ind w:left="360" w:leftChars="0" w:right="338" w:rightChars="0" w:firstLine="480" w:firstLineChars="0"/>
        <w:rPr>
          <w:rFonts w:hint="default" w:ascii="宋体" w:hAnsi="宋体" w:eastAsia="宋体" w:cs="宋体"/>
          <w:w w:val="100"/>
          <w:kern w:val="2"/>
          <w:sz w:val="24"/>
          <w:szCs w:val="24"/>
          <w:lang w:val="zh-CN" w:eastAsia="zh-CN" w:bidi="zh-CN"/>
        </w:rPr>
      </w:pPr>
      <w:bookmarkStart w:id="369" w:name="_Toc15171_WPSOffice_Level3"/>
      <w:r>
        <w:rPr>
          <w:rFonts w:hint="default" w:ascii="宋体" w:hAnsi="宋体" w:eastAsia="宋体" w:cs="宋体"/>
          <w:w w:val="100"/>
          <w:kern w:val="2"/>
          <w:sz w:val="24"/>
          <w:szCs w:val="24"/>
          <w:lang w:val="zh-CN" w:eastAsia="zh-CN" w:bidi="zh-CN"/>
        </w:rPr>
        <w:t>1</w:t>
      </w:r>
      <w:r>
        <w:rPr>
          <w:rFonts w:hint="eastAsia" w:ascii="宋体" w:hAnsi="宋体" w:eastAsia="宋体" w:cs="宋体"/>
          <w:w w:val="100"/>
          <w:kern w:val="2"/>
          <w:sz w:val="24"/>
          <w:szCs w:val="24"/>
          <w:lang w:val="en-US" w:eastAsia="zh-CN" w:bidi="zh-CN"/>
        </w:rPr>
        <w:t>4</w:t>
      </w:r>
      <w:r>
        <w:rPr>
          <w:rFonts w:hint="default" w:ascii="宋体" w:hAnsi="宋体" w:eastAsia="宋体" w:cs="宋体"/>
          <w:w w:val="100"/>
          <w:kern w:val="2"/>
          <w:sz w:val="24"/>
          <w:szCs w:val="24"/>
          <w:lang w:val="zh-CN" w:eastAsia="zh-CN" w:bidi="zh-CN"/>
        </w:rPr>
        <w:t>.索赔</w:t>
      </w:r>
      <w:bookmarkEnd w:id="369"/>
    </w:p>
    <w:p w14:paraId="737EBBD7">
      <w:pPr>
        <w:pStyle w:val="36"/>
        <w:numPr>
          <w:ilvl w:val="1"/>
          <w:numId w:val="0"/>
        </w:numPr>
        <w:tabs>
          <w:tab w:val="left" w:pos="1401"/>
        </w:tabs>
        <w:spacing w:before="1" w:line="405" w:lineRule="auto"/>
        <w:ind w:left="360" w:leftChars="0" w:right="338"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如</w:t>
      </w:r>
      <w:r>
        <w:rPr>
          <w:rFonts w:ascii="宋体" w:hAnsi="宋体"/>
          <w:sz w:val="24"/>
          <w:lang w:val="zh-CN"/>
        </w:rPr>
        <w:t>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5B7BF32">
      <w:pPr>
        <w:pStyle w:val="36"/>
        <w:numPr>
          <w:ilvl w:val="1"/>
          <w:numId w:val="0"/>
        </w:numPr>
        <w:tabs>
          <w:tab w:val="left" w:pos="1401"/>
        </w:tabs>
        <w:spacing w:before="1" w:line="405" w:lineRule="auto"/>
        <w:ind w:left="360" w:leftChars="0" w:right="338"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4</w:t>
      </w:r>
      <w:r>
        <w:rPr>
          <w:rFonts w:hint="default" w:ascii="宋体" w:hAnsi="宋体" w:eastAsia="宋体" w:cs="宋体"/>
          <w:w w:val="100"/>
          <w:kern w:val="2"/>
          <w:sz w:val="24"/>
          <w:szCs w:val="24"/>
          <w:lang w:val="zh-CN" w:eastAsia="zh-CN" w:bidi="zh-CN"/>
        </w:rPr>
        <w:t>.1</w:t>
      </w:r>
      <w:r>
        <w:rPr>
          <w:rFonts w:ascii="宋体" w:hAnsi="宋体"/>
          <w:sz w:val="24"/>
          <w:lang w:val="zh-CN"/>
        </w:rPr>
        <w:t>在根据合同第 12 条和第 13 条规定的检验期和质量保证期内，如果乙方对甲方提出的索赔负有责任，乙方应按照甲方同意的下列一种或多种方式解决索赔事宜：</w:t>
      </w:r>
    </w:p>
    <w:p w14:paraId="76928143">
      <w:pPr>
        <w:pStyle w:val="36"/>
        <w:numPr>
          <w:ilvl w:val="2"/>
          <w:numId w:val="0"/>
        </w:numPr>
        <w:tabs>
          <w:tab w:val="left" w:pos="1641"/>
        </w:tabs>
        <w:spacing w:before="2" w:line="405" w:lineRule="auto"/>
        <w:ind w:left="320" w:leftChars="0" w:right="338" w:rightChars="0" w:firstLine="480" w:firstLineChars="0"/>
        <w:rPr>
          <w:rFonts w:ascii="宋体" w:hAnsi="宋体"/>
          <w:sz w:val="24"/>
          <w:lang w:val="zh-CN"/>
        </w:rPr>
      </w:pPr>
      <w:r>
        <w:rPr>
          <w:rFonts w:hint="default" w:ascii="宋体" w:hAnsi="宋体" w:eastAsia="宋体" w:cs="宋体"/>
          <w:spacing w:val="-29"/>
          <w:w w:val="100"/>
          <w:kern w:val="2"/>
          <w:sz w:val="24"/>
          <w:szCs w:val="24"/>
          <w:lang w:val="zh-CN" w:eastAsia="zh-CN" w:bidi="zh-CN"/>
        </w:rPr>
        <w:t>1</w:t>
      </w:r>
      <w:r>
        <w:rPr>
          <w:rFonts w:hint="eastAsia" w:ascii="宋体" w:hAnsi="宋体" w:cs="宋体"/>
          <w:spacing w:val="-29"/>
          <w:w w:val="100"/>
          <w:kern w:val="2"/>
          <w:sz w:val="24"/>
          <w:szCs w:val="24"/>
          <w:lang w:val="en-US" w:eastAsia="zh-CN" w:bidi="zh-CN"/>
        </w:rPr>
        <w:t>4</w:t>
      </w:r>
      <w:r>
        <w:rPr>
          <w:rFonts w:hint="default" w:ascii="宋体" w:hAnsi="宋体" w:eastAsia="宋体" w:cs="宋体"/>
          <w:spacing w:val="-29"/>
          <w:w w:val="100"/>
          <w:kern w:val="2"/>
          <w:sz w:val="24"/>
          <w:szCs w:val="24"/>
          <w:lang w:val="zh-CN" w:eastAsia="zh-CN" w:bidi="zh-CN"/>
        </w:rPr>
        <w:t>.1.1</w:t>
      </w:r>
      <w:r>
        <w:rPr>
          <w:rFonts w:ascii="宋体" w:hAnsi="宋体"/>
          <w:sz w:val="24"/>
          <w:lang w:val="zh-CN"/>
        </w:rPr>
        <w:t>在法定的退货期内，甲方将货物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56A3F01">
      <w:pPr>
        <w:pStyle w:val="36"/>
        <w:numPr>
          <w:ilvl w:val="2"/>
          <w:numId w:val="0"/>
        </w:numPr>
        <w:tabs>
          <w:tab w:val="left" w:pos="1641"/>
        </w:tabs>
        <w:spacing w:line="405" w:lineRule="auto"/>
        <w:ind w:left="320" w:leftChars="0" w:right="338" w:rightChars="0" w:firstLine="480" w:firstLineChars="0"/>
        <w:rPr>
          <w:rFonts w:ascii="宋体" w:hAnsi="宋体"/>
          <w:sz w:val="24"/>
          <w:lang w:val="zh-CN"/>
        </w:rPr>
      </w:pPr>
      <w:r>
        <w:rPr>
          <w:rFonts w:hint="default" w:ascii="宋体" w:hAnsi="宋体" w:eastAsia="宋体" w:cs="宋体"/>
          <w:spacing w:val="-29"/>
          <w:w w:val="100"/>
          <w:kern w:val="2"/>
          <w:sz w:val="24"/>
          <w:szCs w:val="24"/>
          <w:lang w:val="zh-CN" w:eastAsia="zh-CN" w:bidi="zh-CN"/>
        </w:rPr>
        <w:t>1</w:t>
      </w:r>
      <w:r>
        <w:rPr>
          <w:rFonts w:hint="eastAsia" w:ascii="宋体" w:hAnsi="宋体" w:cs="宋体"/>
          <w:spacing w:val="-29"/>
          <w:w w:val="100"/>
          <w:kern w:val="2"/>
          <w:sz w:val="24"/>
          <w:szCs w:val="24"/>
          <w:lang w:val="en-US" w:eastAsia="zh-CN" w:bidi="zh-CN"/>
        </w:rPr>
        <w:t>4</w:t>
      </w:r>
      <w:r>
        <w:rPr>
          <w:rFonts w:hint="default" w:ascii="宋体" w:hAnsi="宋体" w:eastAsia="宋体" w:cs="宋体"/>
          <w:spacing w:val="-29"/>
          <w:w w:val="100"/>
          <w:kern w:val="2"/>
          <w:sz w:val="24"/>
          <w:szCs w:val="24"/>
          <w:lang w:val="zh-CN" w:eastAsia="zh-CN" w:bidi="zh-CN"/>
        </w:rPr>
        <w:t>.1.2</w:t>
      </w:r>
      <w:r>
        <w:rPr>
          <w:rFonts w:ascii="宋体" w:hAnsi="宋体"/>
          <w:sz w:val="24"/>
          <w:lang w:val="zh-CN"/>
        </w:rPr>
        <w:t>根据货物低劣程度、损坏程度以及甲方所遭受损失的数额，经双方商定降低货物的价格，或由有权的部门评估，以降低后的价格或评估价格为准。</w:t>
      </w:r>
    </w:p>
    <w:p w14:paraId="5777D236">
      <w:pPr>
        <w:pStyle w:val="36"/>
        <w:numPr>
          <w:ilvl w:val="2"/>
          <w:numId w:val="0"/>
        </w:numPr>
        <w:tabs>
          <w:tab w:val="left" w:pos="1641"/>
        </w:tabs>
        <w:spacing w:before="2" w:line="405" w:lineRule="auto"/>
        <w:ind w:left="320" w:leftChars="0" w:right="338" w:rightChars="0" w:firstLine="480" w:firstLineChars="0"/>
        <w:rPr>
          <w:rFonts w:ascii="宋体" w:hAnsi="宋体"/>
          <w:sz w:val="24"/>
          <w:lang w:val="zh-CN"/>
        </w:rPr>
      </w:pPr>
      <w:r>
        <w:rPr>
          <w:rFonts w:hint="default" w:ascii="宋体" w:hAnsi="宋体" w:eastAsia="宋体" w:cs="宋体"/>
          <w:spacing w:val="-29"/>
          <w:w w:val="100"/>
          <w:kern w:val="2"/>
          <w:sz w:val="24"/>
          <w:szCs w:val="24"/>
          <w:lang w:val="zh-CN" w:eastAsia="zh-CN" w:bidi="zh-CN"/>
        </w:rPr>
        <w:t>1</w:t>
      </w:r>
      <w:r>
        <w:rPr>
          <w:rFonts w:hint="eastAsia" w:ascii="宋体" w:hAnsi="宋体" w:cs="宋体"/>
          <w:spacing w:val="-29"/>
          <w:w w:val="100"/>
          <w:kern w:val="2"/>
          <w:sz w:val="24"/>
          <w:szCs w:val="24"/>
          <w:lang w:val="en-US" w:eastAsia="zh-CN" w:bidi="zh-CN"/>
        </w:rPr>
        <w:t>4</w:t>
      </w:r>
      <w:r>
        <w:rPr>
          <w:rFonts w:hint="default" w:ascii="宋体" w:hAnsi="宋体" w:eastAsia="宋体" w:cs="宋体"/>
          <w:spacing w:val="-29"/>
          <w:w w:val="100"/>
          <w:kern w:val="2"/>
          <w:sz w:val="24"/>
          <w:szCs w:val="24"/>
          <w:lang w:val="zh-CN" w:eastAsia="zh-CN" w:bidi="zh-CN"/>
        </w:rPr>
        <w:t>.1.3</w:t>
      </w:r>
      <w:r>
        <w:rPr>
          <w:rFonts w:ascii="宋体" w:hAnsi="宋体"/>
          <w:sz w:val="24"/>
          <w:lang w:val="zh-CN"/>
        </w:rPr>
        <w:t>用符合规格、质量和性能要求的新零件、部件或货物来更换有缺陷的部分或修补缺陷部分，乙方承担一切费用和风险并负担甲方所发生的一切直接费用。同时，乙方应按合同第 12 条规定，相应延长修补或更换件的质量保证期。</w:t>
      </w:r>
    </w:p>
    <w:p w14:paraId="6C008896">
      <w:pPr>
        <w:pStyle w:val="36"/>
        <w:numPr>
          <w:ilvl w:val="2"/>
          <w:numId w:val="0"/>
        </w:numPr>
        <w:tabs>
          <w:tab w:val="left" w:pos="1641"/>
        </w:tabs>
        <w:spacing w:before="1" w:line="405" w:lineRule="auto"/>
        <w:ind w:left="320" w:leftChars="0" w:right="338" w:rightChars="0" w:firstLine="480" w:firstLineChars="0"/>
        <w:rPr>
          <w:rFonts w:ascii="宋体" w:hAnsi="宋体"/>
          <w:sz w:val="24"/>
          <w:lang w:val="zh-CN"/>
        </w:rPr>
      </w:pPr>
      <w:r>
        <w:rPr>
          <w:rFonts w:hint="default" w:ascii="宋体" w:hAnsi="宋体" w:eastAsia="宋体" w:cs="宋体"/>
          <w:spacing w:val="-29"/>
          <w:w w:val="100"/>
          <w:kern w:val="2"/>
          <w:sz w:val="24"/>
          <w:szCs w:val="24"/>
          <w:lang w:val="zh-CN" w:eastAsia="zh-CN" w:bidi="zh-CN"/>
        </w:rPr>
        <w:t>1</w:t>
      </w:r>
      <w:r>
        <w:rPr>
          <w:rFonts w:hint="eastAsia" w:ascii="宋体" w:hAnsi="宋体" w:cs="宋体"/>
          <w:spacing w:val="-29"/>
          <w:w w:val="100"/>
          <w:kern w:val="2"/>
          <w:sz w:val="24"/>
          <w:szCs w:val="24"/>
          <w:lang w:val="en-US" w:eastAsia="zh-CN" w:bidi="zh-CN"/>
        </w:rPr>
        <w:t>4</w:t>
      </w:r>
      <w:r>
        <w:rPr>
          <w:rFonts w:hint="default" w:ascii="宋体" w:hAnsi="宋体" w:eastAsia="宋体" w:cs="宋体"/>
          <w:spacing w:val="-29"/>
          <w:w w:val="100"/>
          <w:kern w:val="2"/>
          <w:sz w:val="24"/>
          <w:szCs w:val="24"/>
          <w:lang w:val="zh-CN" w:eastAsia="zh-CN" w:bidi="zh-CN"/>
        </w:rPr>
        <w:t>.1.4</w:t>
      </w:r>
      <w:r>
        <w:rPr>
          <w:rFonts w:ascii="宋体" w:hAnsi="宋体"/>
          <w:sz w:val="24"/>
          <w:lang w:val="zh-CN"/>
        </w:rPr>
        <w:t>如果在甲方发出索赔通知后日内，乙方未作答复，上述索赔应视为已被乙方接受。如乙方未能在甲方提出索赔通知后日内或买方同意的更长时间内，按照本合同第</w:t>
      </w:r>
    </w:p>
    <w:p w14:paraId="4CC6341F">
      <w:pPr>
        <w:pStyle w:val="6"/>
        <w:spacing w:line="405" w:lineRule="auto"/>
        <w:ind w:right="343" w:firstLine="480" w:firstLineChars="200"/>
        <w:rPr>
          <w:rFonts w:ascii="宋体" w:hAnsi="宋体"/>
          <w:sz w:val="24"/>
          <w:szCs w:val="20"/>
          <w:lang w:val="zh-CN"/>
        </w:rPr>
      </w:pPr>
      <w:r>
        <w:rPr>
          <w:rFonts w:ascii="宋体" w:hAnsi="宋体"/>
          <w:sz w:val="24"/>
          <w:szCs w:val="20"/>
          <w:lang w:val="zh-CN"/>
        </w:rPr>
        <w:t>14.2 条规定的任何一种方法解决索赔事宜，甲方将从合同款中扣回索赔金额。如果这些金额不足以补偿索赔金额，甲方有权向乙方提出不足部分的补偿。</w:t>
      </w:r>
    </w:p>
    <w:p w14:paraId="7317CFF5">
      <w:pPr>
        <w:numPr>
          <w:ilvl w:val="0"/>
          <w:numId w:val="0"/>
        </w:numPr>
        <w:tabs>
          <w:tab w:val="left" w:pos="1165"/>
        </w:tabs>
        <w:ind w:left="1164" w:leftChars="0" w:hanging="364" w:firstLineChars="0"/>
        <w:rPr>
          <w:rFonts w:ascii="宋体" w:hAnsi="宋体"/>
          <w:sz w:val="24"/>
          <w:szCs w:val="24"/>
          <w:lang w:val="zh-CN"/>
        </w:rPr>
      </w:pPr>
      <w:bookmarkStart w:id="370" w:name="_Toc1995_WPSOffice_Level3"/>
      <w:r>
        <w:rPr>
          <w:rFonts w:hint="default" w:ascii="宋体" w:hAnsi="宋体" w:eastAsia="宋体" w:cs="宋体"/>
          <w:b w:val="0"/>
          <w:bCs w:val="0"/>
          <w:spacing w:val="-3"/>
          <w:w w:val="99"/>
          <w:kern w:val="2"/>
          <w:sz w:val="24"/>
          <w:szCs w:val="24"/>
          <w:lang w:val="zh-CN" w:eastAsia="zh-CN" w:bidi="zh-CN"/>
        </w:rPr>
        <w:t>1</w:t>
      </w:r>
      <w:r>
        <w:rPr>
          <w:rFonts w:hint="eastAsia" w:ascii="宋体" w:hAnsi="宋体" w:eastAsia="宋体" w:cs="宋体"/>
          <w:b w:val="0"/>
          <w:bCs w:val="0"/>
          <w:spacing w:val="-3"/>
          <w:w w:val="99"/>
          <w:kern w:val="2"/>
          <w:sz w:val="24"/>
          <w:szCs w:val="24"/>
          <w:lang w:val="en-US" w:eastAsia="zh-CN" w:bidi="zh-CN"/>
        </w:rPr>
        <w:t>5</w:t>
      </w:r>
      <w:r>
        <w:rPr>
          <w:rFonts w:hint="default" w:ascii="宋体" w:hAnsi="宋体" w:eastAsia="宋体" w:cs="宋体"/>
          <w:b w:val="0"/>
          <w:bCs w:val="0"/>
          <w:spacing w:val="-3"/>
          <w:w w:val="99"/>
          <w:kern w:val="2"/>
          <w:sz w:val="24"/>
          <w:szCs w:val="24"/>
          <w:lang w:val="zh-CN" w:eastAsia="zh-CN" w:bidi="zh-CN"/>
        </w:rPr>
        <w:t>.</w:t>
      </w:r>
      <w:r>
        <w:rPr>
          <w:rFonts w:ascii="宋体" w:hAnsi="宋体"/>
          <w:sz w:val="24"/>
          <w:szCs w:val="24"/>
          <w:lang w:val="zh-CN"/>
        </w:rPr>
        <w:t>违约责任</w:t>
      </w:r>
      <w:bookmarkEnd w:id="370"/>
    </w:p>
    <w:p w14:paraId="06657DA7">
      <w:pPr>
        <w:pStyle w:val="36"/>
        <w:numPr>
          <w:ilvl w:val="1"/>
          <w:numId w:val="0"/>
        </w:numPr>
        <w:tabs>
          <w:tab w:val="left" w:pos="1401"/>
        </w:tabs>
        <w:spacing w:before="213" w:line="405" w:lineRule="auto"/>
        <w:ind w:left="360" w:leftChars="0" w:right="523"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5</w:t>
      </w:r>
      <w:r>
        <w:rPr>
          <w:rFonts w:hint="default" w:ascii="宋体" w:hAnsi="宋体" w:eastAsia="宋体" w:cs="宋体"/>
          <w:w w:val="100"/>
          <w:kern w:val="2"/>
          <w:sz w:val="24"/>
          <w:szCs w:val="24"/>
          <w:lang w:val="zh-CN" w:eastAsia="zh-CN" w:bidi="zh-CN"/>
        </w:rPr>
        <w:t>.1</w:t>
      </w:r>
      <w:r>
        <w:rPr>
          <w:rFonts w:ascii="宋体" w:hAnsi="宋体"/>
          <w:sz w:val="24"/>
          <w:lang w:val="zh-CN"/>
        </w:rPr>
        <w:t>甲方无正当理由拒收货物的，甲方向乙方偿付拒收货款总值的百分之五违约金。</w:t>
      </w:r>
    </w:p>
    <w:p w14:paraId="08595C7F">
      <w:pPr>
        <w:pStyle w:val="36"/>
        <w:numPr>
          <w:ilvl w:val="1"/>
          <w:numId w:val="0"/>
        </w:numPr>
        <w:tabs>
          <w:tab w:val="left" w:pos="1401"/>
        </w:tabs>
        <w:spacing w:line="405" w:lineRule="auto"/>
        <w:ind w:left="360" w:leftChars="0" w:right="403"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5</w:t>
      </w:r>
      <w:r>
        <w:rPr>
          <w:rFonts w:hint="default" w:ascii="宋体" w:hAnsi="宋体" w:eastAsia="宋体" w:cs="宋体"/>
          <w:w w:val="100"/>
          <w:kern w:val="2"/>
          <w:sz w:val="24"/>
          <w:szCs w:val="24"/>
          <w:lang w:val="zh-CN" w:eastAsia="zh-CN" w:bidi="zh-CN"/>
        </w:rPr>
        <w:t>.2</w:t>
      </w:r>
      <w:r>
        <w:rPr>
          <w:rFonts w:ascii="宋体" w:hAnsi="宋体"/>
          <w:sz w:val="24"/>
          <w:lang w:val="zh-CN"/>
        </w:rPr>
        <w:t>甲方无故逾期验收和办理货款支付手续的,甲方按逾期付款总额每日万分之五向乙方支付违约金。</w:t>
      </w:r>
    </w:p>
    <w:p w14:paraId="737079A8">
      <w:pPr>
        <w:pStyle w:val="6"/>
        <w:spacing w:before="39" w:line="405" w:lineRule="auto"/>
        <w:ind w:right="276" w:firstLine="720" w:firstLineChars="300"/>
        <w:rPr>
          <w:rFonts w:ascii="宋体" w:hAnsi="宋体"/>
          <w:sz w:val="24"/>
          <w:szCs w:val="20"/>
          <w:lang w:val="zh-CN"/>
        </w:rPr>
      </w:pPr>
      <w:r>
        <w:rPr>
          <w:rFonts w:hint="eastAsia" w:ascii="宋体" w:hAnsi="宋体"/>
          <w:sz w:val="24"/>
          <w:szCs w:val="20"/>
        </w:rPr>
        <w:t>15.3</w:t>
      </w:r>
      <w:r>
        <w:rPr>
          <w:rFonts w:ascii="宋体" w:hAnsi="宋体"/>
          <w:sz w:val="24"/>
          <w:szCs w:val="20"/>
          <w:lang w:val="zh-CN"/>
        </w:rPr>
        <w:t>乙方逾期交付货物的，乙方按逾期交货总额每日万分之五向甲方支付违约金。逾期超过约定日期 10 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 5%的违约金，如造成甲方损失超过违约金的，超出部分由乙方继续承担赔偿责任。</w:t>
      </w:r>
    </w:p>
    <w:p w14:paraId="7FC8F54A">
      <w:pPr>
        <w:numPr>
          <w:ilvl w:val="0"/>
          <w:numId w:val="0"/>
        </w:numPr>
        <w:tabs>
          <w:tab w:val="left" w:pos="1165"/>
        </w:tabs>
        <w:spacing w:before="2"/>
        <w:ind w:left="1164" w:leftChars="0" w:hanging="364" w:firstLineChars="0"/>
        <w:rPr>
          <w:rFonts w:ascii="宋体" w:hAnsi="宋体"/>
          <w:sz w:val="24"/>
          <w:lang w:val="zh-CN"/>
        </w:rPr>
      </w:pPr>
      <w:bookmarkStart w:id="371" w:name="_Toc14248_WPSOffice_Level3"/>
      <w:r>
        <w:rPr>
          <w:rFonts w:hint="default" w:ascii="宋体" w:hAnsi="宋体" w:eastAsia="宋体" w:cs="宋体"/>
          <w:b w:val="0"/>
          <w:bCs w:val="0"/>
          <w:spacing w:val="-3"/>
          <w:w w:val="99"/>
          <w:kern w:val="2"/>
          <w:sz w:val="22"/>
          <w:szCs w:val="22"/>
          <w:lang w:val="zh-CN" w:eastAsia="zh-CN" w:bidi="zh-CN"/>
        </w:rPr>
        <w:t>1</w:t>
      </w:r>
      <w:r>
        <w:rPr>
          <w:rFonts w:hint="eastAsia" w:ascii="宋体" w:hAnsi="宋体" w:eastAsia="宋体" w:cs="宋体"/>
          <w:b w:val="0"/>
          <w:bCs w:val="0"/>
          <w:spacing w:val="-3"/>
          <w:w w:val="99"/>
          <w:kern w:val="2"/>
          <w:sz w:val="22"/>
          <w:szCs w:val="22"/>
          <w:lang w:val="en-US" w:eastAsia="zh-CN" w:bidi="zh-CN"/>
        </w:rPr>
        <w:t>6</w:t>
      </w:r>
      <w:r>
        <w:rPr>
          <w:rFonts w:hint="default" w:ascii="宋体" w:hAnsi="宋体" w:eastAsia="宋体" w:cs="宋体"/>
          <w:b w:val="0"/>
          <w:bCs w:val="0"/>
          <w:spacing w:val="-3"/>
          <w:w w:val="99"/>
          <w:kern w:val="2"/>
          <w:sz w:val="22"/>
          <w:szCs w:val="22"/>
          <w:lang w:val="zh-CN" w:eastAsia="zh-CN" w:bidi="zh-CN"/>
        </w:rPr>
        <w:t>.</w:t>
      </w:r>
      <w:r>
        <w:rPr>
          <w:rFonts w:ascii="宋体" w:hAnsi="宋体"/>
          <w:sz w:val="24"/>
          <w:lang w:val="zh-CN"/>
        </w:rPr>
        <w:t>不可抗力事件处理</w:t>
      </w:r>
      <w:bookmarkEnd w:id="371"/>
    </w:p>
    <w:p w14:paraId="5EBAF2F4">
      <w:pPr>
        <w:pStyle w:val="36"/>
        <w:numPr>
          <w:ilvl w:val="1"/>
          <w:numId w:val="0"/>
        </w:numPr>
        <w:tabs>
          <w:tab w:val="left" w:pos="1341"/>
        </w:tabs>
        <w:spacing w:before="211" w:line="405" w:lineRule="auto"/>
        <w:ind w:left="360" w:leftChars="0" w:right="218"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6</w:t>
      </w:r>
      <w:r>
        <w:rPr>
          <w:rFonts w:hint="default" w:ascii="宋体" w:hAnsi="宋体" w:eastAsia="宋体" w:cs="宋体"/>
          <w:w w:val="100"/>
          <w:kern w:val="2"/>
          <w:sz w:val="24"/>
          <w:szCs w:val="24"/>
          <w:lang w:val="zh-CN" w:eastAsia="zh-CN" w:bidi="zh-CN"/>
        </w:rPr>
        <w:t>.1</w:t>
      </w:r>
      <w:r>
        <w:rPr>
          <w:rFonts w:ascii="宋体" w:hAnsi="宋体"/>
          <w:sz w:val="24"/>
          <w:lang w:val="zh-CN"/>
        </w:rPr>
        <w:t>因不可抗力造成违约的，遭受不可抗力一方应及时向对方通报不能履行或不能完全履行的理由，并在随后取得有关权威机构出具的证明后的 15 日内向另一方提供不可抗力发生以及持续期间的充分证据。基本于以上行为，允许遭受不可抗力一方延期履行、部分履行或者不履行合同，并根据情况可部分或全部免于承担违约责任。</w:t>
      </w:r>
    </w:p>
    <w:p w14:paraId="2BC06314">
      <w:pPr>
        <w:pStyle w:val="36"/>
        <w:numPr>
          <w:ilvl w:val="1"/>
          <w:numId w:val="0"/>
        </w:numPr>
        <w:tabs>
          <w:tab w:val="left" w:pos="1401"/>
        </w:tabs>
        <w:spacing w:before="2" w:line="405" w:lineRule="auto"/>
        <w:ind w:left="360" w:leftChars="0" w:right="338"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6</w:t>
      </w:r>
      <w:r>
        <w:rPr>
          <w:rFonts w:hint="default" w:ascii="宋体" w:hAnsi="宋体" w:eastAsia="宋体" w:cs="宋体"/>
          <w:w w:val="100"/>
          <w:kern w:val="2"/>
          <w:sz w:val="24"/>
          <w:szCs w:val="24"/>
          <w:lang w:val="zh-CN" w:eastAsia="zh-CN" w:bidi="zh-CN"/>
        </w:rPr>
        <w:t>.2</w:t>
      </w:r>
      <w:r>
        <w:rPr>
          <w:rFonts w:ascii="宋体" w:hAnsi="宋体"/>
          <w:sz w:val="24"/>
          <w:lang w:val="zh-CN"/>
        </w:rPr>
        <w:t>本合同中的不可抗力指不能预见、不能避免并不能克服的客观情况。包括但不限于：自然灾害如地震、台风、洪水、火灾；政府行为、法律规定或其适用的变化或者其他任何无法预见、避免或者控制的事件。</w:t>
      </w:r>
    </w:p>
    <w:p w14:paraId="18C114B8">
      <w:pPr>
        <w:numPr>
          <w:ilvl w:val="0"/>
          <w:numId w:val="0"/>
        </w:numPr>
        <w:tabs>
          <w:tab w:val="left" w:pos="1165"/>
        </w:tabs>
        <w:spacing w:before="1"/>
        <w:ind w:left="1164" w:leftChars="0" w:hanging="364" w:firstLineChars="0"/>
        <w:rPr>
          <w:rFonts w:ascii="宋体" w:hAnsi="宋体"/>
          <w:sz w:val="24"/>
          <w:lang w:val="zh-CN"/>
        </w:rPr>
      </w:pPr>
      <w:bookmarkStart w:id="372" w:name="_Toc24294_WPSOffice_Level3"/>
      <w:r>
        <w:rPr>
          <w:rFonts w:hint="default" w:ascii="宋体" w:hAnsi="宋体" w:eastAsia="宋体" w:cs="宋体"/>
          <w:b w:val="0"/>
          <w:bCs w:val="0"/>
          <w:spacing w:val="-3"/>
          <w:w w:val="99"/>
          <w:kern w:val="2"/>
          <w:sz w:val="22"/>
          <w:szCs w:val="22"/>
          <w:lang w:val="zh-CN" w:eastAsia="zh-CN" w:bidi="zh-CN"/>
        </w:rPr>
        <w:t>1</w:t>
      </w:r>
      <w:r>
        <w:rPr>
          <w:rFonts w:hint="eastAsia" w:ascii="宋体" w:hAnsi="宋体" w:eastAsia="宋体" w:cs="宋体"/>
          <w:b w:val="0"/>
          <w:bCs w:val="0"/>
          <w:spacing w:val="-3"/>
          <w:w w:val="99"/>
          <w:kern w:val="2"/>
          <w:sz w:val="22"/>
          <w:szCs w:val="22"/>
          <w:lang w:val="en-US" w:eastAsia="zh-CN" w:bidi="zh-CN"/>
        </w:rPr>
        <w:t>7</w:t>
      </w:r>
      <w:r>
        <w:rPr>
          <w:rFonts w:hint="default" w:ascii="宋体" w:hAnsi="宋体" w:eastAsia="宋体" w:cs="宋体"/>
          <w:b w:val="0"/>
          <w:bCs w:val="0"/>
          <w:spacing w:val="-3"/>
          <w:w w:val="99"/>
          <w:kern w:val="2"/>
          <w:sz w:val="22"/>
          <w:szCs w:val="22"/>
          <w:lang w:val="zh-CN" w:eastAsia="zh-CN" w:bidi="zh-CN"/>
        </w:rPr>
        <w:t>.</w:t>
      </w:r>
      <w:r>
        <w:rPr>
          <w:rFonts w:ascii="宋体" w:hAnsi="宋体"/>
          <w:sz w:val="24"/>
          <w:lang w:val="zh-CN"/>
        </w:rPr>
        <w:t>合同纠纷处理</w:t>
      </w:r>
      <w:bookmarkEnd w:id="372"/>
    </w:p>
    <w:p w14:paraId="7081BF9E">
      <w:pPr>
        <w:pStyle w:val="6"/>
        <w:spacing w:before="213" w:line="405" w:lineRule="auto"/>
        <w:ind w:right="154" w:firstLine="480"/>
        <w:rPr>
          <w:rFonts w:ascii="宋体" w:hAnsi="宋体"/>
          <w:sz w:val="24"/>
          <w:szCs w:val="20"/>
          <w:lang w:val="zh-CN"/>
        </w:rPr>
      </w:pPr>
      <w:r>
        <w:rPr>
          <w:rFonts w:ascii="宋体" w:hAnsi="宋体"/>
          <w:sz w:val="24"/>
          <w:szCs w:val="20"/>
          <w:lang w:val="zh-CN"/>
        </w:rPr>
        <w:t>因本合同或与本合同有关的一切事项发生争议，由双方友好协商解决。协商不成的， 任何一方均可选择以下方式解决：</w:t>
      </w:r>
    </w:p>
    <w:p w14:paraId="2D29077F">
      <w:pPr>
        <w:pStyle w:val="36"/>
        <w:numPr>
          <w:ilvl w:val="1"/>
          <w:numId w:val="0"/>
        </w:numPr>
        <w:tabs>
          <w:tab w:val="left" w:pos="1401"/>
        </w:tabs>
        <w:ind w:left="1440" w:leftChars="0" w:hanging="60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7</w:t>
      </w:r>
      <w:r>
        <w:rPr>
          <w:rFonts w:hint="default" w:ascii="宋体" w:hAnsi="宋体" w:eastAsia="宋体" w:cs="宋体"/>
          <w:w w:val="100"/>
          <w:kern w:val="2"/>
          <w:sz w:val="24"/>
          <w:szCs w:val="24"/>
          <w:lang w:val="zh-CN" w:eastAsia="zh-CN" w:bidi="zh-CN"/>
        </w:rPr>
        <w:t>.1</w:t>
      </w:r>
      <w:r>
        <w:rPr>
          <w:rFonts w:ascii="宋体" w:hAnsi="宋体"/>
          <w:sz w:val="24"/>
          <w:lang w:val="zh-CN"/>
        </w:rPr>
        <w:t>向合同签订地人民法院提起诉讼。</w:t>
      </w:r>
    </w:p>
    <w:p w14:paraId="07C50688">
      <w:pPr>
        <w:numPr>
          <w:ilvl w:val="0"/>
          <w:numId w:val="0"/>
        </w:numPr>
        <w:tabs>
          <w:tab w:val="left" w:pos="1162"/>
        </w:tabs>
        <w:spacing w:before="213"/>
        <w:ind w:left="1161" w:leftChars="0" w:hanging="363" w:firstLineChars="0"/>
        <w:rPr>
          <w:rFonts w:ascii="宋体" w:hAnsi="宋体"/>
          <w:sz w:val="24"/>
          <w:lang w:val="zh-CN"/>
        </w:rPr>
      </w:pPr>
      <w:bookmarkStart w:id="373" w:name="_Toc7968_WPSOffice_Level3"/>
      <w:r>
        <w:rPr>
          <w:rFonts w:hint="default" w:ascii="宋体" w:hAnsi="宋体" w:eastAsia="宋体" w:cs="宋体"/>
          <w:b w:val="0"/>
          <w:bCs w:val="0"/>
          <w:spacing w:val="-3"/>
          <w:w w:val="99"/>
          <w:kern w:val="2"/>
          <w:sz w:val="24"/>
          <w:szCs w:val="24"/>
          <w:lang w:val="zh-CN" w:eastAsia="zh-CN" w:bidi="zh-CN"/>
        </w:rPr>
        <w:t>1</w:t>
      </w:r>
      <w:r>
        <w:rPr>
          <w:rFonts w:hint="eastAsia" w:ascii="宋体" w:hAnsi="宋体" w:eastAsia="宋体" w:cs="宋体"/>
          <w:b w:val="0"/>
          <w:bCs w:val="0"/>
          <w:spacing w:val="-3"/>
          <w:w w:val="99"/>
          <w:kern w:val="2"/>
          <w:sz w:val="24"/>
          <w:szCs w:val="24"/>
          <w:lang w:val="en-US" w:eastAsia="zh-CN" w:bidi="zh-CN"/>
        </w:rPr>
        <w:t>8</w:t>
      </w:r>
      <w:r>
        <w:rPr>
          <w:rFonts w:hint="default" w:ascii="宋体" w:hAnsi="宋体" w:eastAsia="宋体" w:cs="宋体"/>
          <w:b w:val="0"/>
          <w:bCs w:val="0"/>
          <w:spacing w:val="-3"/>
          <w:w w:val="99"/>
          <w:kern w:val="2"/>
          <w:sz w:val="24"/>
          <w:szCs w:val="24"/>
          <w:lang w:val="zh-CN" w:eastAsia="zh-CN" w:bidi="zh-CN"/>
        </w:rPr>
        <w:t>.</w:t>
      </w:r>
      <w:r>
        <w:rPr>
          <w:rFonts w:ascii="宋体" w:hAnsi="宋体"/>
          <w:sz w:val="24"/>
          <w:lang w:val="zh-CN"/>
        </w:rPr>
        <w:t>违约解除合同</w:t>
      </w:r>
      <w:bookmarkEnd w:id="373"/>
    </w:p>
    <w:p w14:paraId="2B0DB8D4">
      <w:pPr>
        <w:pStyle w:val="36"/>
        <w:numPr>
          <w:ilvl w:val="1"/>
          <w:numId w:val="0"/>
        </w:numPr>
        <w:tabs>
          <w:tab w:val="left" w:pos="1341"/>
        </w:tabs>
        <w:spacing w:before="211" w:line="405" w:lineRule="auto"/>
        <w:ind w:left="360" w:leftChars="0" w:right="343" w:rightChars="0" w:firstLine="48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8</w:t>
      </w:r>
      <w:r>
        <w:rPr>
          <w:rFonts w:hint="default" w:ascii="宋体" w:hAnsi="宋体" w:eastAsia="宋体" w:cs="宋体"/>
          <w:w w:val="100"/>
          <w:kern w:val="2"/>
          <w:sz w:val="24"/>
          <w:szCs w:val="24"/>
          <w:lang w:val="zh-CN" w:eastAsia="zh-CN" w:bidi="zh-CN"/>
        </w:rPr>
        <w:t>.1</w:t>
      </w:r>
      <w:r>
        <w:rPr>
          <w:rFonts w:ascii="宋体" w:hAnsi="宋体"/>
          <w:sz w:val="24"/>
          <w:lang w:val="zh-CN"/>
        </w:rPr>
        <w:t>在乙方违约的情况下，甲方可向乙方发出书面通知，部分或全部终止合同，同时保留向对方追诉的权利。</w:t>
      </w:r>
    </w:p>
    <w:p w14:paraId="46116AF9">
      <w:pPr>
        <w:pStyle w:val="36"/>
        <w:numPr>
          <w:ilvl w:val="2"/>
          <w:numId w:val="0"/>
        </w:numPr>
        <w:tabs>
          <w:tab w:val="left" w:pos="1641"/>
        </w:tabs>
        <w:spacing w:before="3" w:line="405" w:lineRule="auto"/>
        <w:ind w:left="320" w:leftChars="0" w:right="283" w:rightChars="0" w:firstLine="480" w:firstLineChars="0"/>
        <w:rPr>
          <w:rFonts w:ascii="宋体" w:hAnsi="宋体"/>
          <w:sz w:val="24"/>
          <w:lang w:val="zh-CN"/>
        </w:rPr>
      </w:pPr>
      <w:r>
        <w:rPr>
          <w:rFonts w:hint="default" w:ascii="宋体" w:hAnsi="宋体" w:eastAsia="宋体" w:cs="宋体"/>
          <w:spacing w:val="-29"/>
          <w:w w:val="100"/>
          <w:kern w:val="2"/>
          <w:sz w:val="24"/>
          <w:szCs w:val="24"/>
          <w:lang w:val="zh-CN" w:eastAsia="zh-CN" w:bidi="zh-CN"/>
        </w:rPr>
        <w:t>1</w:t>
      </w:r>
      <w:r>
        <w:rPr>
          <w:rFonts w:hint="eastAsia" w:ascii="宋体" w:hAnsi="宋体" w:cs="宋体"/>
          <w:spacing w:val="-29"/>
          <w:w w:val="100"/>
          <w:kern w:val="2"/>
          <w:sz w:val="24"/>
          <w:szCs w:val="24"/>
          <w:lang w:val="en-US" w:eastAsia="zh-CN" w:bidi="zh-CN"/>
        </w:rPr>
        <w:t>8.</w:t>
      </w:r>
      <w:r>
        <w:rPr>
          <w:rFonts w:hint="default" w:ascii="宋体" w:hAnsi="宋体" w:eastAsia="宋体" w:cs="宋体"/>
          <w:spacing w:val="-29"/>
          <w:w w:val="100"/>
          <w:kern w:val="2"/>
          <w:sz w:val="24"/>
          <w:szCs w:val="24"/>
          <w:lang w:val="zh-CN" w:eastAsia="zh-CN" w:bidi="zh-CN"/>
        </w:rPr>
        <w:t>1.1</w:t>
      </w:r>
      <w:r>
        <w:rPr>
          <w:rFonts w:ascii="宋体" w:hAnsi="宋体"/>
          <w:sz w:val="24"/>
          <w:lang w:val="zh-CN"/>
        </w:rPr>
        <w:t>乙方未能在合同规定的限期或甲方同意延长的限期内提供全部或部分货物， 按合同第 15.3 的规定可以解除合同的。</w:t>
      </w:r>
    </w:p>
    <w:p w14:paraId="3D19BD53">
      <w:pPr>
        <w:pStyle w:val="36"/>
        <w:numPr>
          <w:ilvl w:val="2"/>
          <w:numId w:val="0"/>
        </w:numPr>
        <w:tabs>
          <w:tab w:val="left" w:pos="1641"/>
        </w:tabs>
        <w:spacing w:line="405" w:lineRule="auto"/>
        <w:ind w:left="320" w:leftChars="0" w:right="338" w:rightChars="0" w:firstLine="480" w:firstLineChars="0"/>
        <w:rPr>
          <w:rFonts w:ascii="宋体" w:hAnsi="宋体"/>
          <w:sz w:val="24"/>
          <w:lang w:val="zh-CN"/>
        </w:rPr>
      </w:pPr>
      <w:r>
        <w:rPr>
          <w:rFonts w:hint="default" w:ascii="宋体" w:hAnsi="宋体" w:eastAsia="宋体" w:cs="宋体"/>
          <w:spacing w:val="-29"/>
          <w:w w:val="100"/>
          <w:kern w:val="2"/>
          <w:sz w:val="24"/>
          <w:szCs w:val="24"/>
          <w:lang w:val="zh-CN" w:eastAsia="zh-CN" w:bidi="zh-CN"/>
        </w:rPr>
        <w:t>1</w:t>
      </w:r>
      <w:r>
        <w:rPr>
          <w:rFonts w:hint="eastAsia" w:ascii="宋体" w:hAnsi="宋体" w:cs="宋体"/>
          <w:spacing w:val="-29"/>
          <w:w w:val="100"/>
          <w:kern w:val="2"/>
          <w:sz w:val="24"/>
          <w:szCs w:val="24"/>
          <w:lang w:val="en-US" w:eastAsia="zh-CN" w:bidi="zh-CN"/>
        </w:rPr>
        <w:t>8</w:t>
      </w:r>
      <w:r>
        <w:rPr>
          <w:rFonts w:hint="default" w:ascii="宋体" w:hAnsi="宋体" w:eastAsia="宋体" w:cs="宋体"/>
          <w:spacing w:val="-29"/>
          <w:w w:val="100"/>
          <w:kern w:val="2"/>
          <w:sz w:val="24"/>
          <w:szCs w:val="24"/>
          <w:lang w:val="zh-CN" w:eastAsia="zh-CN" w:bidi="zh-CN"/>
        </w:rPr>
        <w:t>.1.2</w:t>
      </w:r>
      <w:r>
        <w:rPr>
          <w:rFonts w:ascii="宋体" w:hAnsi="宋体"/>
          <w:sz w:val="24"/>
          <w:lang w:val="zh-CN"/>
        </w:rPr>
        <w:t>乙方有转让和未经甲方同意的分包行为，按合同第 7.3 的规定可以解除合同的。</w:t>
      </w:r>
    </w:p>
    <w:p w14:paraId="75F33CA8">
      <w:pPr>
        <w:pStyle w:val="36"/>
        <w:numPr>
          <w:ilvl w:val="2"/>
          <w:numId w:val="0"/>
        </w:numPr>
        <w:tabs>
          <w:tab w:val="left" w:pos="1641"/>
        </w:tabs>
        <w:ind w:left="1640" w:leftChars="0" w:hanging="840" w:firstLineChars="0"/>
        <w:rPr>
          <w:rFonts w:ascii="宋体" w:hAnsi="宋体"/>
          <w:sz w:val="24"/>
          <w:lang w:val="zh-CN"/>
        </w:rPr>
      </w:pPr>
      <w:r>
        <w:rPr>
          <w:rFonts w:hint="default" w:ascii="宋体" w:hAnsi="宋体" w:eastAsia="宋体" w:cs="宋体"/>
          <w:spacing w:val="-29"/>
          <w:w w:val="100"/>
          <w:kern w:val="2"/>
          <w:sz w:val="24"/>
          <w:szCs w:val="24"/>
          <w:lang w:val="zh-CN" w:eastAsia="zh-CN" w:bidi="zh-CN"/>
        </w:rPr>
        <w:t>1</w:t>
      </w:r>
      <w:r>
        <w:rPr>
          <w:rFonts w:hint="eastAsia" w:ascii="宋体" w:hAnsi="宋体" w:cs="宋体"/>
          <w:spacing w:val="-29"/>
          <w:w w:val="100"/>
          <w:kern w:val="2"/>
          <w:sz w:val="24"/>
          <w:szCs w:val="24"/>
          <w:lang w:val="en-US" w:eastAsia="zh-CN" w:bidi="zh-CN"/>
        </w:rPr>
        <w:t>8</w:t>
      </w:r>
      <w:r>
        <w:rPr>
          <w:rFonts w:hint="default" w:ascii="宋体" w:hAnsi="宋体" w:eastAsia="宋体" w:cs="宋体"/>
          <w:spacing w:val="-29"/>
          <w:w w:val="100"/>
          <w:kern w:val="2"/>
          <w:sz w:val="24"/>
          <w:szCs w:val="24"/>
          <w:lang w:val="zh-CN" w:eastAsia="zh-CN" w:bidi="zh-CN"/>
        </w:rPr>
        <w:t>.1.3</w:t>
      </w:r>
      <w:r>
        <w:rPr>
          <w:rFonts w:ascii="宋体" w:hAnsi="宋体"/>
          <w:sz w:val="24"/>
          <w:lang w:val="zh-CN"/>
        </w:rPr>
        <w:t>乙方未能履行合同规定的其它主要义务的。</w:t>
      </w:r>
    </w:p>
    <w:p w14:paraId="704E49CA">
      <w:pPr>
        <w:pStyle w:val="36"/>
        <w:numPr>
          <w:ilvl w:val="2"/>
          <w:numId w:val="0"/>
        </w:numPr>
        <w:tabs>
          <w:tab w:val="left" w:pos="1641"/>
        </w:tabs>
        <w:spacing w:before="213"/>
        <w:ind w:left="1640" w:leftChars="0" w:hanging="840" w:firstLineChars="0"/>
        <w:rPr>
          <w:rFonts w:ascii="宋体" w:hAnsi="宋体"/>
          <w:sz w:val="24"/>
          <w:lang w:val="zh-CN"/>
        </w:rPr>
      </w:pPr>
      <w:r>
        <w:rPr>
          <w:rFonts w:hint="default" w:ascii="宋体" w:hAnsi="宋体" w:eastAsia="宋体" w:cs="宋体"/>
          <w:spacing w:val="-29"/>
          <w:w w:val="100"/>
          <w:kern w:val="2"/>
          <w:sz w:val="24"/>
          <w:szCs w:val="24"/>
          <w:lang w:val="zh-CN" w:eastAsia="zh-CN" w:bidi="zh-CN"/>
        </w:rPr>
        <w:t>1</w:t>
      </w:r>
      <w:r>
        <w:rPr>
          <w:rFonts w:hint="eastAsia" w:ascii="宋体" w:hAnsi="宋体" w:cs="宋体"/>
          <w:spacing w:val="-29"/>
          <w:w w:val="100"/>
          <w:kern w:val="2"/>
          <w:sz w:val="24"/>
          <w:szCs w:val="24"/>
          <w:lang w:val="en-US" w:eastAsia="zh-CN" w:bidi="zh-CN"/>
        </w:rPr>
        <w:t>8</w:t>
      </w:r>
      <w:r>
        <w:rPr>
          <w:rFonts w:hint="default" w:ascii="宋体" w:hAnsi="宋体" w:eastAsia="宋体" w:cs="宋体"/>
          <w:spacing w:val="-29"/>
          <w:w w:val="100"/>
          <w:kern w:val="2"/>
          <w:sz w:val="24"/>
          <w:szCs w:val="24"/>
          <w:lang w:val="zh-CN" w:eastAsia="zh-CN" w:bidi="zh-CN"/>
        </w:rPr>
        <w:t>.1.4</w:t>
      </w:r>
      <w:r>
        <w:rPr>
          <w:rFonts w:ascii="宋体" w:hAnsi="宋体"/>
          <w:sz w:val="24"/>
          <w:lang w:val="zh-CN"/>
        </w:rPr>
        <w:t>在本合同履行过程中有腐败和欺诈行为的。</w:t>
      </w:r>
    </w:p>
    <w:p w14:paraId="108522C4">
      <w:pPr>
        <w:pStyle w:val="6"/>
        <w:spacing w:before="213" w:line="405" w:lineRule="auto"/>
        <w:ind w:right="218" w:firstLine="787" w:firstLineChars="328"/>
        <w:rPr>
          <w:rFonts w:ascii="宋体" w:hAnsi="宋体"/>
          <w:sz w:val="24"/>
          <w:szCs w:val="20"/>
          <w:lang w:val="zh-CN"/>
        </w:rPr>
      </w:pPr>
      <w:r>
        <w:rPr>
          <w:rFonts w:ascii="宋体" w:hAnsi="宋体"/>
          <w:sz w:val="24"/>
          <w:szCs w:val="20"/>
          <w:lang w:val="zh-CN"/>
        </w:rPr>
        <w:t>18.2 在甲方根据上述第 18.1 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090C4F1C">
      <w:pPr>
        <w:numPr>
          <w:ilvl w:val="0"/>
          <w:numId w:val="0"/>
        </w:numPr>
        <w:tabs>
          <w:tab w:val="left" w:pos="1165"/>
        </w:tabs>
        <w:spacing w:before="1"/>
        <w:ind w:left="1164" w:leftChars="0" w:hanging="364" w:firstLineChars="0"/>
        <w:rPr>
          <w:rFonts w:ascii="宋体" w:hAnsi="宋体"/>
          <w:sz w:val="24"/>
          <w:lang w:val="zh-CN"/>
        </w:rPr>
      </w:pPr>
      <w:bookmarkStart w:id="374" w:name="_Toc27973_WPSOffice_Level3"/>
      <w:r>
        <w:rPr>
          <w:rFonts w:hint="default" w:ascii="宋体" w:hAnsi="宋体" w:eastAsia="宋体" w:cs="宋体"/>
          <w:b w:val="0"/>
          <w:bCs w:val="0"/>
          <w:spacing w:val="-3"/>
          <w:w w:val="99"/>
          <w:kern w:val="2"/>
          <w:sz w:val="24"/>
          <w:szCs w:val="24"/>
          <w:lang w:val="zh-CN" w:eastAsia="zh-CN" w:bidi="zh-CN"/>
        </w:rPr>
        <w:t>1</w:t>
      </w:r>
      <w:r>
        <w:rPr>
          <w:rFonts w:hint="eastAsia" w:ascii="宋体" w:hAnsi="宋体" w:eastAsia="宋体" w:cs="宋体"/>
          <w:b w:val="0"/>
          <w:bCs w:val="0"/>
          <w:spacing w:val="-3"/>
          <w:w w:val="99"/>
          <w:kern w:val="2"/>
          <w:sz w:val="24"/>
          <w:szCs w:val="24"/>
          <w:lang w:val="en-US" w:eastAsia="zh-CN" w:bidi="zh-CN"/>
        </w:rPr>
        <w:t>9</w:t>
      </w:r>
      <w:r>
        <w:rPr>
          <w:rFonts w:hint="default" w:ascii="宋体" w:hAnsi="宋体" w:eastAsia="宋体" w:cs="宋体"/>
          <w:b w:val="0"/>
          <w:bCs w:val="0"/>
          <w:spacing w:val="-3"/>
          <w:w w:val="99"/>
          <w:kern w:val="2"/>
          <w:sz w:val="24"/>
          <w:szCs w:val="24"/>
          <w:lang w:val="zh-CN" w:eastAsia="zh-CN" w:bidi="zh-CN"/>
        </w:rPr>
        <w:t>.</w:t>
      </w:r>
      <w:r>
        <w:rPr>
          <w:rFonts w:ascii="宋体" w:hAnsi="宋体"/>
          <w:sz w:val="24"/>
          <w:lang w:val="zh-CN"/>
        </w:rPr>
        <w:t>其他约定</w:t>
      </w:r>
      <w:bookmarkEnd w:id="374"/>
    </w:p>
    <w:p w14:paraId="10BB5B4A">
      <w:pPr>
        <w:pStyle w:val="36"/>
        <w:numPr>
          <w:ilvl w:val="1"/>
          <w:numId w:val="0"/>
        </w:numPr>
        <w:tabs>
          <w:tab w:val="left" w:pos="1401"/>
        </w:tabs>
        <w:spacing w:before="39"/>
        <w:ind w:left="1440" w:leftChars="0" w:hanging="60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9</w:t>
      </w:r>
      <w:r>
        <w:rPr>
          <w:rFonts w:hint="default" w:ascii="宋体" w:hAnsi="宋体" w:eastAsia="宋体" w:cs="宋体"/>
          <w:w w:val="100"/>
          <w:kern w:val="2"/>
          <w:sz w:val="24"/>
          <w:szCs w:val="24"/>
          <w:lang w:val="zh-CN" w:eastAsia="zh-CN" w:bidi="zh-CN"/>
        </w:rPr>
        <w:t>.1</w:t>
      </w:r>
      <w:r>
        <w:rPr>
          <w:rFonts w:ascii="宋体" w:hAnsi="宋体"/>
          <w:sz w:val="24"/>
          <w:lang w:val="zh-CN"/>
        </w:rPr>
        <w:t>本采购项目的磋商文件、成交供应商的磋商响应文件以及相关的澄清确认函</w:t>
      </w:r>
    </w:p>
    <w:p w14:paraId="389DA854">
      <w:pPr>
        <w:pStyle w:val="6"/>
        <w:spacing w:before="213"/>
        <w:rPr>
          <w:rFonts w:ascii="宋体" w:hAnsi="宋体"/>
          <w:sz w:val="24"/>
          <w:szCs w:val="20"/>
          <w:lang w:val="zh-CN"/>
        </w:rPr>
      </w:pPr>
      <w:r>
        <w:rPr>
          <w:rFonts w:ascii="宋体" w:hAnsi="宋体"/>
          <w:sz w:val="24"/>
          <w:szCs w:val="20"/>
          <w:lang w:val="zh-CN"/>
        </w:rPr>
        <w:t>（如果有的话）均为本合同不可分割的一部分，与本合同具有同等法律效力。</w:t>
      </w:r>
    </w:p>
    <w:p w14:paraId="5B36E2C9">
      <w:pPr>
        <w:pStyle w:val="36"/>
        <w:numPr>
          <w:ilvl w:val="1"/>
          <w:numId w:val="0"/>
        </w:numPr>
        <w:tabs>
          <w:tab w:val="left" w:pos="1401"/>
        </w:tabs>
        <w:spacing w:before="213"/>
        <w:ind w:left="1440" w:leftChars="0" w:hanging="60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9</w:t>
      </w:r>
      <w:r>
        <w:rPr>
          <w:rFonts w:hint="default" w:ascii="宋体" w:hAnsi="宋体" w:eastAsia="宋体" w:cs="宋体"/>
          <w:w w:val="100"/>
          <w:kern w:val="2"/>
          <w:sz w:val="24"/>
          <w:szCs w:val="24"/>
          <w:lang w:val="zh-CN" w:eastAsia="zh-CN" w:bidi="zh-CN"/>
        </w:rPr>
        <w:t>.2</w:t>
      </w:r>
      <w:r>
        <w:rPr>
          <w:rFonts w:ascii="宋体" w:hAnsi="宋体"/>
          <w:sz w:val="24"/>
          <w:lang w:val="zh-CN"/>
        </w:rPr>
        <w:t>本合同未尽事宜，双方另行补充。</w:t>
      </w:r>
    </w:p>
    <w:p w14:paraId="76BF28E9">
      <w:pPr>
        <w:pStyle w:val="36"/>
        <w:numPr>
          <w:ilvl w:val="1"/>
          <w:numId w:val="0"/>
        </w:numPr>
        <w:tabs>
          <w:tab w:val="left" w:pos="1341"/>
        </w:tabs>
        <w:spacing w:before="211"/>
        <w:ind w:left="1380" w:leftChars="0" w:hanging="540" w:firstLineChars="0"/>
        <w:rPr>
          <w:rFonts w:ascii="宋体" w:hAnsi="宋体"/>
          <w:sz w:val="24"/>
          <w:lang w:val="zh-CN"/>
        </w:rPr>
      </w:pPr>
      <w:r>
        <w:rPr>
          <w:rFonts w:hint="default" w:ascii="宋体" w:hAnsi="宋体" w:eastAsia="宋体" w:cs="宋体"/>
          <w:w w:val="100"/>
          <w:kern w:val="2"/>
          <w:sz w:val="24"/>
          <w:szCs w:val="24"/>
          <w:lang w:val="zh-CN" w:eastAsia="zh-CN" w:bidi="zh-CN"/>
        </w:rPr>
        <w:t>1</w:t>
      </w:r>
      <w:r>
        <w:rPr>
          <w:rFonts w:hint="eastAsia" w:ascii="宋体" w:hAnsi="宋体" w:cs="宋体"/>
          <w:w w:val="100"/>
          <w:kern w:val="2"/>
          <w:sz w:val="24"/>
          <w:szCs w:val="24"/>
          <w:lang w:val="en-US" w:eastAsia="zh-CN" w:bidi="zh-CN"/>
        </w:rPr>
        <w:t>9</w:t>
      </w:r>
      <w:r>
        <w:rPr>
          <w:rFonts w:hint="default" w:ascii="宋体" w:hAnsi="宋体" w:eastAsia="宋体" w:cs="宋体"/>
          <w:w w:val="100"/>
          <w:kern w:val="2"/>
          <w:sz w:val="24"/>
          <w:szCs w:val="24"/>
          <w:lang w:val="zh-CN" w:eastAsia="zh-CN" w:bidi="zh-CN"/>
        </w:rPr>
        <w:t>.3</w:t>
      </w:r>
      <w:r>
        <w:rPr>
          <w:rFonts w:ascii="宋体" w:hAnsi="宋体"/>
          <w:sz w:val="24"/>
          <w:lang w:val="zh-CN"/>
        </w:rPr>
        <w:t>本合同正本一式份，具有同等法律效力，甲、乙双方各执两份。</w:t>
      </w:r>
    </w:p>
    <w:p w14:paraId="7F745DC5">
      <w:pPr>
        <w:pStyle w:val="36"/>
        <w:numPr>
          <w:ilvl w:val="1"/>
          <w:numId w:val="0"/>
        </w:numPr>
        <w:tabs>
          <w:tab w:val="left" w:pos="1401"/>
        </w:tabs>
        <w:spacing w:before="213"/>
        <w:ind w:left="1440" w:leftChars="0" w:hanging="600" w:firstLineChars="0"/>
        <w:rPr>
          <w:rFonts w:ascii="宋体" w:hAnsi="宋体"/>
          <w:sz w:val="24"/>
          <w:lang w:val="zh-CN"/>
        </w:rPr>
      </w:pPr>
      <w:r>
        <w:rPr>
          <w:rFonts w:hint="eastAsia" w:ascii="宋体" w:hAnsi="宋体" w:cs="宋体"/>
          <w:w w:val="100"/>
          <w:kern w:val="2"/>
          <w:sz w:val="24"/>
          <w:szCs w:val="24"/>
          <w:lang w:val="en-US" w:eastAsia="zh-CN" w:bidi="zh-CN"/>
        </w:rPr>
        <w:t>19</w:t>
      </w:r>
      <w:r>
        <w:rPr>
          <w:rFonts w:hint="default" w:ascii="宋体" w:hAnsi="宋体" w:eastAsia="宋体" w:cs="宋体"/>
          <w:w w:val="100"/>
          <w:kern w:val="2"/>
          <w:sz w:val="24"/>
          <w:szCs w:val="24"/>
          <w:lang w:val="zh-CN" w:eastAsia="zh-CN" w:bidi="zh-CN"/>
        </w:rPr>
        <w:t>.4</w:t>
      </w:r>
      <w:r>
        <w:rPr>
          <w:rFonts w:ascii="宋体" w:hAnsi="宋体"/>
          <w:sz w:val="24"/>
          <w:lang w:val="zh-CN"/>
        </w:rPr>
        <w:t>签定地点：</w:t>
      </w:r>
    </w:p>
    <w:p w14:paraId="0E0AB389">
      <w:pPr>
        <w:pStyle w:val="6"/>
        <w:tabs>
          <w:tab w:val="left" w:pos="5960"/>
        </w:tabs>
        <w:spacing w:before="214"/>
        <w:ind w:left="800"/>
        <w:rPr>
          <w:rFonts w:ascii="宋体" w:hAnsi="宋体"/>
          <w:sz w:val="24"/>
          <w:szCs w:val="20"/>
          <w:lang w:val="zh-CN"/>
        </w:rPr>
      </w:pPr>
      <w:r>
        <w:rPr>
          <w:rFonts w:ascii="宋体" w:hAnsi="宋体"/>
          <w:sz w:val="24"/>
          <w:szCs w:val="20"/>
          <w:lang w:val="zh-CN"/>
        </w:rPr>
        <w:t>甲方：</w:t>
      </w:r>
      <w:r>
        <w:rPr>
          <w:rFonts w:ascii="宋体" w:hAnsi="宋体"/>
          <w:sz w:val="24"/>
          <w:szCs w:val="20"/>
          <w:lang w:val="zh-CN"/>
        </w:rPr>
        <w:tab/>
      </w:r>
      <w:r>
        <w:rPr>
          <w:rFonts w:ascii="宋体" w:hAnsi="宋体"/>
          <w:sz w:val="24"/>
          <w:szCs w:val="20"/>
          <w:lang w:val="zh-CN"/>
        </w:rPr>
        <w:t>乙方：</w:t>
      </w:r>
    </w:p>
    <w:p w14:paraId="2279B585">
      <w:pPr>
        <w:pStyle w:val="6"/>
        <w:tabs>
          <w:tab w:val="left" w:pos="5840"/>
        </w:tabs>
        <w:spacing w:before="211"/>
        <w:ind w:left="800"/>
        <w:rPr>
          <w:rFonts w:ascii="宋体" w:hAnsi="宋体"/>
          <w:sz w:val="24"/>
          <w:szCs w:val="20"/>
          <w:lang w:val="zh-CN"/>
        </w:rPr>
      </w:pPr>
      <w:r>
        <w:rPr>
          <w:rFonts w:ascii="宋体" w:hAnsi="宋体"/>
          <w:sz w:val="24"/>
          <w:szCs w:val="20"/>
          <w:lang w:val="zh-CN"/>
        </w:rPr>
        <w:t>单位地址：</w:t>
      </w:r>
      <w:r>
        <w:rPr>
          <w:rFonts w:ascii="宋体" w:hAnsi="宋体"/>
          <w:sz w:val="24"/>
          <w:szCs w:val="20"/>
          <w:lang w:val="zh-CN"/>
        </w:rPr>
        <w:tab/>
      </w:r>
      <w:r>
        <w:rPr>
          <w:rFonts w:ascii="宋体" w:hAnsi="宋体"/>
          <w:sz w:val="24"/>
          <w:szCs w:val="20"/>
          <w:lang w:val="zh-CN"/>
        </w:rPr>
        <w:t>单位地址：</w:t>
      </w:r>
    </w:p>
    <w:p w14:paraId="5257BAC7">
      <w:pPr>
        <w:pStyle w:val="6"/>
        <w:tabs>
          <w:tab w:val="left" w:pos="5840"/>
        </w:tabs>
        <w:spacing w:before="213"/>
        <w:ind w:left="800"/>
        <w:rPr>
          <w:rFonts w:ascii="宋体" w:hAnsi="宋体"/>
          <w:sz w:val="24"/>
          <w:szCs w:val="20"/>
          <w:lang w:val="zh-CN"/>
        </w:rPr>
      </w:pPr>
      <w:r>
        <w:rPr>
          <w:rFonts w:ascii="宋体" w:hAnsi="宋体"/>
          <w:sz w:val="24"/>
          <w:szCs w:val="20"/>
          <w:lang w:val="zh-CN"/>
        </w:rPr>
        <w:t>法定代表人：</w:t>
      </w:r>
      <w:r>
        <w:rPr>
          <w:rFonts w:ascii="宋体" w:hAnsi="宋体"/>
          <w:sz w:val="24"/>
          <w:szCs w:val="20"/>
          <w:lang w:val="zh-CN"/>
        </w:rPr>
        <w:tab/>
      </w:r>
      <w:r>
        <w:rPr>
          <w:rFonts w:ascii="宋体" w:hAnsi="宋体"/>
          <w:sz w:val="24"/>
          <w:szCs w:val="20"/>
          <w:lang w:val="zh-CN"/>
        </w:rPr>
        <w:t>法定代表人：</w:t>
      </w:r>
    </w:p>
    <w:p w14:paraId="4865E681">
      <w:pPr>
        <w:pStyle w:val="6"/>
        <w:tabs>
          <w:tab w:val="left" w:pos="5840"/>
        </w:tabs>
        <w:spacing w:before="213"/>
        <w:ind w:left="800"/>
        <w:rPr>
          <w:rFonts w:ascii="宋体" w:hAnsi="宋体"/>
          <w:sz w:val="24"/>
          <w:szCs w:val="20"/>
          <w:lang w:val="zh-CN"/>
        </w:rPr>
      </w:pPr>
      <w:r>
        <w:rPr>
          <w:rFonts w:ascii="宋体" w:hAnsi="宋体"/>
          <w:sz w:val="24"/>
          <w:szCs w:val="20"/>
          <w:lang w:val="zh-CN"/>
        </w:rPr>
        <w:t>委托代理人：</w:t>
      </w:r>
      <w:r>
        <w:rPr>
          <w:rFonts w:ascii="宋体" w:hAnsi="宋体"/>
          <w:sz w:val="24"/>
          <w:szCs w:val="20"/>
          <w:lang w:val="zh-CN"/>
        </w:rPr>
        <w:tab/>
      </w:r>
      <w:r>
        <w:rPr>
          <w:rFonts w:ascii="宋体" w:hAnsi="宋体"/>
          <w:sz w:val="24"/>
          <w:szCs w:val="20"/>
          <w:lang w:val="zh-CN"/>
        </w:rPr>
        <w:t>委托代理人：</w:t>
      </w:r>
    </w:p>
    <w:p w14:paraId="614D3E1A">
      <w:pPr>
        <w:pStyle w:val="6"/>
        <w:tabs>
          <w:tab w:val="left" w:pos="5840"/>
        </w:tabs>
        <w:spacing w:before="211"/>
        <w:ind w:left="800"/>
        <w:rPr>
          <w:rFonts w:ascii="宋体" w:hAnsi="宋体"/>
          <w:sz w:val="24"/>
          <w:szCs w:val="20"/>
          <w:lang w:val="zh-CN"/>
        </w:rPr>
      </w:pPr>
      <w:r>
        <w:rPr>
          <w:rFonts w:ascii="宋体" w:hAnsi="宋体"/>
          <w:sz w:val="24"/>
          <w:szCs w:val="20"/>
          <w:lang w:val="zh-CN"/>
        </w:rPr>
        <w:t>电话：</w:t>
      </w:r>
      <w:r>
        <w:rPr>
          <w:rFonts w:ascii="宋体" w:hAnsi="宋体"/>
          <w:sz w:val="24"/>
          <w:szCs w:val="20"/>
          <w:lang w:val="zh-CN"/>
        </w:rPr>
        <w:tab/>
      </w:r>
      <w:r>
        <w:rPr>
          <w:rFonts w:ascii="宋体" w:hAnsi="宋体"/>
          <w:sz w:val="24"/>
          <w:szCs w:val="20"/>
          <w:lang w:val="zh-CN"/>
        </w:rPr>
        <w:t>电话：</w:t>
      </w:r>
    </w:p>
    <w:p w14:paraId="59089064">
      <w:pPr>
        <w:pStyle w:val="6"/>
        <w:tabs>
          <w:tab w:val="left" w:pos="4640"/>
          <w:tab w:val="left" w:pos="5120"/>
          <w:tab w:val="left" w:pos="5600"/>
        </w:tabs>
        <w:spacing w:before="213"/>
        <w:ind w:left="800"/>
        <w:rPr>
          <w:rFonts w:ascii="宋体" w:hAnsi="宋体"/>
          <w:sz w:val="24"/>
          <w:szCs w:val="20"/>
          <w:lang w:val="zh-CN"/>
        </w:rPr>
      </w:pPr>
    </w:p>
    <w:p w14:paraId="5779D573">
      <w:pPr>
        <w:pStyle w:val="6"/>
        <w:tabs>
          <w:tab w:val="left" w:pos="4640"/>
          <w:tab w:val="left" w:pos="5120"/>
          <w:tab w:val="left" w:pos="5600"/>
        </w:tabs>
        <w:spacing w:before="213"/>
        <w:ind w:left="800" w:firstLine="5040" w:firstLineChars="2100"/>
        <w:rPr>
          <w:rFonts w:ascii="宋体" w:hAnsi="宋体"/>
          <w:sz w:val="24"/>
          <w:szCs w:val="20"/>
          <w:lang w:val="zh-CN"/>
        </w:rPr>
      </w:pPr>
      <w:r>
        <w:rPr>
          <w:rFonts w:ascii="宋体" w:hAnsi="宋体"/>
          <w:sz w:val="24"/>
          <w:szCs w:val="20"/>
          <w:lang w:val="zh-CN"/>
        </w:rPr>
        <w:t>签订日期：</w:t>
      </w:r>
      <w:r>
        <w:rPr>
          <w:rFonts w:hint="eastAsia" w:ascii="宋体" w:hAnsi="宋体"/>
          <w:sz w:val="24"/>
          <w:szCs w:val="20"/>
          <w:lang w:val="en-US" w:eastAsia="zh-CN"/>
        </w:rPr>
        <w:t xml:space="preserve">   </w:t>
      </w:r>
      <w:r>
        <w:rPr>
          <w:rFonts w:ascii="宋体" w:hAnsi="宋体"/>
          <w:sz w:val="24"/>
          <w:szCs w:val="20"/>
          <w:lang w:val="zh-CN"/>
        </w:rPr>
        <w:t>年月日</w:t>
      </w:r>
    </w:p>
    <w:p w14:paraId="37F289E2">
      <w:pPr>
        <w:rPr>
          <w:rFonts w:ascii="宋体" w:hAnsi="宋体"/>
          <w:sz w:val="24"/>
          <w:lang w:val="zh-CN"/>
        </w:rPr>
        <w:sectPr>
          <w:footerReference r:id="rId7" w:type="default"/>
          <w:pgSz w:w="11910" w:h="16840"/>
          <w:pgMar w:top="1480" w:right="1020" w:bottom="900" w:left="1040" w:header="0" w:footer="640" w:gutter="0"/>
          <w:pgNumType w:fmt="decimal"/>
          <w:cols w:space="720" w:num="1"/>
        </w:sectPr>
      </w:pPr>
    </w:p>
    <w:bookmarkEnd w:id="97"/>
    <w:bookmarkEnd w:id="98"/>
    <w:bookmarkEnd w:id="355"/>
    <w:p w14:paraId="6EC5E491">
      <w:pPr>
        <w:pStyle w:val="2"/>
        <w:bidi w:val="0"/>
        <w:jc w:val="center"/>
        <w:rPr>
          <w:rFonts w:hint="eastAsia"/>
        </w:rPr>
      </w:pPr>
      <w:bookmarkStart w:id="375" w:name="_Toc17245"/>
      <w:r>
        <w:rPr>
          <w:rFonts w:hint="eastAsia"/>
        </w:rPr>
        <w:t>第六章 响应性文件格式</w:t>
      </w:r>
      <w:bookmarkEnd w:id="375"/>
    </w:p>
    <w:p w14:paraId="67412BC5">
      <w:pPr>
        <w:adjustRightInd w:val="0"/>
        <w:snapToGrid w:val="0"/>
        <w:spacing w:line="360" w:lineRule="auto"/>
        <w:rPr>
          <w:rFonts w:hint="eastAsia" w:ascii="宋体" w:hAnsi="宋体" w:cs="宋体"/>
          <w:b/>
          <w:bCs/>
          <w:color w:val="000000"/>
          <w:sz w:val="24"/>
          <w:szCs w:val="24"/>
        </w:rPr>
      </w:pPr>
    </w:p>
    <w:p w14:paraId="0AB5F963">
      <w:pPr>
        <w:adjustRightInd w:val="0"/>
        <w:snapToGrid w:val="0"/>
        <w:spacing w:line="360" w:lineRule="auto"/>
        <w:jc w:val="right"/>
        <w:rPr>
          <w:rFonts w:hint="eastAsia" w:ascii="宋体" w:hAnsi="宋体" w:cs="宋体"/>
          <w:b/>
          <w:bCs/>
          <w:color w:val="000000"/>
          <w:sz w:val="40"/>
          <w:szCs w:val="40"/>
        </w:rPr>
      </w:pPr>
    </w:p>
    <w:p w14:paraId="13EED14B">
      <w:pPr>
        <w:adjustRightInd w:val="0"/>
        <w:snapToGrid w:val="0"/>
        <w:spacing w:line="480" w:lineRule="auto"/>
        <w:rPr>
          <w:rFonts w:hint="eastAsia" w:ascii="宋体" w:hAnsi="宋体" w:cs="宋体"/>
          <w:b/>
          <w:bCs/>
          <w:color w:val="000000"/>
          <w:sz w:val="32"/>
          <w:szCs w:val="24"/>
        </w:rPr>
      </w:pPr>
    </w:p>
    <w:p w14:paraId="4374F40E">
      <w:pPr>
        <w:widowControl/>
        <w:adjustRightInd w:val="0"/>
        <w:snapToGrid w:val="0"/>
        <w:spacing w:after="200" w:line="264" w:lineRule="auto"/>
        <w:jc w:val="center"/>
        <w:rPr>
          <w:rFonts w:ascii="宋体" w:hAnsi="宋体" w:eastAsia="宋体" w:cs="Calibri"/>
          <w:b/>
          <w:kern w:val="0"/>
          <w:sz w:val="44"/>
          <w:szCs w:val="44"/>
        </w:rPr>
      </w:pPr>
      <w:r>
        <w:rPr>
          <w:rFonts w:hint="eastAsia" w:ascii="宋体" w:hAnsi="宋体" w:eastAsia="宋体" w:cs="宋体"/>
          <w:b/>
          <w:kern w:val="0"/>
          <w:sz w:val="44"/>
          <w:szCs w:val="44"/>
        </w:rPr>
        <w:t>（项目名称）</w:t>
      </w:r>
    </w:p>
    <w:p w14:paraId="6412408C">
      <w:pPr>
        <w:widowControl/>
        <w:adjustRightInd w:val="0"/>
        <w:snapToGrid w:val="0"/>
        <w:spacing w:after="200" w:line="264" w:lineRule="auto"/>
        <w:ind w:firstLine="1300" w:firstLineChars="250"/>
        <w:rPr>
          <w:rFonts w:ascii="宋体" w:hAnsi="宋体" w:eastAsia="宋体" w:cs="Calibri"/>
          <w:kern w:val="0"/>
          <w:sz w:val="52"/>
          <w:szCs w:val="52"/>
        </w:rPr>
      </w:pPr>
    </w:p>
    <w:p w14:paraId="494CD4A2">
      <w:pPr>
        <w:widowControl/>
        <w:adjustRightInd w:val="0"/>
        <w:snapToGrid w:val="0"/>
        <w:spacing w:after="200" w:line="264" w:lineRule="auto"/>
        <w:jc w:val="center"/>
        <w:rPr>
          <w:rFonts w:ascii="宋体" w:hAnsi="宋体" w:eastAsia="宋体" w:cs="Calibri"/>
          <w:b/>
          <w:kern w:val="0"/>
          <w:sz w:val="72"/>
          <w:szCs w:val="72"/>
        </w:rPr>
      </w:pPr>
      <w:r>
        <w:rPr>
          <w:rFonts w:hint="eastAsia" w:ascii="宋体" w:hAnsi="宋体" w:eastAsia="宋体" w:cs="Calibri"/>
          <w:b/>
          <w:kern w:val="0"/>
          <w:sz w:val="72"/>
          <w:szCs w:val="72"/>
        </w:rPr>
        <w:t>响 应 文 件</w:t>
      </w:r>
    </w:p>
    <w:p w14:paraId="3183E655">
      <w:pPr>
        <w:widowControl/>
        <w:adjustRightInd w:val="0"/>
        <w:snapToGrid w:val="0"/>
        <w:spacing w:after="200" w:line="264" w:lineRule="auto"/>
        <w:ind w:firstLine="2240" w:firstLineChars="700"/>
        <w:rPr>
          <w:rFonts w:ascii="宋体" w:hAnsi="宋体" w:eastAsia="宋体" w:cs="Calibri"/>
          <w:kern w:val="0"/>
          <w:sz w:val="32"/>
          <w:szCs w:val="32"/>
        </w:rPr>
      </w:pPr>
    </w:p>
    <w:p w14:paraId="58A60FB0">
      <w:pPr>
        <w:widowControl/>
        <w:adjustRightInd w:val="0"/>
        <w:snapToGrid w:val="0"/>
        <w:spacing w:after="200" w:line="264" w:lineRule="auto"/>
        <w:jc w:val="center"/>
        <w:rPr>
          <w:rFonts w:ascii="宋体" w:hAnsi="宋体" w:eastAsia="宋体" w:cs="Calibri"/>
          <w:kern w:val="0"/>
          <w:sz w:val="24"/>
        </w:rPr>
      </w:pPr>
      <w:r>
        <w:rPr>
          <w:rFonts w:hint="eastAsia" w:ascii="宋体" w:hAnsi="宋体" w:eastAsia="宋体" w:cs="Calibri"/>
          <w:kern w:val="0"/>
          <w:sz w:val="32"/>
          <w:szCs w:val="32"/>
        </w:rPr>
        <w:t>项目编号</w:t>
      </w:r>
      <w:r>
        <w:rPr>
          <w:rFonts w:hint="eastAsia" w:ascii="宋体" w:hAnsi="宋体" w:eastAsia="宋体" w:cs="Calibri"/>
          <w:kern w:val="0"/>
          <w:sz w:val="24"/>
        </w:rPr>
        <w:t>：</w:t>
      </w:r>
    </w:p>
    <w:p w14:paraId="7BFDF8EA">
      <w:pPr>
        <w:widowControl/>
        <w:adjustRightInd w:val="0"/>
        <w:snapToGrid w:val="0"/>
        <w:spacing w:after="200" w:line="264" w:lineRule="auto"/>
        <w:jc w:val="left"/>
        <w:rPr>
          <w:rFonts w:ascii="宋体" w:hAnsi="宋体" w:eastAsia="宋体" w:cs="Calibri"/>
          <w:kern w:val="0"/>
          <w:sz w:val="24"/>
        </w:rPr>
      </w:pPr>
    </w:p>
    <w:p w14:paraId="3B619A25">
      <w:pPr>
        <w:widowControl/>
        <w:adjustRightInd w:val="0"/>
        <w:snapToGrid w:val="0"/>
        <w:spacing w:after="200" w:line="264" w:lineRule="auto"/>
        <w:jc w:val="left"/>
        <w:rPr>
          <w:rFonts w:ascii="宋体" w:hAnsi="宋体" w:eastAsia="宋体" w:cs="Calibri"/>
          <w:kern w:val="0"/>
          <w:sz w:val="24"/>
        </w:rPr>
      </w:pPr>
    </w:p>
    <w:p w14:paraId="0D43B6A1">
      <w:pPr>
        <w:widowControl/>
        <w:adjustRightInd w:val="0"/>
        <w:snapToGrid w:val="0"/>
        <w:spacing w:after="200" w:line="264" w:lineRule="auto"/>
        <w:jc w:val="left"/>
        <w:rPr>
          <w:rFonts w:ascii="宋体" w:hAnsi="宋体" w:eastAsia="宋体" w:cs="Calibri"/>
          <w:kern w:val="0"/>
          <w:sz w:val="24"/>
        </w:rPr>
      </w:pPr>
    </w:p>
    <w:p w14:paraId="45D4B9B1">
      <w:pPr>
        <w:widowControl/>
        <w:adjustRightInd w:val="0"/>
        <w:snapToGrid w:val="0"/>
        <w:spacing w:after="200" w:line="264" w:lineRule="auto"/>
        <w:jc w:val="left"/>
        <w:rPr>
          <w:rFonts w:ascii="宋体" w:hAnsi="宋体" w:eastAsia="宋体" w:cs="Calibri"/>
          <w:kern w:val="0"/>
          <w:sz w:val="24"/>
        </w:rPr>
      </w:pPr>
    </w:p>
    <w:p w14:paraId="570412AE">
      <w:pPr>
        <w:widowControl/>
        <w:adjustRightInd w:val="0"/>
        <w:snapToGrid w:val="0"/>
        <w:spacing w:after="200" w:line="264" w:lineRule="auto"/>
        <w:jc w:val="left"/>
        <w:rPr>
          <w:rFonts w:ascii="宋体" w:hAnsi="宋体" w:eastAsia="宋体" w:cs="Calibri"/>
          <w:kern w:val="0"/>
          <w:sz w:val="24"/>
        </w:rPr>
      </w:pPr>
    </w:p>
    <w:p w14:paraId="284211BB">
      <w:pPr>
        <w:widowControl/>
        <w:adjustRightInd w:val="0"/>
        <w:snapToGrid w:val="0"/>
        <w:spacing w:after="200" w:line="264" w:lineRule="auto"/>
        <w:jc w:val="left"/>
        <w:rPr>
          <w:rFonts w:hint="eastAsia" w:ascii="宋体" w:hAnsi="宋体" w:eastAsia="宋体" w:cs="Calibri"/>
          <w:kern w:val="0"/>
          <w:sz w:val="24"/>
          <w:lang w:val="en-US" w:eastAsia="zh-CN"/>
        </w:rPr>
      </w:pPr>
      <w:r>
        <w:rPr>
          <w:rFonts w:hint="eastAsia" w:ascii="宋体" w:hAnsi="宋体" w:cs="Calibri"/>
          <w:kern w:val="0"/>
          <w:sz w:val="24"/>
          <w:lang w:val="en-US" w:eastAsia="zh-CN"/>
        </w:rPr>
        <w:t xml:space="preserve"> </w:t>
      </w:r>
    </w:p>
    <w:p w14:paraId="3303C051">
      <w:pPr>
        <w:numPr>
          <w:ilvl w:val="0"/>
          <w:numId w:val="0"/>
        </w:numPr>
        <w:spacing w:line="360" w:lineRule="auto"/>
        <w:rPr>
          <w:rFonts w:hint="eastAsia" w:ascii="宋体" w:hAnsi="宋体" w:eastAsia="宋体" w:cs="宋体"/>
          <w:b w:val="0"/>
          <w:bCs w:val="0"/>
          <w:kern w:val="0"/>
          <w:sz w:val="24"/>
          <w:szCs w:val="24"/>
          <w:lang w:val="en-US" w:eastAsia="zh-CN"/>
        </w:rPr>
      </w:pPr>
    </w:p>
    <w:p w14:paraId="22963BB4">
      <w:pPr>
        <w:widowControl/>
        <w:adjustRightInd w:val="0"/>
        <w:snapToGrid w:val="0"/>
        <w:spacing w:line="360" w:lineRule="auto"/>
        <w:ind w:firstLine="2160" w:firstLineChars="900"/>
        <w:jc w:val="left"/>
        <w:rPr>
          <w:rFonts w:ascii="宋体" w:hAnsi="宋体" w:eastAsia="宋体" w:cs="宋体"/>
          <w:kern w:val="0"/>
          <w:sz w:val="24"/>
          <w:szCs w:val="20"/>
          <w:u w:val="single"/>
        </w:rPr>
      </w:pP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5EC315DF">
      <w:pPr>
        <w:widowControl/>
        <w:adjustRightInd w:val="0"/>
        <w:snapToGrid w:val="0"/>
        <w:spacing w:line="360" w:lineRule="auto"/>
        <w:ind w:firstLine="2160" w:firstLineChars="900"/>
        <w:jc w:val="left"/>
        <w:rPr>
          <w:rFonts w:ascii="宋体" w:hAnsi="宋体" w:eastAsia="宋体" w:cs="宋体"/>
          <w:kern w:val="0"/>
          <w:sz w:val="24"/>
          <w:szCs w:val="20"/>
          <w:u w:val="single"/>
        </w:rPr>
      </w:pPr>
      <w:r>
        <w:rPr>
          <w:rFonts w:hint="eastAsia" w:ascii="宋体" w:hAnsi="宋体" w:eastAsia="宋体" w:cs="宋体"/>
          <w:kern w:val="0"/>
          <w:sz w:val="24"/>
          <w:szCs w:val="20"/>
        </w:rPr>
        <w:t>法定代表人（</w:t>
      </w:r>
      <w:r>
        <w:rPr>
          <w:rFonts w:hint="eastAsia" w:ascii="宋体" w:hAnsi="宋体" w:cs="宋体"/>
          <w:bCs/>
          <w:sz w:val="24"/>
        </w:rPr>
        <w:t>签章</w:t>
      </w:r>
      <w:r>
        <w:rPr>
          <w:rFonts w:hint="eastAsia" w:ascii="宋体" w:hAnsi="宋体" w:eastAsia="宋体" w:cs="宋体"/>
          <w:kern w:val="0"/>
          <w:sz w:val="24"/>
          <w:szCs w:val="20"/>
        </w:rPr>
        <w:t>）：</w:t>
      </w:r>
      <w:r>
        <w:rPr>
          <w:rFonts w:hint="eastAsia" w:ascii="宋体" w:hAnsi="宋体" w:eastAsia="宋体" w:cs="宋体"/>
          <w:kern w:val="0"/>
          <w:sz w:val="24"/>
          <w:szCs w:val="20"/>
          <w:u w:val="single"/>
        </w:rPr>
        <w:t xml:space="preserve">                      </w:t>
      </w:r>
    </w:p>
    <w:p w14:paraId="6EFEFE7E">
      <w:pPr>
        <w:widowControl/>
        <w:adjustRightInd w:val="0"/>
        <w:snapToGrid w:val="0"/>
        <w:spacing w:line="360" w:lineRule="auto"/>
        <w:ind w:firstLine="2160" w:firstLineChars="900"/>
        <w:jc w:val="left"/>
        <w:rPr>
          <w:rFonts w:ascii="宋体" w:hAnsi="宋体" w:eastAsia="宋体" w:cs="宋体"/>
          <w:kern w:val="0"/>
          <w:sz w:val="24"/>
          <w:szCs w:val="20"/>
        </w:rPr>
      </w:pPr>
      <w:r>
        <w:rPr>
          <w:rFonts w:hint="eastAsia" w:ascii="宋体" w:hAnsi="宋体" w:eastAsia="宋体" w:cs="宋体"/>
          <w:kern w:val="0"/>
          <w:sz w:val="24"/>
          <w:szCs w:val="20"/>
        </w:rPr>
        <w:t>日期：</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年</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日</w:t>
      </w:r>
    </w:p>
    <w:p w14:paraId="548F13CC">
      <w:pPr>
        <w:pStyle w:val="12"/>
        <w:rPr>
          <w:rFonts w:hint="eastAsia"/>
        </w:rPr>
      </w:pPr>
    </w:p>
    <w:p w14:paraId="36AF19D9">
      <w:pPr>
        <w:pStyle w:val="12"/>
        <w:jc w:val="center"/>
        <w:rPr>
          <w:rFonts w:hint="eastAsia" w:ascii="宋体" w:hAnsi="宋体" w:eastAsia="宋体"/>
          <w:b/>
        </w:rPr>
      </w:pPr>
    </w:p>
    <w:p w14:paraId="63A922E0">
      <w:pPr>
        <w:pStyle w:val="12"/>
        <w:ind w:left="0" w:leftChars="0" w:firstLine="0" w:firstLineChars="0"/>
        <w:jc w:val="center"/>
        <w:rPr>
          <w:rFonts w:hint="eastAsia" w:ascii="宋体" w:hAnsi="宋体" w:eastAsia="宋体"/>
          <w:b/>
        </w:rPr>
      </w:pPr>
      <w:r>
        <w:rPr>
          <w:rFonts w:hint="eastAsia" w:ascii="宋体" w:hAnsi="宋体" w:eastAsia="宋体"/>
          <w:b/>
        </w:rPr>
        <w:t>目</w:t>
      </w:r>
      <w:r>
        <w:rPr>
          <w:rFonts w:hint="eastAsia" w:ascii="宋体" w:hAnsi="宋体" w:eastAsia="宋体"/>
          <w:b/>
          <w:lang w:val="en-US" w:eastAsia="zh-CN"/>
        </w:rPr>
        <w:t xml:space="preserve">  </w:t>
      </w:r>
      <w:r>
        <w:rPr>
          <w:rFonts w:hint="eastAsia" w:ascii="宋体" w:hAnsi="宋体" w:eastAsia="宋体"/>
          <w:b/>
        </w:rPr>
        <w:t>录</w:t>
      </w:r>
    </w:p>
    <w:p w14:paraId="2AF0E6CE">
      <w:pPr>
        <w:spacing w:line="360" w:lineRule="auto"/>
        <w:ind w:firstLine="480" w:firstLineChars="200"/>
        <w:rPr>
          <w:rFonts w:ascii="宋体" w:hAnsi="宋体" w:cs="宋体"/>
          <w:sz w:val="24"/>
          <w:highlight w:val="yellow"/>
        </w:rPr>
      </w:pPr>
    </w:p>
    <w:p w14:paraId="2A02AA7E">
      <w:pPr>
        <w:spacing w:line="360" w:lineRule="auto"/>
        <w:ind w:firstLine="480" w:firstLineChars="200"/>
        <w:rPr>
          <w:rFonts w:ascii="宋体" w:hAnsi="宋体" w:cs="宋体"/>
          <w:sz w:val="24"/>
          <w:highlight w:val="yellow"/>
        </w:rPr>
      </w:pPr>
    </w:p>
    <w:p w14:paraId="0190276A">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"_Toc77596812" </w:instrText>
      </w:r>
      <w:r>
        <w:rPr>
          <w:rFonts w:ascii="宋体" w:hAnsi="宋体" w:cs="宋体"/>
          <w:sz w:val="24"/>
          <w:highlight w:val="none"/>
        </w:rPr>
        <w:fldChar w:fldCharType="separate"/>
      </w:r>
      <w:r>
        <w:rPr>
          <w:rFonts w:hint="eastAsia" w:ascii="宋体" w:hAnsi="宋体" w:cs="宋体"/>
          <w:sz w:val="24"/>
          <w:highlight w:val="none"/>
          <w:lang w:val="en-US" w:eastAsia="zh-CN"/>
        </w:rPr>
        <w:t>一、</w:t>
      </w:r>
      <w:r>
        <w:rPr>
          <w:rFonts w:hint="eastAsia" w:ascii="宋体" w:hAnsi="宋体" w:cs="宋体"/>
          <w:sz w:val="24"/>
          <w:highlight w:val="none"/>
          <w:lang w:eastAsia="zh-CN"/>
        </w:rPr>
        <w:t>磋商函及磋商报价表</w:t>
      </w:r>
      <w:r>
        <w:rPr>
          <w:rFonts w:ascii="宋体" w:hAnsi="宋体" w:cs="宋体"/>
          <w:sz w:val="24"/>
          <w:highlight w:val="none"/>
        </w:rPr>
        <w:fldChar w:fldCharType="end"/>
      </w:r>
    </w:p>
    <w:p w14:paraId="4DA18C12">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"_Toc77596814" </w:instrText>
      </w:r>
      <w:r>
        <w:rPr>
          <w:rFonts w:ascii="宋体" w:hAnsi="宋体" w:cs="宋体"/>
          <w:sz w:val="24"/>
          <w:highlight w:val="none"/>
        </w:rPr>
        <w:fldChar w:fldCharType="separate"/>
      </w:r>
      <w:r>
        <w:rPr>
          <w:rFonts w:hint="eastAsia" w:ascii="宋体" w:hAnsi="宋体" w:cs="宋体"/>
          <w:sz w:val="24"/>
          <w:highlight w:val="none"/>
          <w:lang w:val="en-US" w:eastAsia="zh-CN"/>
        </w:rPr>
        <w:t>二、技术参数偏离表</w:t>
      </w:r>
      <w:r>
        <w:rPr>
          <w:rFonts w:ascii="宋体" w:hAnsi="宋体" w:cs="宋体"/>
          <w:sz w:val="24"/>
          <w:highlight w:val="none"/>
        </w:rPr>
        <w:fldChar w:fldCharType="end"/>
      </w:r>
    </w:p>
    <w:p w14:paraId="07210C00">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"_Toc77596816" </w:instrText>
      </w:r>
      <w:r>
        <w:rPr>
          <w:rFonts w:ascii="宋体" w:hAnsi="宋体" w:cs="宋体"/>
          <w:sz w:val="24"/>
          <w:highlight w:val="none"/>
        </w:rPr>
        <w:fldChar w:fldCharType="separate"/>
      </w:r>
      <w:r>
        <w:rPr>
          <w:rFonts w:hint="eastAsia" w:ascii="宋体" w:hAnsi="宋体" w:cs="宋体"/>
          <w:sz w:val="24"/>
          <w:highlight w:val="none"/>
          <w:lang w:val="en-US" w:eastAsia="zh-CN"/>
        </w:rPr>
        <w:t>三、</w:t>
      </w:r>
      <w:r>
        <w:rPr>
          <w:rFonts w:hint="eastAsia" w:ascii="宋体" w:hAnsi="宋体" w:cs="宋体"/>
          <w:sz w:val="24"/>
          <w:highlight w:val="none"/>
          <w:lang w:eastAsia="zh-CN"/>
        </w:rPr>
        <w:t>法定代表人身份证明</w:t>
      </w:r>
      <w:r>
        <w:rPr>
          <w:rFonts w:ascii="宋体" w:hAnsi="宋体" w:cs="宋体"/>
          <w:sz w:val="24"/>
          <w:highlight w:val="none"/>
        </w:rPr>
        <w:fldChar w:fldCharType="end"/>
      </w:r>
    </w:p>
    <w:p w14:paraId="7FD8A6E2">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"_Toc77596819" </w:instrText>
      </w:r>
      <w:r>
        <w:rPr>
          <w:rFonts w:ascii="宋体" w:hAnsi="宋体" w:cs="宋体"/>
          <w:sz w:val="24"/>
          <w:highlight w:val="none"/>
        </w:rPr>
        <w:fldChar w:fldCharType="separate"/>
      </w:r>
      <w:r>
        <w:rPr>
          <w:rFonts w:hint="eastAsia" w:ascii="宋体" w:hAnsi="宋体" w:cs="宋体"/>
          <w:sz w:val="24"/>
          <w:highlight w:val="none"/>
          <w:lang w:val="en-US" w:eastAsia="zh-CN"/>
        </w:rPr>
        <w:t>四、</w:t>
      </w:r>
      <w:r>
        <w:rPr>
          <w:rFonts w:hint="eastAsia" w:ascii="宋体" w:hAnsi="宋体" w:cs="宋体"/>
          <w:sz w:val="24"/>
          <w:highlight w:val="none"/>
          <w:lang w:eastAsia="zh-CN"/>
        </w:rPr>
        <w:t>磋商保证承诺函</w:t>
      </w:r>
      <w:r>
        <w:rPr>
          <w:rFonts w:ascii="宋体" w:hAnsi="宋体" w:cs="宋体"/>
          <w:sz w:val="24"/>
          <w:highlight w:val="none"/>
        </w:rPr>
        <w:fldChar w:fldCharType="end"/>
      </w:r>
    </w:p>
    <w:p w14:paraId="2A421B42">
      <w:pPr>
        <w:spacing w:line="360" w:lineRule="auto"/>
        <w:ind w:firstLine="480" w:firstLineChars="200"/>
        <w:rPr>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"_Toc77596820" </w:instrText>
      </w:r>
      <w:r>
        <w:rPr>
          <w:rFonts w:ascii="宋体" w:hAnsi="宋体" w:cs="宋体"/>
          <w:sz w:val="24"/>
          <w:highlight w:val="none"/>
        </w:rPr>
        <w:fldChar w:fldCharType="separate"/>
      </w:r>
      <w:r>
        <w:rPr>
          <w:rFonts w:hint="eastAsia" w:ascii="宋体" w:hAnsi="宋体" w:cs="宋体"/>
          <w:sz w:val="24"/>
          <w:highlight w:val="none"/>
          <w:lang w:val="en-US" w:eastAsia="zh-CN"/>
        </w:rPr>
        <w:t>五、磋商供应商承诺书</w:t>
      </w:r>
      <w:r>
        <w:rPr>
          <w:rFonts w:ascii="宋体" w:hAnsi="宋体" w:cs="宋体"/>
          <w:sz w:val="24"/>
          <w:highlight w:val="none"/>
        </w:rPr>
        <w:fldChar w:fldCharType="end"/>
      </w:r>
    </w:p>
    <w:p w14:paraId="558B1C0F">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"_Toc77596820" </w:instrText>
      </w:r>
      <w:r>
        <w:rPr>
          <w:rFonts w:ascii="宋体" w:hAnsi="宋体" w:cs="宋体"/>
          <w:sz w:val="24"/>
          <w:highlight w:val="none"/>
        </w:rPr>
        <w:fldChar w:fldCharType="separate"/>
      </w:r>
      <w:r>
        <w:rPr>
          <w:rFonts w:hint="eastAsia" w:ascii="宋体" w:hAnsi="宋体" w:cs="宋体"/>
          <w:sz w:val="24"/>
          <w:highlight w:val="none"/>
          <w:lang w:val="en-US" w:eastAsia="zh-CN"/>
        </w:rPr>
        <w:t>六、供应商情况</w:t>
      </w:r>
      <w:r>
        <w:rPr>
          <w:rFonts w:ascii="宋体" w:hAnsi="宋体" w:cs="宋体"/>
          <w:sz w:val="24"/>
          <w:highlight w:val="none"/>
        </w:rPr>
        <w:fldChar w:fldCharType="end"/>
      </w:r>
    </w:p>
    <w:p w14:paraId="066B4DFC">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"_Toc77596821" </w:instrText>
      </w:r>
      <w:r>
        <w:rPr>
          <w:rFonts w:ascii="宋体" w:hAnsi="宋体" w:cs="宋体"/>
          <w:sz w:val="24"/>
          <w:highlight w:val="none"/>
        </w:rPr>
        <w:fldChar w:fldCharType="separate"/>
      </w:r>
      <w:r>
        <w:rPr>
          <w:rFonts w:hint="eastAsia" w:ascii="宋体" w:hAnsi="宋体" w:cs="宋体"/>
          <w:sz w:val="24"/>
          <w:highlight w:val="none"/>
          <w:lang w:val="en-US" w:eastAsia="zh-CN"/>
        </w:rPr>
        <w:t>七、</w:t>
      </w:r>
      <w:r>
        <w:rPr>
          <w:rFonts w:hint="eastAsia" w:ascii="宋体" w:hAnsi="宋体" w:cs="宋体"/>
          <w:sz w:val="24"/>
          <w:highlight w:val="none"/>
        </w:rPr>
        <w:t>技</w:t>
      </w:r>
      <w:r>
        <w:rPr>
          <w:rFonts w:ascii="宋体" w:hAnsi="宋体" w:cs="宋体"/>
          <w:sz w:val="24"/>
          <w:highlight w:val="none"/>
        </w:rPr>
        <w:fldChar w:fldCharType="end"/>
      </w:r>
      <w:r>
        <w:rPr>
          <w:rFonts w:hint="eastAsia" w:ascii="宋体" w:hAnsi="宋体" w:cs="宋体"/>
          <w:sz w:val="24"/>
          <w:highlight w:val="none"/>
        </w:rPr>
        <w:t>术部分</w:t>
      </w:r>
    </w:p>
    <w:p w14:paraId="0FD9E722">
      <w:pPr>
        <w:spacing w:line="360" w:lineRule="auto"/>
        <w:ind w:firstLine="480" w:firstLineChars="200"/>
        <w:rPr>
          <w:rFonts w:hint="eastAsia"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"_Toc77596824" </w:instrText>
      </w:r>
      <w:r>
        <w:rPr>
          <w:rFonts w:ascii="宋体" w:hAnsi="宋体" w:cs="宋体"/>
          <w:sz w:val="24"/>
          <w:highlight w:val="none"/>
        </w:rPr>
        <w:fldChar w:fldCharType="separate"/>
      </w:r>
      <w:r>
        <w:rPr>
          <w:rFonts w:hint="eastAsia" w:ascii="宋体" w:hAnsi="宋体" w:cs="宋体"/>
          <w:sz w:val="24"/>
          <w:highlight w:val="none"/>
          <w:lang w:val="en-US" w:eastAsia="zh-CN"/>
        </w:rPr>
        <w:t>八、</w:t>
      </w:r>
      <w:r>
        <w:rPr>
          <w:rFonts w:hint="eastAsia" w:ascii="宋体" w:hAnsi="宋体" w:cs="宋体"/>
          <w:sz w:val="24"/>
          <w:highlight w:val="none"/>
        </w:rPr>
        <w:t>商</w:t>
      </w:r>
      <w:r>
        <w:rPr>
          <w:rFonts w:ascii="宋体" w:hAnsi="宋体" w:cs="宋体"/>
          <w:sz w:val="24"/>
          <w:highlight w:val="none"/>
        </w:rPr>
        <w:fldChar w:fldCharType="end"/>
      </w:r>
      <w:r>
        <w:rPr>
          <w:rFonts w:hint="eastAsia" w:ascii="宋体" w:hAnsi="宋体" w:cs="宋体"/>
          <w:sz w:val="24"/>
          <w:highlight w:val="none"/>
        </w:rPr>
        <w:t>务部分</w:t>
      </w:r>
    </w:p>
    <w:p w14:paraId="3101CF24">
      <w:pPr>
        <w:spacing w:line="360" w:lineRule="auto"/>
        <w:ind w:firstLine="480" w:firstLineChars="200"/>
        <w:rPr>
          <w:rFonts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\l "_Toc77596828" </w:instrText>
      </w:r>
      <w:r>
        <w:rPr>
          <w:rFonts w:ascii="宋体" w:hAnsi="宋体" w:cs="宋体"/>
          <w:sz w:val="24"/>
          <w:highlight w:val="none"/>
        </w:rPr>
        <w:fldChar w:fldCharType="separate"/>
      </w:r>
      <w:r>
        <w:rPr>
          <w:rFonts w:hint="eastAsia" w:ascii="宋体" w:hAnsi="宋体" w:cs="宋体"/>
          <w:sz w:val="24"/>
          <w:highlight w:val="none"/>
          <w:lang w:val="en-US" w:eastAsia="zh-CN"/>
        </w:rPr>
        <w:t>九、</w:t>
      </w:r>
      <w:r>
        <w:rPr>
          <w:rFonts w:hint="eastAsia" w:ascii="宋体" w:hAnsi="宋体" w:cs="宋体"/>
          <w:sz w:val="24"/>
          <w:highlight w:val="none"/>
        </w:rPr>
        <w:t>其他资料</w:t>
      </w:r>
      <w:r>
        <w:rPr>
          <w:rFonts w:ascii="宋体" w:hAnsi="宋体" w:cs="宋体"/>
          <w:sz w:val="24"/>
          <w:highlight w:val="none"/>
        </w:rPr>
        <w:fldChar w:fldCharType="end"/>
      </w:r>
    </w:p>
    <w:p w14:paraId="673338A2">
      <w:pPr>
        <w:pStyle w:val="12"/>
        <w:ind w:firstLine="723"/>
        <w:jc w:val="center"/>
        <w:rPr>
          <w:rFonts w:hint="eastAsia" w:ascii="宋体" w:hAnsi="宋体" w:eastAsia="宋体"/>
          <w:b/>
        </w:rPr>
      </w:pPr>
    </w:p>
    <w:p w14:paraId="63C8FE8F">
      <w:pPr>
        <w:pStyle w:val="12"/>
        <w:ind w:firstLine="723"/>
        <w:jc w:val="center"/>
        <w:rPr>
          <w:rFonts w:hint="eastAsia" w:ascii="宋体" w:hAnsi="宋体" w:eastAsia="宋体"/>
          <w:b/>
        </w:rPr>
      </w:pPr>
    </w:p>
    <w:p w14:paraId="4063B6C8">
      <w:pPr>
        <w:pStyle w:val="12"/>
        <w:ind w:firstLine="723"/>
        <w:jc w:val="center"/>
        <w:rPr>
          <w:rFonts w:hint="eastAsia" w:ascii="宋体" w:hAnsi="宋体" w:eastAsia="宋体"/>
          <w:b/>
        </w:rPr>
      </w:pPr>
    </w:p>
    <w:p w14:paraId="3E2139AC">
      <w:pPr>
        <w:pStyle w:val="12"/>
        <w:ind w:firstLine="723"/>
        <w:jc w:val="center"/>
        <w:rPr>
          <w:rFonts w:hint="eastAsia" w:ascii="宋体" w:hAnsi="宋体" w:eastAsia="宋体"/>
          <w:b/>
        </w:rPr>
      </w:pPr>
    </w:p>
    <w:p w14:paraId="5D3ADC5F">
      <w:pPr>
        <w:pStyle w:val="12"/>
        <w:ind w:firstLine="723"/>
        <w:jc w:val="center"/>
        <w:rPr>
          <w:rFonts w:hint="eastAsia" w:ascii="宋体" w:hAnsi="宋体" w:eastAsia="宋体"/>
          <w:b/>
        </w:rPr>
      </w:pPr>
    </w:p>
    <w:p w14:paraId="662E55E8">
      <w:pPr>
        <w:pStyle w:val="12"/>
        <w:ind w:firstLine="723"/>
        <w:jc w:val="center"/>
        <w:rPr>
          <w:rFonts w:hint="eastAsia" w:ascii="宋体" w:hAnsi="宋体" w:eastAsia="宋体"/>
          <w:b/>
        </w:rPr>
      </w:pPr>
    </w:p>
    <w:p w14:paraId="71117EB1">
      <w:pPr>
        <w:pStyle w:val="12"/>
        <w:ind w:firstLine="723"/>
        <w:jc w:val="center"/>
        <w:rPr>
          <w:rFonts w:hint="eastAsia" w:ascii="宋体" w:hAnsi="宋体" w:eastAsia="宋体"/>
          <w:b/>
        </w:rPr>
      </w:pPr>
    </w:p>
    <w:p w14:paraId="2D119FC1">
      <w:pPr>
        <w:pStyle w:val="12"/>
        <w:ind w:firstLine="723"/>
        <w:jc w:val="center"/>
        <w:rPr>
          <w:rFonts w:hint="eastAsia" w:ascii="宋体" w:hAnsi="宋体" w:eastAsia="宋体"/>
          <w:b/>
        </w:rPr>
      </w:pPr>
    </w:p>
    <w:p w14:paraId="6F8BFF3F">
      <w:pPr>
        <w:pStyle w:val="12"/>
        <w:ind w:firstLine="723"/>
        <w:jc w:val="center"/>
        <w:rPr>
          <w:rFonts w:hint="eastAsia" w:ascii="宋体" w:hAnsi="宋体" w:eastAsia="宋体"/>
          <w:b/>
        </w:rPr>
      </w:pPr>
    </w:p>
    <w:p w14:paraId="29D1D1B1">
      <w:pPr>
        <w:pStyle w:val="12"/>
        <w:ind w:firstLine="723"/>
        <w:jc w:val="center"/>
        <w:rPr>
          <w:rFonts w:hint="eastAsia" w:ascii="宋体" w:hAnsi="宋体" w:eastAsia="宋体"/>
          <w:b/>
        </w:rPr>
      </w:pPr>
    </w:p>
    <w:p w14:paraId="2965C5A5">
      <w:pPr>
        <w:pStyle w:val="12"/>
        <w:ind w:firstLine="723"/>
        <w:jc w:val="center"/>
        <w:rPr>
          <w:rFonts w:hint="eastAsia" w:ascii="宋体" w:hAnsi="宋体" w:eastAsia="宋体"/>
          <w:b/>
        </w:rPr>
      </w:pPr>
    </w:p>
    <w:p w14:paraId="6DF103E3">
      <w:pPr>
        <w:pStyle w:val="12"/>
        <w:ind w:firstLine="723"/>
        <w:jc w:val="center"/>
        <w:rPr>
          <w:rFonts w:hint="eastAsia" w:ascii="宋体" w:hAnsi="宋体" w:eastAsia="宋体"/>
          <w:b/>
        </w:rPr>
      </w:pPr>
    </w:p>
    <w:p w14:paraId="2C5111F5">
      <w:pPr>
        <w:pStyle w:val="12"/>
        <w:ind w:firstLine="723"/>
        <w:jc w:val="center"/>
        <w:rPr>
          <w:rFonts w:hint="eastAsia" w:ascii="宋体" w:hAnsi="宋体" w:eastAsia="宋体"/>
          <w:b/>
        </w:rPr>
      </w:pPr>
    </w:p>
    <w:p w14:paraId="28FA34B3">
      <w:pPr>
        <w:pStyle w:val="12"/>
        <w:ind w:firstLine="723"/>
        <w:jc w:val="center"/>
        <w:rPr>
          <w:rFonts w:hint="eastAsia" w:ascii="宋体" w:hAnsi="宋体" w:eastAsia="宋体"/>
          <w:b/>
        </w:rPr>
      </w:pPr>
    </w:p>
    <w:p w14:paraId="2FFE5257">
      <w:pPr>
        <w:keepNext/>
        <w:widowControl/>
        <w:spacing w:line="268" w:lineRule="auto"/>
        <w:jc w:val="center"/>
        <w:outlineLvl w:val="2"/>
        <w:rPr>
          <w:rFonts w:hint="eastAsia" w:ascii="宋体" w:hAnsi="宋体" w:cs="宋体"/>
          <w:b/>
          <w:sz w:val="28"/>
          <w:szCs w:val="28"/>
        </w:rPr>
      </w:pPr>
      <w:bookmarkStart w:id="376" w:name="_Toc15884"/>
      <w:bookmarkEnd w:id="376"/>
      <w:bookmarkStart w:id="377" w:name="_Toc11143"/>
      <w:bookmarkEnd w:id="377"/>
      <w:bookmarkStart w:id="378" w:name="_Toc5915"/>
      <w:bookmarkEnd w:id="378"/>
      <w:bookmarkStart w:id="379" w:name="_Toc22333"/>
      <w:bookmarkStart w:id="380" w:name="_Toc4143"/>
      <w:bookmarkStart w:id="381" w:name="_Toc23986"/>
      <w:bookmarkStart w:id="382" w:name="_Toc25021"/>
      <w:bookmarkStart w:id="383" w:name="_Toc14553"/>
      <w:r>
        <w:rPr>
          <w:rFonts w:hint="eastAsia" w:ascii="宋体" w:hAnsi="宋体" w:cs="宋体"/>
          <w:b/>
          <w:sz w:val="28"/>
          <w:szCs w:val="28"/>
        </w:rPr>
        <w:t>一、磋商函及磋商报价表</w:t>
      </w:r>
    </w:p>
    <w:p w14:paraId="0D17E9EA">
      <w:pPr>
        <w:keepNext/>
        <w:widowControl/>
        <w:spacing w:line="268" w:lineRule="auto"/>
        <w:jc w:val="center"/>
        <w:outlineLvl w:val="2"/>
        <w:rPr>
          <w:rFonts w:hint="eastAsia" w:ascii="宋体" w:hAnsi="宋体" w:eastAsia="宋体" w:cs="Times New Roman"/>
          <w:kern w:val="0"/>
          <w:sz w:val="32"/>
          <w:szCs w:val="32"/>
          <w:lang w:eastAsia="zh-CN"/>
        </w:rPr>
      </w:pPr>
      <w:r>
        <w:rPr>
          <w:rFonts w:ascii="宋体" w:hAnsi="宋体" w:eastAsia="宋体" w:cs="Times New Roman"/>
          <w:b/>
          <w:kern w:val="0"/>
          <w:sz w:val="28"/>
          <w:szCs w:val="28"/>
        </w:rPr>
        <w:t>（一）磋商</w:t>
      </w:r>
      <w:bookmarkEnd w:id="379"/>
      <w:bookmarkEnd w:id="380"/>
      <w:bookmarkEnd w:id="381"/>
      <w:bookmarkEnd w:id="382"/>
      <w:bookmarkEnd w:id="383"/>
      <w:r>
        <w:rPr>
          <w:rFonts w:hint="eastAsia" w:ascii="宋体" w:hAnsi="宋体" w:cs="Times New Roman"/>
          <w:b/>
          <w:kern w:val="0"/>
          <w:sz w:val="28"/>
          <w:szCs w:val="28"/>
          <w:lang w:val="en-US" w:eastAsia="zh-CN"/>
        </w:rPr>
        <w:t>函</w:t>
      </w:r>
    </w:p>
    <w:p w14:paraId="4BB876B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宋体" w:hAnsi="宋体" w:cs="宋体"/>
          <w:color w:val="000000"/>
          <w:kern w:val="10"/>
          <w:sz w:val="24"/>
        </w:rPr>
      </w:pPr>
      <w:bookmarkStart w:id="384" w:name="_Toc152042579"/>
      <w:bookmarkEnd w:id="384"/>
      <w:bookmarkStart w:id="385" w:name="_Toc144974859"/>
      <w:bookmarkEnd w:id="385"/>
      <w:bookmarkStart w:id="386" w:name="_Toc394651923"/>
      <w:bookmarkEnd w:id="386"/>
      <w:bookmarkStart w:id="387" w:name="_Toc246997101"/>
      <w:bookmarkEnd w:id="387"/>
      <w:bookmarkStart w:id="388" w:name="_Toc152045790"/>
      <w:bookmarkEnd w:id="388"/>
      <w:bookmarkStart w:id="389" w:name="_Toc246996358"/>
      <w:bookmarkEnd w:id="389"/>
      <w:bookmarkStart w:id="390" w:name="_Toc27200"/>
      <w:bookmarkEnd w:id="390"/>
      <w:bookmarkStart w:id="391" w:name="_Toc179632810"/>
      <w:bookmarkEnd w:id="391"/>
      <w:bookmarkStart w:id="392" w:name="_Toc247085876"/>
      <w:bookmarkEnd w:id="392"/>
      <w:r>
        <w:rPr>
          <w:rFonts w:hint="eastAsia" w:ascii="宋体" w:hAnsi="宋体" w:cs="宋体"/>
          <w:color w:val="000000"/>
          <w:kern w:val="10"/>
          <w:sz w:val="24"/>
        </w:rPr>
        <w:t>致：</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r>
        <w:rPr>
          <w:rFonts w:hint="eastAsia" w:ascii="宋体" w:hAnsi="宋体" w:cs="宋体"/>
          <w:color w:val="000000"/>
          <w:kern w:val="10"/>
          <w:sz w:val="24"/>
          <w:lang w:val="en-US" w:eastAsia="zh-CN"/>
        </w:rPr>
        <w:t>采购</w:t>
      </w:r>
      <w:r>
        <w:rPr>
          <w:rFonts w:hint="eastAsia" w:ascii="宋体" w:hAnsi="宋体" w:cs="宋体"/>
          <w:color w:val="000000"/>
          <w:kern w:val="10"/>
          <w:sz w:val="24"/>
        </w:rPr>
        <w:t>人名称）：</w:t>
      </w:r>
    </w:p>
    <w:p w14:paraId="3C191FF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1、根据贵方为</w:t>
      </w:r>
      <w:r>
        <w:rPr>
          <w:rFonts w:hint="eastAsia" w:ascii="宋体" w:hAnsi="宋体" w:cs="宋体"/>
          <w:color w:val="000000"/>
          <w:kern w:val="10"/>
          <w:sz w:val="24"/>
          <w:u w:val="single"/>
        </w:rPr>
        <w:t xml:space="preserve">                        </w:t>
      </w:r>
      <w:r>
        <w:rPr>
          <w:rFonts w:hint="eastAsia" w:ascii="宋体" w:hAnsi="宋体" w:cs="宋体"/>
          <w:color w:val="000000"/>
          <w:kern w:val="10"/>
          <w:sz w:val="24"/>
        </w:rPr>
        <w:t>项目的竞争性磋商公告，遵照《中华人民共和国政府采购法》等有关法律、法规的规定，经认真研究竞争性磋商文件后，我方投标报价为人民币（大写）</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r>
        <w:rPr>
          <w:rFonts w:hint="eastAsia" w:ascii="宋体" w:hAnsi="宋体" w:cs="宋体"/>
          <w:color w:val="000000"/>
          <w:kern w:val="10"/>
          <w:sz w:val="24"/>
          <w:u w:val="single"/>
        </w:rPr>
        <w:t xml:space="preserve">       </w:t>
      </w:r>
      <w:r>
        <w:rPr>
          <w:rFonts w:hint="eastAsia" w:ascii="宋体" w:hAnsi="宋体" w:cs="宋体"/>
          <w:color w:val="000000"/>
          <w:kern w:val="10"/>
          <w:sz w:val="24"/>
        </w:rPr>
        <w:t>），交货期</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p>
    <w:p w14:paraId="131805D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2、如果我们的投标书被接受，我们将履行竞争性磋商文件中规定的每一项要求，按期、按质、按量履行合同。</w:t>
      </w:r>
    </w:p>
    <w:p w14:paraId="2C8DC2D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3、我方愿按《中华人民共和国</w:t>
      </w:r>
      <w:r>
        <w:rPr>
          <w:rFonts w:hint="eastAsia" w:ascii="宋体" w:hAnsi="宋体" w:cs="宋体"/>
          <w:color w:val="000000"/>
          <w:kern w:val="10"/>
          <w:sz w:val="24"/>
          <w:lang w:eastAsia="zh-CN"/>
        </w:rPr>
        <w:t>民法典</w:t>
      </w:r>
      <w:r>
        <w:rPr>
          <w:rFonts w:hint="eastAsia" w:ascii="宋体" w:hAnsi="宋体" w:cs="宋体"/>
          <w:color w:val="000000"/>
          <w:kern w:val="10"/>
          <w:sz w:val="24"/>
        </w:rPr>
        <w:t>》履行我方的全部责任。</w:t>
      </w:r>
    </w:p>
    <w:p w14:paraId="6BDCA4D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4、我方已详细研究全部竞争性磋商文件，包括修改文件以及全部参考资料和有关附件。我们完全理解并同意放弃对这方面有不明及误解的权力。</w:t>
      </w:r>
    </w:p>
    <w:p w14:paraId="3240BEA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5、本项目</w:t>
      </w:r>
      <w:r>
        <w:rPr>
          <w:rFonts w:hint="eastAsia" w:ascii="宋体" w:hAnsi="宋体" w:cs="宋体"/>
          <w:color w:val="000000"/>
          <w:kern w:val="10"/>
          <w:sz w:val="24"/>
          <w:lang w:eastAsia="zh-CN"/>
        </w:rPr>
        <w:t>磋商</w:t>
      </w:r>
      <w:r>
        <w:rPr>
          <w:rFonts w:hint="eastAsia" w:ascii="宋体" w:hAnsi="宋体" w:cs="宋体"/>
          <w:color w:val="000000"/>
          <w:kern w:val="10"/>
          <w:sz w:val="24"/>
        </w:rPr>
        <w:t>有效期为</w:t>
      </w:r>
      <w:r>
        <w:rPr>
          <w:rFonts w:hint="eastAsia" w:ascii="宋体" w:hAnsi="宋体" w:cs="宋体"/>
          <w:color w:val="000000"/>
          <w:kern w:val="10"/>
          <w:sz w:val="24"/>
          <w:u w:val="single"/>
        </w:rPr>
        <w:t xml:space="preserve"> </w:t>
      </w:r>
      <w:r>
        <w:rPr>
          <w:rFonts w:hint="eastAsia" w:ascii="宋体" w:hAnsi="宋体" w:cs="宋体"/>
          <w:sz w:val="24"/>
          <w:u w:val="single"/>
          <w:lang w:eastAsia="zh-CN"/>
        </w:rPr>
        <w:t>自磋商文件递交截止之日起60日历天</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p>
    <w:p w14:paraId="1D1D028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6、我方同意提供按照贵方可能要求的与投标有关的一切数据或资料，理解贵方不一定接受最低价的投标或收到的任何投标。</w:t>
      </w:r>
    </w:p>
    <w:p w14:paraId="61FD26A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7、我单位声明参加本次政府采购活动前3年内在经营活动中没有重大违法记录（重大违法记录，是指</w:t>
      </w:r>
      <w:r>
        <w:rPr>
          <w:rFonts w:hint="eastAsia" w:ascii="宋体" w:hAnsi="宋体" w:cs="宋体"/>
          <w:color w:val="000000"/>
          <w:kern w:val="10"/>
          <w:sz w:val="24"/>
          <w:lang w:eastAsia="zh-CN"/>
        </w:rPr>
        <w:t>供应商</w:t>
      </w:r>
      <w:r>
        <w:rPr>
          <w:rFonts w:hint="eastAsia" w:ascii="宋体" w:hAnsi="宋体" w:cs="宋体"/>
          <w:color w:val="000000"/>
          <w:kern w:val="10"/>
          <w:sz w:val="24"/>
        </w:rPr>
        <w:t>因违法经营受到刑事处罚或者责令停产停业、吊销许可证或者执照、较大数额罚款等行政处罚）。</w:t>
      </w:r>
    </w:p>
    <w:p w14:paraId="1895F14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cs="宋体"/>
          <w:b w:val="0"/>
          <w:bCs w:val="0"/>
          <w:color w:val="000000"/>
          <w:kern w:val="10"/>
          <w:sz w:val="24"/>
        </w:rPr>
        <w:t>8、我方保证投标文件中的所有资料均为真实、有效的，如有虚假，我方承诺投标文件无效并愿承担一切责任。</w:t>
      </w:r>
    </w:p>
    <w:p w14:paraId="32ED0FBE">
      <w:pPr>
        <w:widowControl/>
        <w:adjustRightInd w:val="0"/>
        <w:snapToGrid w:val="0"/>
        <w:spacing w:line="360" w:lineRule="auto"/>
        <w:jc w:val="left"/>
        <w:rPr>
          <w:rFonts w:ascii="宋体" w:hAnsi="宋体" w:eastAsia="宋体" w:cs="宋体"/>
          <w:kern w:val="0"/>
          <w:sz w:val="24"/>
          <w:szCs w:val="20"/>
          <w:u w:val="single"/>
        </w:rPr>
      </w:pP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20E3CB7C">
      <w:pPr>
        <w:widowControl/>
        <w:adjustRightInd w:val="0"/>
        <w:snapToGrid w:val="0"/>
        <w:spacing w:line="360" w:lineRule="auto"/>
        <w:jc w:val="left"/>
        <w:rPr>
          <w:rFonts w:ascii="宋体" w:hAnsi="宋体" w:eastAsia="宋体" w:cs="宋体"/>
          <w:kern w:val="0"/>
          <w:sz w:val="24"/>
          <w:szCs w:val="20"/>
          <w:u w:val="single"/>
        </w:rPr>
      </w:pPr>
      <w:r>
        <w:rPr>
          <w:rFonts w:hint="eastAsia" w:ascii="宋体" w:hAnsi="宋体" w:eastAsia="宋体" w:cs="宋体"/>
          <w:kern w:val="0"/>
          <w:sz w:val="24"/>
          <w:szCs w:val="20"/>
        </w:rPr>
        <w:t>法定代表人（</w:t>
      </w:r>
      <w:r>
        <w:rPr>
          <w:rFonts w:hint="eastAsia" w:ascii="宋体" w:hAnsi="宋体" w:cs="宋体"/>
          <w:bCs/>
          <w:sz w:val="24"/>
        </w:rPr>
        <w:t>签章</w:t>
      </w:r>
      <w:r>
        <w:rPr>
          <w:rFonts w:hint="eastAsia" w:ascii="宋体" w:hAnsi="宋体" w:eastAsia="宋体" w:cs="宋体"/>
          <w:kern w:val="0"/>
          <w:sz w:val="24"/>
          <w:szCs w:val="20"/>
        </w:rPr>
        <w:t>）：</w:t>
      </w:r>
      <w:r>
        <w:rPr>
          <w:rFonts w:hint="eastAsia" w:ascii="宋体" w:hAnsi="宋体" w:eastAsia="宋体" w:cs="宋体"/>
          <w:kern w:val="0"/>
          <w:sz w:val="24"/>
          <w:szCs w:val="20"/>
          <w:u w:val="single"/>
        </w:rPr>
        <w:t xml:space="preserve">                      </w:t>
      </w:r>
    </w:p>
    <w:p w14:paraId="08E9BFEC">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kern w:val="0"/>
          <w:sz w:val="24"/>
          <w:szCs w:val="24"/>
          <w:lang w:bidi="en-US"/>
        </w:rPr>
      </w:pPr>
      <w:r>
        <w:rPr>
          <w:rFonts w:hint="eastAsia" w:ascii="宋体" w:hAnsi="宋体" w:eastAsia="宋体" w:cs="宋体"/>
          <w:kern w:val="0"/>
          <w:sz w:val="24"/>
          <w:szCs w:val="24"/>
          <w:lang w:bidi="en-US"/>
        </w:rPr>
        <w:t>地 址：</w:t>
      </w:r>
    </w:p>
    <w:p w14:paraId="6D8705F7">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kern w:val="0"/>
          <w:sz w:val="24"/>
          <w:szCs w:val="24"/>
          <w:lang w:bidi="en-US"/>
        </w:rPr>
      </w:pPr>
      <w:r>
        <w:rPr>
          <w:rFonts w:hint="eastAsia" w:ascii="宋体" w:hAnsi="宋体" w:eastAsia="宋体" w:cs="宋体"/>
          <w:kern w:val="0"/>
          <w:sz w:val="24"/>
          <w:szCs w:val="24"/>
          <w:lang w:bidi="en-US"/>
        </w:rPr>
        <w:t>电 话：（填写能联系到的电话号码，方便通知二次报价）</w:t>
      </w:r>
    </w:p>
    <w:p w14:paraId="2CAC3CE1">
      <w:pPr>
        <w:keepNext w:val="0"/>
        <w:keepLines w:val="0"/>
        <w:pageBreakBefore w:val="0"/>
        <w:kinsoku/>
        <w:wordWrap/>
        <w:overflowPunct/>
        <w:topLinePunct w:val="0"/>
        <w:autoSpaceDE/>
        <w:autoSpaceDN/>
        <w:bidi w:val="0"/>
        <w:adjustRightInd/>
        <w:snapToGrid/>
        <w:spacing w:after="200" w:line="360" w:lineRule="auto"/>
        <w:textAlignment w:val="auto"/>
        <w:rPr>
          <w:rFonts w:hint="eastAsia" w:ascii="宋体" w:hAnsi="宋体" w:eastAsia="宋体" w:cs="Times New Roman"/>
          <w:b/>
          <w:bCs/>
          <w:kern w:val="44"/>
          <w:sz w:val="28"/>
          <w:szCs w:val="32"/>
        </w:rPr>
      </w:pPr>
      <w:r>
        <w:rPr>
          <w:rFonts w:hint="eastAsia" w:ascii="宋体" w:hAnsi="宋体" w:eastAsia="宋体" w:cs="宋体"/>
          <w:kern w:val="0"/>
          <w:sz w:val="24"/>
          <w:szCs w:val="24"/>
          <w:lang w:bidi="en-US"/>
        </w:rPr>
        <w:t>日 期：</w:t>
      </w:r>
      <w:r>
        <w:rPr>
          <w:rFonts w:hint="eastAsia" w:ascii="宋体" w:hAnsi="宋体" w:eastAsia="宋体" w:cs="Times New Roman"/>
          <w:kern w:val="0"/>
          <w:sz w:val="24"/>
        </w:rPr>
        <w:t>年      月     日</w:t>
      </w:r>
      <w:bookmarkStart w:id="393" w:name="_Toc30604"/>
      <w:bookmarkEnd w:id="393"/>
      <w:bookmarkStart w:id="394" w:name="_Toc17051"/>
      <w:bookmarkStart w:id="395" w:name="_Toc1146"/>
    </w:p>
    <w:p w14:paraId="186C7DFB">
      <w:pPr>
        <w:widowControl/>
        <w:jc w:val="center"/>
        <w:outlineLvl w:val="2"/>
        <w:rPr>
          <w:rFonts w:ascii="宋体" w:hAnsi="宋体" w:eastAsia="宋体" w:cs="Times New Roman"/>
          <w:b/>
          <w:bCs/>
          <w:kern w:val="44"/>
          <w:sz w:val="28"/>
          <w:szCs w:val="32"/>
        </w:rPr>
      </w:pPr>
      <w:bookmarkStart w:id="396" w:name="_Toc32190"/>
      <w:bookmarkStart w:id="397" w:name="_Toc9116"/>
      <w:r>
        <w:rPr>
          <w:rFonts w:hint="eastAsia" w:ascii="宋体" w:hAnsi="宋体" w:eastAsia="宋体" w:cs="Times New Roman"/>
          <w:b/>
          <w:bCs/>
          <w:kern w:val="44"/>
          <w:sz w:val="28"/>
          <w:szCs w:val="32"/>
        </w:rPr>
        <w:t>(二)磋商报价表（第一</w:t>
      </w:r>
      <w:r>
        <w:rPr>
          <w:rFonts w:hint="eastAsia" w:ascii="宋体" w:hAnsi="宋体" w:cs="Times New Roman"/>
          <w:b/>
          <w:bCs/>
          <w:kern w:val="44"/>
          <w:sz w:val="28"/>
          <w:szCs w:val="32"/>
          <w:lang w:val="en-US" w:eastAsia="zh-CN"/>
        </w:rPr>
        <w:t>次报价</w:t>
      </w:r>
      <w:r>
        <w:rPr>
          <w:rFonts w:hint="eastAsia" w:ascii="宋体" w:hAnsi="宋体" w:eastAsia="宋体" w:cs="Times New Roman"/>
          <w:b/>
          <w:bCs/>
          <w:kern w:val="44"/>
          <w:sz w:val="28"/>
          <w:szCs w:val="32"/>
        </w:rPr>
        <w:t>）</w:t>
      </w:r>
      <w:bookmarkEnd w:id="394"/>
      <w:bookmarkEnd w:id="395"/>
      <w:bookmarkEnd w:id="396"/>
      <w:bookmarkEnd w:id="397"/>
    </w:p>
    <w:tbl>
      <w:tblPr>
        <w:tblStyle w:val="20"/>
        <w:tblW w:w="8865" w:type="dxa"/>
        <w:jc w:val="center"/>
        <w:tblLayout w:type="fixed"/>
        <w:tblCellMar>
          <w:top w:w="0" w:type="dxa"/>
          <w:left w:w="0" w:type="dxa"/>
          <w:bottom w:w="0" w:type="dxa"/>
          <w:right w:w="0" w:type="dxa"/>
        </w:tblCellMar>
      </w:tblPr>
      <w:tblGrid>
        <w:gridCol w:w="2265"/>
        <w:gridCol w:w="6600"/>
      </w:tblGrid>
      <w:tr w14:paraId="76481263">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5A3C58A">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项目名称</w:t>
            </w:r>
          </w:p>
        </w:tc>
        <w:tc>
          <w:tcPr>
            <w:tcW w:w="6600" w:type="dxa"/>
            <w:tcBorders>
              <w:top w:val="single" w:color="auto" w:sz="4" w:space="0"/>
              <w:left w:val="nil"/>
              <w:bottom w:val="single" w:color="auto" w:sz="4" w:space="0"/>
              <w:right w:val="single" w:color="auto" w:sz="4" w:space="0"/>
            </w:tcBorders>
            <w:noWrap w:val="0"/>
            <w:vAlign w:val="center"/>
          </w:tcPr>
          <w:p w14:paraId="19062B2B">
            <w:pPr>
              <w:autoSpaceDE w:val="0"/>
              <w:autoSpaceDN w:val="0"/>
              <w:spacing w:line="500" w:lineRule="exact"/>
              <w:jc w:val="center"/>
              <w:rPr>
                <w:rFonts w:hint="eastAsia" w:ascii="宋体" w:hAnsi="宋体" w:eastAsia="宋体" w:cs="宋体"/>
                <w:color w:val="auto"/>
                <w:kern w:val="0"/>
                <w:sz w:val="24"/>
                <w:szCs w:val="24"/>
                <w:highlight w:val="none"/>
              </w:rPr>
            </w:pPr>
          </w:p>
        </w:tc>
      </w:tr>
      <w:tr w14:paraId="1AD2AE62">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5233135">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p>
        </w:tc>
        <w:tc>
          <w:tcPr>
            <w:tcW w:w="6600" w:type="dxa"/>
            <w:tcBorders>
              <w:top w:val="single" w:color="auto" w:sz="4" w:space="0"/>
              <w:left w:val="nil"/>
              <w:bottom w:val="single" w:color="auto" w:sz="4" w:space="0"/>
              <w:right w:val="single" w:color="auto" w:sz="4" w:space="0"/>
            </w:tcBorders>
            <w:noWrap w:val="0"/>
            <w:vAlign w:val="center"/>
          </w:tcPr>
          <w:p w14:paraId="4402D6CA">
            <w:pPr>
              <w:autoSpaceDE w:val="0"/>
              <w:autoSpaceDN w:val="0"/>
              <w:spacing w:line="500" w:lineRule="exact"/>
              <w:jc w:val="center"/>
              <w:rPr>
                <w:rFonts w:hint="eastAsia" w:ascii="宋体" w:hAnsi="宋体" w:eastAsia="宋体" w:cs="宋体"/>
                <w:color w:val="auto"/>
                <w:kern w:val="0"/>
                <w:sz w:val="24"/>
                <w:szCs w:val="24"/>
                <w:highlight w:val="none"/>
              </w:rPr>
            </w:pPr>
          </w:p>
        </w:tc>
      </w:tr>
      <w:tr w14:paraId="1E48BFE7">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2D5D370">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6600" w:type="dxa"/>
            <w:tcBorders>
              <w:top w:val="single" w:color="auto" w:sz="4" w:space="0"/>
              <w:left w:val="nil"/>
              <w:bottom w:val="single" w:color="auto" w:sz="4" w:space="0"/>
              <w:right w:val="single" w:color="auto" w:sz="4" w:space="0"/>
            </w:tcBorders>
            <w:noWrap w:val="0"/>
            <w:vAlign w:val="center"/>
          </w:tcPr>
          <w:p w14:paraId="6797BD6B">
            <w:pPr>
              <w:adjustRightInd w:val="0"/>
              <w:spacing w:line="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7CF2E816">
            <w:pPr>
              <w:autoSpaceDE w:val="0"/>
              <w:autoSpaceDN w:val="0"/>
              <w:spacing w:line="5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人民币（小写）：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p>
        </w:tc>
      </w:tr>
      <w:tr w14:paraId="794E5483">
        <w:tblPrEx>
          <w:tblCellMar>
            <w:top w:w="0" w:type="dxa"/>
            <w:left w:w="0" w:type="dxa"/>
            <w:bottom w:w="0" w:type="dxa"/>
            <w:right w:w="0" w:type="dxa"/>
          </w:tblCellMar>
        </w:tblPrEx>
        <w:trPr>
          <w:trHeight w:val="1079"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A91102D">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 货 期</w:t>
            </w:r>
          </w:p>
        </w:tc>
        <w:tc>
          <w:tcPr>
            <w:tcW w:w="6600" w:type="dxa"/>
            <w:tcBorders>
              <w:top w:val="single" w:color="auto" w:sz="4" w:space="0"/>
              <w:left w:val="nil"/>
              <w:bottom w:val="single" w:color="auto" w:sz="4" w:space="0"/>
              <w:right w:val="single" w:color="auto" w:sz="4" w:space="0"/>
            </w:tcBorders>
            <w:noWrap w:val="0"/>
            <w:vAlign w:val="center"/>
          </w:tcPr>
          <w:p w14:paraId="51773252">
            <w:pPr>
              <w:autoSpaceDE w:val="0"/>
              <w:autoSpaceDN w:val="0"/>
              <w:spacing w:line="500" w:lineRule="exact"/>
              <w:ind w:firstLine="120" w:firstLineChars="50"/>
              <w:jc w:val="center"/>
              <w:rPr>
                <w:rFonts w:hint="eastAsia" w:ascii="宋体" w:hAnsi="宋体" w:eastAsia="宋体" w:cs="宋体"/>
                <w:color w:val="auto"/>
                <w:kern w:val="0"/>
                <w:sz w:val="24"/>
                <w:szCs w:val="24"/>
                <w:highlight w:val="none"/>
              </w:rPr>
            </w:pPr>
          </w:p>
        </w:tc>
      </w:tr>
      <w:tr w14:paraId="58422A17">
        <w:tblPrEx>
          <w:tblCellMar>
            <w:top w:w="0" w:type="dxa"/>
            <w:left w:w="0" w:type="dxa"/>
            <w:bottom w:w="0" w:type="dxa"/>
            <w:right w:w="0" w:type="dxa"/>
          </w:tblCellMar>
        </w:tblPrEx>
        <w:trPr>
          <w:trHeight w:val="989"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E585F89">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6600" w:type="dxa"/>
            <w:tcBorders>
              <w:top w:val="single" w:color="auto" w:sz="4" w:space="0"/>
              <w:left w:val="nil"/>
              <w:bottom w:val="single" w:color="auto" w:sz="4" w:space="0"/>
              <w:right w:val="single" w:color="auto" w:sz="4" w:space="0"/>
            </w:tcBorders>
            <w:noWrap w:val="0"/>
            <w:vAlign w:val="center"/>
          </w:tcPr>
          <w:p w14:paraId="57F9BE97">
            <w:pPr>
              <w:autoSpaceDE w:val="0"/>
              <w:autoSpaceDN w:val="0"/>
              <w:spacing w:line="500" w:lineRule="exact"/>
              <w:ind w:firstLine="120" w:firstLineChars="50"/>
              <w:rPr>
                <w:rFonts w:hint="eastAsia" w:ascii="宋体" w:hAnsi="宋体" w:eastAsia="宋体" w:cs="宋体"/>
                <w:color w:val="auto"/>
                <w:kern w:val="0"/>
                <w:sz w:val="24"/>
                <w:szCs w:val="24"/>
                <w:highlight w:val="none"/>
              </w:rPr>
            </w:pPr>
          </w:p>
        </w:tc>
      </w:tr>
      <w:tr w14:paraId="037A557B">
        <w:tblPrEx>
          <w:tblCellMar>
            <w:top w:w="0" w:type="dxa"/>
            <w:left w:w="0" w:type="dxa"/>
            <w:bottom w:w="0" w:type="dxa"/>
            <w:right w:w="0" w:type="dxa"/>
          </w:tblCellMar>
        </w:tblPrEx>
        <w:trPr>
          <w:trHeight w:val="97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72EAF88">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6600" w:type="dxa"/>
            <w:tcBorders>
              <w:top w:val="single" w:color="auto" w:sz="4" w:space="0"/>
              <w:left w:val="nil"/>
              <w:bottom w:val="single" w:color="auto" w:sz="4" w:space="0"/>
              <w:right w:val="single" w:color="auto" w:sz="4" w:space="0"/>
            </w:tcBorders>
            <w:noWrap w:val="0"/>
            <w:vAlign w:val="center"/>
          </w:tcPr>
          <w:p w14:paraId="0431895F">
            <w:pPr>
              <w:autoSpaceDE w:val="0"/>
              <w:autoSpaceDN w:val="0"/>
              <w:spacing w:line="500" w:lineRule="exact"/>
              <w:ind w:firstLine="120" w:firstLineChars="50"/>
              <w:rPr>
                <w:rFonts w:hint="eastAsia" w:ascii="宋体" w:hAnsi="宋体" w:eastAsia="宋体" w:cs="宋体"/>
                <w:color w:val="auto"/>
                <w:kern w:val="0"/>
                <w:sz w:val="24"/>
                <w:szCs w:val="24"/>
                <w:highlight w:val="none"/>
              </w:rPr>
            </w:pPr>
          </w:p>
        </w:tc>
      </w:tr>
      <w:tr w14:paraId="0465E7A5">
        <w:tblPrEx>
          <w:tblCellMar>
            <w:top w:w="0" w:type="dxa"/>
            <w:left w:w="0" w:type="dxa"/>
            <w:bottom w:w="0" w:type="dxa"/>
            <w:right w:w="0" w:type="dxa"/>
          </w:tblCellMar>
        </w:tblPrEx>
        <w:trPr>
          <w:trHeight w:val="97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FA29D05">
            <w:pPr>
              <w:autoSpaceDE w:val="0"/>
              <w:autoSpaceDN w:val="0"/>
              <w:spacing w:line="5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质 保 期</w:t>
            </w:r>
          </w:p>
        </w:tc>
        <w:tc>
          <w:tcPr>
            <w:tcW w:w="6600" w:type="dxa"/>
            <w:tcBorders>
              <w:top w:val="single" w:color="auto" w:sz="4" w:space="0"/>
              <w:left w:val="nil"/>
              <w:bottom w:val="single" w:color="auto" w:sz="4" w:space="0"/>
              <w:right w:val="single" w:color="auto" w:sz="4" w:space="0"/>
            </w:tcBorders>
            <w:noWrap w:val="0"/>
            <w:vAlign w:val="center"/>
          </w:tcPr>
          <w:p w14:paraId="0405F684">
            <w:pPr>
              <w:autoSpaceDE w:val="0"/>
              <w:autoSpaceDN w:val="0"/>
              <w:spacing w:line="500" w:lineRule="exact"/>
              <w:ind w:firstLine="120" w:firstLineChars="50"/>
              <w:rPr>
                <w:rFonts w:hint="eastAsia" w:ascii="宋体" w:hAnsi="宋体" w:eastAsia="宋体" w:cs="宋体"/>
                <w:color w:val="auto"/>
                <w:kern w:val="0"/>
                <w:sz w:val="24"/>
                <w:szCs w:val="24"/>
                <w:highlight w:val="none"/>
              </w:rPr>
            </w:pPr>
          </w:p>
        </w:tc>
      </w:tr>
      <w:tr w14:paraId="3DB8D481">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C6A6CBD">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cs="宋体"/>
                <w:color w:val="000000"/>
                <w:kern w:val="10"/>
                <w:sz w:val="24"/>
                <w:lang w:eastAsia="zh-CN"/>
              </w:rPr>
              <w:t>磋商</w:t>
            </w:r>
            <w:r>
              <w:rPr>
                <w:rFonts w:hint="eastAsia" w:ascii="宋体" w:hAnsi="宋体" w:eastAsia="宋体" w:cs="宋体"/>
                <w:color w:val="auto"/>
                <w:kern w:val="0"/>
                <w:sz w:val="24"/>
                <w:szCs w:val="24"/>
                <w:highlight w:val="none"/>
              </w:rPr>
              <w:t>有效期</w:t>
            </w:r>
          </w:p>
        </w:tc>
        <w:tc>
          <w:tcPr>
            <w:tcW w:w="6600" w:type="dxa"/>
            <w:tcBorders>
              <w:top w:val="single" w:color="auto" w:sz="4" w:space="0"/>
              <w:left w:val="nil"/>
              <w:bottom w:val="single" w:color="auto" w:sz="4" w:space="0"/>
              <w:right w:val="single" w:color="auto" w:sz="4" w:space="0"/>
            </w:tcBorders>
            <w:noWrap w:val="0"/>
            <w:vAlign w:val="center"/>
          </w:tcPr>
          <w:p w14:paraId="1F177424">
            <w:pPr>
              <w:autoSpaceDE w:val="0"/>
              <w:autoSpaceDN w:val="0"/>
              <w:spacing w:line="500" w:lineRule="exact"/>
              <w:jc w:val="center"/>
              <w:rPr>
                <w:rFonts w:hint="eastAsia" w:ascii="宋体" w:hAnsi="宋体" w:eastAsia="宋体" w:cs="宋体"/>
                <w:color w:val="auto"/>
                <w:kern w:val="0"/>
                <w:sz w:val="24"/>
                <w:szCs w:val="24"/>
                <w:highlight w:val="none"/>
              </w:rPr>
            </w:pPr>
          </w:p>
        </w:tc>
      </w:tr>
      <w:tr w14:paraId="2914B899">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61288A9">
            <w:pPr>
              <w:autoSpaceDE w:val="0"/>
              <w:autoSpaceDN w:val="0"/>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6600" w:type="dxa"/>
            <w:tcBorders>
              <w:top w:val="single" w:color="auto" w:sz="4" w:space="0"/>
              <w:left w:val="nil"/>
              <w:bottom w:val="single" w:color="auto" w:sz="4" w:space="0"/>
              <w:right w:val="single" w:color="auto" w:sz="4" w:space="0"/>
            </w:tcBorders>
            <w:noWrap w:val="0"/>
            <w:vAlign w:val="center"/>
          </w:tcPr>
          <w:p w14:paraId="23E41764">
            <w:pPr>
              <w:autoSpaceDE w:val="0"/>
              <w:autoSpaceDN w:val="0"/>
              <w:spacing w:line="500" w:lineRule="exact"/>
              <w:jc w:val="center"/>
              <w:rPr>
                <w:rFonts w:hint="eastAsia" w:ascii="宋体" w:hAnsi="宋体" w:eastAsia="宋体" w:cs="宋体"/>
                <w:color w:val="auto"/>
                <w:kern w:val="0"/>
                <w:sz w:val="24"/>
                <w:szCs w:val="24"/>
                <w:highlight w:val="none"/>
              </w:rPr>
            </w:pPr>
          </w:p>
        </w:tc>
      </w:tr>
    </w:tbl>
    <w:p w14:paraId="7612C1F2">
      <w:pPr>
        <w:tabs>
          <w:tab w:val="left" w:leader="underscore" w:pos="4915"/>
        </w:tabs>
        <w:spacing w:after="200" w:line="420" w:lineRule="exact"/>
        <w:ind w:right="960"/>
        <w:jc w:val="both"/>
        <w:rPr>
          <w:rFonts w:ascii="宋体" w:hAnsi="宋体" w:eastAsia="宋体" w:cs="Times New Roman"/>
          <w:kern w:val="0"/>
          <w:sz w:val="24"/>
        </w:rPr>
      </w:pPr>
      <w:r>
        <w:rPr>
          <w:rFonts w:hint="eastAsia" w:ascii="宋体" w:hAnsi="宋体" w:eastAsia="宋体" w:cs="Times New Roman"/>
          <w:kern w:val="0"/>
          <w:sz w:val="24"/>
        </w:rPr>
        <w:t xml:space="preserve">   </w:t>
      </w:r>
    </w:p>
    <w:p w14:paraId="27355737">
      <w:pPr>
        <w:widowControl/>
        <w:adjustRightInd w:val="0"/>
        <w:snapToGrid w:val="0"/>
        <w:spacing w:line="360" w:lineRule="auto"/>
        <w:ind w:firstLine="3840" w:firstLineChars="1600"/>
        <w:jc w:val="left"/>
        <w:rPr>
          <w:rFonts w:ascii="宋体" w:hAnsi="宋体" w:eastAsia="宋体" w:cs="宋体"/>
          <w:kern w:val="0"/>
          <w:sz w:val="24"/>
          <w:szCs w:val="20"/>
          <w:u w:val="single"/>
        </w:rPr>
      </w:pP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70F51D53">
      <w:pPr>
        <w:widowControl/>
        <w:adjustRightInd w:val="0"/>
        <w:snapToGrid w:val="0"/>
        <w:spacing w:line="360" w:lineRule="auto"/>
        <w:ind w:firstLine="3840" w:firstLineChars="1600"/>
        <w:jc w:val="left"/>
        <w:rPr>
          <w:rFonts w:ascii="宋体" w:hAnsi="宋体" w:eastAsia="宋体" w:cs="宋体"/>
          <w:kern w:val="0"/>
          <w:sz w:val="24"/>
          <w:szCs w:val="20"/>
          <w:u w:val="single"/>
        </w:rPr>
      </w:pPr>
      <w:r>
        <w:rPr>
          <w:rFonts w:hint="eastAsia" w:ascii="宋体" w:hAnsi="宋体" w:eastAsia="宋体" w:cs="宋体"/>
          <w:kern w:val="0"/>
          <w:sz w:val="24"/>
          <w:szCs w:val="20"/>
        </w:rPr>
        <w:t>法定代表人（</w:t>
      </w:r>
      <w:r>
        <w:rPr>
          <w:rFonts w:hint="eastAsia" w:ascii="宋体" w:hAnsi="宋体" w:cs="宋体"/>
          <w:bCs/>
          <w:sz w:val="24"/>
        </w:rPr>
        <w:t>签章</w:t>
      </w:r>
      <w:r>
        <w:rPr>
          <w:rFonts w:hint="eastAsia" w:ascii="宋体" w:hAnsi="宋体" w:eastAsia="宋体" w:cs="宋体"/>
          <w:kern w:val="0"/>
          <w:sz w:val="24"/>
          <w:szCs w:val="20"/>
        </w:rPr>
        <w:t>）：</w:t>
      </w:r>
      <w:r>
        <w:rPr>
          <w:rFonts w:hint="eastAsia" w:ascii="宋体" w:hAnsi="宋体" w:eastAsia="宋体" w:cs="宋体"/>
          <w:kern w:val="0"/>
          <w:sz w:val="24"/>
          <w:szCs w:val="20"/>
          <w:u w:val="single"/>
        </w:rPr>
        <w:t xml:space="preserve">                   </w:t>
      </w:r>
    </w:p>
    <w:p w14:paraId="70F996B1">
      <w:pPr>
        <w:widowControl/>
        <w:adjustRightInd w:val="0"/>
        <w:snapToGrid w:val="0"/>
        <w:spacing w:line="360" w:lineRule="auto"/>
        <w:ind w:firstLine="3840" w:firstLineChars="1600"/>
        <w:jc w:val="left"/>
        <w:rPr>
          <w:rFonts w:ascii="宋体" w:hAnsi="宋体" w:eastAsia="宋体" w:cs="宋体"/>
          <w:kern w:val="0"/>
          <w:sz w:val="24"/>
          <w:szCs w:val="20"/>
        </w:rPr>
      </w:pPr>
      <w:r>
        <w:rPr>
          <w:rFonts w:hint="eastAsia" w:ascii="宋体" w:hAnsi="宋体" w:eastAsia="宋体" w:cs="宋体"/>
          <w:kern w:val="0"/>
          <w:sz w:val="24"/>
          <w:szCs w:val="20"/>
        </w:rPr>
        <w:t>日期：</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年</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日</w:t>
      </w:r>
    </w:p>
    <w:p w14:paraId="0EF0D584">
      <w:pPr>
        <w:bidi w:val="0"/>
        <w:jc w:val="left"/>
      </w:pPr>
    </w:p>
    <w:p w14:paraId="4BC1C088">
      <w:pPr>
        <w:widowControl/>
        <w:adjustRightInd w:val="0"/>
        <w:snapToGrid w:val="0"/>
        <w:spacing w:line="360" w:lineRule="auto"/>
        <w:jc w:val="left"/>
        <w:outlineLvl w:val="1"/>
        <w:rPr>
          <w:rFonts w:hint="eastAsia" w:ascii="宋体" w:hAnsi="宋体" w:eastAsia="宋体" w:cs="宋体"/>
          <w:b w:val="0"/>
          <w:bCs w:val="0"/>
          <w:kern w:val="0"/>
          <w:sz w:val="28"/>
          <w:szCs w:val="28"/>
          <w:lang w:eastAsia="zh-CN"/>
        </w:rPr>
      </w:pPr>
      <w:bookmarkStart w:id="398" w:name="_Toc7893"/>
      <w:bookmarkStart w:id="399" w:name="_Toc28318"/>
      <w:bookmarkStart w:id="400" w:name="_Toc24449"/>
      <w:bookmarkStart w:id="401" w:name="_Toc6662"/>
    </w:p>
    <w:p w14:paraId="168EE4E9">
      <w:pPr>
        <w:rPr>
          <w:rFonts w:hint="eastAsia" w:ascii="宋体" w:hAnsi="宋体" w:eastAsia="宋体" w:cs="Times New Roman"/>
          <w:b/>
          <w:bCs/>
          <w:kern w:val="44"/>
          <w:sz w:val="28"/>
          <w:szCs w:val="32"/>
        </w:rPr>
      </w:pPr>
      <w:r>
        <w:rPr>
          <w:rFonts w:hint="eastAsia" w:ascii="宋体" w:hAnsi="宋体" w:eastAsia="宋体" w:cs="Times New Roman"/>
          <w:b/>
          <w:bCs/>
          <w:kern w:val="44"/>
          <w:sz w:val="28"/>
          <w:szCs w:val="32"/>
        </w:rPr>
        <w:br w:type="page"/>
      </w:r>
    </w:p>
    <w:p w14:paraId="7C29CA5E">
      <w:pPr>
        <w:widowControl/>
        <w:adjustRightInd w:val="0"/>
        <w:snapToGrid w:val="0"/>
        <w:spacing w:line="360" w:lineRule="auto"/>
        <w:jc w:val="center"/>
        <w:outlineLvl w:val="1"/>
        <w:rPr>
          <w:rFonts w:hint="eastAsia" w:ascii="宋体" w:hAnsi="宋体" w:eastAsia="宋体" w:cs="宋体"/>
          <w:b w:val="0"/>
          <w:bCs w:val="0"/>
          <w:kern w:val="0"/>
          <w:sz w:val="28"/>
          <w:szCs w:val="28"/>
          <w:lang w:eastAsia="zh-CN"/>
        </w:rPr>
      </w:pPr>
      <w:r>
        <w:rPr>
          <w:rFonts w:hint="eastAsia" w:ascii="宋体" w:hAnsi="宋体" w:eastAsia="宋体" w:cs="Times New Roman"/>
          <w:b/>
          <w:bCs/>
          <w:kern w:val="44"/>
          <w:sz w:val="28"/>
          <w:szCs w:val="32"/>
        </w:rPr>
        <w:t>(</w:t>
      </w:r>
      <w:r>
        <w:rPr>
          <w:rFonts w:hint="eastAsia" w:ascii="宋体" w:hAnsi="宋体" w:eastAsia="宋体" w:cs="Times New Roman"/>
          <w:b/>
          <w:bCs/>
          <w:kern w:val="44"/>
          <w:sz w:val="28"/>
          <w:szCs w:val="32"/>
          <w:lang w:val="en-US" w:eastAsia="zh-CN"/>
        </w:rPr>
        <w:t>三</w:t>
      </w:r>
      <w:r>
        <w:rPr>
          <w:rFonts w:hint="eastAsia" w:ascii="宋体" w:hAnsi="宋体" w:eastAsia="宋体" w:cs="Times New Roman"/>
          <w:b/>
          <w:bCs/>
          <w:kern w:val="44"/>
          <w:sz w:val="28"/>
          <w:szCs w:val="32"/>
        </w:rPr>
        <w:t>)</w:t>
      </w:r>
      <w:r>
        <w:rPr>
          <w:rFonts w:hint="eastAsia" w:ascii="宋体" w:hAnsi="宋体" w:cs="宋体"/>
          <w:b/>
          <w:bCs/>
          <w:color w:val="000000"/>
          <w:kern w:val="10"/>
          <w:sz w:val="28"/>
          <w:szCs w:val="28"/>
        </w:rPr>
        <w:t>报价一览表</w:t>
      </w:r>
    </w:p>
    <w:bookmarkEnd w:id="398"/>
    <w:bookmarkEnd w:id="399"/>
    <w:bookmarkEnd w:id="400"/>
    <w:bookmarkEnd w:id="401"/>
    <w:tbl>
      <w:tblPr>
        <w:tblStyle w:val="20"/>
        <w:tblW w:w="52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830"/>
        <w:gridCol w:w="895"/>
        <w:gridCol w:w="1983"/>
        <w:gridCol w:w="834"/>
        <w:gridCol w:w="750"/>
        <w:gridCol w:w="906"/>
        <w:gridCol w:w="960"/>
        <w:gridCol w:w="1335"/>
      </w:tblGrid>
      <w:tr w14:paraId="7A9A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4" w:hRule="atLeast"/>
          <w:jc w:val="center"/>
        </w:trPr>
        <w:tc>
          <w:tcPr>
            <w:tcW w:w="509" w:type="pct"/>
            <w:noWrap w:val="0"/>
            <w:vAlign w:val="center"/>
          </w:tcPr>
          <w:p w14:paraId="37CF5EEB">
            <w:pPr>
              <w:spacing w:line="400" w:lineRule="exact"/>
              <w:jc w:val="center"/>
              <w:rPr>
                <w:rFonts w:hint="eastAsia" w:ascii="宋体" w:hAnsi="宋体"/>
                <w:color w:val="000000"/>
                <w:sz w:val="24"/>
                <w:lang w:eastAsia="zh-CN"/>
              </w:rPr>
            </w:pPr>
            <w:r>
              <w:rPr>
                <w:rFonts w:hint="eastAsia" w:ascii="宋体" w:hAnsi="宋体"/>
                <w:color w:val="000000"/>
                <w:sz w:val="24"/>
                <w:lang w:val="en-US" w:eastAsia="zh-CN"/>
              </w:rPr>
              <w:t>序号</w:t>
            </w:r>
          </w:p>
        </w:tc>
        <w:tc>
          <w:tcPr>
            <w:tcW w:w="912" w:type="pct"/>
            <w:gridSpan w:val="2"/>
            <w:noWrap w:val="0"/>
            <w:vAlign w:val="center"/>
          </w:tcPr>
          <w:p w14:paraId="37DAE2F3">
            <w:pPr>
              <w:spacing w:line="400" w:lineRule="exact"/>
              <w:jc w:val="center"/>
              <w:rPr>
                <w:rFonts w:hint="eastAsia" w:ascii="宋体" w:hAnsi="宋体"/>
                <w:color w:val="000000"/>
                <w:sz w:val="24"/>
              </w:rPr>
            </w:pPr>
            <w:r>
              <w:rPr>
                <w:rFonts w:hint="eastAsia" w:ascii="宋体" w:hAnsi="宋体"/>
                <w:color w:val="000000"/>
                <w:sz w:val="24"/>
                <w:lang w:val="en-US" w:eastAsia="zh-CN"/>
              </w:rPr>
              <w:t>内容</w:t>
            </w:r>
          </w:p>
        </w:tc>
        <w:tc>
          <w:tcPr>
            <w:tcW w:w="1048" w:type="pct"/>
            <w:noWrap w:val="0"/>
            <w:vAlign w:val="center"/>
          </w:tcPr>
          <w:p w14:paraId="6F932890">
            <w:pPr>
              <w:spacing w:line="400" w:lineRule="exact"/>
              <w:jc w:val="center"/>
              <w:rPr>
                <w:rFonts w:hint="eastAsia" w:ascii="宋体" w:hAnsi="宋体"/>
                <w:color w:val="000000"/>
                <w:sz w:val="24"/>
                <w:lang w:val="en-US" w:eastAsia="zh-CN"/>
              </w:rPr>
            </w:pPr>
            <w:r>
              <w:rPr>
                <w:rFonts w:hint="eastAsia" w:ascii="宋体" w:hAnsi="宋体"/>
                <w:color w:val="000000"/>
                <w:sz w:val="24"/>
                <w:lang w:val="en-US" w:eastAsia="zh-CN"/>
              </w:rPr>
              <w:t>技术参数要求</w:t>
            </w:r>
          </w:p>
        </w:tc>
        <w:tc>
          <w:tcPr>
            <w:tcW w:w="440" w:type="pct"/>
            <w:noWrap w:val="0"/>
            <w:vAlign w:val="center"/>
          </w:tcPr>
          <w:p w14:paraId="5572BCEE">
            <w:pPr>
              <w:spacing w:line="400" w:lineRule="exact"/>
              <w:jc w:val="center"/>
              <w:rPr>
                <w:rFonts w:hint="eastAsia" w:ascii="宋体" w:hAnsi="宋体"/>
                <w:color w:val="000000"/>
                <w:sz w:val="24"/>
              </w:rPr>
            </w:pPr>
            <w:r>
              <w:rPr>
                <w:rFonts w:hint="eastAsia" w:ascii="宋体" w:hAnsi="宋体"/>
                <w:color w:val="000000"/>
                <w:sz w:val="24"/>
                <w:lang w:val="en-US" w:eastAsia="zh-CN"/>
              </w:rPr>
              <w:t>单位</w:t>
            </w:r>
          </w:p>
        </w:tc>
        <w:tc>
          <w:tcPr>
            <w:tcW w:w="396" w:type="pct"/>
            <w:noWrap w:val="0"/>
            <w:vAlign w:val="center"/>
          </w:tcPr>
          <w:p w14:paraId="0F3F91E7">
            <w:pPr>
              <w:spacing w:line="400" w:lineRule="exact"/>
              <w:jc w:val="center"/>
              <w:rPr>
                <w:rFonts w:hint="default" w:ascii="宋体" w:hAnsi="宋体"/>
                <w:color w:val="000000"/>
                <w:sz w:val="24"/>
                <w:lang w:val="en-US" w:eastAsia="zh-CN"/>
              </w:rPr>
            </w:pPr>
            <w:r>
              <w:rPr>
                <w:rFonts w:hint="eastAsia" w:ascii="宋体" w:hAnsi="宋体"/>
                <w:color w:val="000000"/>
                <w:sz w:val="24"/>
                <w:lang w:val="en-US" w:eastAsia="zh-CN"/>
              </w:rPr>
              <w:t>数量</w:t>
            </w:r>
          </w:p>
        </w:tc>
        <w:tc>
          <w:tcPr>
            <w:tcW w:w="479" w:type="pct"/>
            <w:noWrap w:val="0"/>
            <w:vAlign w:val="center"/>
          </w:tcPr>
          <w:p w14:paraId="2634BB88">
            <w:pPr>
              <w:spacing w:line="400" w:lineRule="exact"/>
              <w:jc w:val="center"/>
              <w:rPr>
                <w:rFonts w:hint="eastAsia" w:ascii="宋体" w:hAnsi="宋体"/>
                <w:color w:val="000000"/>
                <w:sz w:val="24"/>
              </w:rPr>
            </w:pPr>
            <w:r>
              <w:rPr>
                <w:rFonts w:hint="eastAsia" w:ascii="宋体" w:hAnsi="宋体"/>
                <w:color w:val="000000"/>
                <w:sz w:val="24"/>
                <w:lang w:val="en-US" w:eastAsia="zh-CN"/>
              </w:rPr>
              <w:t>单价（元）</w:t>
            </w:r>
          </w:p>
        </w:tc>
        <w:tc>
          <w:tcPr>
            <w:tcW w:w="507" w:type="pct"/>
            <w:noWrap w:val="0"/>
            <w:vAlign w:val="top"/>
          </w:tcPr>
          <w:p w14:paraId="46522459">
            <w:pPr>
              <w:spacing w:line="400" w:lineRule="exact"/>
              <w:jc w:val="center"/>
              <w:rPr>
                <w:rFonts w:hint="eastAsia" w:ascii="宋体" w:hAnsi="宋体"/>
                <w:color w:val="000000"/>
                <w:sz w:val="24"/>
                <w:lang w:val="en-US" w:eastAsia="zh-CN"/>
              </w:rPr>
            </w:pPr>
          </w:p>
          <w:p w14:paraId="7BB1F6B9">
            <w:pPr>
              <w:spacing w:line="400" w:lineRule="exact"/>
              <w:jc w:val="center"/>
              <w:rPr>
                <w:rFonts w:hint="eastAsia" w:ascii="宋体" w:hAnsi="宋体"/>
                <w:color w:val="000000"/>
                <w:sz w:val="24"/>
              </w:rPr>
            </w:pPr>
            <w:r>
              <w:rPr>
                <w:rFonts w:hint="eastAsia" w:ascii="宋体" w:hAnsi="宋体"/>
                <w:color w:val="000000"/>
                <w:sz w:val="24"/>
                <w:lang w:val="en-US" w:eastAsia="zh-CN"/>
              </w:rPr>
              <w:t>总价（元）</w:t>
            </w:r>
          </w:p>
        </w:tc>
        <w:tc>
          <w:tcPr>
            <w:tcW w:w="705" w:type="pct"/>
            <w:noWrap w:val="0"/>
            <w:vAlign w:val="center"/>
          </w:tcPr>
          <w:p w14:paraId="16178FDC">
            <w:pPr>
              <w:spacing w:line="400" w:lineRule="exact"/>
              <w:jc w:val="center"/>
              <w:rPr>
                <w:rFonts w:hint="eastAsia" w:ascii="宋体" w:hAnsi="宋体"/>
                <w:color w:val="000000"/>
                <w:sz w:val="24"/>
              </w:rPr>
            </w:pPr>
            <w:r>
              <w:rPr>
                <w:rFonts w:hint="eastAsia" w:ascii="宋体" w:hAnsi="宋体"/>
                <w:color w:val="000000"/>
                <w:sz w:val="24"/>
              </w:rPr>
              <w:t>备注</w:t>
            </w:r>
          </w:p>
        </w:tc>
      </w:tr>
      <w:tr w14:paraId="66CC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09" w:type="pct"/>
            <w:noWrap w:val="0"/>
            <w:vAlign w:val="center"/>
          </w:tcPr>
          <w:p w14:paraId="0AC70ADD">
            <w:pPr>
              <w:spacing w:line="400" w:lineRule="exact"/>
              <w:jc w:val="center"/>
              <w:rPr>
                <w:rFonts w:ascii="宋体" w:hAnsi="宋体"/>
                <w:color w:val="000000"/>
                <w:sz w:val="24"/>
              </w:rPr>
            </w:pPr>
          </w:p>
        </w:tc>
        <w:tc>
          <w:tcPr>
            <w:tcW w:w="912" w:type="pct"/>
            <w:gridSpan w:val="2"/>
            <w:noWrap w:val="0"/>
            <w:vAlign w:val="center"/>
          </w:tcPr>
          <w:p w14:paraId="60201497">
            <w:pPr>
              <w:spacing w:line="240" w:lineRule="exact"/>
              <w:jc w:val="center"/>
              <w:rPr>
                <w:rFonts w:hint="eastAsia" w:ascii="宋体" w:hAnsi="宋体" w:eastAsia="宋体" w:cs="Times New Roman"/>
                <w:i/>
                <w:iCs/>
                <w:color w:val="000000"/>
                <w:sz w:val="24"/>
                <w:lang w:val="en-US" w:eastAsia="zh-CN"/>
              </w:rPr>
            </w:pPr>
          </w:p>
        </w:tc>
        <w:tc>
          <w:tcPr>
            <w:tcW w:w="1048" w:type="pct"/>
            <w:noWrap w:val="0"/>
            <w:vAlign w:val="center"/>
          </w:tcPr>
          <w:p w14:paraId="6B64F944">
            <w:pPr>
              <w:spacing w:line="400" w:lineRule="exact"/>
              <w:jc w:val="center"/>
              <w:rPr>
                <w:rFonts w:ascii="宋体" w:hAnsi="宋体"/>
                <w:color w:val="000000"/>
                <w:sz w:val="24"/>
              </w:rPr>
            </w:pPr>
          </w:p>
        </w:tc>
        <w:tc>
          <w:tcPr>
            <w:tcW w:w="440" w:type="pct"/>
            <w:noWrap w:val="0"/>
            <w:vAlign w:val="center"/>
          </w:tcPr>
          <w:p w14:paraId="24D27F5A">
            <w:pPr>
              <w:spacing w:line="400" w:lineRule="exact"/>
              <w:jc w:val="center"/>
              <w:rPr>
                <w:rFonts w:ascii="宋体" w:hAnsi="宋体"/>
                <w:color w:val="000000"/>
                <w:sz w:val="24"/>
              </w:rPr>
            </w:pPr>
          </w:p>
        </w:tc>
        <w:tc>
          <w:tcPr>
            <w:tcW w:w="396" w:type="pct"/>
            <w:noWrap w:val="0"/>
            <w:vAlign w:val="center"/>
          </w:tcPr>
          <w:p w14:paraId="0F21EF42">
            <w:pPr>
              <w:spacing w:line="400" w:lineRule="exact"/>
              <w:jc w:val="center"/>
              <w:rPr>
                <w:rFonts w:ascii="宋体" w:hAnsi="宋体"/>
                <w:color w:val="000000"/>
                <w:sz w:val="24"/>
              </w:rPr>
            </w:pPr>
          </w:p>
        </w:tc>
        <w:tc>
          <w:tcPr>
            <w:tcW w:w="479" w:type="pct"/>
            <w:noWrap w:val="0"/>
            <w:vAlign w:val="center"/>
          </w:tcPr>
          <w:p w14:paraId="7A41E9B6">
            <w:pPr>
              <w:spacing w:line="400" w:lineRule="exact"/>
              <w:jc w:val="center"/>
              <w:rPr>
                <w:rFonts w:ascii="宋体" w:hAnsi="宋体"/>
                <w:color w:val="000000"/>
                <w:sz w:val="24"/>
              </w:rPr>
            </w:pPr>
          </w:p>
        </w:tc>
        <w:tc>
          <w:tcPr>
            <w:tcW w:w="507" w:type="pct"/>
            <w:noWrap w:val="0"/>
            <w:vAlign w:val="center"/>
          </w:tcPr>
          <w:p w14:paraId="555CEB42">
            <w:pPr>
              <w:spacing w:line="400" w:lineRule="exact"/>
              <w:jc w:val="center"/>
              <w:rPr>
                <w:rFonts w:ascii="宋体" w:hAnsi="宋体"/>
                <w:color w:val="000000"/>
                <w:sz w:val="24"/>
              </w:rPr>
            </w:pPr>
          </w:p>
        </w:tc>
        <w:tc>
          <w:tcPr>
            <w:tcW w:w="705" w:type="pct"/>
            <w:noWrap w:val="0"/>
            <w:vAlign w:val="center"/>
          </w:tcPr>
          <w:p w14:paraId="341AE795">
            <w:pPr>
              <w:spacing w:line="400" w:lineRule="exact"/>
              <w:jc w:val="center"/>
              <w:rPr>
                <w:rFonts w:ascii="宋体" w:hAnsi="宋体"/>
                <w:color w:val="000000"/>
                <w:sz w:val="24"/>
              </w:rPr>
            </w:pPr>
          </w:p>
        </w:tc>
      </w:tr>
      <w:tr w14:paraId="6E5F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9" w:type="pct"/>
            <w:noWrap w:val="0"/>
            <w:vAlign w:val="center"/>
          </w:tcPr>
          <w:p w14:paraId="15944FB5">
            <w:pPr>
              <w:spacing w:line="400" w:lineRule="exact"/>
              <w:jc w:val="center"/>
              <w:rPr>
                <w:rFonts w:ascii="宋体" w:hAnsi="宋体"/>
                <w:color w:val="000000"/>
                <w:sz w:val="24"/>
              </w:rPr>
            </w:pPr>
          </w:p>
        </w:tc>
        <w:tc>
          <w:tcPr>
            <w:tcW w:w="912" w:type="pct"/>
            <w:gridSpan w:val="2"/>
            <w:noWrap w:val="0"/>
            <w:vAlign w:val="center"/>
          </w:tcPr>
          <w:p w14:paraId="2B1C226F">
            <w:pPr>
              <w:spacing w:line="240" w:lineRule="exact"/>
              <w:jc w:val="center"/>
              <w:rPr>
                <w:rFonts w:hint="eastAsia" w:ascii="宋体" w:hAnsi="宋体" w:eastAsia="宋体" w:cs="Times New Roman"/>
                <w:i/>
                <w:iCs/>
                <w:color w:val="000000"/>
                <w:sz w:val="24"/>
                <w:lang w:val="en-US" w:eastAsia="zh-CN"/>
              </w:rPr>
            </w:pPr>
          </w:p>
        </w:tc>
        <w:tc>
          <w:tcPr>
            <w:tcW w:w="1048" w:type="pct"/>
            <w:noWrap w:val="0"/>
            <w:vAlign w:val="center"/>
          </w:tcPr>
          <w:p w14:paraId="17C4D54A">
            <w:pPr>
              <w:spacing w:line="400" w:lineRule="exact"/>
              <w:jc w:val="center"/>
              <w:rPr>
                <w:rFonts w:ascii="宋体" w:hAnsi="宋体"/>
                <w:color w:val="000000"/>
                <w:sz w:val="24"/>
              </w:rPr>
            </w:pPr>
          </w:p>
        </w:tc>
        <w:tc>
          <w:tcPr>
            <w:tcW w:w="440" w:type="pct"/>
            <w:noWrap w:val="0"/>
            <w:vAlign w:val="center"/>
          </w:tcPr>
          <w:p w14:paraId="7BA95EB5">
            <w:pPr>
              <w:spacing w:line="400" w:lineRule="exact"/>
              <w:jc w:val="center"/>
              <w:rPr>
                <w:rFonts w:ascii="宋体" w:hAnsi="宋体"/>
                <w:color w:val="000000"/>
                <w:sz w:val="24"/>
              </w:rPr>
            </w:pPr>
          </w:p>
        </w:tc>
        <w:tc>
          <w:tcPr>
            <w:tcW w:w="396" w:type="pct"/>
            <w:noWrap w:val="0"/>
            <w:vAlign w:val="center"/>
          </w:tcPr>
          <w:p w14:paraId="033A5B0D">
            <w:pPr>
              <w:spacing w:line="400" w:lineRule="exact"/>
              <w:jc w:val="center"/>
              <w:rPr>
                <w:rFonts w:ascii="宋体" w:hAnsi="宋体"/>
                <w:color w:val="000000"/>
                <w:sz w:val="24"/>
              </w:rPr>
            </w:pPr>
          </w:p>
        </w:tc>
        <w:tc>
          <w:tcPr>
            <w:tcW w:w="479" w:type="pct"/>
            <w:noWrap w:val="0"/>
            <w:vAlign w:val="center"/>
          </w:tcPr>
          <w:p w14:paraId="172BBD05">
            <w:pPr>
              <w:spacing w:line="400" w:lineRule="exact"/>
              <w:jc w:val="center"/>
              <w:rPr>
                <w:rFonts w:ascii="宋体" w:hAnsi="宋体"/>
                <w:color w:val="000000"/>
                <w:sz w:val="24"/>
              </w:rPr>
            </w:pPr>
          </w:p>
        </w:tc>
        <w:tc>
          <w:tcPr>
            <w:tcW w:w="507" w:type="pct"/>
            <w:noWrap w:val="0"/>
            <w:vAlign w:val="center"/>
          </w:tcPr>
          <w:p w14:paraId="6C368536">
            <w:pPr>
              <w:spacing w:line="400" w:lineRule="exact"/>
              <w:jc w:val="center"/>
              <w:rPr>
                <w:rFonts w:ascii="宋体" w:hAnsi="宋体"/>
                <w:color w:val="000000"/>
                <w:sz w:val="24"/>
              </w:rPr>
            </w:pPr>
          </w:p>
        </w:tc>
        <w:tc>
          <w:tcPr>
            <w:tcW w:w="705" w:type="pct"/>
            <w:noWrap w:val="0"/>
            <w:vAlign w:val="center"/>
          </w:tcPr>
          <w:p w14:paraId="303EEE51">
            <w:pPr>
              <w:spacing w:line="400" w:lineRule="exact"/>
              <w:jc w:val="center"/>
              <w:rPr>
                <w:rFonts w:ascii="宋体" w:hAnsi="宋体"/>
                <w:color w:val="000000"/>
                <w:sz w:val="24"/>
              </w:rPr>
            </w:pPr>
          </w:p>
        </w:tc>
      </w:tr>
      <w:tr w14:paraId="59E9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09" w:type="pct"/>
            <w:noWrap w:val="0"/>
            <w:vAlign w:val="center"/>
          </w:tcPr>
          <w:p w14:paraId="32511B08">
            <w:pPr>
              <w:spacing w:line="400" w:lineRule="exact"/>
              <w:jc w:val="center"/>
              <w:rPr>
                <w:rFonts w:ascii="宋体" w:hAnsi="宋体"/>
                <w:color w:val="000000"/>
                <w:sz w:val="24"/>
              </w:rPr>
            </w:pPr>
          </w:p>
        </w:tc>
        <w:tc>
          <w:tcPr>
            <w:tcW w:w="912" w:type="pct"/>
            <w:gridSpan w:val="2"/>
            <w:noWrap w:val="0"/>
            <w:vAlign w:val="center"/>
          </w:tcPr>
          <w:p w14:paraId="6B4D0194">
            <w:pPr>
              <w:spacing w:line="240" w:lineRule="exact"/>
              <w:jc w:val="center"/>
              <w:rPr>
                <w:rFonts w:hint="eastAsia" w:ascii="宋体" w:hAnsi="宋体" w:eastAsia="宋体" w:cs="Times New Roman"/>
                <w:i/>
                <w:iCs/>
                <w:color w:val="000000"/>
                <w:sz w:val="24"/>
                <w:lang w:val="en-US" w:eastAsia="zh-CN"/>
              </w:rPr>
            </w:pPr>
          </w:p>
        </w:tc>
        <w:tc>
          <w:tcPr>
            <w:tcW w:w="1048" w:type="pct"/>
            <w:noWrap w:val="0"/>
            <w:vAlign w:val="center"/>
          </w:tcPr>
          <w:p w14:paraId="0C53A7D4">
            <w:pPr>
              <w:spacing w:line="400" w:lineRule="exact"/>
              <w:jc w:val="center"/>
              <w:rPr>
                <w:rFonts w:ascii="宋体" w:hAnsi="宋体"/>
                <w:color w:val="000000"/>
                <w:sz w:val="24"/>
              </w:rPr>
            </w:pPr>
          </w:p>
        </w:tc>
        <w:tc>
          <w:tcPr>
            <w:tcW w:w="440" w:type="pct"/>
            <w:noWrap w:val="0"/>
            <w:vAlign w:val="center"/>
          </w:tcPr>
          <w:p w14:paraId="03BC5F82">
            <w:pPr>
              <w:spacing w:line="400" w:lineRule="exact"/>
              <w:jc w:val="center"/>
              <w:rPr>
                <w:rFonts w:ascii="宋体" w:hAnsi="宋体"/>
                <w:color w:val="000000"/>
                <w:sz w:val="24"/>
              </w:rPr>
            </w:pPr>
          </w:p>
        </w:tc>
        <w:tc>
          <w:tcPr>
            <w:tcW w:w="396" w:type="pct"/>
            <w:noWrap w:val="0"/>
            <w:vAlign w:val="center"/>
          </w:tcPr>
          <w:p w14:paraId="61E812EB">
            <w:pPr>
              <w:spacing w:line="400" w:lineRule="exact"/>
              <w:jc w:val="center"/>
              <w:rPr>
                <w:rFonts w:ascii="宋体" w:hAnsi="宋体"/>
                <w:color w:val="000000"/>
                <w:sz w:val="24"/>
              </w:rPr>
            </w:pPr>
          </w:p>
        </w:tc>
        <w:tc>
          <w:tcPr>
            <w:tcW w:w="479" w:type="pct"/>
            <w:noWrap w:val="0"/>
            <w:vAlign w:val="center"/>
          </w:tcPr>
          <w:p w14:paraId="5D860742">
            <w:pPr>
              <w:spacing w:line="400" w:lineRule="exact"/>
              <w:jc w:val="center"/>
              <w:rPr>
                <w:rFonts w:ascii="宋体" w:hAnsi="宋体"/>
                <w:color w:val="000000"/>
                <w:sz w:val="24"/>
              </w:rPr>
            </w:pPr>
          </w:p>
        </w:tc>
        <w:tc>
          <w:tcPr>
            <w:tcW w:w="507" w:type="pct"/>
            <w:noWrap w:val="0"/>
            <w:vAlign w:val="center"/>
          </w:tcPr>
          <w:p w14:paraId="19D20D05">
            <w:pPr>
              <w:spacing w:line="400" w:lineRule="exact"/>
              <w:jc w:val="center"/>
              <w:rPr>
                <w:rFonts w:ascii="宋体" w:hAnsi="宋体"/>
                <w:color w:val="000000"/>
                <w:sz w:val="24"/>
              </w:rPr>
            </w:pPr>
          </w:p>
        </w:tc>
        <w:tc>
          <w:tcPr>
            <w:tcW w:w="705" w:type="pct"/>
            <w:noWrap w:val="0"/>
            <w:vAlign w:val="center"/>
          </w:tcPr>
          <w:p w14:paraId="022D5CC4">
            <w:pPr>
              <w:spacing w:line="400" w:lineRule="exact"/>
              <w:jc w:val="center"/>
              <w:rPr>
                <w:rFonts w:ascii="宋体" w:hAnsi="宋体"/>
                <w:color w:val="000000"/>
                <w:sz w:val="24"/>
              </w:rPr>
            </w:pPr>
          </w:p>
        </w:tc>
      </w:tr>
      <w:tr w14:paraId="1A60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9" w:type="pct"/>
            <w:noWrap w:val="0"/>
            <w:vAlign w:val="center"/>
          </w:tcPr>
          <w:p w14:paraId="5FA48BE6">
            <w:pPr>
              <w:spacing w:line="400" w:lineRule="exact"/>
              <w:jc w:val="center"/>
              <w:rPr>
                <w:rFonts w:ascii="宋体" w:hAnsi="宋体"/>
                <w:color w:val="000000"/>
                <w:sz w:val="24"/>
              </w:rPr>
            </w:pPr>
          </w:p>
        </w:tc>
        <w:tc>
          <w:tcPr>
            <w:tcW w:w="912" w:type="pct"/>
            <w:gridSpan w:val="2"/>
            <w:noWrap w:val="0"/>
            <w:vAlign w:val="center"/>
          </w:tcPr>
          <w:p w14:paraId="2B5B6C70">
            <w:pPr>
              <w:spacing w:line="240" w:lineRule="exact"/>
              <w:jc w:val="center"/>
              <w:rPr>
                <w:rFonts w:hint="eastAsia" w:ascii="宋体" w:hAnsi="宋体" w:eastAsia="宋体" w:cs="Times New Roman"/>
                <w:i/>
                <w:iCs/>
                <w:color w:val="000000"/>
                <w:sz w:val="24"/>
                <w:lang w:val="en-US" w:eastAsia="zh-CN"/>
              </w:rPr>
            </w:pPr>
            <w:r>
              <w:rPr>
                <w:rFonts w:hint="eastAsia" w:ascii="宋体" w:hAnsi="宋体" w:eastAsia="宋体" w:cs="Times New Roman"/>
                <w:i/>
                <w:iCs/>
                <w:color w:val="000000"/>
                <w:sz w:val="24"/>
                <w:lang w:val="en-US" w:eastAsia="zh-CN"/>
              </w:rPr>
              <w:t>...</w:t>
            </w:r>
          </w:p>
        </w:tc>
        <w:tc>
          <w:tcPr>
            <w:tcW w:w="1048" w:type="pct"/>
            <w:noWrap w:val="0"/>
            <w:vAlign w:val="center"/>
          </w:tcPr>
          <w:p w14:paraId="6E3B3C31">
            <w:pPr>
              <w:spacing w:line="400" w:lineRule="exact"/>
              <w:jc w:val="center"/>
              <w:rPr>
                <w:rFonts w:ascii="宋体" w:hAnsi="宋体"/>
                <w:color w:val="000000"/>
                <w:sz w:val="24"/>
              </w:rPr>
            </w:pPr>
          </w:p>
        </w:tc>
        <w:tc>
          <w:tcPr>
            <w:tcW w:w="440" w:type="pct"/>
            <w:noWrap w:val="0"/>
            <w:vAlign w:val="center"/>
          </w:tcPr>
          <w:p w14:paraId="07CADA56">
            <w:pPr>
              <w:spacing w:line="400" w:lineRule="exact"/>
              <w:jc w:val="center"/>
              <w:rPr>
                <w:rFonts w:ascii="宋体" w:hAnsi="宋体"/>
                <w:color w:val="000000"/>
                <w:sz w:val="24"/>
              </w:rPr>
            </w:pPr>
          </w:p>
        </w:tc>
        <w:tc>
          <w:tcPr>
            <w:tcW w:w="396" w:type="pct"/>
            <w:noWrap w:val="0"/>
            <w:vAlign w:val="center"/>
          </w:tcPr>
          <w:p w14:paraId="00EDC958">
            <w:pPr>
              <w:spacing w:line="400" w:lineRule="exact"/>
              <w:jc w:val="center"/>
              <w:rPr>
                <w:rFonts w:ascii="宋体" w:hAnsi="宋体"/>
                <w:color w:val="000000"/>
                <w:sz w:val="24"/>
              </w:rPr>
            </w:pPr>
          </w:p>
        </w:tc>
        <w:tc>
          <w:tcPr>
            <w:tcW w:w="479" w:type="pct"/>
            <w:noWrap w:val="0"/>
            <w:vAlign w:val="center"/>
          </w:tcPr>
          <w:p w14:paraId="639FFD99">
            <w:pPr>
              <w:spacing w:line="400" w:lineRule="exact"/>
              <w:jc w:val="center"/>
              <w:rPr>
                <w:rFonts w:ascii="宋体" w:hAnsi="宋体"/>
                <w:color w:val="000000"/>
                <w:sz w:val="24"/>
              </w:rPr>
            </w:pPr>
          </w:p>
        </w:tc>
        <w:tc>
          <w:tcPr>
            <w:tcW w:w="507" w:type="pct"/>
            <w:noWrap w:val="0"/>
            <w:vAlign w:val="center"/>
          </w:tcPr>
          <w:p w14:paraId="6317B519">
            <w:pPr>
              <w:spacing w:line="400" w:lineRule="exact"/>
              <w:jc w:val="center"/>
              <w:rPr>
                <w:rFonts w:ascii="宋体" w:hAnsi="宋体"/>
                <w:color w:val="000000"/>
                <w:sz w:val="24"/>
              </w:rPr>
            </w:pPr>
          </w:p>
        </w:tc>
        <w:tc>
          <w:tcPr>
            <w:tcW w:w="705" w:type="pct"/>
            <w:noWrap w:val="0"/>
            <w:vAlign w:val="center"/>
          </w:tcPr>
          <w:p w14:paraId="2C14F857">
            <w:pPr>
              <w:spacing w:line="400" w:lineRule="exact"/>
              <w:jc w:val="center"/>
              <w:rPr>
                <w:rFonts w:ascii="宋体" w:hAnsi="宋体"/>
                <w:color w:val="000000"/>
                <w:sz w:val="24"/>
              </w:rPr>
            </w:pPr>
          </w:p>
        </w:tc>
      </w:tr>
      <w:tr w14:paraId="1060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8" w:type="pct"/>
            <w:gridSpan w:val="2"/>
            <w:noWrap w:val="0"/>
            <w:vAlign w:val="center"/>
          </w:tcPr>
          <w:p w14:paraId="2BAC3758">
            <w:pPr>
              <w:spacing w:line="400" w:lineRule="exact"/>
              <w:jc w:val="center"/>
              <w:rPr>
                <w:rFonts w:ascii="宋体" w:hAnsi="宋体"/>
                <w:color w:val="000000"/>
                <w:sz w:val="24"/>
              </w:rPr>
            </w:pPr>
            <w:r>
              <w:rPr>
                <w:rFonts w:hint="eastAsia" w:ascii="宋体" w:hAnsi="宋体"/>
                <w:color w:val="000000"/>
                <w:sz w:val="24"/>
                <w:lang w:val="en-US" w:eastAsia="zh-CN"/>
              </w:rPr>
              <w:t>投标总价</w:t>
            </w:r>
          </w:p>
        </w:tc>
        <w:tc>
          <w:tcPr>
            <w:tcW w:w="4051" w:type="pct"/>
            <w:gridSpan w:val="7"/>
            <w:shd w:val="clear" w:color="auto" w:fill="auto"/>
            <w:noWrap w:val="0"/>
            <w:vAlign w:val="top"/>
          </w:tcPr>
          <w:p w14:paraId="6E6F1B6D">
            <w:pPr>
              <w:spacing w:line="500" w:lineRule="exact"/>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 xml:space="preserve">小写： </w:t>
            </w:r>
            <w:r>
              <w:rPr>
                <w:rFonts w:hint="eastAsia" w:ascii="宋体" w:hAnsi="宋体"/>
                <w:b/>
                <w:color w:val="000000"/>
                <w:sz w:val="24"/>
                <w:u w:val="single"/>
              </w:rPr>
              <w:t xml:space="preserve">     </w:t>
            </w:r>
            <w:r>
              <w:rPr>
                <w:rFonts w:hint="eastAsia" w:ascii="宋体" w:hAnsi="宋体"/>
                <w:b/>
                <w:color w:val="000000"/>
                <w:sz w:val="24"/>
                <w:u w:val="single"/>
                <w:lang w:val="en-US" w:eastAsia="zh-CN"/>
              </w:rPr>
              <w:t xml:space="preserve">      </w:t>
            </w:r>
            <w:r>
              <w:rPr>
                <w:rFonts w:hint="eastAsia" w:ascii="宋体" w:hAnsi="宋体"/>
                <w:b/>
                <w:color w:val="000000"/>
                <w:sz w:val="24"/>
                <w:u w:val="single"/>
              </w:rPr>
              <w:t xml:space="preserve">         </w:t>
            </w:r>
            <w:r>
              <w:rPr>
                <w:rFonts w:hint="eastAsia" w:ascii="宋体" w:hAnsi="宋体"/>
                <w:b/>
                <w:color w:val="000000"/>
                <w:sz w:val="24"/>
              </w:rPr>
              <w:t xml:space="preserve">   </w:t>
            </w:r>
          </w:p>
        </w:tc>
      </w:tr>
    </w:tbl>
    <w:p w14:paraId="42D98846">
      <w:pPr>
        <w:rPr>
          <w:rFonts w:hint="eastAsia" w:ascii="宋体" w:hAnsi="宋体" w:eastAsia="宋体" w:cs="宋体"/>
          <w:b/>
          <w:bCs/>
          <w:kern w:val="0"/>
          <w:sz w:val="24"/>
          <w:szCs w:val="24"/>
          <w:vertAlign w:val="baseline"/>
          <w:lang w:eastAsia="zh-CN"/>
        </w:rPr>
      </w:pPr>
    </w:p>
    <w:p w14:paraId="08B6AB4C">
      <w:pPr>
        <w:spacing w:line="360" w:lineRule="auto"/>
        <w:rPr>
          <w:rFonts w:ascii="宋体" w:hAnsi="宋体" w:cs="宋体"/>
          <w:color w:val="000000"/>
          <w:kern w:val="10"/>
          <w:sz w:val="24"/>
        </w:rPr>
      </w:pPr>
      <w:r>
        <w:rPr>
          <w:rFonts w:hint="eastAsia" w:ascii="宋体" w:hAnsi="宋体" w:cs="宋体"/>
          <w:color w:val="000000"/>
          <w:kern w:val="10"/>
          <w:sz w:val="24"/>
        </w:rPr>
        <w:t>注：1、</w:t>
      </w:r>
      <w:r>
        <w:rPr>
          <w:rFonts w:hint="eastAsia" w:ascii="宋体" w:hAnsi="宋体" w:cs="宋体"/>
          <w:color w:val="000000"/>
          <w:kern w:val="10"/>
          <w:sz w:val="24"/>
          <w:lang w:eastAsia="zh-CN"/>
        </w:rPr>
        <w:t>供应商</w:t>
      </w:r>
      <w:r>
        <w:rPr>
          <w:rFonts w:hint="eastAsia" w:ascii="宋体" w:hAnsi="宋体" w:cs="宋体"/>
          <w:color w:val="000000"/>
          <w:kern w:val="10"/>
          <w:sz w:val="24"/>
        </w:rPr>
        <w:t>所报单价应为包含采购、安装、调试、税金、验收、质保期服务、及其他伴随服务的全费用单价；</w:t>
      </w:r>
    </w:p>
    <w:p w14:paraId="0FF3CFC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2、以上表中各项可进一步细分，栏数不够可自加或附表；</w:t>
      </w:r>
    </w:p>
    <w:p w14:paraId="2981D12A">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w:t>
      </w:r>
      <w:r>
        <w:rPr>
          <w:rFonts w:hint="eastAsia" w:ascii="宋体" w:hAnsi="宋体" w:cs="宋体"/>
          <w:color w:val="000000"/>
          <w:kern w:val="10"/>
          <w:sz w:val="24"/>
          <w:lang w:eastAsia="zh-CN"/>
        </w:rPr>
        <w:t>供应商</w:t>
      </w:r>
      <w:r>
        <w:rPr>
          <w:rFonts w:hint="eastAsia" w:ascii="宋体" w:hAnsi="宋体" w:cs="宋体"/>
          <w:color w:val="000000"/>
          <w:kern w:val="10"/>
          <w:sz w:val="24"/>
        </w:rPr>
        <w:t>应按磋商文件中技术参数一览表中所列填写本表；</w:t>
      </w:r>
    </w:p>
    <w:p w14:paraId="45F5DE99">
      <w:pPr>
        <w:spacing w:line="360" w:lineRule="auto"/>
        <w:rPr>
          <w:rFonts w:ascii="宋体" w:hAnsi="宋体" w:cs="宋体"/>
          <w:b/>
          <w:color w:val="000000"/>
          <w:kern w:val="10"/>
          <w:sz w:val="24"/>
        </w:rPr>
      </w:pPr>
    </w:p>
    <w:p w14:paraId="16945DC0">
      <w:pPr>
        <w:numPr>
          <w:ilvl w:val="0"/>
          <w:numId w:val="0"/>
        </w:numPr>
        <w:spacing w:line="360" w:lineRule="auto"/>
        <w:rPr>
          <w:rFonts w:hint="eastAsia" w:ascii="宋体" w:hAnsi="宋体" w:eastAsia="宋体" w:cs="宋体"/>
          <w:b w:val="0"/>
          <w:bCs w:val="0"/>
          <w:kern w:val="0"/>
          <w:sz w:val="24"/>
          <w:szCs w:val="24"/>
          <w:lang w:val="en-US" w:eastAsia="zh-CN"/>
        </w:rPr>
      </w:pPr>
    </w:p>
    <w:p w14:paraId="4F31AE98">
      <w:pPr>
        <w:widowControl/>
        <w:adjustRightInd w:val="0"/>
        <w:snapToGrid w:val="0"/>
        <w:spacing w:line="360" w:lineRule="auto"/>
        <w:ind w:firstLine="3840" w:firstLineChars="1600"/>
        <w:jc w:val="left"/>
        <w:rPr>
          <w:rFonts w:ascii="宋体" w:hAnsi="宋体" w:eastAsia="宋体" w:cs="宋体"/>
          <w:kern w:val="0"/>
          <w:sz w:val="24"/>
          <w:szCs w:val="20"/>
          <w:u w:val="single"/>
        </w:rPr>
      </w:pP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439929D3">
      <w:pPr>
        <w:widowControl/>
        <w:adjustRightInd w:val="0"/>
        <w:snapToGrid w:val="0"/>
        <w:spacing w:line="360" w:lineRule="auto"/>
        <w:ind w:firstLine="3840" w:firstLineChars="1600"/>
        <w:jc w:val="left"/>
        <w:rPr>
          <w:rFonts w:ascii="宋体" w:hAnsi="宋体" w:eastAsia="宋体" w:cs="宋体"/>
          <w:kern w:val="0"/>
          <w:sz w:val="24"/>
          <w:szCs w:val="20"/>
          <w:u w:val="single"/>
        </w:rPr>
      </w:pPr>
      <w:r>
        <w:rPr>
          <w:rFonts w:hint="eastAsia" w:ascii="宋体" w:hAnsi="宋体" w:eastAsia="宋体" w:cs="宋体"/>
          <w:kern w:val="0"/>
          <w:sz w:val="24"/>
          <w:szCs w:val="20"/>
        </w:rPr>
        <w:t>法定代表人（</w:t>
      </w:r>
      <w:r>
        <w:rPr>
          <w:rFonts w:hint="eastAsia" w:ascii="宋体" w:hAnsi="宋体" w:cs="宋体"/>
          <w:bCs/>
          <w:sz w:val="24"/>
        </w:rPr>
        <w:t>签章</w:t>
      </w:r>
      <w:r>
        <w:rPr>
          <w:rFonts w:hint="eastAsia" w:ascii="宋体" w:hAnsi="宋体" w:eastAsia="宋体" w:cs="宋体"/>
          <w:kern w:val="0"/>
          <w:sz w:val="24"/>
          <w:szCs w:val="20"/>
        </w:rPr>
        <w:t>）：</w:t>
      </w:r>
      <w:r>
        <w:rPr>
          <w:rFonts w:hint="eastAsia" w:ascii="宋体" w:hAnsi="宋体" w:eastAsia="宋体" w:cs="宋体"/>
          <w:kern w:val="0"/>
          <w:sz w:val="24"/>
          <w:szCs w:val="20"/>
          <w:u w:val="single"/>
        </w:rPr>
        <w:t xml:space="preserve">                      </w:t>
      </w:r>
    </w:p>
    <w:p w14:paraId="7CAF58EB">
      <w:pPr>
        <w:widowControl/>
        <w:adjustRightInd w:val="0"/>
        <w:snapToGrid w:val="0"/>
        <w:spacing w:line="360" w:lineRule="auto"/>
        <w:ind w:firstLine="3840" w:firstLineChars="1600"/>
        <w:jc w:val="left"/>
        <w:rPr>
          <w:rFonts w:ascii="宋体" w:hAnsi="宋体" w:eastAsia="宋体" w:cs="宋体"/>
          <w:kern w:val="0"/>
          <w:sz w:val="24"/>
          <w:szCs w:val="20"/>
        </w:rPr>
      </w:pPr>
      <w:r>
        <w:rPr>
          <w:rFonts w:hint="eastAsia" w:ascii="宋体" w:hAnsi="宋体" w:eastAsia="宋体" w:cs="宋体"/>
          <w:kern w:val="0"/>
          <w:sz w:val="24"/>
          <w:szCs w:val="20"/>
        </w:rPr>
        <w:t>日期：</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年</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日</w:t>
      </w:r>
    </w:p>
    <w:p w14:paraId="18845F7C">
      <w:pPr>
        <w:numPr>
          <w:ilvl w:val="0"/>
          <w:numId w:val="0"/>
        </w:numPr>
        <w:spacing w:line="360" w:lineRule="auto"/>
        <w:ind w:leftChars="0"/>
        <w:jc w:val="center"/>
        <w:outlineLvl w:val="2"/>
        <w:rPr>
          <w:rFonts w:hint="eastAsia" w:ascii="宋体" w:hAnsi="宋体" w:eastAsia="宋体" w:cs="宋体"/>
          <w:b/>
          <w:bCs/>
          <w:kern w:val="0"/>
          <w:sz w:val="28"/>
          <w:szCs w:val="28"/>
          <w:lang w:eastAsia="zh-CN"/>
        </w:rPr>
      </w:pPr>
      <w:r>
        <w:rPr>
          <w:rFonts w:hint="eastAsia" w:ascii="宋体" w:hAnsi="宋体" w:eastAsia="宋体" w:cs="Times New Roman"/>
          <w:b/>
          <w:bCs/>
          <w:kern w:val="44"/>
          <w:sz w:val="28"/>
          <w:szCs w:val="32"/>
        </w:rPr>
        <w:br w:type="page"/>
      </w:r>
      <w:bookmarkStart w:id="402" w:name="_Toc10504"/>
      <w:bookmarkStart w:id="403" w:name="_Toc26346"/>
      <w:bookmarkStart w:id="404" w:name="_Toc14458"/>
      <w:bookmarkStart w:id="405" w:name="_Toc27150"/>
      <w:r>
        <w:rPr>
          <w:rFonts w:hint="eastAsia" w:ascii="宋体" w:hAnsi="宋体" w:eastAsia="宋体" w:cs="宋体"/>
          <w:b/>
          <w:bCs/>
          <w:kern w:val="0"/>
          <w:sz w:val="28"/>
          <w:szCs w:val="28"/>
          <w:lang w:eastAsia="zh-CN"/>
        </w:rPr>
        <w:t>二、</w:t>
      </w:r>
      <w:bookmarkEnd w:id="402"/>
      <w:bookmarkEnd w:id="403"/>
      <w:bookmarkEnd w:id="404"/>
      <w:bookmarkEnd w:id="405"/>
      <w:r>
        <w:rPr>
          <w:rFonts w:hint="eastAsia" w:ascii="宋体" w:hAnsi="宋体" w:eastAsia="宋体" w:cs="宋体"/>
          <w:b/>
          <w:bCs/>
          <w:kern w:val="0"/>
          <w:sz w:val="28"/>
          <w:szCs w:val="28"/>
          <w:lang w:eastAsia="zh-CN"/>
        </w:rPr>
        <w:t>技术参数偏离表</w:t>
      </w:r>
    </w:p>
    <w:tbl>
      <w:tblPr>
        <w:tblStyle w:val="20"/>
        <w:tblW w:w="7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75"/>
        <w:gridCol w:w="2287"/>
        <w:gridCol w:w="2238"/>
        <w:gridCol w:w="1237"/>
      </w:tblGrid>
      <w:tr w14:paraId="3E4A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CC71972">
            <w:pPr>
              <w:spacing w:line="480" w:lineRule="exact"/>
              <w:jc w:val="center"/>
              <w:rPr>
                <w:rFonts w:ascii="宋体" w:hAnsi="宋体"/>
                <w:bCs/>
                <w:color w:val="000000"/>
                <w:sz w:val="24"/>
                <w:szCs w:val="21"/>
              </w:rPr>
            </w:pPr>
            <w:r>
              <w:rPr>
                <w:rFonts w:hint="eastAsia" w:ascii="宋体" w:hAnsi="宋体"/>
                <w:bCs/>
                <w:color w:val="000000"/>
                <w:sz w:val="24"/>
                <w:szCs w:val="21"/>
              </w:rPr>
              <w:t>序号</w:t>
            </w:r>
          </w:p>
        </w:tc>
        <w:tc>
          <w:tcPr>
            <w:tcW w:w="1275" w:type="dxa"/>
            <w:noWrap w:val="0"/>
            <w:vAlign w:val="top"/>
          </w:tcPr>
          <w:p w14:paraId="7C672A10">
            <w:pPr>
              <w:spacing w:line="480" w:lineRule="exact"/>
              <w:jc w:val="center"/>
              <w:rPr>
                <w:rFonts w:hint="default" w:ascii="宋体" w:hAnsi="宋体" w:eastAsia="宋体"/>
                <w:bCs/>
                <w:color w:val="000000"/>
                <w:sz w:val="24"/>
                <w:szCs w:val="21"/>
                <w:lang w:val="en-US" w:eastAsia="zh-CN"/>
              </w:rPr>
            </w:pPr>
            <w:r>
              <w:rPr>
                <w:rFonts w:hint="eastAsia" w:ascii="宋体" w:hAnsi="宋体"/>
                <w:bCs/>
                <w:color w:val="000000"/>
                <w:sz w:val="24"/>
                <w:szCs w:val="21"/>
                <w:lang w:val="en-US" w:eastAsia="zh-CN"/>
              </w:rPr>
              <w:t>名称</w:t>
            </w:r>
          </w:p>
        </w:tc>
        <w:tc>
          <w:tcPr>
            <w:tcW w:w="2287" w:type="dxa"/>
            <w:noWrap w:val="0"/>
            <w:vAlign w:val="top"/>
          </w:tcPr>
          <w:p w14:paraId="539EA24F">
            <w:pPr>
              <w:spacing w:line="480" w:lineRule="exact"/>
              <w:jc w:val="center"/>
              <w:rPr>
                <w:rFonts w:ascii="宋体" w:hAnsi="宋体"/>
                <w:bCs/>
                <w:color w:val="000000"/>
                <w:sz w:val="24"/>
                <w:szCs w:val="21"/>
              </w:rPr>
            </w:pPr>
            <w:r>
              <w:rPr>
                <w:rFonts w:hint="eastAsia" w:ascii="宋体" w:hAnsi="宋体"/>
                <w:bCs/>
                <w:color w:val="000000"/>
                <w:sz w:val="24"/>
                <w:szCs w:val="21"/>
              </w:rPr>
              <w:t>竞争性磋商文件中技术参数要求</w:t>
            </w:r>
          </w:p>
        </w:tc>
        <w:tc>
          <w:tcPr>
            <w:tcW w:w="2238" w:type="dxa"/>
            <w:noWrap w:val="0"/>
            <w:vAlign w:val="top"/>
          </w:tcPr>
          <w:p w14:paraId="2A848FA9">
            <w:pPr>
              <w:spacing w:line="480" w:lineRule="exact"/>
              <w:jc w:val="center"/>
              <w:rPr>
                <w:rFonts w:hint="eastAsia" w:ascii="宋体" w:hAnsi="宋体"/>
                <w:bCs/>
                <w:color w:val="000000"/>
                <w:sz w:val="24"/>
                <w:szCs w:val="21"/>
              </w:rPr>
            </w:pPr>
            <w:r>
              <w:rPr>
                <w:rFonts w:hint="eastAsia" w:ascii="宋体" w:hAnsi="宋体"/>
                <w:bCs/>
                <w:color w:val="000000"/>
                <w:sz w:val="24"/>
                <w:szCs w:val="21"/>
              </w:rPr>
              <w:t>响应文件中产品</w:t>
            </w:r>
          </w:p>
          <w:p w14:paraId="11376AAD">
            <w:pPr>
              <w:spacing w:line="480" w:lineRule="exact"/>
              <w:jc w:val="center"/>
              <w:rPr>
                <w:rFonts w:ascii="宋体" w:hAnsi="宋体"/>
                <w:bCs/>
                <w:color w:val="000000"/>
                <w:sz w:val="24"/>
                <w:szCs w:val="21"/>
              </w:rPr>
            </w:pPr>
            <w:r>
              <w:rPr>
                <w:rFonts w:hint="eastAsia" w:ascii="宋体" w:hAnsi="宋体"/>
                <w:bCs/>
                <w:color w:val="000000"/>
                <w:sz w:val="24"/>
                <w:szCs w:val="21"/>
              </w:rPr>
              <w:t>技术参数</w:t>
            </w:r>
          </w:p>
        </w:tc>
        <w:tc>
          <w:tcPr>
            <w:tcW w:w="1237" w:type="dxa"/>
            <w:noWrap w:val="0"/>
            <w:vAlign w:val="top"/>
          </w:tcPr>
          <w:p w14:paraId="2DFD767C">
            <w:pPr>
              <w:spacing w:line="480" w:lineRule="exact"/>
              <w:jc w:val="center"/>
              <w:rPr>
                <w:rFonts w:ascii="宋体" w:hAnsi="宋体"/>
                <w:bCs/>
                <w:color w:val="000000"/>
                <w:sz w:val="24"/>
                <w:szCs w:val="21"/>
              </w:rPr>
            </w:pPr>
            <w:r>
              <w:rPr>
                <w:rFonts w:hint="eastAsia" w:ascii="宋体" w:hAnsi="宋体"/>
                <w:bCs/>
                <w:color w:val="000000"/>
                <w:sz w:val="24"/>
                <w:szCs w:val="21"/>
              </w:rPr>
              <w:t>偏离说明</w:t>
            </w:r>
          </w:p>
        </w:tc>
      </w:tr>
      <w:tr w14:paraId="58F8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DF00864">
            <w:pPr>
              <w:spacing w:line="480" w:lineRule="exact"/>
              <w:rPr>
                <w:rFonts w:ascii="宋体" w:hAnsi="宋体"/>
                <w:bCs/>
                <w:color w:val="000000"/>
                <w:sz w:val="22"/>
                <w:szCs w:val="21"/>
              </w:rPr>
            </w:pPr>
          </w:p>
        </w:tc>
        <w:tc>
          <w:tcPr>
            <w:tcW w:w="1275" w:type="dxa"/>
            <w:noWrap w:val="0"/>
            <w:vAlign w:val="top"/>
          </w:tcPr>
          <w:p w14:paraId="42EAF5B1">
            <w:pPr>
              <w:spacing w:line="480" w:lineRule="exact"/>
              <w:rPr>
                <w:rFonts w:ascii="宋体" w:hAnsi="宋体"/>
                <w:bCs/>
                <w:color w:val="000000"/>
                <w:sz w:val="22"/>
                <w:szCs w:val="21"/>
              </w:rPr>
            </w:pPr>
          </w:p>
        </w:tc>
        <w:tc>
          <w:tcPr>
            <w:tcW w:w="2287" w:type="dxa"/>
            <w:noWrap w:val="0"/>
            <w:vAlign w:val="top"/>
          </w:tcPr>
          <w:p w14:paraId="34E82DF1">
            <w:pPr>
              <w:spacing w:line="480" w:lineRule="exact"/>
              <w:rPr>
                <w:rFonts w:ascii="宋体" w:hAnsi="宋体"/>
                <w:bCs/>
                <w:color w:val="000000"/>
                <w:sz w:val="22"/>
                <w:szCs w:val="21"/>
              </w:rPr>
            </w:pPr>
          </w:p>
        </w:tc>
        <w:tc>
          <w:tcPr>
            <w:tcW w:w="2238" w:type="dxa"/>
            <w:noWrap w:val="0"/>
            <w:vAlign w:val="top"/>
          </w:tcPr>
          <w:p w14:paraId="66412A2E">
            <w:pPr>
              <w:spacing w:line="480" w:lineRule="exact"/>
              <w:rPr>
                <w:rFonts w:ascii="宋体" w:hAnsi="宋体"/>
                <w:bCs/>
                <w:color w:val="000000"/>
                <w:sz w:val="22"/>
                <w:szCs w:val="21"/>
              </w:rPr>
            </w:pPr>
          </w:p>
        </w:tc>
        <w:tc>
          <w:tcPr>
            <w:tcW w:w="1237" w:type="dxa"/>
            <w:noWrap w:val="0"/>
            <w:vAlign w:val="top"/>
          </w:tcPr>
          <w:p w14:paraId="5E629ED3">
            <w:pPr>
              <w:spacing w:line="480" w:lineRule="exact"/>
              <w:rPr>
                <w:rFonts w:ascii="宋体" w:hAnsi="宋体"/>
                <w:bCs/>
                <w:color w:val="000000"/>
                <w:sz w:val="22"/>
                <w:szCs w:val="21"/>
              </w:rPr>
            </w:pPr>
          </w:p>
        </w:tc>
      </w:tr>
      <w:tr w14:paraId="5FEA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E3B928C">
            <w:pPr>
              <w:spacing w:line="480" w:lineRule="exact"/>
              <w:rPr>
                <w:rFonts w:ascii="宋体" w:hAnsi="宋体"/>
                <w:bCs/>
                <w:color w:val="000000"/>
                <w:sz w:val="22"/>
                <w:szCs w:val="21"/>
              </w:rPr>
            </w:pPr>
          </w:p>
        </w:tc>
        <w:tc>
          <w:tcPr>
            <w:tcW w:w="1275" w:type="dxa"/>
            <w:noWrap w:val="0"/>
            <w:vAlign w:val="top"/>
          </w:tcPr>
          <w:p w14:paraId="7C42A391">
            <w:pPr>
              <w:spacing w:line="480" w:lineRule="exact"/>
              <w:rPr>
                <w:rFonts w:ascii="宋体" w:hAnsi="宋体"/>
                <w:bCs/>
                <w:color w:val="000000"/>
                <w:sz w:val="22"/>
                <w:szCs w:val="21"/>
              </w:rPr>
            </w:pPr>
          </w:p>
        </w:tc>
        <w:tc>
          <w:tcPr>
            <w:tcW w:w="2287" w:type="dxa"/>
            <w:noWrap w:val="0"/>
            <w:vAlign w:val="top"/>
          </w:tcPr>
          <w:p w14:paraId="6264ABE9">
            <w:pPr>
              <w:spacing w:line="480" w:lineRule="exact"/>
              <w:rPr>
                <w:rFonts w:ascii="宋体" w:hAnsi="宋体"/>
                <w:bCs/>
                <w:color w:val="000000"/>
                <w:sz w:val="22"/>
                <w:szCs w:val="21"/>
              </w:rPr>
            </w:pPr>
          </w:p>
        </w:tc>
        <w:tc>
          <w:tcPr>
            <w:tcW w:w="2238" w:type="dxa"/>
            <w:noWrap w:val="0"/>
            <w:vAlign w:val="top"/>
          </w:tcPr>
          <w:p w14:paraId="258351D3">
            <w:pPr>
              <w:spacing w:line="480" w:lineRule="exact"/>
              <w:rPr>
                <w:rFonts w:ascii="宋体" w:hAnsi="宋体"/>
                <w:bCs/>
                <w:color w:val="000000"/>
                <w:sz w:val="22"/>
                <w:szCs w:val="21"/>
              </w:rPr>
            </w:pPr>
          </w:p>
        </w:tc>
        <w:tc>
          <w:tcPr>
            <w:tcW w:w="1237" w:type="dxa"/>
            <w:noWrap w:val="0"/>
            <w:vAlign w:val="top"/>
          </w:tcPr>
          <w:p w14:paraId="2246E9A2">
            <w:pPr>
              <w:spacing w:line="480" w:lineRule="exact"/>
              <w:rPr>
                <w:rFonts w:ascii="宋体" w:hAnsi="宋体"/>
                <w:bCs/>
                <w:color w:val="000000"/>
                <w:sz w:val="22"/>
                <w:szCs w:val="21"/>
              </w:rPr>
            </w:pPr>
          </w:p>
        </w:tc>
      </w:tr>
      <w:tr w14:paraId="3042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8098826">
            <w:pPr>
              <w:spacing w:line="480" w:lineRule="exact"/>
              <w:rPr>
                <w:rFonts w:ascii="宋体" w:hAnsi="宋体"/>
                <w:bCs/>
                <w:color w:val="000000"/>
                <w:sz w:val="22"/>
                <w:szCs w:val="21"/>
              </w:rPr>
            </w:pPr>
          </w:p>
        </w:tc>
        <w:tc>
          <w:tcPr>
            <w:tcW w:w="1275" w:type="dxa"/>
            <w:noWrap w:val="0"/>
            <w:vAlign w:val="top"/>
          </w:tcPr>
          <w:p w14:paraId="14CF444A">
            <w:pPr>
              <w:spacing w:line="480" w:lineRule="exact"/>
              <w:rPr>
                <w:rFonts w:ascii="宋体" w:hAnsi="宋体"/>
                <w:bCs/>
                <w:color w:val="000000"/>
                <w:sz w:val="22"/>
                <w:szCs w:val="21"/>
              </w:rPr>
            </w:pPr>
          </w:p>
        </w:tc>
        <w:tc>
          <w:tcPr>
            <w:tcW w:w="2287" w:type="dxa"/>
            <w:noWrap w:val="0"/>
            <w:vAlign w:val="top"/>
          </w:tcPr>
          <w:p w14:paraId="4F2F114E">
            <w:pPr>
              <w:spacing w:line="480" w:lineRule="exact"/>
              <w:rPr>
                <w:rFonts w:ascii="宋体" w:hAnsi="宋体"/>
                <w:bCs/>
                <w:color w:val="000000"/>
                <w:sz w:val="22"/>
                <w:szCs w:val="21"/>
              </w:rPr>
            </w:pPr>
          </w:p>
        </w:tc>
        <w:tc>
          <w:tcPr>
            <w:tcW w:w="2238" w:type="dxa"/>
            <w:noWrap w:val="0"/>
            <w:vAlign w:val="top"/>
          </w:tcPr>
          <w:p w14:paraId="16B6C0CA">
            <w:pPr>
              <w:spacing w:line="480" w:lineRule="exact"/>
              <w:rPr>
                <w:rFonts w:ascii="宋体" w:hAnsi="宋体"/>
                <w:bCs/>
                <w:color w:val="000000"/>
                <w:sz w:val="22"/>
                <w:szCs w:val="21"/>
              </w:rPr>
            </w:pPr>
          </w:p>
        </w:tc>
        <w:tc>
          <w:tcPr>
            <w:tcW w:w="1237" w:type="dxa"/>
            <w:noWrap w:val="0"/>
            <w:vAlign w:val="top"/>
          </w:tcPr>
          <w:p w14:paraId="357AB846">
            <w:pPr>
              <w:spacing w:line="480" w:lineRule="exact"/>
              <w:rPr>
                <w:rFonts w:ascii="宋体" w:hAnsi="宋体"/>
                <w:bCs/>
                <w:color w:val="000000"/>
                <w:sz w:val="22"/>
                <w:szCs w:val="21"/>
              </w:rPr>
            </w:pPr>
          </w:p>
        </w:tc>
      </w:tr>
      <w:tr w14:paraId="2532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75FA765">
            <w:pPr>
              <w:spacing w:line="480" w:lineRule="exact"/>
              <w:rPr>
                <w:rFonts w:ascii="宋体" w:hAnsi="宋体"/>
                <w:bCs/>
                <w:color w:val="000000"/>
                <w:sz w:val="22"/>
                <w:szCs w:val="21"/>
              </w:rPr>
            </w:pPr>
          </w:p>
        </w:tc>
        <w:tc>
          <w:tcPr>
            <w:tcW w:w="1275" w:type="dxa"/>
            <w:noWrap w:val="0"/>
            <w:vAlign w:val="top"/>
          </w:tcPr>
          <w:p w14:paraId="1ECB01CE">
            <w:pPr>
              <w:spacing w:line="480" w:lineRule="exact"/>
              <w:rPr>
                <w:rFonts w:ascii="宋体" w:hAnsi="宋体"/>
                <w:bCs/>
                <w:color w:val="000000"/>
                <w:sz w:val="22"/>
                <w:szCs w:val="21"/>
              </w:rPr>
            </w:pPr>
          </w:p>
        </w:tc>
        <w:tc>
          <w:tcPr>
            <w:tcW w:w="2287" w:type="dxa"/>
            <w:noWrap w:val="0"/>
            <w:vAlign w:val="top"/>
          </w:tcPr>
          <w:p w14:paraId="399C2069">
            <w:pPr>
              <w:spacing w:line="480" w:lineRule="exact"/>
              <w:rPr>
                <w:rFonts w:ascii="宋体" w:hAnsi="宋体"/>
                <w:bCs/>
                <w:color w:val="000000"/>
                <w:sz w:val="22"/>
                <w:szCs w:val="21"/>
              </w:rPr>
            </w:pPr>
          </w:p>
        </w:tc>
        <w:tc>
          <w:tcPr>
            <w:tcW w:w="2238" w:type="dxa"/>
            <w:noWrap w:val="0"/>
            <w:vAlign w:val="top"/>
          </w:tcPr>
          <w:p w14:paraId="109778F6">
            <w:pPr>
              <w:spacing w:line="480" w:lineRule="exact"/>
              <w:rPr>
                <w:rFonts w:ascii="宋体" w:hAnsi="宋体"/>
                <w:bCs/>
                <w:color w:val="000000"/>
                <w:sz w:val="22"/>
                <w:szCs w:val="21"/>
              </w:rPr>
            </w:pPr>
          </w:p>
        </w:tc>
        <w:tc>
          <w:tcPr>
            <w:tcW w:w="1237" w:type="dxa"/>
            <w:noWrap w:val="0"/>
            <w:vAlign w:val="top"/>
          </w:tcPr>
          <w:p w14:paraId="7BB78001">
            <w:pPr>
              <w:spacing w:line="480" w:lineRule="exact"/>
              <w:rPr>
                <w:rFonts w:ascii="宋体" w:hAnsi="宋体"/>
                <w:bCs/>
                <w:color w:val="000000"/>
                <w:sz w:val="22"/>
                <w:szCs w:val="21"/>
              </w:rPr>
            </w:pPr>
          </w:p>
        </w:tc>
      </w:tr>
      <w:tr w14:paraId="2414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0DDD6CE">
            <w:pPr>
              <w:spacing w:line="480" w:lineRule="exact"/>
              <w:rPr>
                <w:rFonts w:ascii="宋体" w:hAnsi="宋体"/>
                <w:bCs/>
                <w:color w:val="000000"/>
                <w:sz w:val="22"/>
                <w:szCs w:val="21"/>
              </w:rPr>
            </w:pPr>
          </w:p>
        </w:tc>
        <w:tc>
          <w:tcPr>
            <w:tcW w:w="1275" w:type="dxa"/>
            <w:noWrap w:val="0"/>
            <w:vAlign w:val="top"/>
          </w:tcPr>
          <w:p w14:paraId="4C572E4F">
            <w:pPr>
              <w:spacing w:line="480" w:lineRule="exact"/>
              <w:rPr>
                <w:rFonts w:ascii="宋体" w:hAnsi="宋体"/>
                <w:bCs/>
                <w:color w:val="000000"/>
                <w:sz w:val="22"/>
                <w:szCs w:val="21"/>
              </w:rPr>
            </w:pPr>
          </w:p>
        </w:tc>
        <w:tc>
          <w:tcPr>
            <w:tcW w:w="2287" w:type="dxa"/>
            <w:noWrap w:val="0"/>
            <w:vAlign w:val="top"/>
          </w:tcPr>
          <w:p w14:paraId="43BB08C8">
            <w:pPr>
              <w:spacing w:line="480" w:lineRule="exact"/>
              <w:rPr>
                <w:rFonts w:ascii="宋体" w:hAnsi="宋体"/>
                <w:bCs/>
                <w:color w:val="000000"/>
                <w:sz w:val="22"/>
                <w:szCs w:val="21"/>
              </w:rPr>
            </w:pPr>
          </w:p>
        </w:tc>
        <w:tc>
          <w:tcPr>
            <w:tcW w:w="2238" w:type="dxa"/>
            <w:noWrap w:val="0"/>
            <w:vAlign w:val="top"/>
          </w:tcPr>
          <w:p w14:paraId="345E245E">
            <w:pPr>
              <w:spacing w:line="480" w:lineRule="exact"/>
              <w:rPr>
                <w:rFonts w:ascii="宋体" w:hAnsi="宋体"/>
                <w:bCs/>
                <w:color w:val="000000"/>
                <w:sz w:val="22"/>
                <w:szCs w:val="21"/>
              </w:rPr>
            </w:pPr>
          </w:p>
        </w:tc>
        <w:tc>
          <w:tcPr>
            <w:tcW w:w="1237" w:type="dxa"/>
            <w:noWrap w:val="0"/>
            <w:vAlign w:val="top"/>
          </w:tcPr>
          <w:p w14:paraId="296ED75B">
            <w:pPr>
              <w:spacing w:line="480" w:lineRule="exact"/>
              <w:rPr>
                <w:rFonts w:ascii="宋体" w:hAnsi="宋体"/>
                <w:bCs/>
                <w:color w:val="000000"/>
                <w:sz w:val="22"/>
                <w:szCs w:val="21"/>
              </w:rPr>
            </w:pPr>
          </w:p>
        </w:tc>
      </w:tr>
      <w:tr w14:paraId="28DD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74D754A">
            <w:pPr>
              <w:spacing w:line="480" w:lineRule="exact"/>
              <w:rPr>
                <w:rFonts w:ascii="宋体" w:hAnsi="宋体"/>
                <w:bCs/>
                <w:color w:val="000000"/>
                <w:sz w:val="22"/>
                <w:szCs w:val="21"/>
              </w:rPr>
            </w:pPr>
          </w:p>
        </w:tc>
        <w:tc>
          <w:tcPr>
            <w:tcW w:w="1275" w:type="dxa"/>
            <w:noWrap w:val="0"/>
            <w:vAlign w:val="top"/>
          </w:tcPr>
          <w:p w14:paraId="5377C2CC">
            <w:pPr>
              <w:spacing w:line="480" w:lineRule="exact"/>
              <w:rPr>
                <w:rFonts w:ascii="宋体" w:hAnsi="宋体"/>
                <w:bCs/>
                <w:color w:val="000000"/>
                <w:sz w:val="22"/>
                <w:szCs w:val="21"/>
              </w:rPr>
            </w:pPr>
          </w:p>
        </w:tc>
        <w:tc>
          <w:tcPr>
            <w:tcW w:w="2287" w:type="dxa"/>
            <w:noWrap w:val="0"/>
            <w:vAlign w:val="top"/>
          </w:tcPr>
          <w:p w14:paraId="527BFD55">
            <w:pPr>
              <w:spacing w:line="480" w:lineRule="exact"/>
              <w:rPr>
                <w:rFonts w:ascii="宋体" w:hAnsi="宋体"/>
                <w:bCs/>
                <w:color w:val="000000"/>
                <w:sz w:val="22"/>
                <w:szCs w:val="21"/>
              </w:rPr>
            </w:pPr>
          </w:p>
        </w:tc>
        <w:tc>
          <w:tcPr>
            <w:tcW w:w="2238" w:type="dxa"/>
            <w:noWrap w:val="0"/>
            <w:vAlign w:val="top"/>
          </w:tcPr>
          <w:p w14:paraId="0F5A28B5">
            <w:pPr>
              <w:spacing w:line="480" w:lineRule="exact"/>
              <w:rPr>
                <w:rFonts w:ascii="宋体" w:hAnsi="宋体"/>
                <w:bCs/>
                <w:color w:val="000000"/>
                <w:sz w:val="22"/>
                <w:szCs w:val="21"/>
              </w:rPr>
            </w:pPr>
          </w:p>
        </w:tc>
        <w:tc>
          <w:tcPr>
            <w:tcW w:w="1237" w:type="dxa"/>
            <w:noWrap w:val="0"/>
            <w:vAlign w:val="top"/>
          </w:tcPr>
          <w:p w14:paraId="4F031369">
            <w:pPr>
              <w:spacing w:line="480" w:lineRule="exact"/>
              <w:rPr>
                <w:rFonts w:ascii="宋体" w:hAnsi="宋体"/>
                <w:bCs/>
                <w:color w:val="000000"/>
                <w:sz w:val="22"/>
                <w:szCs w:val="21"/>
              </w:rPr>
            </w:pPr>
          </w:p>
        </w:tc>
      </w:tr>
      <w:tr w14:paraId="1E27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DE90110">
            <w:pPr>
              <w:spacing w:line="480" w:lineRule="exact"/>
              <w:rPr>
                <w:rFonts w:ascii="宋体" w:hAnsi="宋体"/>
                <w:bCs/>
                <w:color w:val="000000"/>
                <w:sz w:val="22"/>
                <w:szCs w:val="21"/>
              </w:rPr>
            </w:pPr>
          </w:p>
        </w:tc>
        <w:tc>
          <w:tcPr>
            <w:tcW w:w="1275" w:type="dxa"/>
            <w:noWrap w:val="0"/>
            <w:vAlign w:val="top"/>
          </w:tcPr>
          <w:p w14:paraId="21A5241D">
            <w:pPr>
              <w:spacing w:line="480" w:lineRule="exact"/>
              <w:rPr>
                <w:rFonts w:ascii="宋体" w:hAnsi="宋体"/>
                <w:bCs/>
                <w:color w:val="000000"/>
                <w:sz w:val="22"/>
                <w:szCs w:val="21"/>
              </w:rPr>
            </w:pPr>
          </w:p>
        </w:tc>
        <w:tc>
          <w:tcPr>
            <w:tcW w:w="2287" w:type="dxa"/>
            <w:noWrap w:val="0"/>
            <w:vAlign w:val="top"/>
          </w:tcPr>
          <w:p w14:paraId="376C2F41">
            <w:pPr>
              <w:spacing w:line="480" w:lineRule="exact"/>
              <w:rPr>
                <w:rFonts w:ascii="宋体" w:hAnsi="宋体"/>
                <w:bCs/>
                <w:color w:val="000000"/>
                <w:sz w:val="22"/>
                <w:szCs w:val="21"/>
              </w:rPr>
            </w:pPr>
          </w:p>
        </w:tc>
        <w:tc>
          <w:tcPr>
            <w:tcW w:w="2238" w:type="dxa"/>
            <w:noWrap w:val="0"/>
            <w:vAlign w:val="top"/>
          </w:tcPr>
          <w:p w14:paraId="75ED8814">
            <w:pPr>
              <w:spacing w:line="480" w:lineRule="exact"/>
              <w:rPr>
                <w:rFonts w:ascii="宋体" w:hAnsi="宋体"/>
                <w:bCs/>
                <w:color w:val="000000"/>
                <w:sz w:val="22"/>
                <w:szCs w:val="21"/>
              </w:rPr>
            </w:pPr>
          </w:p>
        </w:tc>
        <w:tc>
          <w:tcPr>
            <w:tcW w:w="1237" w:type="dxa"/>
            <w:noWrap w:val="0"/>
            <w:vAlign w:val="top"/>
          </w:tcPr>
          <w:p w14:paraId="77141A2B">
            <w:pPr>
              <w:spacing w:line="480" w:lineRule="exact"/>
              <w:rPr>
                <w:rFonts w:ascii="宋体" w:hAnsi="宋体"/>
                <w:bCs/>
                <w:color w:val="000000"/>
                <w:sz w:val="22"/>
                <w:szCs w:val="21"/>
              </w:rPr>
            </w:pPr>
          </w:p>
        </w:tc>
      </w:tr>
      <w:tr w14:paraId="6C67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AD30F44">
            <w:pPr>
              <w:spacing w:line="480" w:lineRule="exact"/>
              <w:rPr>
                <w:rFonts w:ascii="宋体" w:hAnsi="宋体"/>
                <w:bCs/>
                <w:color w:val="000000"/>
                <w:sz w:val="22"/>
                <w:szCs w:val="21"/>
              </w:rPr>
            </w:pPr>
          </w:p>
        </w:tc>
        <w:tc>
          <w:tcPr>
            <w:tcW w:w="1275" w:type="dxa"/>
            <w:noWrap w:val="0"/>
            <w:vAlign w:val="top"/>
          </w:tcPr>
          <w:p w14:paraId="45112DB6">
            <w:pPr>
              <w:spacing w:line="480" w:lineRule="exact"/>
              <w:jc w:val="center"/>
              <w:rPr>
                <w:rFonts w:ascii="宋体" w:hAnsi="宋体"/>
                <w:bCs/>
                <w:color w:val="000000"/>
                <w:sz w:val="22"/>
                <w:szCs w:val="21"/>
              </w:rPr>
            </w:pPr>
            <w:r>
              <w:rPr>
                <w:rFonts w:hint="eastAsia" w:ascii="宋体" w:hAnsi="宋体"/>
                <w:color w:val="000000"/>
                <w:sz w:val="24"/>
                <w:lang w:val="en-US" w:eastAsia="zh-CN"/>
              </w:rPr>
              <w:t>...</w:t>
            </w:r>
          </w:p>
        </w:tc>
        <w:tc>
          <w:tcPr>
            <w:tcW w:w="2287" w:type="dxa"/>
            <w:noWrap w:val="0"/>
            <w:vAlign w:val="top"/>
          </w:tcPr>
          <w:p w14:paraId="2D8394BB">
            <w:pPr>
              <w:spacing w:line="480" w:lineRule="exact"/>
              <w:rPr>
                <w:rFonts w:ascii="宋体" w:hAnsi="宋体"/>
                <w:bCs/>
                <w:color w:val="000000"/>
                <w:sz w:val="22"/>
                <w:szCs w:val="21"/>
              </w:rPr>
            </w:pPr>
          </w:p>
        </w:tc>
        <w:tc>
          <w:tcPr>
            <w:tcW w:w="2238" w:type="dxa"/>
            <w:noWrap w:val="0"/>
            <w:vAlign w:val="top"/>
          </w:tcPr>
          <w:p w14:paraId="32F0E4BB">
            <w:pPr>
              <w:spacing w:line="480" w:lineRule="exact"/>
              <w:rPr>
                <w:rFonts w:ascii="宋体" w:hAnsi="宋体"/>
                <w:bCs/>
                <w:color w:val="000000"/>
                <w:sz w:val="22"/>
                <w:szCs w:val="21"/>
              </w:rPr>
            </w:pPr>
          </w:p>
        </w:tc>
        <w:tc>
          <w:tcPr>
            <w:tcW w:w="1237" w:type="dxa"/>
            <w:noWrap w:val="0"/>
            <w:vAlign w:val="top"/>
          </w:tcPr>
          <w:p w14:paraId="1B548D57">
            <w:pPr>
              <w:spacing w:line="480" w:lineRule="exact"/>
              <w:rPr>
                <w:rFonts w:ascii="宋体" w:hAnsi="宋体"/>
                <w:bCs/>
                <w:color w:val="000000"/>
                <w:sz w:val="22"/>
                <w:szCs w:val="21"/>
              </w:rPr>
            </w:pPr>
          </w:p>
        </w:tc>
      </w:tr>
    </w:tbl>
    <w:p w14:paraId="3F7C695D">
      <w:pPr>
        <w:spacing w:line="480" w:lineRule="exact"/>
        <w:rPr>
          <w:rFonts w:ascii="宋体" w:hAnsi="宋体"/>
          <w:bCs/>
          <w:color w:val="000000"/>
          <w:sz w:val="24"/>
          <w:szCs w:val="24"/>
        </w:rPr>
      </w:pPr>
      <w:r>
        <w:rPr>
          <w:rFonts w:hint="eastAsia" w:ascii="宋体" w:hAnsi="宋体"/>
          <w:bCs/>
          <w:color w:val="000000"/>
          <w:sz w:val="24"/>
          <w:szCs w:val="24"/>
        </w:rPr>
        <w:t>注：供应商应根据所投设备的技术参数对照</w:t>
      </w:r>
      <w:r>
        <w:rPr>
          <w:rFonts w:hint="eastAsia" w:ascii="宋体" w:hAnsi="宋体"/>
          <w:bCs/>
          <w:color w:val="000000"/>
          <w:sz w:val="24"/>
          <w:szCs w:val="21"/>
        </w:rPr>
        <w:t>竞争性磋商文件</w:t>
      </w:r>
      <w:r>
        <w:rPr>
          <w:rFonts w:hint="eastAsia" w:ascii="宋体" w:hAnsi="宋体"/>
          <w:bCs/>
          <w:color w:val="000000"/>
          <w:sz w:val="24"/>
          <w:szCs w:val="24"/>
        </w:rPr>
        <w:t>要求对比偏离情况，此表格若不够用，可根据实际自行扩展表格。</w:t>
      </w:r>
    </w:p>
    <w:p w14:paraId="297F12F4">
      <w:pPr>
        <w:autoSpaceDE w:val="0"/>
        <w:autoSpaceDN w:val="0"/>
        <w:adjustRightInd w:val="0"/>
        <w:jc w:val="left"/>
        <w:rPr>
          <w:rFonts w:ascii="宋体"/>
          <w:kern w:val="0"/>
          <w:sz w:val="24"/>
          <w:szCs w:val="24"/>
        </w:rPr>
      </w:pPr>
    </w:p>
    <w:p w14:paraId="31EE36FF">
      <w:pPr>
        <w:widowControl/>
        <w:adjustRightInd w:val="0"/>
        <w:snapToGrid w:val="0"/>
        <w:spacing w:line="360" w:lineRule="auto"/>
        <w:ind w:firstLine="2880" w:firstLineChars="1200"/>
        <w:jc w:val="left"/>
        <w:rPr>
          <w:rFonts w:hint="eastAsia" w:ascii="宋体" w:hAnsi="宋体" w:eastAsia="宋体" w:cs="宋体"/>
          <w:kern w:val="0"/>
          <w:sz w:val="24"/>
          <w:szCs w:val="20"/>
        </w:rPr>
      </w:pPr>
    </w:p>
    <w:p w14:paraId="44F1AA84">
      <w:pPr>
        <w:widowControl/>
        <w:adjustRightInd w:val="0"/>
        <w:snapToGrid w:val="0"/>
        <w:spacing w:line="360" w:lineRule="auto"/>
        <w:ind w:firstLine="2880" w:firstLineChars="1200"/>
        <w:jc w:val="left"/>
        <w:rPr>
          <w:rFonts w:hint="eastAsia" w:ascii="宋体" w:hAnsi="宋体" w:eastAsia="宋体" w:cs="宋体"/>
          <w:kern w:val="0"/>
          <w:sz w:val="24"/>
          <w:szCs w:val="20"/>
        </w:rPr>
      </w:pPr>
    </w:p>
    <w:p w14:paraId="7BDA5A26">
      <w:pPr>
        <w:widowControl/>
        <w:adjustRightInd w:val="0"/>
        <w:snapToGrid w:val="0"/>
        <w:spacing w:line="360" w:lineRule="auto"/>
        <w:ind w:firstLine="4080" w:firstLineChars="1700"/>
        <w:jc w:val="left"/>
        <w:rPr>
          <w:rFonts w:ascii="宋体" w:hAnsi="宋体" w:eastAsia="宋体" w:cs="宋体"/>
          <w:kern w:val="0"/>
          <w:sz w:val="24"/>
          <w:szCs w:val="20"/>
          <w:u w:val="single"/>
        </w:rPr>
      </w:pP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72137394">
      <w:pPr>
        <w:widowControl/>
        <w:adjustRightInd w:val="0"/>
        <w:snapToGrid w:val="0"/>
        <w:spacing w:line="360" w:lineRule="auto"/>
        <w:ind w:firstLine="4080" w:firstLineChars="1700"/>
        <w:jc w:val="left"/>
        <w:rPr>
          <w:rFonts w:ascii="宋体" w:hAnsi="宋体" w:eastAsia="宋体" w:cs="宋体"/>
          <w:kern w:val="0"/>
          <w:sz w:val="24"/>
          <w:szCs w:val="20"/>
          <w:u w:val="single"/>
        </w:rPr>
      </w:pPr>
      <w:r>
        <w:rPr>
          <w:rFonts w:hint="eastAsia" w:ascii="宋体" w:hAnsi="宋体" w:eastAsia="宋体" w:cs="宋体"/>
          <w:kern w:val="0"/>
          <w:sz w:val="24"/>
          <w:szCs w:val="20"/>
        </w:rPr>
        <w:t>法定代表人（签章）：</w:t>
      </w:r>
      <w:r>
        <w:rPr>
          <w:rFonts w:hint="eastAsia" w:ascii="宋体" w:hAnsi="宋体" w:eastAsia="宋体" w:cs="宋体"/>
          <w:kern w:val="0"/>
          <w:sz w:val="24"/>
          <w:szCs w:val="20"/>
          <w:u w:val="single"/>
        </w:rPr>
        <w:t xml:space="preserve">                      </w:t>
      </w:r>
    </w:p>
    <w:p w14:paraId="6C23D795">
      <w:pPr>
        <w:widowControl/>
        <w:adjustRightInd w:val="0"/>
        <w:snapToGrid w:val="0"/>
        <w:spacing w:line="360" w:lineRule="auto"/>
        <w:ind w:firstLine="4080" w:firstLineChars="1700"/>
        <w:jc w:val="left"/>
        <w:rPr>
          <w:rFonts w:ascii="宋体" w:hAnsi="宋体" w:eastAsia="宋体" w:cs="宋体"/>
          <w:kern w:val="0"/>
          <w:sz w:val="24"/>
          <w:szCs w:val="20"/>
        </w:rPr>
      </w:pPr>
      <w:r>
        <w:rPr>
          <w:rFonts w:hint="eastAsia" w:ascii="宋体" w:hAnsi="宋体" w:eastAsia="宋体" w:cs="宋体"/>
          <w:kern w:val="0"/>
          <w:sz w:val="24"/>
          <w:szCs w:val="20"/>
        </w:rPr>
        <w:t>日期：</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年</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日</w:t>
      </w:r>
    </w:p>
    <w:p w14:paraId="48AFB81C">
      <w:pPr>
        <w:spacing w:line="360" w:lineRule="auto"/>
        <w:rPr>
          <w:rFonts w:ascii="宋体" w:hAnsi="宋体" w:cs="宋体"/>
          <w:color w:val="000000"/>
          <w:kern w:val="10"/>
          <w:sz w:val="24"/>
        </w:rPr>
      </w:pPr>
      <w:r>
        <w:rPr>
          <w:rFonts w:hint="eastAsia" w:ascii="宋体" w:hAnsi="宋体" w:eastAsia="宋体" w:cs="宋体"/>
          <w:b/>
          <w:bCs/>
          <w:kern w:val="0"/>
          <w:sz w:val="28"/>
          <w:szCs w:val="28"/>
          <w:lang w:eastAsia="zh-CN"/>
        </w:rPr>
        <w:br w:type="page"/>
      </w:r>
    </w:p>
    <w:p w14:paraId="42502188">
      <w:pPr>
        <w:pStyle w:val="3"/>
        <w:jc w:val="center"/>
        <w:rPr>
          <w:rFonts w:hint="eastAsia" w:ascii="宋体" w:hAnsi="宋体" w:eastAsia="宋体" w:cs="宋体"/>
          <w:color w:val="000000"/>
          <w:sz w:val="28"/>
          <w:szCs w:val="28"/>
        </w:rPr>
      </w:pPr>
      <w:bookmarkStart w:id="406" w:name="_Toc4926"/>
      <w:bookmarkStart w:id="407" w:name="_Toc144905406"/>
      <w:bookmarkStart w:id="408" w:name="_Toc7934"/>
      <w:bookmarkStart w:id="409" w:name="_Toc4975"/>
      <w:bookmarkStart w:id="410" w:name="_Toc3633"/>
      <w:r>
        <w:rPr>
          <w:rFonts w:hint="eastAsia" w:ascii="宋体" w:hAnsi="宋体" w:eastAsia="宋体" w:cs="宋体"/>
          <w:color w:val="000000"/>
          <w:kern w:val="0"/>
          <w:sz w:val="28"/>
          <w:szCs w:val="28"/>
        </w:rPr>
        <w:t>三、法定代表人身份证明</w:t>
      </w:r>
      <w:bookmarkEnd w:id="406"/>
      <w:bookmarkEnd w:id="407"/>
      <w:bookmarkEnd w:id="408"/>
      <w:bookmarkEnd w:id="409"/>
      <w:bookmarkEnd w:id="410"/>
    </w:p>
    <w:p w14:paraId="2EBA09F5">
      <w:pPr>
        <w:autoSpaceDE w:val="0"/>
        <w:autoSpaceDN w:val="0"/>
        <w:adjustRightInd w:val="0"/>
        <w:snapToGrid w:val="0"/>
        <w:spacing w:line="360" w:lineRule="auto"/>
        <w:jc w:val="left"/>
        <w:rPr>
          <w:rFonts w:hint="eastAsia" w:ascii="宋体" w:hAnsi="宋体" w:cs="宋体"/>
          <w:color w:val="000000"/>
          <w:kern w:val="0"/>
          <w:sz w:val="24"/>
          <w:szCs w:val="24"/>
        </w:rPr>
      </w:pPr>
      <w:bookmarkStart w:id="411" w:name="_Toc31381"/>
      <w:bookmarkEnd w:id="411"/>
      <w:bookmarkStart w:id="412" w:name="_Toc653"/>
      <w:bookmarkEnd w:id="412"/>
      <w:bookmarkStart w:id="413" w:name="_Toc24011"/>
      <w:bookmarkEnd w:id="413"/>
      <w:bookmarkStart w:id="414" w:name="_Toc11834"/>
      <w:bookmarkEnd w:id="414"/>
      <w:bookmarkStart w:id="415" w:name="_Toc12120"/>
      <w:bookmarkEnd w:id="415"/>
      <w:bookmarkStart w:id="416" w:name="_Toc15174"/>
      <w:bookmarkEnd w:id="416"/>
      <w:bookmarkStart w:id="417" w:name="_Toc5476"/>
      <w:bookmarkEnd w:id="417"/>
    </w:p>
    <w:p w14:paraId="2C79369B">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DB146C8">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p>
    <w:p w14:paraId="02C54809">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26B82B26">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3A4BC9FA">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3943F013">
      <w:pPr>
        <w:autoSpaceDE w:val="0"/>
        <w:autoSpaceDN w:val="0"/>
        <w:adjustRightInd w:val="0"/>
        <w:snapToGrid w:val="0"/>
        <w:spacing w:line="360" w:lineRule="auto"/>
        <w:jc w:val="left"/>
        <w:rPr>
          <w:rFonts w:hint="eastAsia"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01B4502D">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w:t>
      </w:r>
    </w:p>
    <w:p w14:paraId="016606C1">
      <w:pPr>
        <w:autoSpaceDE w:val="0"/>
        <w:autoSpaceDN w:val="0"/>
        <w:adjustRightInd w:val="0"/>
        <w:snapToGrid w:val="0"/>
        <w:spacing w:line="360" w:lineRule="auto"/>
        <w:jc w:val="left"/>
        <w:rPr>
          <w:rFonts w:hint="eastAsia" w:ascii="宋体" w:hAnsi="宋体" w:cs="宋体"/>
          <w:color w:val="000000"/>
          <w:kern w:val="0"/>
          <w:sz w:val="24"/>
          <w:szCs w:val="24"/>
        </w:rPr>
      </w:pPr>
    </w:p>
    <w:p w14:paraId="4B4BCFA6">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特此证明。</w:t>
      </w:r>
    </w:p>
    <w:p w14:paraId="21688601">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附：法定代表人身份证复印件</w:t>
      </w:r>
    </w:p>
    <w:p w14:paraId="26EE66A7">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p>
    <w:p w14:paraId="55CB8B26">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p>
    <w:p w14:paraId="02204CF0">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p>
    <w:p w14:paraId="0563B153">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p>
    <w:p w14:paraId="074677FC">
      <w:pPr>
        <w:widowControl/>
        <w:adjustRightInd w:val="0"/>
        <w:snapToGrid w:val="0"/>
        <w:spacing w:line="360" w:lineRule="auto"/>
        <w:ind w:left="4070" w:leftChars="1938" w:firstLine="0" w:firstLineChars="0"/>
        <w:jc w:val="left"/>
        <w:rPr>
          <w:rFonts w:ascii="宋体" w:hAnsi="宋体" w:eastAsia="宋体" w:cs="宋体"/>
          <w:kern w:val="0"/>
          <w:sz w:val="24"/>
          <w:szCs w:val="20"/>
          <w:u w:val="single"/>
        </w:rPr>
      </w:pPr>
      <w:r>
        <w:rPr>
          <w:rFonts w:hint="eastAsia" w:ascii="宋体" w:hAnsi="宋体" w:cs="宋体"/>
          <w:color w:val="000000"/>
          <w:kern w:val="0"/>
          <w:sz w:val="24"/>
          <w:szCs w:val="24"/>
        </w:rPr>
        <w:t xml:space="preserve">                                         </w:t>
      </w: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142B4D79">
      <w:pPr>
        <w:widowControl/>
        <w:adjustRightInd w:val="0"/>
        <w:snapToGrid w:val="0"/>
        <w:spacing w:line="360" w:lineRule="auto"/>
        <w:ind w:firstLine="4080" w:firstLineChars="1700"/>
        <w:jc w:val="left"/>
        <w:rPr>
          <w:rFonts w:ascii="宋体" w:hAnsi="宋体" w:eastAsia="宋体" w:cs="宋体"/>
          <w:kern w:val="0"/>
          <w:sz w:val="24"/>
          <w:szCs w:val="20"/>
          <w:u w:val="single"/>
        </w:rPr>
      </w:pPr>
      <w:r>
        <w:rPr>
          <w:rFonts w:hint="eastAsia" w:ascii="宋体" w:hAnsi="宋体" w:eastAsia="宋体" w:cs="宋体"/>
          <w:kern w:val="0"/>
          <w:sz w:val="24"/>
          <w:szCs w:val="20"/>
        </w:rPr>
        <w:t>法定代表人（签章）：</w:t>
      </w:r>
      <w:r>
        <w:rPr>
          <w:rFonts w:hint="eastAsia" w:ascii="宋体" w:hAnsi="宋体" w:eastAsia="宋体" w:cs="宋体"/>
          <w:kern w:val="0"/>
          <w:sz w:val="24"/>
          <w:szCs w:val="20"/>
          <w:u w:val="single"/>
        </w:rPr>
        <w:t xml:space="preserve">                      </w:t>
      </w:r>
    </w:p>
    <w:p w14:paraId="276E7C62">
      <w:pPr>
        <w:widowControl/>
        <w:adjustRightInd w:val="0"/>
        <w:snapToGrid w:val="0"/>
        <w:spacing w:line="360" w:lineRule="auto"/>
        <w:ind w:firstLine="4080" w:firstLineChars="1700"/>
        <w:jc w:val="left"/>
        <w:rPr>
          <w:rFonts w:ascii="宋体" w:hAnsi="宋体" w:eastAsia="宋体" w:cs="宋体"/>
          <w:kern w:val="0"/>
          <w:sz w:val="24"/>
          <w:szCs w:val="20"/>
        </w:rPr>
      </w:pPr>
      <w:r>
        <w:rPr>
          <w:rFonts w:hint="eastAsia" w:ascii="宋体" w:hAnsi="宋体" w:eastAsia="宋体" w:cs="宋体"/>
          <w:kern w:val="0"/>
          <w:sz w:val="24"/>
          <w:szCs w:val="20"/>
        </w:rPr>
        <w:t>日期：</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年</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日</w:t>
      </w:r>
    </w:p>
    <w:p w14:paraId="5B35384B">
      <w:pPr>
        <w:autoSpaceDE w:val="0"/>
        <w:autoSpaceDN w:val="0"/>
        <w:adjustRightInd w:val="0"/>
        <w:snapToGrid w:val="0"/>
        <w:spacing w:line="360" w:lineRule="auto"/>
        <w:jc w:val="center"/>
        <w:rPr>
          <w:rFonts w:hint="eastAsia" w:ascii="宋体" w:hAnsi="宋体" w:cs="宋体"/>
          <w:color w:val="000000"/>
          <w:kern w:val="0"/>
          <w:sz w:val="24"/>
          <w:szCs w:val="24"/>
        </w:rPr>
      </w:pPr>
    </w:p>
    <w:p w14:paraId="56DBFEE1">
      <w:pPr>
        <w:autoSpaceDE w:val="0"/>
        <w:autoSpaceDN w:val="0"/>
        <w:adjustRightInd w:val="0"/>
        <w:snapToGrid w:val="0"/>
        <w:spacing w:line="360" w:lineRule="auto"/>
        <w:jc w:val="left"/>
        <w:rPr>
          <w:rFonts w:hint="eastAsia" w:ascii="宋体" w:hAnsi="宋体" w:cs="宋体"/>
          <w:color w:val="000000"/>
          <w:kern w:val="0"/>
          <w:sz w:val="24"/>
          <w:szCs w:val="24"/>
        </w:rPr>
      </w:pPr>
    </w:p>
    <w:p w14:paraId="157793FA">
      <w:pPr>
        <w:autoSpaceDE w:val="0"/>
        <w:autoSpaceDN w:val="0"/>
        <w:adjustRightInd w:val="0"/>
        <w:snapToGrid w:val="0"/>
        <w:spacing w:line="360" w:lineRule="auto"/>
        <w:jc w:val="left"/>
        <w:rPr>
          <w:rFonts w:hint="eastAsia" w:ascii="宋体" w:hAnsi="宋体" w:cs="宋体"/>
          <w:color w:val="000000"/>
          <w:kern w:val="0"/>
          <w:sz w:val="24"/>
          <w:szCs w:val="24"/>
        </w:rPr>
      </w:pPr>
    </w:p>
    <w:p w14:paraId="09402AD3">
      <w:pPr>
        <w:adjustRightInd w:val="0"/>
        <w:snapToGrid w:val="0"/>
        <w:spacing w:line="360" w:lineRule="auto"/>
        <w:rPr>
          <w:rFonts w:hint="eastAsia" w:ascii="宋体" w:hAnsi="宋体" w:cs="宋体"/>
          <w:color w:val="000000"/>
          <w:kern w:val="0"/>
        </w:rPr>
      </w:pPr>
    </w:p>
    <w:p w14:paraId="4721ACF6">
      <w:pPr>
        <w:adjustRightInd w:val="0"/>
        <w:snapToGrid w:val="0"/>
        <w:spacing w:line="360" w:lineRule="auto"/>
        <w:rPr>
          <w:rFonts w:hint="eastAsia" w:ascii="宋体" w:hAnsi="宋体" w:cs="宋体"/>
          <w:color w:val="000000"/>
          <w:kern w:val="0"/>
        </w:rPr>
      </w:pPr>
    </w:p>
    <w:p w14:paraId="72E9477E">
      <w:pPr>
        <w:adjustRightInd w:val="0"/>
        <w:snapToGrid w:val="0"/>
        <w:spacing w:line="360" w:lineRule="auto"/>
        <w:rPr>
          <w:rFonts w:hint="eastAsia" w:ascii="宋体" w:hAnsi="宋体" w:cs="宋体"/>
          <w:color w:val="000000"/>
          <w:kern w:val="0"/>
        </w:rPr>
      </w:pPr>
    </w:p>
    <w:p w14:paraId="6C1F32A4">
      <w:pPr>
        <w:widowControl/>
        <w:adjustRightInd w:val="0"/>
        <w:spacing w:beforeAutospacing="1" w:afterAutospacing="1" w:line="360" w:lineRule="auto"/>
        <w:jc w:val="left"/>
        <w:rPr>
          <w:rFonts w:hint="eastAsia" w:ascii="宋体" w:hAnsi="宋体" w:cs="宋体"/>
          <w:b/>
          <w:bCs/>
          <w:color w:val="000000"/>
          <w:kern w:val="0"/>
          <w:sz w:val="24"/>
          <w:szCs w:val="24"/>
        </w:rPr>
        <w:sectPr>
          <w:pgSz w:w="11906" w:h="16838"/>
          <w:pgMar w:top="1587" w:right="1588" w:bottom="1587" w:left="1588" w:header="720" w:footer="720" w:gutter="0"/>
          <w:pgNumType w:fmt="decimal"/>
          <w:cols w:space="720" w:num="1"/>
          <w:docGrid w:type="lines" w:linePitch="312" w:charSpace="0"/>
        </w:sectPr>
      </w:pPr>
      <w:bookmarkStart w:id="418" w:name="_Toc573"/>
      <w:bookmarkEnd w:id="418"/>
      <w:bookmarkStart w:id="419" w:name="_Toc18640"/>
      <w:bookmarkEnd w:id="419"/>
      <w:bookmarkStart w:id="420" w:name="_Toc2176"/>
      <w:bookmarkEnd w:id="420"/>
    </w:p>
    <w:p w14:paraId="53252143">
      <w:pPr>
        <w:pStyle w:val="3"/>
        <w:jc w:val="center"/>
        <w:rPr>
          <w:rFonts w:hint="eastAsia" w:ascii="宋体" w:hAnsi="宋体" w:eastAsia="宋体" w:cs="宋体"/>
          <w:color w:val="000000"/>
          <w:kern w:val="0"/>
          <w:sz w:val="28"/>
          <w:szCs w:val="28"/>
        </w:rPr>
      </w:pPr>
      <w:bookmarkStart w:id="421" w:name="_Toc30081"/>
      <w:bookmarkEnd w:id="421"/>
      <w:bookmarkStart w:id="422" w:name="_Toc28280"/>
      <w:bookmarkEnd w:id="422"/>
      <w:bookmarkStart w:id="423" w:name="_Toc8511"/>
      <w:bookmarkEnd w:id="423"/>
      <w:bookmarkStart w:id="424" w:name="_Toc30587"/>
      <w:bookmarkEnd w:id="424"/>
      <w:bookmarkStart w:id="425" w:name="_Toc13259"/>
      <w:bookmarkEnd w:id="425"/>
      <w:bookmarkStart w:id="426" w:name="_Toc32215"/>
      <w:bookmarkEnd w:id="426"/>
      <w:bookmarkStart w:id="427" w:name="_Toc277672342"/>
      <w:bookmarkEnd w:id="427"/>
      <w:bookmarkStart w:id="428" w:name="_Toc20295"/>
      <w:bookmarkEnd w:id="428"/>
      <w:bookmarkStart w:id="429" w:name="_Toc12074"/>
      <w:bookmarkEnd w:id="429"/>
      <w:bookmarkStart w:id="430" w:name="_Toc10662"/>
      <w:bookmarkEnd w:id="430"/>
      <w:bookmarkStart w:id="431" w:name="_Toc19058"/>
      <w:bookmarkEnd w:id="431"/>
      <w:bookmarkStart w:id="432" w:name="_Toc27204"/>
      <w:bookmarkEnd w:id="432"/>
      <w:bookmarkStart w:id="433" w:name="_Toc14434"/>
      <w:bookmarkEnd w:id="433"/>
      <w:bookmarkStart w:id="434" w:name="_Toc24279"/>
      <w:bookmarkEnd w:id="434"/>
      <w:bookmarkStart w:id="435" w:name="_Toc2162"/>
      <w:bookmarkEnd w:id="435"/>
      <w:bookmarkStart w:id="436" w:name="_Toc12096"/>
      <w:bookmarkStart w:id="437" w:name="_Toc488052465"/>
      <w:bookmarkStart w:id="438" w:name="_Toc24301"/>
      <w:bookmarkStart w:id="439" w:name="_Toc30162"/>
      <w:bookmarkStart w:id="440" w:name="_Toc5445"/>
      <w:bookmarkStart w:id="441" w:name="_Toc144905409"/>
      <w:bookmarkStart w:id="442" w:name="_Toc5044"/>
      <w:r>
        <w:rPr>
          <w:rFonts w:hint="eastAsia" w:ascii="宋体" w:hAnsi="宋体" w:eastAsia="宋体" w:cs="宋体"/>
          <w:color w:val="000000"/>
          <w:kern w:val="0"/>
          <w:sz w:val="28"/>
          <w:szCs w:val="28"/>
        </w:rPr>
        <w:t>四、</w:t>
      </w:r>
      <w:bookmarkEnd w:id="436"/>
      <w:bookmarkEnd w:id="437"/>
      <w:r>
        <w:rPr>
          <w:rFonts w:hint="eastAsia" w:ascii="宋体" w:hAnsi="宋体" w:eastAsia="宋体" w:cs="宋体"/>
          <w:color w:val="000000"/>
          <w:kern w:val="0"/>
          <w:sz w:val="28"/>
          <w:szCs w:val="28"/>
        </w:rPr>
        <w:t>磋商保证承诺函</w:t>
      </w:r>
      <w:bookmarkEnd w:id="438"/>
      <w:bookmarkEnd w:id="439"/>
      <w:bookmarkEnd w:id="440"/>
      <w:bookmarkEnd w:id="441"/>
      <w:bookmarkEnd w:id="442"/>
    </w:p>
    <w:p w14:paraId="0915FFBE">
      <w:pPr>
        <w:keepNext w:val="0"/>
        <w:keepLines w:val="0"/>
        <w:pageBreakBefore w:val="0"/>
        <w:widowControl/>
        <w:shd w:val="clear" w:color="auto" w:fill="FFFFFF"/>
        <w:kinsoku/>
        <w:wordWrap/>
        <w:overflowPunct/>
        <w:topLinePunct w:val="0"/>
        <w:bidi w:val="0"/>
        <w:adjustRightInd/>
        <w:snapToGrid/>
        <w:spacing w:line="360" w:lineRule="auto"/>
        <w:textAlignment w:val="auto"/>
        <w:rPr>
          <w:rFonts w:hint="eastAsia" w:ascii="宋体" w:hAnsi="宋体" w:cs="仿宋_GB2312"/>
          <w:bCs/>
          <w:sz w:val="24"/>
        </w:rPr>
      </w:pPr>
      <w:r>
        <w:rPr>
          <w:rFonts w:hint="eastAsia" w:ascii="宋体" w:hAnsi="宋体" w:cs="仿宋_GB2312"/>
          <w:bCs/>
          <w:sz w:val="24"/>
        </w:rPr>
        <w:t>致：</w:t>
      </w:r>
      <w:r>
        <w:rPr>
          <w:rFonts w:hint="eastAsia" w:ascii="宋体" w:hAnsi="宋体" w:cs="仿宋_GB2312"/>
          <w:bCs/>
          <w:sz w:val="24"/>
          <w:u w:val="single"/>
        </w:rPr>
        <w:t xml:space="preserve">              </w:t>
      </w:r>
      <w:r>
        <w:rPr>
          <w:rFonts w:hint="eastAsia" w:ascii="宋体" w:hAnsi="宋体" w:cs="仿宋_GB2312"/>
          <w:bCs/>
          <w:sz w:val="24"/>
        </w:rPr>
        <w:t>（采购人及代理机构）：</w:t>
      </w:r>
    </w:p>
    <w:p w14:paraId="533B6CD8">
      <w:pPr>
        <w:keepNext w:val="0"/>
        <w:keepLines w:val="0"/>
        <w:pageBreakBefore w:val="0"/>
        <w:kinsoku/>
        <w:wordWrap/>
        <w:overflowPunct/>
        <w:topLinePunct w:val="0"/>
        <w:bidi w:val="0"/>
        <w:adjustRightInd/>
        <w:snapToGrid/>
        <w:spacing w:line="360" w:lineRule="auto"/>
        <w:ind w:firstLine="480" w:firstLineChars="200"/>
        <w:textAlignment w:val="auto"/>
        <w:rPr>
          <w:rFonts w:ascii="宋体" w:cs="宋体"/>
          <w:b/>
          <w:bCs/>
          <w:sz w:val="32"/>
          <w:szCs w:val="32"/>
        </w:rPr>
      </w:pPr>
      <w:r>
        <w:rPr>
          <w:rFonts w:hint="eastAsia" w:ascii="宋体" w:hAnsi="宋体" w:cs="宋体"/>
          <w:sz w:val="24"/>
          <w:szCs w:val="24"/>
        </w:rPr>
        <w:t>我公司在参加</w:t>
      </w:r>
      <w:r>
        <w:rPr>
          <w:rFonts w:hint="eastAsia" w:ascii="宋体" w:hAnsi="宋体" w:cs="宋体"/>
          <w:sz w:val="24"/>
          <w:szCs w:val="24"/>
          <w:u w:val="single"/>
        </w:rPr>
        <w:t xml:space="preserve">                    </w:t>
      </w:r>
      <w:r>
        <w:rPr>
          <w:rFonts w:hint="eastAsia" w:ascii="宋体" w:hAnsi="宋体" w:cs="宋体"/>
          <w:sz w:val="24"/>
          <w:szCs w:val="24"/>
        </w:rPr>
        <w:t>项目的磋商活动中，郑重承诺如下：</w:t>
      </w:r>
    </w:p>
    <w:p w14:paraId="78D9C415">
      <w:pPr>
        <w:keepNext w:val="0"/>
        <w:keepLines w:val="0"/>
        <w:pageBreakBefore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、我方同意承担磋商所发生的一切费用。</w:t>
      </w:r>
    </w:p>
    <w:p w14:paraId="33E05D6A">
      <w:pPr>
        <w:keepNext w:val="0"/>
        <w:keepLines w:val="0"/>
        <w:pageBreakBefore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rPr>
          <w:rFonts w:ascii="宋体" w:cs="宋体"/>
          <w:sz w:val="24"/>
          <w:szCs w:val="24"/>
        </w:rPr>
      </w:pPr>
      <w:r>
        <w:rPr>
          <w:rFonts w:ascii="宋体" w:hAnsi="宋体" w:cs="宋体"/>
          <w:sz w:val="24"/>
          <w:szCs w:val="24"/>
        </w:rPr>
        <w:t>2</w:t>
      </w:r>
      <w:r>
        <w:rPr>
          <w:rFonts w:hint="eastAsia" w:ascii="宋体" w:hAnsi="宋体" w:cs="宋体"/>
          <w:sz w:val="24"/>
          <w:szCs w:val="24"/>
        </w:rPr>
        <w:t>、我方在此声明，本次磋商活动中申报的所有资料都是真实、准确完整的，如发现虚假资料，或与事实不符而导致磋商无效，甚至造成任何法律和经济责任，完全由我方负责。</w:t>
      </w:r>
    </w:p>
    <w:p w14:paraId="080F149A">
      <w:pPr>
        <w:keepNext w:val="0"/>
        <w:keepLines w:val="0"/>
        <w:pageBreakBefore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rPr>
          <w:rFonts w:ascii="宋体" w:cs="宋体"/>
          <w:sz w:val="24"/>
          <w:szCs w:val="24"/>
        </w:rPr>
      </w:pPr>
      <w:r>
        <w:rPr>
          <w:rFonts w:ascii="宋体" w:hAnsi="宋体" w:cs="宋体"/>
          <w:sz w:val="24"/>
          <w:szCs w:val="24"/>
        </w:rPr>
        <w:t>3</w:t>
      </w:r>
      <w:r>
        <w:rPr>
          <w:rFonts w:hint="eastAsia" w:ascii="宋体" w:hAnsi="宋体" w:cs="宋体"/>
          <w:sz w:val="24"/>
          <w:szCs w:val="24"/>
        </w:rPr>
        <w:t>、我方在本次磋商活动中绝无资质挂靠、串标、围标情形，若经贵方查出，立即取消我方磋商资格并承担相应的法律责任。</w:t>
      </w:r>
    </w:p>
    <w:p w14:paraId="088D824F">
      <w:pPr>
        <w:keepNext w:val="0"/>
        <w:keepLines w:val="0"/>
        <w:pageBreakBefore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ascii="宋体" w:hAnsi="宋体" w:cs="宋体"/>
          <w:sz w:val="24"/>
          <w:szCs w:val="24"/>
        </w:rPr>
        <w:t>4</w:t>
      </w:r>
      <w:r>
        <w:rPr>
          <w:rFonts w:hint="eastAsia" w:ascii="宋体" w:hAnsi="宋体" w:cs="宋体"/>
          <w:sz w:val="24"/>
          <w:szCs w:val="24"/>
        </w:rPr>
        <w:t>、我方一旦成交，将按规定及时与采购人签订合同，并严格按照响应性文件中所承诺的报价、质量、交货期等资料组织实施。</w:t>
      </w:r>
    </w:p>
    <w:p w14:paraId="75809472">
      <w:pPr>
        <w:keepNext w:val="0"/>
        <w:keepLines w:val="0"/>
        <w:pageBreakBefore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ascii="宋体" w:hAnsi="宋体" w:cs="宋体"/>
          <w:sz w:val="24"/>
          <w:szCs w:val="24"/>
        </w:rPr>
        <w:t>5</w:t>
      </w:r>
      <w:r>
        <w:rPr>
          <w:rFonts w:hint="eastAsia" w:ascii="宋体" w:hAnsi="宋体" w:cs="宋体"/>
          <w:sz w:val="24"/>
          <w:szCs w:val="24"/>
        </w:rPr>
        <w:t>、我方保证对相关法律法规及上述竞争性磋商文件中规定需要保密的内容严格履行保密义务。</w:t>
      </w:r>
    </w:p>
    <w:p w14:paraId="574B3465">
      <w:pPr>
        <w:keepNext w:val="0"/>
        <w:keepLines w:val="0"/>
        <w:pageBreakBefore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6、我方若成交，保证在成交公告发布后5个工作日内，按照竞争性磋商文件的规定，向招标代理机构一次性支付代理服务费。</w:t>
      </w:r>
    </w:p>
    <w:p w14:paraId="0B55F33C">
      <w:pPr>
        <w:keepNext w:val="0"/>
        <w:keepLines w:val="0"/>
        <w:pageBreakBefore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由此产生的一切法律后果和责任由我公司承担。我公司声明放弃对此提出任何异议和追索的权利。</w:t>
      </w:r>
    </w:p>
    <w:p w14:paraId="0D9028D4">
      <w:pPr>
        <w:keepNext w:val="0"/>
        <w:keepLines w:val="0"/>
        <w:pageBreakBefore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 xml:space="preserve"> 本公司对上述承诺的内容事项真实性负责。如经查实上述承诺的内容事项存在虚假，我公司愿意接受以提供虚假材料谋取成交追究法律责任。</w:t>
      </w:r>
    </w:p>
    <w:p w14:paraId="49F5E195">
      <w:pPr>
        <w:widowControl/>
        <w:adjustRightInd w:val="0"/>
        <w:snapToGrid w:val="0"/>
        <w:spacing w:line="360" w:lineRule="auto"/>
        <w:ind w:firstLine="4080" w:firstLineChars="1700"/>
        <w:jc w:val="left"/>
        <w:rPr>
          <w:rFonts w:hint="eastAsia" w:ascii="宋体" w:hAnsi="宋体" w:eastAsia="宋体" w:cs="宋体"/>
          <w:kern w:val="0"/>
          <w:sz w:val="24"/>
          <w:szCs w:val="20"/>
        </w:rPr>
      </w:pPr>
    </w:p>
    <w:p w14:paraId="27570C24">
      <w:pPr>
        <w:widowControl/>
        <w:adjustRightInd w:val="0"/>
        <w:snapToGrid w:val="0"/>
        <w:spacing w:line="360" w:lineRule="auto"/>
        <w:ind w:firstLine="4080" w:firstLineChars="1700"/>
        <w:jc w:val="left"/>
        <w:rPr>
          <w:rFonts w:ascii="宋体" w:hAnsi="宋体" w:eastAsia="宋体" w:cs="宋体"/>
          <w:kern w:val="0"/>
          <w:sz w:val="24"/>
          <w:szCs w:val="20"/>
          <w:u w:val="single"/>
        </w:rPr>
      </w:pP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5B3F64AD">
      <w:pPr>
        <w:widowControl/>
        <w:adjustRightInd w:val="0"/>
        <w:snapToGrid w:val="0"/>
        <w:spacing w:line="360" w:lineRule="auto"/>
        <w:ind w:firstLine="4080" w:firstLineChars="1700"/>
        <w:jc w:val="left"/>
        <w:rPr>
          <w:rFonts w:ascii="宋体" w:hAnsi="宋体" w:eastAsia="宋体" w:cs="宋体"/>
          <w:kern w:val="0"/>
          <w:sz w:val="24"/>
          <w:szCs w:val="20"/>
          <w:u w:val="single"/>
        </w:rPr>
      </w:pPr>
      <w:r>
        <w:rPr>
          <w:rFonts w:hint="eastAsia" w:ascii="宋体" w:hAnsi="宋体" w:eastAsia="宋体" w:cs="宋体"/>
          <w:kern w:val="0"/>
          <w:sz w:val="24"/>
          <w:szCs w:val="20"/>
        </w:rPr>
        <w:t>法定代表人（签章）：</w:t>
      </w:r>
      <w:r>
        <w:rPr>
          <w:rFonts w:hint="eastAsia" w:ascii="宋体" w:hAnsi="宋体" w:eastAsia="宋体" w:cs="宋体"/>
          <w:kern w:val="0"/>
          <w:sz w:val="24"/>
          <w:szCs w:val="20"/>
          <w:u w:val="single"/>
        </w:rPr>
        <w:t xml:space="preserve">                      </w:t>
      </w:r>
    </w:p>
    <w:p w14:paraId="156F98AC">
      <w:pPr>
        <w:widowControl/>
        <w:adjustRightInd w:val="0"/>
        <w:snapToGrid w:val="0"/>
        <w:spacing w:line="360" w:lineRule="auto"/>
        <w:ind w:firstLine="4080" w:firstLineChars="1700"/>
        <w:jc w:val="left"/>
        <w:rPr>
          <w:rFonts w:hint="eastAsia" w:ascii="宋体" w:hAnsi="宋体" w:eastAsia="宋体" w:cs="宋体"/>
          <w:kern w:val="0"/>
          <w:sz w:val="24"/>
          <w:szCs w:val="20"/>
        </w:rPr>
      </w:pPr>
      <w:r>
        <w:rPr>
          <w:rFonts w:hint="eastAsia" w:ascii="宋体" w:hAnsi="宋体" w:eastAsia="宋体" w:cs="宋体"/>
          <w:kern w:val="0"/>
          <w:sz w:val="24"/>
          <w:szCs w:val="20"/>
        </w:rPr>
        <w:t>日期：</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年</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日</w:t>
      </w:r>
    </w:p>
    <w:p w14:paraId="78B4E167">
      <w:pPr>
        <w:pStyle w:val="13"/>
        <w:rPr>
          <w:rFonts w:hint="eastAsia" w:ascii="宋体" w:hAnsi="宋体" w:eastAsia="宋体" w:cs="宋体"/>
          <w:kern w:val="0"/>
          <w:sz w:val="24"/>
          <w:szCs w:val="20"/>
        </w:rPr>
      </w:pPr>
    </w:p>
    <w:p w14:paraId="05270DF6">
      <w:pPr>
        <w:pStyle w:val="13"/>
        <w:rPr>
          <w:rFonts w:hint="eastAsia" w:ascii="宋体" w:hAnsi="宋体" w:eastAsia="宋体" w:cs="宋体"/>
          <w:kern w:val="0"/>
          <w:sz w:val="24"/>
          <w:szCs w:val="20"/>
        </w:rPr>
      </w:pPr>
    </w:p>
    <w:p w14:paraId="4208E85E">
      <w:pPr>
        <w:spacing w:line="480" w:lineRule="auto"/>
        <w:jc w:val="center"/>
        <w:rPr>
          <w:rFonts w:hint="eastAsia" w:ascii="宋体" w:hAnsi="宋体" w:eastAsia="宋体" w:cs="宋体"/>
          <w:b/>
          <w:bCs/>
          <w:color w:val="auto"/>
          <w:sz w:val="24"/>
          <w:szCs w:val="24"/>
          <w:highlight w:val="none"/>
          <w:lang w:eastAsia="zh-CN"/>
        </w:rPr>
      </w:pPr>
    </w:p>
    <w:p w14:paraId="571B0861">
      <w:pPr>
        <w:spacing w:line="480" w:lineRule="auto"/>
        <w:jc w:val="center"/>
        <w:rPr>
          <w:rFonts w:hint="eastAsia" w:ascii="宋体" w:hAnsi="宋体" w:eastAsia="宋体" w:cs="宋体"/>
          <w:b/>
          <w:bCs/>
          <w:color w:val="auto"/>
          <w:sz w:val="24"/>
          <w:szCs w:val="24"/>
          <w:highlight w:val="none"/>
          <w:lang w:eastAsia="zh-CN"/>
        </w:rPr>
      </w:pPr>
    </w:p>
    <w:p w14:paraId="2893B14C">
      <w:pPr>
        <w:spacing w:line="480" w:lineRule="auto"/>
        <w:jc w:val="center"/>
        <w:rPr>
          <w:rFonts w:hint="eastAsia" w:ascii="宋体" w:hAnsi="宋体" w:eastAsia="宋体" w:cs="宋体"/>
          <w:b/>
          <w:bCs/>
          <w:color w:val="auto"/>
          <w:sz w:val="24"/>
          <w:szCs w:val="24"/>
          <w:highlight w:val="none"/>
          <w:lang w:eastAsia="zh-CN"/>
        </w:rPr>
      </w:pPr>
    </w:p>
    <w:p w14:paraId="3EC41548">
      <w:pPr>
        <w:pStyle w:val="3"/>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五</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磋商</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承诺书</w:t>
      </w:r>
    </w:p>
    <w:p w14:paraId="4653C60F">
      <w:pPr>
        <w:spacing w:line="480" w:lineRule="auto"/>
        <w:rPr>
          <w:rFonts w:hint="eastAsia" w:ascii="宋体" w:hAnsi="宋体" w:eastAsia="宋体" w:cs="宋体"/>
          <w:color w:val="auto"/>
          <w:sz w:val="24"/>
          <w:szCs w:val="24"/>
          <w:highlight w:val="none"/>
        </w:rPr>
      </w:pPr>
    </w:p>
    <w:p w14:paraId="7A60B5AF">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（采购人名称/代理机构名称）：</w:t>
      </w:r>
    </w:p>
    <w:p w14:paraId="4081A31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我方承诺，我方满足 《中华人民共和国政府采购法》第二十二条的所有规定。</w:t>
      </w:r>
    </w:p>
    <w:p w14:paraId="571950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58255B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0D4820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30809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3B5188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7A9B60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3C70F38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我方保证上述信息的真实和准确，并愿意承担因我方就此弄虚作假所引起的一切法律后果。</w:t>
      </w:r>
    </w:p>
    <w:p w14:paraId="2582DE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BC956A4">
      <w:pPr>
        <w:widowControl/>
        <w:kinsoku w:val="0"/>
        <w:autoSpaceDE w:val="0"/>
        <w:autoSpaceDN w:val="0"/>
        <w:adjustRightInd w:val="0"/>
        <w:snapToGrid w:val="0"/>
        <w:spacing w:line="273" w:lineRule="auto"/>
        <w:jc w:val="left"/>
        <w:textAlignment w:val="baseline"/>
        <w:rPr>
          <w:rFonts w:hint="eastAsia" w:ascii="宋体" w:hAnsi="宋体" w:eastAsia="宋体" w:cs="宋体"/>
          <w:snapToGrid w:val="0"/>
          <w:color w:val="auto"/>
          <w:kern w:val="0"/>
          <w:highlight w:val="none"/>
        </w:rPr>
      </w:pPr>
    </w:p>
    <w:p w14:paraId="1E5B0747">
      <w:pPr>
        <w:widowControl/>
        <w:kinsoku w:val="0"/>
        <w:autoSpaceDE w:val="0"/>
        <w:autoSpaceDN w:val="0"/>
        <w:adjustRightInd w:val="0"/>
        <w:snapToGrid w:val="0"/>
        <w:spacing w:line="273" w:lineRule="auto"/>
        <w:jc w:val="left"/>
        <w:textAlignment w:val="baseline"/>
        <w:rPr>
          <w:rFonts w:hint="eastAsia" w:ascii="宋体" w:hAnsi="宋体" w:eastAsia="宋体" w:cs="宋体"/>
          <w:snapToGrid w:val="0"/>
          <w:color w:val="auto"/>
          <w:kern w:val="0"/>
          <w:highlight w:val="none"/>
        </w:rPr>
      </w:pPr>
    </w:p>
    <w:p w14:paraId="544AB323">
      <w:pPr>
        <w:widowControl/>
        <w:kinsoku w:val="0"/>
        <w:autoSpaceDE w:val="0"/>
        <w:autoSpaceDN w:val="0"/>
        <w:adjustRightInd w:val="0"/>
        <w:snapToGrid w:val="0"/>
        <w:spacing w:line="273" w:lineRule="auto"/>
        <w:jc w:val="left"/>
        <w:textAlignment w:val="baseline"/>
        <w:rPr>
          <w:rFonts w:hint="eastAsia" w:ascii="宋体" w:hAnsi="宋体" w:eastAsia="宋体" w:cs="宋体"/>
          <w:snapToGrid w:val="0"/>
          <w:color w:val="auto"/>
          <w:kern w:val="0"/>
          <w:highlight w:val="none"/>
        </w:rPr>
      </w:pPr>
    </w:p>
    <w:p w14:paraId="51D2426D">
      <w:pPr>
        <w:widowControl/>
        <w:kinsoku w:val="0"/>
        <w:autoSpaceDE w:val="0"/>
        <w:autoSpaceDN w:val="0"/>
        <w:adjustRightInd w:val="0"/>
        <w:snapToGrid w:val="0"/>
        <w:spacing w:line="273" w:lineRule="auto"/>
        <w:jc w:val="left"/>
        <w:textAlignment w:val="baseline"/>
        <w:rPr>
          <w:rFonts w:hint="eastAsia" w:ascii="宋体" w:hAnsi="宋体" w:eastAsia="宋体" w:cs="宋体"/>
          <w:snapToGrid w:val="0"/>
          <w:color w:val="auto"/>
          <w:kern w:val="0"/>
          <w:highlight w:val="none"/>
        </w:rPr>
      </w:pPr>
    </w:p>
    <w:p w14:paraId="6A141930">
      <w:pPr>
        <w:widowControl/>
        <w:kinsoku w:val="0"/>
        <w:autoSpaceDE w:val="0"/>
        <w:autoSpaceDN w:val="0"/>
        <w:adjustRightInd w:val="0"/>
        <w:snapToGrid w:val="0"/>
        <w:spacing w:line="274" w:lineRule="auto"/>
        <w:jc w:val="left"/>
        <w:textAlignment w:val="baseline"/>
        <w:rPr>
          <w:rFonts w:hint="eastAsia" w:ascii="宋体" w:hAnsi="宋体" w:eastAsia="宋体" w:cs="宋体"/>
          <w:snapToGrid w:val="0"/>
          <w:color w:val="auto"/>
          <w:kern w:val="0"/>
          <w:highlight w:val="none"/>
        </w:rPr>
      </w:pPr>
    </w:p>
    <w:p w14:paraId="451E284C">
      <w:pPr>
        <w:widowControl/>
        <w:kinsoku w:val="0"/>
        <w:autoSpaceDE w:val="0"/>
        <w:autoSpaceDN w:val="0"/>
        <w:adjustRightInd w:val="0"/>
        <w:snapToGrid w:val="0"/>
        <w:spacing w:line="274" w:lineRule="auto"/>
        <w:jc w:val="left"/>
        <w:textAlignment w:val="baseline"/>
        <w:rPr>
          <w:rFonts w:hint="eastAsia" w:ascii="宋体" w:hAnsi="宋体" w:eastAsia="宋体" w:cs="宋体"/>
          <w:snapToGrid w:val="0"/>
          <w:color w:val="auto"/>
          <w:kern w:val="0"/>
          <w:highlight w:val="none"/>
        </w:rPr>
      </w:pPr>
    </w:p>
    <w:p w14:paraId="0372632B">
      <w:pPr>
        <w:widowControl/>
        <w:adjustRightInd w:val="0"/>
        <w:snapToGrid w:val="0"/>
        <w:spacing w:line="360" w:lineRule="auto"/>
        <w:ind w:firstLine="4080" w:firstLineChars="1700"/>
        <w:jc w:val="left"/>
        <w:rPr>
          <w:rFonts w:ascii="宋体" w:hAnsi="宋体" w:eastAsia="宋体" w:cs="宋体"/>
          <w:kern w:val="0"/>
          <w:sz w:val="24"/>
          <w:szCs w:val="20"/>
          <w:u w:val="single"/>
        </w:rPr>
      </w:pP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3296FC88">
      <w:pPr>
        <w:widowControl/>
        <w:adjustRightInd w:val="0"/>
        <w:snapToGrid w:val="0"/>
        <w:spacing w:line="360" w:lineRule="auto"/>
        <w:ind w:firstLine="4080" w:firstLineChars="1700"/>
        <w:jc w:val="left"/>
        <w:rPr>
          <w:rFonts w:ascii="宋体" w:hAnsi="宋体" w:eastAsia="宋体" w:cs="宋体"/>
          <w:kern w:val="0"/>
          <w:sz w:val="24"/>
          <w:szCs w:val="20"/>
          <w:u w:val="single"/>
        </w:rPr>
      </w:pPr>
      <w:r>
        <w:rPr>
          <w:rFonts w:hint="eastAsia" w:ascii="宋体" w:hAnsi="宋体" w:eastAsia="宋体" w:cs="宋体"/>
          <w:kern w:val="0"/>
          <w:sz w:val="24"/>
          <w:szCs w:val="20"/>
        </w:rPr>
        <w:t>法定代表人（签章）：</w:t>
      </w:r>
      <w:r>
        <w:rPr>
          <w:rFonts w:hint="eastAsia" w:ascii="宋体" w:hAnsi="宋体" w:eastAsia="宋体" w:cs="宋体"/>
          <w:kern w:val="0"/>
          <w:sz w:val="24"/>
          <w:szCs w:val="20"/>
          <w:u w:val="single"/>
        </w:rPr>
        <w:t xml:space="preserve">                     </w:t>
      </w:r>
    </w:p>
    <w:p w14:paraId="4C5ADCD6">
      <w:pPr>
        <w:widowControl/>
        <w:adjustRightInd w:val="0"/>
        <w:snapToGrid w:val="0"/>
        <w:spacing w:line="360" w:lineRule="auto"/>
        <w:ind w:firstLine="4080" w:firstLineChars="1700"/>
        <w:jc w:val="left"/>
        <w:rPr>
          <w:rFonts w:hint="eastAsia" w:ascii="宋体" w:hAnsi="宋体" w:eastAsia="宋体" w:cs="宋体"/>
          <w:kern w:val="0"/>
          <w:sz w:val="24"/>
          <w:szCs w:val="20"/>
        </w:rPr>
      </w:pPr>
      <w:r>
        <w:rPr>
          <w:rFonts w:hint="eastAsia" w:ascii="宋体" w:hAnsi="宋体" w:eastAsia="宋体" w:cs="宋体"/>
          <w:kern w:val="0"/>
          <w:sz w:val="24"/>
          <w:szCs w:val="20"/>
        </w:rPr>
        <w:t>日期：</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年</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日</w:t>
      </w:r>
    </w:p>
    <w:p w14:paraId="79D3E830">
      <w:pPr>
        <w:pStyle w:val="5"/>
        <w:rPr>
          <w:rFonts w:hint="eastAsia" w:ascii="宋体" w:hAnsi="宋体" w:eastAsia="宋体" w:cs="宋体"/>
          <w:color w:val="auto"/>
          <w:highlight w:val="none"/>
        </w:rPr>
        <w:sectPr>
          <w:pgSz w:w="11906" w:h="16838"/>
          <w:pgMar w:top="1361" w:right="1361" w:bottom="1361" w:left="1361" w:header="720" w:footer="720" w:gutter="0"/>
          <w:pgBorders>
            <w:top w:val="none" w:sz="0" w:space="0"/>
            <w:left w:val="none" w:sz="0" w:space="0"/>
            <w:bottom w:val="none" w:sz="0" w:space="0"/>
            <w:right w:val="none" w:sz="0" w:space="0"/>
          </w:pgBorders>
          <w:pgNumType w:fmt="decimal"/>
          <w:cols w:space="720" w:num="1"/>
          <w:docGrid w:type="lines" w:linePitch="319" w:charSpace="0"/>
        </w:sectPr>
      </w:pPr>
    </w:p>
    <w:p w14:paraId="1A558AAB">
      <w:pPr>
        <w:spacing w:line="480" w:lineRule="exact"/>
        <w:jc w:val="center"/>
        <w:outlineLvl w:val="0"/>
        <w:rPr>
          <w:rFonts w:ascii="宋体" w:hAnsi="宋体" w:cs="宋体"/>
          <w:b/>
          <w:sz w:val="24"/>
        </w:rPr>
      </w:pPr>
      <w:bookmarkStart w:id="443" w:name="_Toc144905410"/>
      <w:bookmarkStart w:id="444" w:name="_Toc30105"/>
      <w:bookmarkStart w:id="445" w:name="_Toc16387"/>
      <w:bookmarkStart w:id="446" w:name="_Toc15557"/>
      <w:bookmarkStart w:id="447" w:name="_Toc9660"/>
      <w:bookmarkStart w:id="448" w:name="_Toc23739"/>
      <w:r>
        <w:rPr>
          <w:rFonts w:hint="eastAsia" w:ascii="宋体" w:hAnsi="宋体" w:cs="宋体"/>
          <w:b/>
          <w:color w:val="000000"/>
          <w:kern w:val="0"/>
          <w:sz w:val="28"/>
          <w:szCs w:val="28"/>
          <w:lang w:val="en-US" w:eastAsia="zh-CN"/>
        </w:rPr>
        <w:t>六</w:t>
      </w:r>
      <w:r>
        <w:rPr>
          <w:rFonts w:hint="eastAsia" w:ascii="宋体" w:hAnsi="宋体" w:cs="宋体"/>
          <w:b/>
          <w:color w:val="000000"/>
          <w:kern w:val="0"/>
          <w:sz w:val="28"/>
          <w:szCs w:val="28"/>
        </w:rPr>
        <w:t>、</w:t>
      </w:r>
      <w:bookmarkEnd w:id="443"/>
      <w:bookmarkEnd w:id="444"/>
      <w:bookmarkEnd w:id="445"/>
      <w:bookmarkEnd w:id="446"/>
      <w:bookmarkEnd w:id="447"/>
      <w:bookmarkEnd w:id="448"/>
      <w:bookmarkStart w:id="449" w:name="_Toc148365441"/>
      <w:bookmarkStart w:id="450" w:name="_Toc148365114"/>
      <w:r>
        <w:rPr>
          <w:rFonts w:hint="eastAsia" w:ascii="宋体" w:hAnsi="宋体" w:cs="宋体"/>
          <w:b/>
          <w:color w:val="000000"/>
          <w:kern w:val="0"/>
          <w:sz w:val="28"/>
          <w:szCs w:val="28"/>
          <w:lang w:val="en-US" w:eastAsia="zh-CN"/>
        </w:rPr>
        <w:t>磋商</w:t>
      </w:r>
      <w:r>
        <w:rPr>
          <w:rFonts w:hint="eastAsia" w:ascii="宋体" w:hAnsi="宋体" w:eastAsia="宋体" w:cs="宋体"/>
          <w:b/>
          <w:color w:val="000000"/>
          <w:kern w:val="0"/>
          <w:sz w:val="28"/>
          <w:szCs w:val="28"/>
          <w:lang w:val="en-US" w:eastAsia="zh-CN" w:bidi="ar-SA"/>
        </w:rPr>
        <w:t>供应商情况</w:t>
      </w:r>
      <w:bookmarkEnd w:id="449"/>
      <w:bookmarkEnd w:id="450"/>
    </w:p>
    <w:p w14:paraId="51A1FCD5">
      <w:pPr>
        <w:widowControl/>
        <w:spacing w:line="520" w:lineRule="atLeast"/>
        <w:jc w:val="center"/>
        <w:rPr>
          <w:rFonts w:ascii="宋体" w:hAnsi="宋体"/>
          <w:b/>
          <w:bCs/>
          <w:sz w:val="24"/>
        </w:rPr>
      </w:pPr>
      <w:r>
        <w:rPr>
          <w:rFonts w:hint="eastAsia" w:ascii="宋体" w:hAnsi="宋体"/>
          <w:b/>
          <w:bCs/>
          <w:sz w:val="24"/>
        </w:rPr>
        <w:t>（一）基本情况表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1751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CCF9F44">
            <w:pPr>
              <w:wordWrap w:val="0"/>
              <w:spacing w:line="360" w:lineRule="auto"/>
              <w:rPr>
                <w:sz w:val="24"/>
              </w:rPr>
            </w:pPr>
            <w:r>
              <w:rPr>
                <w:rFonts w:hint="eastAsia"/>
                <w:sz w:val="24"/>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58B629F5">
            <w:pPr>
              <w:wordWrap w:val="0"/>
              <w:spacing w:line="360" w:lineRule="auto"/>
              <w:rPr>
                <w:sz w:val="24"/>
              </w:rPr>
            </w:pPr>
          </w:p>
        </w:tc>
      </w:tr>
      <w:tr w14:paraId="1B90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77E44DB">
            <w:pPr>
              <w:wordWrap w:val="0"/>
              <w:spacing w:line="360" w:lineRule="auto"/>
              <w:rPr>
                <w:sz w:val="24"/>
              </w:rPr>
            </w:pPr>
            <w:r>
              <w:rPr>
                <w:rFonts w:hint="eastAsia"/>
                <w:sz w:val="24"/>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2CF7FAE4">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503E642">
            <w:pPr>
              <w:wordWrap w:val="0"/>
              <w:spacing w:line="360" w:lineRule="auto"/>
              <w:rPr>
                <w:sz w:val="24"/>
              </w:rPr>
            </w:pPr>
            <w:r>
              <w:rPr>
                <w:rFonts w:hint="eastAsia"/>
                <w:sz w:val="24"/>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4A54DAE4">
            <w:pPr>
              <w:wordWrap w:val="0"/>
              <w:spacing w:line="360" w:lineRule="auto"/>
              <w:rPr>
                <w:sz w:val="24"/>
              </w:rPr>
            </w:pPr>
          </w:p>
        </w:tc>
      </w:tr>
      <w:tr w14:paraId="75B9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3DD1A87C">
            <w:pPr>
              <w:wordWrap w:val="0"/>
              <w:spacing w:line="360" w:lineRule="auto"/>
              <w:rPr>
                <w:sz w:val="24"/>
              </w:rPr>
            </w:pPr>
            <w:r>
              <w:rPr>
                <w:rFonts w:hint="eastAsia"/>
                <w:sz w:val="24"/>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06087BF8">
            <w:pPr>
              <w:wordWrap w:val="0"/>
              <w:spacing w:line="360" w:lineRule="auto"/>
              <w:rPr>
                <w:sz w:val="24"/>
              </w:rPr>
            </w:pPr>
            <w:r>
              <w:rPr>
                <w:rFonts w:hint="eastAsia"/>
                <w:sz w:val="24"/>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1CA20E65">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21D68BE1">
            <w:pPr>
              <w:wordWrap w:val="0"/>
              <w:spacing w:line="360" w:lineRule="auto"/>
              <w:rPr>
                <w:sz w:val="24"/>
              </w:rPr>
            </w:pPr>
            <w:r>
              <w:rPr>
                <w:rFonts w:hint="eastAsia"/>
                <w:sz w:val="24"/>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0E819CE2">
            <w:pPr>
              <w:wordWrap w:val="0"/>
              <w:spacing w:line="360" w:lineRule="auto"/>
              <w:rPr>
                <w:sz w:val="24"/>
              </w:rPr>
            </w:pPr>
          </w:p>
        </w:tc>
      </w:tr>
      <w:tr w14:paraId="0A30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689FE4A1">
            <w:pPr>
              <w:wordWrap w:val="0"/>
              <w:rPr>
                <w:sz w:val="20"/>
                <w:szCs w:val="20"/>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219563DE">
            <w:pPr>
              <w:wordWrap w:val="0"/>
              <w:spacing w:line="360" w:lineRule="auto"/>
              <w:rPr>
                <w:sz w:val="24"/>
              </w:rPr>
            </w:pPr>
            <w:r>
              <w:rPr>
                <w:rFonts w:hint="eastAsia"/>
                <w:sz w:val="24"/>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0531B50">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68921BAE">
            <w:pPr>
              <w:wordWrap w:val="0"/>
              <w:spacing w:line="360" w:lineRule="auto"/>
              <w:rPr>
                <w:sz w:val="24"/>
              </w:rPr>
            </w:pPr>
            <w:r>
              <w:rPr>
                <w:rFonts w:hint="eastAsia"/>
                <w:sz w:val="24"/>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0E47C645">
            <w:pPr>
              <w:wordWrap w:val="0"/>
              <w:spacing w:line="360" w:lineRule="auto"/>
              <w:rPr>
                <w:sz w:val="24"/>
              </w:rPr>
            </w:pPr>
          </w:p>
        </w:tc>
      </w:tr>
      <w:tr w14:paraId="7987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9E714DC">
            <w:pPr>
              <w:wordWrap w:val="0"/>
              <w:spacing w:line="360" w:lineRule="auto"/>
              <w:rPr>
                <w:sz w:val="24"/>
              </w:rPr>
            </w:pPr>
            <w:r>
              <w:rPr>
                <w:rFonts w:hint="eastAsia"/>
                <w:sz w:val="24"/>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5DA2C895">
            <w:pPr>
              <w:tabs>
                <w:tab w:val="left" w:pos="4776"/>
              </w:tabs>
              <w:wordWrap w:val="0"/>
              <w:spacing w:line="360" w:lineRule="auto"/>
              <w:rPr>
                <w:sz w:val="24"/>
              </w:rPr>
            </w:pPr>
          </w:p>
        </w:tc>
      </w:tr>
      <w:tr w14:paraId="7E22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58402D9">
            <w:pPr>
              <w:wordWrap w:val="0"/>
              <w:spacing w:line="360" w:lineRule="auto"/>
              <w:rPr>
                <w:sz w:val="24"/>
              </w:rPr>
            </w:pPr>
            <w:r>
              <w:rPr>
                <w:rFonts w:hint="eastAsia"/>
                <w:sz w:val="24"/>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6377B929">
            <w:pPr>
              <w:wordWrap w:val="0"/>
              <w:spacing w:line="360" w:lineRule="auto"/>
              <w:rPr>
                <w:sz w:val="24"/>
              </w:rPr>
            </w:pPr>
            <w:r>
              <w:rPr>
                <w:rFonts w:hint="eastAsia"/>
                <w:sz w:val="24"/>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CC7CD1D">
            <w:pPr>
              <w:wordWrap w:val="0"/>
              <w:spacing w:line="360" w:lineRule="auto"/>
              <w:rPr>
                <w:sz w:val="24"/>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5D2329C0">
            <w:pPr>
              <w:wordWrap w:val="0"/>
              <w:spacing w:line="360" w:lineRule="auto"/>
              <w:rPr>
                <w:sz w:val="24"/>
              </w:rPr>
            </w:pPr>
            <w:r>
              <w:rPr>
                <w:rFonts w:hint="eastAsia"/>
                <w:sz w:val="24"/>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73807172">
            <w:pPr>
              <w:wordWrap w:val="0"/>
              <w:spacing w:line="360" w:lineRule="auto"/>
              <w:rPr>
                <w:sz w:val="24"/>
              </w:rPr>
            </w:pPr>
          </w:p>
        </w:tc>
      </w:tr>
      <w:tr w14:paraId="4A72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0299CB7">
            <w:pPr>
              <w:wordWrap w:val="0"/>
              <w:spacing w:line="360" w:lineRule="auto"/>
              <w:rPr>
                <w:sz w:val="24"/>
              </w:rPr>
            </w:pPr>
            <w:r>
              <w:rPr>
                <w:rFonts w:hint="eastAsia"/>
                <w:sz w:val="24"/>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0B6D2810">
            <w:pPr>
              <w:wordWrap w:val="0"/>
              <w:spacing w:line="360" w:lineRule="auto"/>
              <w:rPr>
                <w:sz w:val="24"/>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4C2E2619">
            <w:pPr>
              <w:wordWrap w:val="0"/>
              <w:spacing w:line="360" w:lineRule="auto"/>
              <w:rPr>
                <w:sz w:val="24"/>
              </w:rPr>
            </w:pPr>
            <w:r>
              <w:rPr>
                <w:rFonts w:hint="eastAsia"/>
                <w:sz w:val="24"/>
              </w:rPr>
              <w:t>员工总人数：</w:t>
            </w:r>
          </w:p>
        </w:tc>
      </w:tr>
      <w:tr w14:paraId="25BA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D86EC9C">
            <w:pPr>
              <w:wordWrap w:val="0"/>
              <w:spacing w:line="360" w:lineRule="auto"/>
              <w:rPr>
                <w:sz w:val="24"/>
              </w:rPr>
            </w:pPr>
            <w:r>
              <w:rPr>
                <w:rFonts w:hint="eastAsia"/>
                <w:sz w:val="24"/>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4570624">
            <w:pPr>
              <w:wordWrap w:val="0"/>
              <w:spacing w:line="360" w:lineRule="auto"/>
              <w:rPr>
                <w:sz w:val="24"/>
              </w:rPr>
            </w:pPr>
          </w:p>
        </w:tc>
      </w:tr>
      <w:tr w14:paraId="0D5D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48159DB">
            <w:pPr>
              <w:wordWrap w:val="0"/>
              <w:spacing w:line="360" w:lineRule="auto"/>
              <w:rPr>
                <w:sz w:val="24"/>
              </w:rPr>
            </w:pPr>
            <w:r>
              <w:rPr>
                <w:rFonts w:hint="eastAsia"/>
                <w:sz w:val="24"/>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5090DD1E">
            <w:pPr>
              <w:wordWrap w:val="0"/>
              <w:spacing w:line="360" w:lineRule="auto"/>
              <w:rPr>
                <w:sz w:val="24"/>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7474311D">
            <w:pPr>
              <w:wordWrap w:val="0"/>
              <w:spacing w:line="360" w:lineRule="auto"/>
              <w:rPr>
                <w:sz w:val="24"/>
              </w:rPr>
            </w:pPr>
            <w:r>
              <w:rPr>
                <w:rFonts w:hint="eastAsia"/>
                <w:sz w:val="24"/>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45C74071">
            <w:pPr>
              <w:wordWrap w:val="0"/>
              <w:spacing w:line="360" w:lineRule="auto"/>
              <w:rPr>
                <w:sz w:val="24"/>
              </w:rPr>
            </w:pPr>
          </w:p>
        </w:tc>
      </w:tr>
      <w:tr w14:paraId="6FEB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4B3C0F4">
            <w:pPr>
              <w:wordWrap w:val="0"/>
              <w:spacing w:line="360" w:lineRule="auto"/>
              <w:rPr>
                <w:sz w:val="24"/>
              </w:rPr>
            </w:pPr>
            <w:r>
              <w:rPr>
                <w:rFonts w:hint="eastAsia"/>
                <w:sz w:val="24"/>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D9BAC58">
            <w:pPr>
              <w:wordWrap w:val="0"/>
              <w:spacing w:line="360" w:lineRule="auto"/>
              <w:rPr>
                <w:sz w:val="24"/>
              </w:rPr>
            </w:pPr>
          </w:p>
        </w:tc>
      </w:tr>
      <w:tr w14:paraId="4A22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C9AFDFE">
            <w:pPr>
              <w:wordWrap w:val="0"/>
              <w:spacing w:line="360" w:lineRule="auto"/>
              <w:rPr>
                <w:sz w:val="24"/>
              </w:rPr>
            </w:pPr>
            <w:r>
              <w:rPr>
                <w:rFonts w:hint="eastAsia"/>
                <w:sz w:val="24"/>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3810A0F">
            <w:pPr>
              <w:wordWrap w:val="0"/>
              <w:spacing w:line="360" w:lineRule="auto"/>
              <w:rPr>
                <w:sz w:val="24"/>
              </w:rPr>
            </w:pPr>
          </w:p>
        </w:tc>
      </w:tr>
    </w:tbl>
    <w:p w14:paraId="1AB0072A">
      <w:pPr>
        <w:widowControl/>
        <w:spacing w:line="520" w:lineRule="atLeast"/>
        <w:jc w:val="right"/>
        <w:rPr>
          <w:rFonts w:ascii="宋体" w:hAnsi="宋体"/>
          <w:sz w:val="24"/>
        </w:rPr>
      </w:pPr>
    </w:p>
    <w:p w14:paraId="3A6F7F74">
      <w:pPr>
        <w:widowControl/>
        <w:adjustRightInd w:val="0"/>
        <w:snapToGrid w:val="0"/>
        <w:spacing w:line="360" w:lineRule="auto"/>
        <w:ind w:firstLine="4080" w:firstLineChars="1700"/>
        <w:jc w:val="left"/>
        <w:rPr>
          <w:rFonts w:ascii="宋体" w:hAnsi="宋体" w:eastAsia="宋体" w:cs="宋体"/>
          <w:kern w:val="0"/>
          <w:sz w:val="24"/>
          <w:szCs w:val="20"/>
          <w:u w:val="single"/>
        </w:rPr>
      </w:pP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283EACBE">
      <w:pPr>
        <w:widowControl/>
        <w:adjustRightInd w:val="0"/>
        <w:snapToGrid w:val="0"/>
        <w:spacing w:line="360" w:lineRule="auto"/>
        <w:ind w:firstLine="4080" w:firstLineChars="1700"/>
        <w:jc w:val="left"/>
        <w:rPr>
          <w:rFonts w:ascii="宋体" w:hAnsi="宋体" w:eastAsia="宋体" w:cs="宋体"/>
          <w:kern w:val="0"/>
          <w:sz w:val="24"/>
          <w:szCs w:val="20"/>
          <w:u w:val="single"/>
        </w:rPr>
      </w:pPr>
      <w:r>
        <w:rPr>
          <w:rFonts w:hint="eastAsia" w:ascii="宋体" w:hAnsi="宋体" w:eastAsia="宋体" w:cs="宋体"/>
          <w:kern w:val="0"/>
          <w:sz w:val="24"/>
          <w:szCs w:val="20"/>
        </w:rPr>
        <w:t>法定代表人（签章）：</w:t>
      </w:r>
      <w:r>
        <w:rPr>
          <w:rFonts w:hint="eastAsia" w:ascii="宋体" w:hAnsi="宋体" w:eastAsia="宋体" w:cs="宋体"/>
          <w:kern w:val="0"/>
          <w:sz w:val="24"/>
          <w:szCs w:val="20"/>
          <w:u w:val="single"/>
        </w:rPr>
        <w:t xml:space="preserve">                      </w:t>
      </w:r>
    </w:p>
    <w:p w14:paraId="3BD19AAD">
      <w:pPr>
        <w:widowControl/>
        <w:adjustRightInd w:val="0"/>
        <w:snapToGrid w:val="0"/>
        <w:spacing w:line="360" w:lineRule="auto"/>
        <w:ind w:firstLine="4080" w:firstLineChars="1700"/>
        <w:jc w:val="left"/>
        <w:rPr>
          <w:rFonts w:ascii="宋体" w:hAnsi="宋体" w:eastAsia="宋体" w:cs="宋体"/>
          <w:kern w:val="0"/>
          <w:sz w:val="24"/>
          <w:szCs w:val="20"/>
        </w:rPr>
      </w:pPr>
      <w:r>
        <w:rPr>
          <w:rFonts w:hint="eastAsia" w:ascii="宋体" w:hAnsi="宋体" w:eastAsia="宋体" w:cs="宋体"/>
          <w:kern w:val="0"/>
          <w:sz w:val="24"/>
          <w:szCs w:val="20"/>
        </w:rPr>
        <w:t>日期：</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年</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日</w:t>
      </w:r>
    </w:p>
    <w:p w14:paraId="784EC9A4">
      <w:pPr>
        <w:spacing w:line="480" w:lineRule="auto"/>
        <w:ind w:firstLine="480"/>
        <w:rPr>
          <w:rFonts w:ascii="宋体" w:hAnsi="宋体" w:cs="宋体"/>
          <w:bCs/>
          <w:sz w:val="22"/>
        </w:rPr>
      </w:pPr>
    </w:p>
    <w:p w14:paraId="4829F74B">
      <w:pPr>
        <w:rPr>
          <w:rFonts w:hint="eastAsia" w:ascii="宋体" w:hAnsi="宋体" w:eastAsia="宋体" w:cs="宋体"/>
          <w:b/>
          <w:color w:val="auto"/>
          <w:kern w:val="0"/>
          <w:sz w:val="24"/>
          <w:szCs w:val="28"/>
          <w:highlight w:val="none"/>
        </w:rPr>
      </w:pPr>
      <w:r>
        <w:rPr>
          <w:rFonts w:hint="eastAsia" w:ascii="宋体" w:hAnsi="宋体" w:cs="宋体"/>
          <w:bCs/>
          <w:sz w:val="28"/>
          <w:szCs w:val="32"/>
        </w:rPr>
        <w:br w:type="page"/>
      </w:r>
    </w:p>
    <w:p w14:paraId="3672F368">
      <w:pPr>
        <w:jc w:val="center"/>
        <w:rPr>
          <w:rFonts w:ascii="宋体" w:hAnsi="宋体"/>
          <w:b/>
          <w:bCs/>
          <w:sz w:val="24"/>
        </w:rPr>
      </w:pPr>
      <w:r>
        <w:rPr>
          <w:rFonts w:hint="eastAsia" w:ascii="宋体" w:hAnsi="宋体"/>
          <w:b/>
          <w:bCs/>
          <w:sz w:val="24"/>
        </w:rPr>
        <w:t>（</w:t>
      </w:r>
      <w:r>
        <w:rPr>
          <w:rFonts w:hint="eastAsia" w:ascii="宋体" w:hAnsi="宋体"/>
          <w:b/>
          <w:bCs/>
          <w:sz w:val="24"/>
          <w:lang w:val="en-US" w:eastAsia="zh-CN"/>
        </w:rPr>
        <w:t>二</w:t>
      </w:r>
      <w:r>
        <w:rPr>
          <w:rFonts w:hint="eastAsia" w:ascii="宋体" w:hAnsi="宋体"/>
          <w:b/>
          <w:bCs/>
          <w:sz w:val="24"/>
        </w:rPr>
        <w:t>）资格证明资料</w:t>
      </w:r>
    </w:p>
    <w:p w14:paraId="3CBBF0E9">
      <w:pPr>
        <w:spacing w:line="480" w:lineRule="auto"/>
        <w:ind w:firstLine="480"/>
        <w:rPr>
          <w:rFonts w:ascii="宋体" w:hAnsi="宋体" w:cs="宋体"/>
          <w:bCs/>
          <w:sz w:val="22"/>
        </w:rPr>
      </w:pPr>
    </w:p>
    <w:p w14:paraId="4AD1FC1A">
      <w:pPr>
        <w:jc w:val="center"/>
        <w:rPr>
          <w:rFonts w:hint="eastAsia" w:ascii="宋体" w:hAnsi="宋体" w:cs="宋体"/>
          <w:bCs/>
          <w:color w:val="000000"/>
          <w:sz w:val="24"/>
        </w:rPr>
      </w:pPr>
    </w:p>
    <w:p w14:paraId="5730F97E">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rPr>
      </w:pPr>
    </w:p>
    <w:p w14:paraId="4574C34A">
      <w:pPr>
        <w:spacing w:line="400" w:lineRule="exact"/>
        <w:rPr>
          <w:rFonts w:hint="eastAsia" w:ascii="宋体" w:hAnsi="宋体" w:cs="宋体"/>
          <w:sz w:val="24"/>
        </w:rPr>
      </w:pPr>
      <w:bookmarkStart w:id="451" w:name="_Toc488052468"/>
    </w:p>
    <w:p w14:paraId="3E1740BB">
      <w:pPr>
        <w:tabs>
          <w:tab w:val="left" w:pos="2105"/>
        </w:tabs>
        <w:spacing w:line="400" w:lineRule="exact"/>
        <w:rPr>
          <w:rFonts w:hint="eastAsia" w:ascii="宋体" w:hAnsi="宋体" w:cs="宋体"/>
          <w:sz w:val="24"/>
        </w:rPr>
      </w:pPr>
    </w:p>
    <w:p w14:paraId="42E1E2DA">
      <w:pPr>
        <w:rPr>
          <w:rFonts w:hint="eastAsia" w:ascii="宋体" w:hAnsi="宋体" w:eastAsia="宋体" w:cs="宋体"/>
          <w:bCs/>
          <w:color w:val="000000"/>
          <w:sz w:val="28"/>
          <w:szCs w:val="28"/>
        </w:rPr>
      </w:pPr>
      <w:bookmarkStart w:id="452" w:name="_Toc144905411"/>
      <w:bookmarkStart w:id="453" w:name="_Toc10391"/>
      <w:r>
        <w:rPr>
          <w:rFonts w:hint="eastAsia" w:ascii="宋体" w:hAnsi="宋体" w:eastAsia="宋体" w:cs="宋体"/>
          <w:bCs/>
          <w:color w:val="000000"/>
          <w:sz w:val="28"/>
          <w:szCs w:val="28"/>
        </w:rPr>
        <w:br w:type="page"/>
      </w:r>
    </w:p>
    <w:p w14:paraId="7E945252">
      <w:pPr>
        <w:pStyle w:val="3"/>
        <w:jc w:val="center"/>
        <w:rPr>
          <w:rFonts w:hint="eastAsia" w:ascii="宋体" w:hAnsi="宋体" w:eastAsia="宋体" w:cs="宋体"/>
          <w:b w:val="0"/>
          <w:bCs/>
          <w:color w:val="000000"/>
          <w:sz w:val="28"/>
          <w:szCs w:val="28"/>
        </w:rPr>
      </w:pPr>
      <w:bookmarkStart w:id="454" w:name="_Toc12043"/>
      <w:bookmarkStart w:id="455" w:name="_Toc24834"/>
      <w:bookmarkStart w:id="456" w:name="_Toc17431"/>
      <w:r>
        <w:rPr>
          <w:rFonts w:hint="eastAsia" w:ascii="宋体" w:hAnsi="宋体" w:eastAsia="宋体" w:cs="宋体"/>
          <w:bCs/>
          <w:color w:val="000000"/>
          <w:sz w:val="28"/>
          <w:szCs w:val="28"/>
          <w:lang w:val="en-US" w:eastAsia="zh-CN"/>
        </w:rPr>
        <w:t>七</w:t>
      </w:r>
      <w:r>
        <w:rPr>
          <w:rFonts w:hint="eastAsia" w:ascii="宋体" w:hAnsi="宋体" w:eastAsia="宋体" w:cs="宋体"/>
          <w:bCs/>
          <w:color w:val="000000"/>
          <w:sz w:val="28"/>
          <w:szCs w:val="28"/>
        </w:rPr>
        <w:t>、</w:t>
      </w:r>
      <w:bookmarkEnd w:id="452"/>
      <w:r>
        <w:rPr>
          <w:rFonts w:hint="eastAsia" w:ascii="宋体" w:hAnsi="宋体" w:eastAsia="宋体" w:cs="宋体"/>
          <w:bCs/>
          <w:color w:val="000000"/>
          <w:sz w:val="28"/>
          <w:szCs w:val="28"/>
        </w:rPr>
        <w:t>技术部分</w:t>
      </w:r>
      <w:bookmarkEnd w:id="453"/>
      <w:bookmarkEnd w:id="454"/>
      <w:bookmarkEnd w:id="455"/>
      <w:bookmarkEnd w:id="456"/>
    </w:p>
    <w:p w14:paraId="77E5C716">
      <w:pPr>
        <w:jc w:val="center"/>
        <w:rPr>
          <w:rFonts w:hint="eastAsia" w:ascii="宋体" w:hAnsi="宋体" w:cs="宋体"/>
          <w:bCs/>
          <w:color w:val="000000"/>
          <w:sz w:val="24"/>
        </w:rPr>
      </w:pPr>
      <w:bookmarkStart w:id="457" w:name="_Toc144905412"/>
      <w:bookmarkStart w:id="458" w:name="_Toc109464624"/>
      <w:bookmarkStart w:id="459" w:name="_Toc109465622"/>
      <w:r>
        <w:rPr>
          <w:rFonts w:hint="eastAsia" w:ascii="宋体" w:hAnsi="宋体" w:cs="宋体"/>
          <w:bCs/>
          <w:color w:val="000000"/>
          <w:sz w:val="28"/>
          <w:szCs w:val="28"/>
        </w:rPr>
        <w:t>格式自拟</w:t>
      </w:r>
      <w:bookmarkEnd w:id="457"/>
      <w:bookmarkEnd w:id="458"/>
      <w:bookmarkEnd w:id="459"/>
    </w:p>
    <w:p w14:paraId="58EE7800">
      <w:pPr>
        <w:tabs>
          <w:tab w:val="left" w:pos="2105"/>
        </w:tabs>
        <w:spacing w:line="400" w:lineRule="exact"/>
        <w:ind w:firstLine="3600" w:firstLineChars="1500"/>
        <w:rPr>
          <w:rFonts w:hint="eastAsia" w:ascii="宋体" w:hAnsi="宋体" w:cs="宋体"/>
          <w:sz w:val="24"/>
        </w:rPr>
      </w:pPr>
    </w:p>
    <w:bookmarkEnd w:id="451"/>
    <w:p w14:paraId="4402286E">
      <w:pPr>
        <w:rPr>
          <w:rFonts w:hint="eastAsia" w:ascii="宋体" w:hAnsi="宋体" w:eastAsia="宋体" w:cs="宋体"/>
          <w:bCs/>
          <w:color w:val="000000"/>
          <w:sz w:val="28"/>
          <w:szCs w:val="28"/>
        </w:rPr>
      </w:pPr>
      <w:bookmarkStart w:id="460" w:name="_Toc144905415"/>
      <w:bookmarkStart w:id="461" w:name="_Toc7517"/>
      <w:r>
        <w:rPr>
          <w:rFonts w:hint="eastAsia" w:ascii="宋体" w:hAnsi="宋体" w:eastAsia="宋体" w:cs="宋体"/>
          <w:bCs/>
          <w:color w:val="000000"/>
          <w:sz w:val="28"/>
          <w:szCs w:val="28"/>
        </w:rPr>
        <w:br w:type="page"/>
      </w:r>
    </w:p>
    <w:p w14:paraId="4A620E56">
      <w:pPr>
        <w:pStyle w:val="3"/>
        <w:jc w:val="center"/>
        <w:rPr>
          <w:rFonts w:hint="eastAsia" w:ascii="宋体" w:hAnsi="宋体" w:eastAsia="宋体" w:cs="宋体"/>
          <w:bCs/>
          <w:color w:val="000000"/>
          <w:sz w:val="28"/>
          <w:szCs w:val="28"/>
        </w:rPr>
      </w:pPr>
      <w:bookmarkStart w:id="462" w:name="_Toc27534"/>
      <w:bookmarkStart w:id="463" w:name="_Toc1059"/>
      <w:bookmarkStart w:id="464" w:name="_Toc15240"/>
      <w:r>
        <w:rPr>
          <w:rFonts w:hint="eastAsia" w:ascii="宋体" w:hAnsi="宋体" w:eastAsia="宋体" w:cs="宋体"/>
          <w:bCs/>
          <w:color w:val="000000"/>
          <w:sz w:val="28"/>
          <w:szCs w:val="28"/>
          <w:lang w:val="en-US" w:eastAsia="zh-CN"/>
        </w:rPr>
        <w:t>八</w:t>
      </w:r>
      <w:r>
        <w:rPr>
          <w:rFonts w:hint="eastAsia" w:ascii="宋体" w:hAnsi="宋体" w:eastAsia="宋体" w:cs="宋体"/>
          <w:bCs/>
          <w:color w:val="000000"/>
          <w:sz w:val="28"/>
          <w:szCs w:val="28"/>
        </w:rPr>
        <w:t>、</w:t>
      </w:r>
      <w:bookmarkEnd w:id="460"/>
      <w:r>
        <w:rPr>
          <w:rFonts w:hint="eastAsia" w:ascii="宋体" w:hAnsi="宋体" w:eastAsia="宋体" w:cs="宋体"/>
          <w:bCs/>
          <w:color w:val="000000"/>
          <w:sz w:val="28"/>
          <w:szCs w:val="28"/>
        </w:rPr>
        <w:t>商务部分</w:t>
      </w:r>
      <w:bookmarkEnd w:id="461"/>
      <w:bookmarkEnd w:id="462"/>
      <w:bookmarkEnd w:id="463"/>
      <w:bookmarkEnd w:id="464"/>
    </w:p>
    <w:p w14:paraId="3B939A62">
      <w:pPr>
        <w:jc w:val="center"/>
        <w:rPr>
          <w:rFonts w:hint="eastAsia" w:ascii="宋体" w:hAnsi="宋体" w:cs="宋体"/>
          <w:bCs/>
          <w:color w:val="000000"/>
          <w:sz w:val="24"/>
        </w:rPr>
      </w:pPr>
      <w:bookmarkStart w:id="465" w:name="_Toc109464628"/>
      <w:bookmarkStart w:id="466" w:name="_Toc109465626"/>
      <w:bookmarkStart w:id="467" w:name="_Toc144905416"/>
      <w:r>
        <w:rPr>
          <w:rFonts w:hint="eastAsia" w:ascii="宋体" w:hAnsi="宋体" w:cs="宋体"/>
          <w:bCs/>
          <w:color w:val="000000"/>
          <w:sz w:val="28"/>
          <w:szCs w:val="28"/>
        </w:rPr>
        <w:t>格式自拟</w:t>
      </w:r>
      <w:bookmarkEnd w:id="465"/>
      <w:bookmarkEnd w:id="466"/>
      <w:bookmarkEnd w:id="467"/>
    </w:p>
    <w:p w14:paraId="6904D027">
      <w:pPr>
        <w:pStyle w:val="12"/>
        <w:rPr>
          <w:rFonts w:hint="eastAsia"/>
        </w:rPr>
      </w:pPr>
    </w:p>
    <w:p w14:paraId="7987DC8D">
      <w:pPr>
        <w:pStyle w:val="12"/>
        <w:rPr>
          <w:rFonts w:hint="eastAsia"/>
        </w:rPr>
      </w:pPr>
    </w:p>
    <w:p w14:paraId="20966CAA">
      <w:pPr>
        <w:pStyle w:val="12"/>
        <w:rPr>
          <w:rFonts w:hint="eastAsia"/>
        </w:rPr>
      </w:pPr>
    </w:p>
    <w:p w14:paraId="433B9423">
      <w:pPr>
        <w:pStyle w:val="12"/>
        <w:rPr>
          <w:rFonts w:hint="eastAsia"/>
        </w:rPr>
      </w:pPr>
    </w:p>
    <w:p w14:paraId="5E22733C">
      <w:pPr>
        <w:pStyle w:val="12"/>
        <w:rPr>
          <w:rFonts w:hint="eastAsia"/>
        </w:rPr>
      </w:pPr>
    </w:p>
    <w:p w14:paraId="47D96B21">
      <w:pPr>
        <w:pStyle w:val="12"/>
        <w:rPr>
          <w:rFonts w:hint="eastAsia"/>
        </w:rPr>
      </w:pPr>
    </w:p>
    <w:p w14:paraId="7EADE04F">
      <w:pPr>
        <w:pStyle w:val="12"/>
        <w:rPr>
          <w:rFonts w:hint="eastAsia"/>
        </w:rPr>
      </w:pPr>
    </w:p>
    <w:p w14:paraId="1C81E33B">
      <w:pPr>
        <w:pStyle w:val="12"/>
        <w:rPr>
          <w:rFonts w:hint="eastAsia"/>
        </w:rPr>
      </w:pPr>
    </w:p>
    <w:p w14:paraId="2A12EE5B">
      <w:pPr>
        <w:pStyle w:val="12"/>
        <w:rPr>
          <w:rFonts w:hint="eastAsia"/>
        </w:rPr>
      </w:pPr>
    </w:p>
    <w:p w14:paraId="3181541E">
      <w:pPr>
        <w:pStyle w:val="12"/>
        <w:rPr>
          <w:rFonts w:hint="eastAsia"/>
        </w:rPr>
      </w:pPr>
    </w:p>
    <w:p w14:paraId="63A73F6B">
      <w:pPr>
        <w:pStyle w:val="12"/>
        <w:rPr>
          <w:rFonts w:hint="eastAsia"/>
        </w:rPr>
      </w:pPr>
    </w:p>
    <w:p w14:paraId="03D5EDF4">
      <w:pPr>
        <w:pStyle w:val="12"/>
        <w:rPr>
          <w:rFonts w:hint="eastAsia"/>
        </w:rPr>
      </w:pPr>
    </w:p>
    <w:p w14:paraId="078A9281">
      <w:pPr>
        <w:pStyle w:val="12"/>
        <w:rPr>
          <w:rFonts w:hint="eastAsia"/>
        </w:rPr>
      </w:pPr>
    </w:p>
    <w:p w14:paraId="7DAF6861">
      <w:pPr>
        <w:pStyle w:val="12"/>
        <w:rPr>
          <w:rFonts w:hint="eastAsia"/>
        </w:rPr>
      </w:pPr>
    </w:p>
    <w:p w14:paraId="34B99D68">
      <w:pPr>
        <w:pStyle w:val="12"/>
        <w:rPr>
          <w:rFonts w:hint="eastAsia"/>
        </w:rPr>
      </w:pPr>
    </w:p>
    <w:p w14:paraId="2D649599">
      <w:pPr>
        <w:pStyle w:val="12"/>
        <w:rPr>
          <w:rFonts w:hint="eastAsia"/>
        </w:rPr>
      </w:pPr>
    </w:p>
    <w:p w14:paraId="138035E4">
      <w:pPr>
        <w:pStyle w:val="12"/>
        <w:rPr>
          <w:rFonts w:hint="eastAsia"/>
        </w:rPr>
      </w:pPr>
    </w:p>
    <w:p w14:paraId="42136C84">
      <w:pPr>
        <w:pStyle w:val="12"/>
        <w:rPr>
          <w:rFonts w:hint="eastAsia"/>
        </w:rPr>
      </w:pPr>
    </w:p>
    <w:p w14:paraId="6A5F98E6">
      <w:pPr>
        <w:pStyle w:val="12"/>
        <w:rPr>
          <w:rFonts w:hint="eastAsia"/>
        </w:rPr>
      </w:pPr>
    </w:p>
    <w:p w14:paraId="21881DF4">
      <w:pPr>
        <w:rPr>
          <w:rFonts w:hint="eastAsia" w:ascii="宋体" w:hAnsi="宋体" w:eastAsia="宋体" w:cs="宋体"/>
          <w:color w:val="000000"/>
          <w:kern w:val="0"/>
          <w:sz w:val="28"/>
          <w:szCs w:val="28"/>
        </w:rPr>
      </w:pPr>
      <w:bookmarkStart w:id="468" w:name="_Toc24780"/>
      <w:bookmarkEnd w:id="468"/>
      <w:bookmarkStart w:id="469" w:name="_Toc7615"/>
      <w:bookmarkEnd w:id="469"/>
      <w:bookmarkStart w:id="470" w:name="_Toc447665153"/>
      <w:bookmarkEnd w:id="470"/>
      <w:bookmarkStart w:id="471" w:name="_Toc16483"/>
      <w:bookmarkEnd w:id="471"/>
      <w:bookmarkStart w:id="472" w:name="_Toc23595"/>
      <w:bookmarkEnd w:id="472"/>
      <w:bookmarkStart w:id="473" w:name="_Toc12768"/>
      <w:bookmarkEnd w:id="473"/>
      <w:bookmarkStart w:id="474" w:name="_Toc26275"/>
      <w:bookmarkEnd w:id="474"/>
      <w:bookmarkStart w:id="475" w:name="_Toc6149"/>
      <w:bookmarkStart w:id="476" w:name="_Toc2841"/>
      <w:bookmarkStart w:id="477" w:name="_Toc1811"/>
      <w:bookmarkStart w:id="478" w:name="_Toc13213"/>
      <w:bookmarkStart w:id="479" w:name="_Toc3688"/>
      <w:bookmarkStart w:id="480" w:name="_Toc144905419"/>
      <w:r>
        <w:rPr>
          <w:rFonts w:hint="eastAsia" w:ascii="宋体" w:hAnsi="宋体" w:eastAsia="宋体" w:cs="宋体"/>
          <w:color w:val="000000"/>
          <w:kern w:val="0"/>
          <w:sz w:val="28"/>
          <w:szCs w:val="28"/>
        </w:rPr>
        <w:br w:type="page"/>
      </w:r>
    </w:p>
    <w:p w14:paraId="19F5E099">
      <w:pPr>
        <w:pStyle w:val="3"/>
        <w:jc w:val="center"/>
        <w:rPr>
          <w:rFonts w:hint="eastAsia" w:ascii="宋体" w:hAnsi="宋体" w:eastAsia="宋体" w:cs="宋体"/>
          <w:bCs/>
          <w:color w:val="000000"/>
          <w:sz w:val="28"/>
          <w:szCs w:val="28"/>
          <w:lang w:val="en-US" w:eastAsia="zh-CN"/>
        </w:rPr>
      </w:pPr>
      <w:bookmarkStart w:id="481" w:name="_Toc4257"/>
      <w:bookmarkStart w:id="482" w:name="_Toc6041"/>
      <w:bookmarkStart w:id="483" w:name="_Toc991"/>
      <w:bookmarkStart w:id="484" w:name="_Toc24631"/>
      <w:bookmarkStart w:id="485" w:name="_Toc144905421"/>
      <w:r>
        <w:rPr>
          <w:rFonts w:hint="eastAsia" w:ascii="宋体" w:hAnsi="宋体" w:eastAsia="宋体" w:cs="宋体"/>
          <w:bCs/>
          <w:color w:val="000000"/>
          <w:sz w:val="28"/>
          <w:szCs w:val="28"/>
          <w:lang w:val="en-US" w:eastAsia="zh-CN"/>
        </w:rPr>
        <w:t>九、其他资料</w:t>
      </w:r>
      <w:bookmarkEnd w:id="481"/>
      <w:bookmarkEnd w:id="482"/>
      <w:bookmarkEnd w:id="483"/>
      <w:bookmarkEnd w:id="484"/>
      <w:bookmarkEnd w:id="485"/>
    </w:p>
    <w:p w14:paraId="6BD849E7">
      <w:pPr>
        <w:rPr>
          <w:rFonts w:hint="eastAsia" w:ascii="宋体" w:hAnsi="宋体" w:eastAsia="宋体" w:cs="宋体"/>
          <w:color w:val="000000"/>
          <w:kern w:val="0"/>
          <w:sz w:val="28"/>
          <w:szCs w:val="28"/>
        </w:rPr>
      </w:pPr>
    </w:p>
    <w:p w14:paraId="3DAB6391">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br w:type="page"/>
      </w:r>
    </w:p>
    <w:bookmarkEnd w:id="475"/>
    <w:bookmarkEnd w:id="476"/>
    <w:bookmarkEnd w:id="477"/>
    <w:bookmarkEnd w:id="478"/>
    <w:bookmarkEnd w:id="479"/>
    <w:bookmarkEnd w:id="480"/>
    <w:p w14:paraId="5862114D">
      <w:pPr>
        <w:keepNext/>
        <w:keepLines/>
        <w:spacing w:line="415" w:lineRule="auto"/>
        <w:jc w:val="center"/>
        <w:rPr>
          <w:rFonts w:ascii="宋体" w:hAnsi="宋体" w:cs="宋体"/>
          <w:b/>
          <w:bCs/>
          <w:sz w:val="28"/>
          <w:szCs w:val="28"/>
        </w:rPr>
      </w:pPr>
      <w:bookmarkStart w:id="486" w:name="_Toc144905420"/>
      <w:bookmarkStart w:id="487" w:name="_Toc3802"/>
      <w:bookmarkStart w:id="488" w:name="_Toc109465630"/>
      <w:bookmarkStart w:id="489" w:name="_Toc116401619"/>
      <w:bookmarkStart w:id="490" w:name="_Toc12919"/>
      <w:r>
        <w:rPr>
          <w:rFonts w:hint="eastAsia" w:ascii="宋体" w:hAnsi="宋体" w:cs="宋体"/>
          <w:b/>
          <w:bCs/>
          <w:sz w:val="28"/>
          <w:szCs w:val="28"/>
        </w:rPr>
        <w:t>1、中小企业声明函</w:t>
      </w:r>
      <w:bookmarkEnd w:id="486"/>
      <w:bookmarkEnd w:id="487"/>
      <w:bookmarkEnd w:id="488"/>
      <w:bookmarkEnd w:id="489"/>
    </w:p>
    <w:p w14:paraId="49A9F40A">
      <w:pPr>
        <w:jc w:val="center"/>
        <w:rPr>
          <w:rFonts w:ascii="宋体" w:hAnsi="宋体" w:cs="宋体"/>
          <w:b/>
          <w:bCs/>
          <w:iCs/>
          <w:sz w:val="24"/>
          <w:szCs w:val="24"/>
        </w:rPr>
      </w:pPr>
      <w:r>
        <w:rPr>
          <w:rFonts w:hint="eastAsia" w:ascii="宋体" w:hAnsi="宋体" w:cs="宋体"/>
          <w:b/>
          <w:bCs/>
          <w:iCs/>
          <w:sz w:val="24"/>
          <w:szCs w:val="24"/>
        </w:rPr>
        <w:t>（属于中小企业的填写，不属于的无需填写此项内容）</w:t>
      </w:r>
    </w:p>
    <w:p w14:paraId="13D32FFB">
      <w:pPr>
        <w:spacing w:line="360" w:lineRule="auto"/>
        <w:ind w:firstLine="480" w:firstLineChars="200"/>
        <w:rPr>
          <w:rFonts w:ascii="宋体" w:hAnsi="宋体"/>
          <w:sz w:val="24"/>
          <w:szCs w:val="24"/>
        </w:rPr>
      </w:pPr>
    </w:p>
    <w:p w14:paraId="6B5DC812">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本公司（联合体）郑重声明，根据《政府采购促进中小企业发展管理办法》（财库﹝2020﹞46号）的规定，本公司参加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rPr>
        <w:t>采购活动，提供的货物全部由符合政策要求的中小企业制造。相关企业（含联合体中的中小企业、签订分包意向协议的中小企业）的具体情况如下：</w:t>
      </w:r>
    </w:p>
    <w:p w14:paraId="652DE83E">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（标的名称）</w:t>
      </w:r>
      <w:r>
        <w:rPr>
          <w:rFonts w:hint="eastAsia" w:ascii="宋体" w:hAnsi="宋体" w:cs="宋体"/>
          <w:kern w:val="0"/>
          <w:sz w:val="24"/>
          <w:szCs w:val="24"/>
        </w:rPr>
        <w:t xml:space="preserve">，属于 </w:t>
      </w:r>
      <w:r>
        <w:rPr>
          <w:rFonts w:hint="eastAsia" w:ascii="宋体" w:hAnsi="宋体" w:cs="宋体"/>
          <w:kern w:val="0"/>
          <w:sz w:val="24"/>
          <w:szCs w:val="24"/>
          <w:u w:val="single"/>
        </w:rPr>
        <w:t xml:space="preserve">（采购文件中明确的所属行业）  </w:t>
      </w:r>
      <w:r>
        <w:rPr>
          <w:rFonts w:hint="eastAsia" w:ascii="宋体" w:hAnsi="宋体" w:cs="宋体"/>
          <w:kern w:val="0"/>
          <w:sz w:val="24"/>
          <w:szCs w:val="24"/>
        </w:rPr>
        <w:t>行业；制造商为</w:t>
      </w:r>
      <w:r>
        <w:rPr>
          <w:rFonts w:hint="eastAsia" w:ascii="宋体" w:hAnsi="宋体" w:cs="宋体"/>
          <w:kern w:val="0"/>
          <w:sz w:val="24"/>
          <w:szCs w:val="24"/>
          <w:u w:val="single"/>
        </w:rPr>
        <w:t xml:space="preserve"> （企业名称）  </w:t>
      </w:r>
      <w:r>
        <w:rPr>
          <w:rFonts w:hint="eastAsia" w:ascii="宋体" w:hAnsi="宋体" w:cs="宋体"/>
          <w:kern w:val="0"/>
          <w:sz w:val="24"/>
          <w:szCs w:val="24"/>
        </w:rPr>
        <w:t>，从业人员</w:t>
      </w:r>
      <w:r>
        <w:rPr>
          <w:rFonts w:hint="eastAsia" w:ascii="宋体" w:hAnsi="宋体" w:cs="宋体"/>
          <w:kern w:val="0"/>
          <w:sz w:val="24"/>
          <w:szCs w:val="24"/>
          <w:u w:val="single"/>
        </w:rPr>
        <w:t xml:space="preserve">     </w:t>
      </w:r>
      <w:r>
        <w:rPr>
          <w:rFonts w:hint="eastAsia" w:ascii="宋体" w:hAnsi="宋体" w:cs="宋体"/>
          <w:kern w:val="0"/>
          <w:sz w:val="24"/>
          <w:szCs w:val="24"/>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w:t>
      </w:r>
      <w:r>
        <w:rPr>
          <w:rFonts w:hint="eastAsia" w:ascii="宋体" w:hAnsi="宋体" w:cs="宋体"/>
          <w:kern w:val="0"/>
          <w:sz w:val="24"/>
          <w:szCs w:val="24"/>
        </w:rPr>
        <w:t>万元，属于</w:t>
      </w:r>
      <w:r>
        <w:rPr>
          <w:rFonts w:hint="eastAsia" w:ascii="宋体" w:hAnsi="宋体" w:cs="宋体"/>
          <w:kern w:val="0"/>
          <w:sz w:val="24"/>
          <w:szCs w:val="24"/>
          <w:u w:val="single"/>
        </w:rPr>
        <w:t xml:space="preserve"> （中型企业、小型企业、微型企业）</w:t>
      </w:r>
      <w:r>
        <w:rPr>
          <w:rFonts w:hint="eastAsia" w:ascii="宋体" w:hAnsi="宋体" w:cs="宋体"/>
          <w:kern w:val="0"/>
          <w:sz w:val="24"/>
          <w:szCs w:val="24"/>
        </w:rPr>
        <w:t xml:space="preserve"> ；</w:t>
      </w:r>
    </w:p>
    <w:p w14:paraId="4C6A6840">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u w:val="single"/>
        </w:rPr>
        <w:t>（标的名称）</w:t>
      </w:r>
      <w:r>
        <w:rPr>
          <w:rFonts w:hint="eastAsia" w:ascii="宋体" w:hAnsi="宋体" w:cs="宋体"/>
          <w:kern w:val="0"/>
          <w:sz w:val="24"/>
          <w:szCs w:val="24"/>
        </w:rPr>
        <w:t xml:space="preserve">，属于 </w:t>
      </w:r>
      <w:r>
        <w:rPr>
          <w:rFonts w:hint="eastAsia" w:ascii="宋体" w:hAnsi="宋体" w:cs="宋体"/>
          <w:kern w:val="0"/>
          <w:sz w:val="24"/>
          <w:szCs w:val="24"/>
          <w:u w:val="single"/>
        </w:rPr>
        <w:t xml:space="preserve">（采购文件中明确的所属行业）  </w:t>
      </w:r>
      <w:r>
        <w:rPr>
          <w:rFonts w:hint="eastAsia" w:ascii="宋体" w:hAnsi="宋体" w:cs="宋体"/>
          <w:kern w:val="0"/>
          <w:sz w:val="24"/>
          <w:szCs w:val="24"/>
        </w:rPr>
        <w:t>行业；制造商为</w:t>
      </w:r>
      <w:r>
        <w:rPr>
          <w:rFonts w:hint="eastAsia" w:ascii="宋体" w:hAnsi="宋体" w:cs="宋体"/>
          <w:kern w:val="0"/>
          <w:sz w:val="24"/>
          <w:szCs w:val="24"/>
          <w:u w:val="single"/>
        </w:rPr>
        <w:t xml:space="preserve"> （企业名称）  </w:t>
      </w:r>
      <w:r>
        <w:rPr>
          <w:rFonts w:hint="eastAsia" w:ascii="宋体" w:hAnsi="宋体" w:cs="宋体"/>
          <w:kern w:val="0"/>
          <w:sz w:val="24"/>
          <w:szCs w:val="24"/>
        </w:rPr>
        <w:t>，从业人员</w:t>
      </w:r>
      <w:r>
        <w:rPr>
          <w:rFonts w:hint="eastAsia" w:ascii="宋体" w:hAnsi="宋体" w:cs="宋体"/>
          <w:kern w:val="0"/>
          <w:sz w:val="24"/>
          <w:szCs w:val="24"/>
          <w:u w:val="single"/>
        </w:rPr>
        <w:t xml:space="preserve">     </w:t>
      </w:r>
      <w:r>
        <w:rPr>
          <w:rFonts w:hint="eastAsia" w:ascii="宋体" w:hAnsi="宋体" w:cs="宋体"/>
          <w:kern w:val="0"/>
          <w:sz w:val="24"/>
          <w:szCs w:val="24"/>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w:t>
      </w:r>
      <w:r>
        <w:rPr>
          <w:rFonts w:hint="eastAsia" w:ascii="宋体" w:hAnsi="宋体" w:cs="宋体"/>
          <w:kern w:val="0"/>
          <w:sz w:val="24"/>
          <w:szCs w:val="24"/>
        </w:rPr>
        <w:t>万元，属于</w:t>
      </w:r>
      <w:r>
        <w:rPr>
          <w:rFonts w:hint="eastAsia" w:ascii="宋体" w:hAnsi="宋体" w:cs="宋体"/>
          <w:kern w:val="0"/>
          <w:sz w:val="24"/>
          <w:szCs w:val="24"/>
          <w:u w:val="single"/>
        </w:rPr>
        <w:t xml:space="preserve"> （中型企业、小型企业、微型企业）</w:t>
      </w:r>
      <w:r>
        <w:rPr>
          <w:rFonts w:hint="eastAsia" w:ascii="宋体" w:hAnsi="宋体" w:cs="宋体"/>
          <w:kern w:val="0"/>
          <w:sz w:val="24"/>
          <w:szCs w:val="24"/>
        </w:rPr>
        <w:t xml:space="preserve"> ；</w:t>
      </w:r>
    </w:p>
    <w:p w14:paraId="4C638F78">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w:t>
      </w:r>
    </w:p>
    <w:p w14:paraId="270C3E0D">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14:paraId="57082C87">
      <w:pPr>
        <w:autoSpaceDE w:val="0"/>
        <w:autoSpaceDN w:val="0"/>
        <w:spacing w:line="360" w:lineRule="auto"/>
        <w:ind w:firstLine="480" w:firstLineChars="200"/>
        <w:rPr>
          <w:rFonts w:hint="eastAsia" w:ascii="宋体" w:hAnsi="宋体" w:cs="宋体"/>
          <w:kern w:val="0"/>
          <w:sz w:val="24"/>
          <w:szCs w:val="24"/>
        </w:rPr>
      </w:pPr>
    </w:p>
    <w:p w14:paraId="5E857E09">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本企业对上述声明内容的真实性负责。如有虚假，将依法承担相应责任。</w:t>
      </w:r>
    </w:p>
    <w:p w14:paraId="0A4666D3">
      <w:pPr>
        <w:autoSpaceDE w:val="0"/>
        <w:autoSpaceDN w:val="0"/>
        <w:spacing w:line="360" w:lineRule="auto"/>
        <w:ind w:firstLine="480" w:firstLineChars="200"/>
        <w:rPr>
          <w:rFonts w:hint="eastAsia" w:ascii="宋体" w:hAnsi="宋体" w:cs="宋体"/>
          <w:kern w:val="0"/>
          <w:sz w:val="24"/>
          <w:szCs w:val="24"/>
        </w:rPr>
      </w:pPr>
    </w:p>
    <w:p w14:paraId="19997B5F">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企业名称（盖章）：</w:t>
      </w:r>
      <w:r>
        <w:rPr>
          <w:rFonts w:hint="eastAsia" w:ascii="宋体" w:hAnsi="宋体"/>
          <w:color w:val="000000"/>
          <w:kern w:val="0"/>
          <w:sz w:val="24"/>
          <w:szCs w:val="24"/>
          <w:u w:val="single"/>
        </w:rPr>
        <w:t xml:space="preserve">          </w:t>
      </w:r>
    </w:p>
    <w:p w14:paraId="13B5FD5F">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olor w:val="000000"/>
          <w:kern w:val="0"/>
          <w:sz w:val="24"/>
          <w:szCs w:val="24"/>
          <w:u w:val="single"/>
        </w:rPr>
        <w:t xml:space="preserve">     </w:t>
      </w:r>
      <w:r>
        <w:rPr>
          <w:rFonts w:hint="eastAsia" w:ascii="宋体" w:hAnsi="宋体" w:cs="宋体"/>
          <w:kern w:val="0"/>
          <w:sz w:val="24"/>
          <w:szCs w:val="24"/>
        </w:rPr>
        <w:t>年</w:t>
      </w:r>
      <w:r>
        <w:rPr>
          <w:rFonts w:hint="eastAsia" w:ascii="宋体" w:hAnsi="宋体"/>
          <w:color w:val="000000"/>
          <w:kern w:val="0"/>
          <w:sz w:val="24"/>
          <w:szCs w:val="24"/>
          <w:u w:val="single"/>
        </w:rPr>
        <w:t xml:space="preserve">     </w:t>
      </w:r>
      <w:r>
        <w:rPr>
          <w:rFonts w:hint="eastAsia" w:ascii="宋体" w:hAnsi="宋体" w:cs="宋体"/>
          <w:kern w:val="0"/>
          <w:sz w:val="24"/>
          <w:szCs w:val="24"/>
        </w:rPr>
        <w:t>月</w:t>
      </w:r>
      <w:r>
        <w:rPr>
          <w:rFonts w:hint="eastAsia" w:ascii="宋体" w:hAnsi="宋体"/>
          <w:color w:val="000000"/>
          <w:kern w:val="0"/>
          <w:sz w:val="24"/>
          <w:szCs w:val="24"/>
          <w:u w:val="single"/>
        </w:rPr>
        <w:t xml:space="preserve">     </w:t>
      </w:r>
      <w:r>
        <w:rPr>
          <w:rFonts w:hint="eastAsia" w:ascii="宋体" w:hAnsi="宋体" w:cs="宋体"/>
          <w:kern w:val="0"/>
          <w:sz w:val="24"/>
          <w:szCs w:val="24"/>
        </w:rPr>
        <w:t>日</w:t>
      </w:r>
    </w:p>
    <w:p w14:paraId="79D6D9D5">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说明：</w:t>
      </w:r>
    </w:p>
    <w:p w14:paraId="4106B68C">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1、填写前请认真阅读《财政部、工业和信息化部关于印发《政府采购促进中小企业发展管理办法》的通知（财库[2020]46 号）相关规定。</w:t>
      </w:r>
    </w:p>
    <w:p w14:paraId="5C40C4C4">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2、从业人员、营业收入、资产总额填报上一年度数据，无上一年度数据的新成立企业可不填报。</w:t>
      </w:r>
    </w:p>
    <w:p w14:paraId="6D66FA2B">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3、未按上述要求提供、填写的，评审时不予以考虑。</w:t>
      </w:r>
    </w:p>
    <w:p w14:paraId="36F9475C">
      <w:pPr>
        <w:spacing w:line="360" w:lineRule="auto"/>
        <w:jc w:val="center"/>
        <w:rPr>
          <w:rFonts w:ascii="宋体" w:hAnsi="宋体" w:cs="宋体"/>
          <w:b/>
          <w:bCs/>
          <w:sz w:val="32"/>
          <w:szCs w:val="32"/>
        </w:rPr>
      </w:pPr>
      <w:r>
        <w:rPr>
          <w:rFonts w:ascii="宋体" w:hAnsi="宋体"/>
          <w:b/>
          <w:bCs/>
          <w:sz w:val="28"/>
          <w:szCs w:val="32"/>
        </w:rPr>
        <w:br w:type="page"/>
      </w:r>
      <w:r>
        <w:rPr>
          <w:rFonts w:hint="eastAsia" w:ascii="宋体" w:hAnsi="宋体"/>
          <w:b/>
          <w:bCs/>
          <w:sz w:val="28"/>
          <w:szCs w:val="32"/>
        </w:rPr>
        <w:t>2、</w:t>
      </w:r>
      <w:r>
        <w:rPr>
          <w:rFonts w:ascii="宋体" w:hAnsi="宋体" w:cs="宋体"/>
          <w:b/>
          <w:bCs/>
          <w:sz w:val="28"/>
          <w:szCs w:val="32"/>
        </w:rPr>
        <w:t>残疾人福利性单位声明函</w:t>
      </w:r>
    </w:p>
    <w:p w14:paraId="51C82AF3">
      <w:pPr>
        <w:jc w:val="center"/>
        <w:rPr>
          <w:rFonts w:ascii="宋体" w:hAnsi="宋体" w:cs="宋体"/>
          <w:b/>
          <w:bCs/>
          <w:iCs/>
          <w:sz w:val="24"/>
          <w:szCs w:val="24"/>
        </w:rPr>
      </w:pPr>
      <w:r>
        <w:rPr>
          <w:rFonts w:hint="eastAsia" w:ascii="宋体" w:hAnsi="宋体" w:cs="宋体"/>
          <w:b/>
          <w:bCs/>
          <w:iCs/>
          <w:sz w:val="24"/>
          <w:szCs w:val="24"/>
        </w:rPr>
        <w:t>（属于残疾人福利性单位的填写，不属于的无需填写此项内容）</w:t>
      </w:r>
    </w:p>
    <w:p w14:paraId="4B839224">
      <w:pPr>
        <w:spacing w:line="360" w:lineRule="auto"/>
        <w:jc w:val="center"/>
        <w:rPr>
          <w:rFonts w:hint="eastAsia" w:ascii="宋体" w:hAnsi="宋体" w:cs="宋体"/>
          <w:b/>
          <w:bCs/>
          <w:sz w:val="32"/>
          <w:szCs w:val="32"/>
        </w:rPr>
      </w:pPr>
    </w:p>
    <w:p w14:paraId="160D7D8B">
      <w:pPr>
        <w:snapToGrid w:val="0"/>
        <w:spacing w:line="520" w:lineRule="exact"/>
        <w:ind w:left="1177" w:leftChars="-72" w:right="84" w:rightChars="40" w:hanging="1328" w:hangingChars="415"/>
        <w:jc w:val="center"/>
        <w:rPr>
          <w:rFonts w:ascii="宋体" w:hAnsi="宋体" w:cs="宋体"/>
          <w:sz w:val="32"/>
          <w:szCs w:val="32"/>
        </w:rPr>
      </w:pPr>
    </w:p>
    <w:p w14:paraId="3D53EC14">
      <w:pPr>
        <w:spacing w:line="360" w:lineRule="auto"/>
        <w:ind w:firstLine="480" w:firstLineChars="200"/>
        <w:rPr>
          <w:rFonts w:ascii="Calibri" w:hAnsi="Calibri" w:cs="宋体"/>
          <w:sz w:val="24"/>
          <w:szCs w:val="24"/>
        </w:rPr>
      </w:pPr>
      <w:r>
        <w:rPr>
          <w:rFonts w:ascii="Calibri" w:hAnsi="Calibri" w:cs="宋体"/>
          <w:sz w:val="24"/>
          <w:szCs w:val="24"/>
        </w:rPr>
        <w:t>本单位郑重声明，根据《财政部 民政部 中国残疾人联合会关于促进残疾人就业政府采购政策的通知》（财库</w:t>
      </w:r>
      <w:r>
        <w:rPr>
          <w:rFonts w:ascii="宋体" w:hAnsi="宋体" w:cs="宋体"/>
          <w:sz w:val="24"/>
          <w:szCs w:val="24"/>
        </w:rPr>
        <w:t>〔2017〕 141</w:t>
      </w:r>
      <w:r>
        <w:rPr>
          <w:rFonts w:ascii="Calibri" w:hAnsi="Calibri" w:cs="宋体"/>
          <w:sz w:val="24"/>
          <w:szCs w:val="24"/>
        </w:rPr>
        <w:t>号）的规定，本单位为符合条件的残疾人福利性单位，且本单位参加______单位的______项目采购活动，</w:t>
      </w:r>
      <w:r>
        <w:rPr>
          <w:rFonts w:hint="eastAsia" w:ascii="Calibri" w:hAnsi="Calibri" w:cs="宋体"/>
          <w:sz w:val="24"/>
          <w:szCs w:val="24"/>
        </w:rPr>
        <w:t>提供本</w:t>
      </w:r>
      <w:r>
        <w:rPr>
          <w:rFonts w:ascii="Calibri" w:hAnsi="Calibri" w:cs="宋体"/>
          <w:sz w:val="24"/>
          <w:szCs w:val="24"/>
        </w:rPr>
        <w:t>单位制造的货物</w:t>
      </w:r>
      <w:r>
        <w:rPr>
          <w:rFonts w:hint="eastAsia" w:ascii="Calibri" w:hAnsi="Calibri" w:cs="宋体"/>
          <w:sz w:val="24"/>
          <w:szCs w:val="24"/>
        </w:rPr>
        <w:t>，</w:t>
      </w:r>
      <w:r>
        <w:rPr>
          <w:rFonts w:ascii="Calibri" w:hAnsi="Calibri" w:cs="宋体"/>
          <w:sz w:val="24"/>
          <w:szCs w:val="24"/>
        </w:rPr>
        <w:t>或者提供其他残疾人福利性单位制造的货物（</w:t>
      </w:r>
      <w:r>
        <w:rPr>
          <w:rFonts w:hint="eastAsia" w:ascii="Calibri" w:hAnsi="Calibri" w:cs="宋体"/>
          <w:sz w:val="24"/>
          <w:szCs w:val="24"/>
        </w:rPr>
        <w:t>不</w:t>
      </w:r>
      <w:r>
        <w:rPr>
          <w:rFonts w:ascii="Calibri" w:hAnsi="Calibri" w:cs="宋体"/>
          <w:sz w:val="24"/>
          <w:szCs w:val="24"/>
        </w:rPr>
        <w:t>包括使用非残疾人福利性单位注册商标的货物）。</w:t>
      </w:r>
    </w:p>
    <w:p w14:paraId="4CA27816">
      <w:pPr>
        <w:spacing w:line="360" w:lineRule="auto"/>
        <w:ind w:firstLine="480" w:firstLineChars="200"/>
        <w:rPr>
          <w:rFonts w:ascii="宋体" w:hAnsi="宋体" w:cs="宋体"/>
          <w:b/>
          <w:bCs/>
          <w:sz w:val="32"/>
          <w:szCs w:val="32"/>
        </w:rPr>
      </w:pPr>
      <w:r>
        <w:rPr>
          <w:rFonts w:ascii="Calibri" w:hAnsi="Calibri" w:cs="宋体"/>
          <w:sz w:val="24"/>
          <w:szCs w:val="24"/>
        </w:rPr>
        <w:t>本单位对上述声明的真实性负责。如有虚假，将依法承担相应责任。</w:t>
      </w:r>
    </w:p>
    <w:p w14:paraId="542BC565">
      <w:pPr>
        <w:spacing w:line="360" w:lineRule="auto"/>
        <w:jc w:val="center"/>
        <w:rPr>
          <w:rFonts w:ascii="宋体" w:hAnsi="宋体" w:cs="宋体"/>
          <w:b/>
          <w:bCs/>
          <w:sz w:val="32"/>
          <w:szCs w:val="32"/>
        </w:rPr>
      </w:pPr>
    </w:p>
    <w:p w14:paraId="2A87B778">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企业名称（盖章）：</w:t>
      </w:r>
      <w:r>
        <w:rPr>
          <w:rFonts w:hint="eastAsia" w:ascii="宋体" w:hAnsi="宋体"/>
          <w:color w:val="000000"/>
          <w:kern w:val="0"/>
          <w:sz w:val="24"/>
          <w:szCs w:val="24"/>
          <w:u w:val="single"/>
        </w:rPr>
        <w:t xml:space="preserve">          </w:t>
      </w:r>
    </w:p>
    <w:p w14:paraId="77D192EC">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olor w:val="000000"/>
          <w:kern w:val="0"/>
          <w:sz w:val="24"/>
          <w:szCs w:val="24"/>
          <w:u w:val="single"/>
        </w:rPr>
        <w:t xml:space="preserve">     </w:t>
      </w:r>
      <w:r>
        <w:rPr>
          <w:rFonts w:hint="eastAsia" w:ascii="宋体" w:hAnsi="宋体" w:cs="宋体"/>
          <w:kern w:val="0"/>
          <w:sz w:val="24"/>
          <w:szCs w:val="24"/>
        </w:rPr>
        <w:t>年</w:t>
      </w:r>
      <w:r>
        <w:rPr>
          <w:rFonts w:hint="eastAsia" w:ascii="宋体" w:hAnsi="宋体"/>
          <w:color w:val="000000"/>
          <w:kern w:val="0"/>
          <w:sz w:val="24"/>
          <w:szCs w:val="24"/>
          <w:u w:val="single"/>
        </w:rPr>
        <w:t xml:space="preserve">     </w:t>
      </w:r>
      <w:r>
        <w:rPr>
          <w:rFonts w:hint="eastAsia" w:ascii="宋体" w:hAnsi="宋体" w:cs="宋体"/>
          <w:kern w:val="0"/>
          <w:sz w:val="24"/>
          <w:szCs w:val="24"/>
        </w:rPr>
        <w:t>月</w:t>
      </w:r>
      <w:r>
        <w:rPr>
          <w:rFonts w:hint="eastAsia" w:ascii="宋体" w:hAnsi="宋体"/>
          <w:color w:val="000000"/>
          <w:kern w:val="0"/>
          <w:sz w:val="24"/>
          <w:szCs w:val="24"/>
          <w:u w:val="single"/>
        </w:rPr>
        <w:t xml:space="preserve">     </w:t>
      </w:r>
      <w:r>
        <w:rPr>
          <w:rFonts w:hint="eastAsia" w:ascii="宋体" w:hAnsi="宋体" w:cs="宋体"/>
          <w:kern w:val="0"/>
          <w:sz w:val="24"/>
          <w:szCs w:val="24"/>
        </w:rPr>
        <w:t>日</w:t>
      </w:r>
    </w:p>
    <w:p w14:paraId="59C39CDC">
      <w:pPr>
        <w:spacing w:line="360" w:lineRule="auto"/>
        <w:jc w:val="center"/>
        <w:rPr>
          <w:rFonts w:ascii="宋体" w:hAnsi="宋体" w:cs="宋体"/>
          <w:b/>
          <w:bCs/>
          <w:sz w:val="32"/>
          <w:szCs w:val="32"/>
        </w:rPr>
      </w:pPr>
    </w:p>
    <w:p w14:paraId="142CF048">
      <w:pPr>
        <w:spacing w:line="360" w:lineRule="auto"/>
        <w:jc w:val="center"/>
        <w:rPr>
          <w:rFonts w:hint="eastAsia" w:ascii="宋体" w:hAnsi="宋体" w:cs="宋体"/>
          <w:b/>
          <w:bCs/>
          <w:sz w:val="28"/>
          <w:szCs w:val="32"/>
        </w:rPr>
      </w:pPr>
      <w:r>
        <w:rPr>
          <w:rFonts w:ascii="宋体" w:hAnsi="宋体" w:cs="宋体"/>
          <w:b/>
          <w:bCs/>
          <w:sz w:val="32"/>
          <w:szCs w:val="32"/>
        </w:rPr>
        <w:br w:type="page"/>
      </w:r>
      <w:r>
        <w:rPr>
          <w:rFonts w:hint="eastAsia" w:ascii="宋体" w:hAnsi="宋体" w:cs="宋体"/>
          <w:b/>
          <w:bCs/>
          <w:sz w:val="28"/>
          <w:szCs w:val="32"/>
        </w:rPr>
        <w:t>3、</w:t>
      </w:r>
      <w:r>
        <w:rPr>
          <w:rFonts w:ascii="宋体" w:hAnsi="宋体" w:cs="宋体"/>
          <w:b/>
          <w:bCs/>
          <w:sz w:val="28"/>
          <w:szCs w:val="32"/>
        </w:rPr>
        <w:t>监狱企业证明文件</w:t>
      </w:r>
    </w:p>
    <w:p w14:paraId="125342FF">
      <w:pPr>
        <w:jc w:val="center"/>
        <w:rPr>
          <w:rFonts w:ascii="宋体" w:hAnsi="宋体" w:cs="宋体"/>
          <w:b/>
          <w:bCs/>
          <w:iCs/>
          <w:sz w:val="24"/>
          <w:szCs w:val="24"/>
        </w:rPr>
      </w:pPr>
      <w:r>
        <w:rPr>
          <w:rFonts w:hint="eastAsia" w:ascii="宋体" w:hAnsi="宋体" w:cs="宋体"/>
          <w:b/>
          <w:bCs/>
          <w:iCs/>
          <w:sz w:val="24"/>
          <w:szCs w:val="24"/>
        </w:rPr>
        <w:t>（属于监狱企业的提供，不属于的无需提供此项内容）</w:t>
      </w:r>
    </w:p>
    <w:p w14:paraId="4080D573">
      <w:pPr>
        <w:spacing w:line="360" w:lineRule="auto"/>
        <w:rPr>
          <w:rFonts w:hint="eastAsia" w:ascii="宋体" w:hAnsi="宋体" w:cs="宋体"/>
          <w:b/>
          <w:bCs/>
          <w:sz w:val="32"/>
          <w:szCs w:val="32"/>
        </w:rPr>
      </w:pPr>
    </w:p>
    <w:p w14:paraId="696A5B87">
      <w:pPr>
        <w:spacing w:line="360" w:lineRule="auto"/>
        <w:ind w:firstLine="480" w:firstLineChars="200"/>
        <w:jc w:val="left"/>
        <w:rPr>
          <w:rFonts w:ascii="宋体" w:hAnsi="宋体" w:cs="宋体"/>
          <w:bCs/>
          <w:sz w:val="24"/>
          <w:szCs w:val="24"/>
        </w:rPr>
      </w:pPr>
      <w:r>
        <w:rPr>
          <w:rFonts w:ascii="宋体" w:hAnsi="宋体" w:cs="宋体"/>
          <w:bCs/>
          <w:sz w:val="24"/>
          <w:szCs w:val="24"/>
        </w:rPr>
        <w:t>（监狱企业参加政府采购活动时，应当提供由省级以上监狱管理局、戒毒管理局(含新疆生产建设兵团)出具的属于监狱企业的证明文件。</w:t>
      </w:r>
    </w:p>
    <w:p w14:paraId="64F64698">
      <w:pPr>
        <w:spacing w:line="360" w:lineRule="auto"/>
        <w:ind w:firstLine="720" w:firstLineChars="300"/>
        <w:jc w:val="left"/>
        <w:rPr>
          <w:rFonts w:hint="eastAsia" w:ascii="宋体" w:hAnsi="宋体" w:cs="宋体"/>
          <w:bCs/>
          <w:sz w:val="24"/>
          <w:szCs w:val="24"/>
        </w:rPr>
      </w:pPr>
    </w:p>
    <w:p w14:paraId="31FAC56B">
      <w:pPr>
        <w:spacing w:line="360" w:lineRule="auto"/>
        <w:ind w:firstLine="720" w:firstLineChars="300"/>
        <w:jc w:val="left"/>
        <w:rPr>
          <w:rFonts w:ascii="宋体" w:hAnsi="宋体" w:cs="宋体"/>
          <w:bCs/>
          <w:sz w:val="24"/>
          <w:szCs w:val="24"/>
        </w:rPr>
      </w:pPr>
      <w:r>
        <w:rPr>
          <w:rFonts w:ascii="宋体" w:hAnsi="宋体" w:cs="宋体"/>
          <w:bCs/>
          <w:sz w:val="24"/>
          <w:szCs w:val="24"/>
        </w:rPr>
        <w:t>注：在</w:t>
      </w:r>
      <w:r>
        <w:rPr>
          <w:rFonts w:hint="eastAsia" w:ascii="宋体" w:hAnsi="宋体" w:cs="宋体"/>
          <w:bCs/>
          <w:sz w:val="24"/>
          <w:szCs w:val="24"/>
        </w:rPr>
        <w:t>响应性文件</w:t>
      </w:r>
      <w:r>
        <w:rPr>
          <w:rFonts w:ascii="宋体" w:hAnsi="宋体" w:cs="宋体"/>
          <w:bCs/>
          <w:sz w:val="24"/>
          <w:szCs w:val="24"/>
        </w:rPr>
        <w:t>中附扫描件</w:t>
      </w:r>
      <w:r>
        <w:rPr>
          <w:rFonts w:hint="eastAsia" w:ascii="宋体" w:hAnsi="宋体" w:cs="宋体"/>
          <w:bCs/>
          <w:sz w:val="24"/>
          <w:szCs w:val="24"/>
        </w:rPr>
        <w:t>。</w:t>
      </w:r>
    </w:p>
    <w:bookmarkEnd w:id="490"/>
    <w:p w14:paraId="3FBA8515">
      <w:pPr>
        <w:pStyle w:val="3"/>
        <w:jc w:val="both"/>
      </w:pPr>
    </w:p>
    <w:p w14:paraId="1F07E63C"/>
    <w:p w14:paraId="24F0CA54">
      <w:pPr>
        <w:pStyle w:val="13"/>
      </w:pPr>
    </w:p>
    <w:p w14:paraId="4BAFA132">
      <w:pPr>
        <w:pStyle w:val="13"/>
      </w:pPr>
    </w:p>
    <w:p w14:paraId="791456F8">
      <w:pPr>
        <w:pStyle w:val="13"/>
      </w:pPr>
    </w:p>
    <w:p w14:paraId="0CF4AB9F">
      <w:pPr>
        <w:pStyle w:val="13"/>
      </w:pPr>
    </w:p>
    <w:p w14:paraId="2F5CFC88">
      <w:pPr>
        <w:pStyle w:val="13"/>
      </w:pPr>
    </w:p>
    <w:p w14:paraId="631DD49B">
      <w:pPr>
        <w:pStyle w:val="13"/>
      </w:pPr>
    </w:p>
    <w:p w14:paraId="5AC7F63B">
      <w:pPr>
        <w:pStyle w:val="13"/>
      </w:pPr>
    </w:p>
    <w:p w14:paraId="4BAC6EA8">
      <w:pPr>
        <w:pStyle w:val="13"/>
      </w:pPr>
    </w:p>
    <w:p w14:paraId="6922E56C">
      <w:pPr>
        <w:pStyle w:val="13"/>
      </w:pPr>
    </w:p>
    <w:p w14:paraId="0ACEA8FA">
      <w:pPr>
        <w:pStyle w:val="13"/>
      </w:pPr>
    </w:p>
    <w:p w14:paraId="14A23759">
      <w:pPr>
        <w:pStyle w:val="13"/>
      </w:pPr>
    </w:p>
    <w:p w14:paraId="7057447A">
      <w:pPr>
        <w:pStyle w:val="13"/>
      </w:pPr>
    </w:p>
    <w:p w14:paraId="063DDE71">
      <w:pPr>
        <w:pStyle w:val="13"/>
      </w:pPr>
    </w:p>
    <w:p w14:paraId="5BDB8AF5">
      <w:pPr>
        <w:pStyle w:val="13"/>
      </w:pPr>
    </w:p>
    <w:p w14:paraId="62A0EF02">
      <w:pPr>
        <w:pStyle w:val="13"/>
      </w:pPr>
    </w:p>
    <w:p w14:paraId="1AB78BFC">
      <w:pPr>
        <w:pStyle w:val="13"/>
      </w:pPr>
    </w:p>
    <w:p w14:paraId="1050C59C">
      <w:pPr>
        <w:pStyle w:val="13"/>
      </w:pPr>
    </w:p>
    <w:p w14:paraId="4F6355BC">
      <w:pPr>
        <w:pStyle w:val="13"/>
      </w:pPr>
    </w:p>
    <w:p w14:paraId="2C7D6205">
      <w:pPr>
        <w:pStyle w:val="13"/>
      </w:pPr>
    </w:p>
    <w:p w14:paraId="156706EB">
      <w:pPr>
        <w:pStyle w:val="13"/>
      </w:pPr>
    </w:p>
    <w:p w14:paraId="7395DD9B">
      <w:pPr>
        <w:pStyle w:val="13"/>
      </w:pPr>
    </w:p>
    <w:p w14:paraId="629F9FD3">
      <w:pPr>
        <w:pStyle w:val="13"/>
      </w:pPr>
    </w:p>
    <w:p w14:paraId="69737F5E">
      <w:pPr>
        <w:pStyle w:val="13"/>
      </w:pPr>
    </w:p>
    <w:p w14:paraId="75674399">
      <w:pPr>
        <w:pStyle w:val="13"/>
      </w:pPr>
    </w:p>
    <w:p w14:paraId="448CDEBA">
      <w:pPr>
        <w:pStyle w:val="13"/>
      </w:pPr>
    </w:p>
    <w:p w14:paraId="499FA433">
      <w:pPr>
        <w:pStyle w:val="13"/>
      </w:pPr>
    </w:p>
    <w:p w14:paraId="28B16F72">
      <w:pPr>
        <w:pStyle w:val="13"/>
      </w:pPr>
    </w:p>
    <w:p w14:paraId="08BB9AB0">
      <w:pPr>
        <w:pStyle w:val="13"/>
      </w:pPr>
    </w:p>
    <w:p w14:paraId="09BCE84E">
      <w:pPr>
        <w:pStyle w:val="13"/>
      </w:pPr>
    </w:p>
    <w:p w14:paraId="6B82151F">
      <w:pPr>
        <w:pStyle w:val="13"/>
      </w:pPr>
    </w:p>
    <w:p w14:paraId="558674A6">
      <w:pPr>
        <w:pStyle w:val="13"/>
      </w:pPr>
    </w:p>
    <w:p w14:paraId="68529A32">
      <w:pPr>
        <w:pStyle w:val="13"/>
      </w:pPr>
    </w:p>
    <w:p w14:paraId="380287D5">
      <w:pPr>
        <w:pStyle w:val="13"/>
      </w:pPr>
    </w:p>
    <w:p w14:paraId="0F328A93">
      <w:pPr>
        <w:pStyle w:val="13"/>
      </w:pPr>
    </w:p>
    <w:p w14:paraId="6CC71D46">
      <w:pPr>
        <w:pStyle w:val="13"/>
      </w:pPr>
    </w:p>
    <w:p w14:paraId="3F730681">
      <w:pPr>
        <w:pStyle w:val="13"/>
      </w:pPr>
    </w:p>
    <w:p w14:paraId="73659EE1">
      <w:pPr>
        <w:pStyle w:val="13"/>
      </w:pPr>
    </w:p>
    <w:p w14:paraId="7B8D0420">
      <w:pPr>
        <w:pStyle w:val="13"/>
      </w:pPr>
    </w:p>
    <w:p w14:paraId="6B41C477">
      <w:pPr>
        <w:pStyle w:val="13"/>
      </w:pPr>
    </w:p>
    <w:p w14:paraId="21B81410">
      <w:pPr>
        <w:pStyle w:val="13"/>
      </w:pPr>
    </w:p>
    <w:p w14:paraId="6C5127DC">
      <w:pPr>
        <w:pStyle w:val="13"/>
      </w:pPr>
    </w:p>
    <w:p w14:paraId="2E7FB75D">
      <w:pPr>
        <w:pStyle w:val="13"/>
      </w:pPr>
    </w:p>
    <w:p w14:paraId="680870F6">
      <w:pPr>
        <w:pStyle w:val="13"/>
      </w:pPr>
    </w:p>
    <w:p w14:paraId="16B1A0D8">
      <w:pPr>
        <w:spacing w:line="360" w:lineRule="auto"/>
        <w:jc w:val="center"/>
        <w:rPr>
          <w:rFonts w:hint="eastAsia" w:ascii="宋体" w:hAnsi="宋体" w:cs="宋体"/>
          <w:b/>
          <w:bCs/>
          <w:sz w:val="28"/>
          <w:szCs w:val="32"/>
          <w:lang w:val="en-US" w:eastAsia="zh-CN"/>
        </w:rPr>
      </w:pPr>
      <w:r>
        <w:rPr>
          <w:rFonts w:hint="eastAsia" w:ascii="宋体" w:hAnsi="宋体" w:cs="宋体"/>
          <w:b/>
          <w:bCs/>
          <w:sz w:val="28"/>
          <w:szCs w:val="32"/>
          <w:lang w:val="en-US" w:eastAsia="zh-CN"/>
        </w:rPr>
        <w:t>4、关于符合本国产品标准的声明函</w:t>
      </w:r>
    </w:p>
    <w:p w14:paraId="38F5C1DA">
      <w:pPr>
        <w:jc w:val="center"/>
        <w:rPr>
          <w:rFonts w:hint="eastAsia" w:ascii="宋体" w:hAnsi="宋体" w:cs="宋体"/>
          <w:b/>
          <w:bCs/>
          <w:iCs/>
          <w:sz w:val="24"/>
          <w:szCs w:val="24"/>
          <w:lang w:val="en-US" w:eastAsia="zh-CN"/>
        </w:rPr>
      </w:pPr>
    </w:p>
    <w:p w14:paraId="6630A5C9">
      <w:pPr>
        <w:numPr>
          <w:ilvl w:val="0"/>
          <w:numId w:val="0"/>
        </w:numPr>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本公司（单位）郑重声明，根据《国务院办公厅关于在政府采购中实施本国产品标准及相关政策的通知》（国办发〔2025〕34 号）的规定，本公司（单位）提供的以下产品属于本国产品。具体情况如下：</w:t>
      </w:r>
    </w:p>
    <w:p w14:paraId="2758FA09">
      <w:pPr>
        <w:numPr>
          <w:ilvl w:val="0"/>
          <w:numId w:val="0"/>
        </w:numPr>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eastAsiaTheme="minorEastAsia"/>
          <w:bCs/>
          <w:kern w:val="2"/>
          <w:sz w:val="24"/>
          <w:szCs w:val="24"/>
          <w:lang w:val="en-US" w:eastAsia="zh-CN" w:bidi="ar-SA"/>
        </w:rPr>
        <w:t>1.</w:t>
      </w:r>
      <w:r>
        <w:rPr>
          <w:rFonts w:hint="eastAsia" w:ascii="宋体" w:hAnsi="宋体" w:cs="宋体"/>
          <w:bCs/>
          <w:sz w:val="24"/>
          <w:szCs w:val="24"/>
          <w:u w:val="single"/>
          <w:lang w:val="en-US" w:eastAsia="zh-CN"/>
        </w:rPr>
        <w:t>（产品名称 1）</w:t>
      </w:r>
      <w:r>
        <w:rPr>
          <w:rFonts w:hint="eastAsia" w:ascii="宋体" w:hAnsi="宋体" w:cs="宋体"/>
          <w:bCs/>
          <w:sz w:val="24"/>
          <w:szCs w:val="24"/>
          <w:lang w:val="en-US" w:eastAsia="zh-CN"/>
        </w:rPr>
        <w:t>，生产厂为</w:t>
      </w:r>
      <w:r>
        <w:rPr>
          <w:rFonts w:hint="eastAsia" w:ascii="宋体" w:hAnsi="宋体" w:cs="宋体"/>
          <w:bCs/>
          <w:sz w:val="24"/>
          <w:szCs w:val="24"/>
          <w:u w:val="single"/>
          <w:lang w:val="en-US" w:eastAsia="zh-CN"/>
        </w:rPr>
        <w:t>（厂名）</w:t>
      </w:r>
      <w:r>
        <w:rPr>
          <w:rFonts w:hint="eastAsia" w:ascii="宋体" w:hAnsi="宋体" w:cs="宋体"/>
          <w:bCs/>
          <w:sz w:val="24"/>
          <w:szCs w:val="24"/>
          <w:lang w:val="en-US" w:eastAsia="zh-CN"/>
        </w:rPr>
        <w:t>，厂址为</w:t>
      </w:r>
      <w:r>
        <w:rPr>
          <w:rFonts w:hint="eastAsia" w:ascii="宋体" w:hAnsi="宋体" w:cs="宋体"/>
          <w:bCs/>
          <w:sz w:val="24"/>
          <w:szCs w:val="24"/>
          <w:u w:val="single"/>
          <w:lang w:val="en-US" w:eastAsia="zh-CN"/>
        </w:rPr>
        <w:t>（生产厂址）</w:t>
      </w:r>
      <w:r>
        <w:rPr>
          <w:rFonts w:hint="eastAsia" w:ascii="宋体" w:hAnsi="宋体" w:cs="宋体"/>
          <w:bCs/>
          <w:sz w:val="24"/>
          <w:szCs w:val="24"/>
          <w:lang w:val="en-US" w:eastAsia="zh-CN"/>
        </w:rPr>
        <w:t>。</w:t>
      </w:r>
      <w:r>
        <w:rPr>
          <w:rFonts w:hint="eastAsia" w:ascii="宋体" w:hAnsi="宋体" w:cs="宋体"/>
          <w:bCs/>
          <w:sz w:val="24"/>
          <w:szCs w:val="24"/>
          <w:u w:val="single"/>
          <w:lang w:val="en-US" w:eastAsia="zh-CN"/>
        </w:rPr>
        <w:t>（产品名称1）</w:t>
      </w:r>
      <w:r>
        <w:rPr>
          <w:rFonts w:hint="eastAsia" w:ascii="宋体" w:hAnsi="宋体" w:cs="宋体"/>
          <w:bCs/>
          <w:sz w:val="24"/>
          <w:szCs w:val="24"/>
          <w:lang w:val="en-US" w:eastAsia="zh-CN"/>
        </w:rPr>
        <w:t xml:space="preserve">的中国境内生产的组件成本占比≥ </w:t>
      </w:r>
      <w:r>
        <w:rPr>
          <w:rFonts w:hint="eastAsia" w:ascii="宋体" w:hAnsi="宋体" w:cs="宋体"/>
          <w:bCs/>
          <w:sz w:val="24"/>
          <w:szCs w:val="24"/>
          <w:u w:val="single"/>
          <w:lang w:val="en-US" w:eastAsia="zh-CN"/>
        </w:rPr>
        <w:t>（规定比例）</w:t>
      </w:r>
      <w:r>
        <w:rPr>
          <w:rFonts w:hint="eastAsia" w:ascii="宋体" w:hAnsi="宋体" w:cs="宋体"/>
          <w:bCs/>
          <w:sz w:val="24"/>
          <w:szCs w:val="24"/>
          <w:lang w:val="en-US" w:eastAsia="zh-CN"/>
        </w:rPr>
        <w:t>。</w:t>
      </w:r>
      <w:r>
        <w:rPr>
          <w:rFonts w:hint="eastAsia" w:ascii="宋体" w:hAnsi="宋体" w:cs="宋体"/>
          <w:bCs/>
          <w:sz w:val="24"/>
          <w:szCs w:val="24"/>
          <w:u w:val="single"/>
          <w:lang w:val="en-US" w:eastAsia="zh-CN"/>
        </w:rPr>
        <w:t>（产品名称1）</w:t>
      </w:r>
      <w:r>
        <w:rPr>
          <w:rFonts w:hint="eastAsia" w:ascii="宋体" w:hAnsi="宋体" w:cs="宋体"/>
          <w:bCs/>
          <w:sz w:val="24"/>
          <w:szCs w:val="24"/>
          <w:lang w:val="en-US" w:eastAsia="zh-CN"/>
        </w:rPr>
        <w:t>的</w:t>
      </w:r>
      <w:r>
        <w:rPr>
          <w:rFonts w:hint="eastAsia" w:ascii="宋体" w:hAnsi="宋体" w:cs="宋体"/>
          <w:bCs/>
          <w:sz w:val="24"/>
          <w:szCs w:val="24"/>
          <w:u w:val="single"/>
          <w:lang w:val="en-US" w:eastAsia="zh-CN"/>
        </w:rPr>
        <w:t>（关键组件）</w:t>
      </w:r>
      <w:r>
        <w:rPr>
          <w:rFonts w:hint="eastAsia" w:ascii="宋体" w:hAnsi="宋体" w:cs="宋体"/>
          <w:bCs/>
          <w:sz w:val="24"/>
          <w:szCs w:val="24"/>
          <w:lang w:val="en-US" w:eastAsia="zh-CN"/>
        </w:rPr>
        <w:t>在中国境内生产。</w:t>
      </w:r>
      <w:r>
        <w:rPr>
          <w:rFonts w:hint="eastAsia" w:ascii="宋体" w:hAnsi="宋体" w:cs="宋体"/>
          <w:bCs/>
          <w:sz w:val="24"/>
          <w:szCs w:val="24"/>
          <w:u w:val="single"/>
          <w:lang w:val="en-US" w:eastAsia="zh-CN"/>
        </w:rPr>
        <w:t>（产品名称 1）</w:t>
      </w:r>
      <w:r>
        <w:rPr>
          <w:rFonts w:hint="eastAsia" w:ascii="宋体" w:hAnsi="宋体" w:cs="宋体"/>
          <w:bCs/>
          <w:sz w:val="24"/>
          <w:szCs w:val="24"/>
          <w:lang w:val="en-US" w:eastAsia="zh-CN"/>
        </w:rPr>
        <w:t>的</w:t>
      </w:r>
      <w:r>
        <w:rPr>
          <w:rFonts w:hint="eastAsia" w:ascii="宋体" w:hAnsi="宋体" w:cs="宋体"/>
          <w:bCs/>
          <w:sz w:val="24"/>
          <w:szCs w:val="24"/>
          <w:u w:val="single"/>
          <w:lang w:val="en-US" w:eastAsia="zh-CN"/>
        </w:rPr>
        <w:t>（关键工序）</w:t>
      </w:r>
      <w:r>
        <w:rPr>
          <w:rFonts w:hint="eastAsia" w:ascii="宋体" w:hAnsi="宋体" w:cs="宋体"/>
          <w:bCs/>
          <w:sz w:val="24"/>
          <w:szCs w:val="24"/>
          <w:lang w:val="en-US" w:eastAsia="zh-CN"/>
        </w:rPr>
        <w:t xml:space="preserve"> 在中国境内完成。</w:t>
      </w:r>
    </w:p>
    <w:p w14:paraId="6DA0B5D7">
      <w:pPr>
        <w:numPr>
          <w:ilvl w:val="0"/>
          <w:numId w:val="0"/>
        </w:numPr>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eastAsiaTheme="minorEastAsia"/>
          <w:bCs/>
          <w:kern w:val="2"/>
          <w:sz w:val="24"/>
          <w:szCs w:val="24"/>
          <w:lang w:val="en-US" w:eastAsia="zh-CN" w:bidi="ar-SA"/>
        </w:rPr>
        <w:t>2.</w:t>
      </w:r>
      <w:r>
        <w:rPr>
          <w:rFonts w:hint="eastAsia" w:ascii="宋体" w:hAnsi="宋体" w:cs="宋体"/>
          <w:bCs/>
          <w:sz w:val="24"/>
          <w:szCs w:val="24"/>
          <w:u w:val="single"/>
          <w:lang w:val="en-US" w:eastAsia="zh-CN"/>
        </w:rPr>
        <w:t>（产品名称2）</w:t>
      </w:r>
      <w:r>
        <w:rPr>
          <w:rFonts w:hint="eastAsia" w:ascii="宋体" w:hAnsi="宋体" w:cs="宋体"/>
          <w:bCs/>
          <w:sz w:val="24"/>
          <w:szCs w:val="24"/>
          <w:lang w:val="en-US" w:eastAsia="zh-CN"/>
        </w:rPr>
        <w:t>，生产厂为</w:t>
      </w:r>
      <w:r>
        <w:rPr>
          <w:rFonts w:hint="eastAsia" w:ascii="宋体" w:hAnsi="宋体" w:cs="宋体"/>
          <w:bCs/>
          <w:sz w:val="24"/>
          <w:szCs w:val="24"/>
          <w:u w:val="single"/>
          <w:lang w:val="en-US" w:eastAsia="zh-CN"/>
        </w:rPr>
        <w:t>（厂名）</w:t>
      </w:r>
      <w:r>
        <w:rPr>
          <w:rFonts w:hint="eastAsia" w:ascii="宋体" w:hAnsi="宋体" w:cs="宋体"/>
          <w:bCs/>
          <w:sz w:val="24"/>
          <w:szCs w:val="24"/>
          <w:lang w:val="en-US" w:eastAsia="zh-CN"/>
        </w:rPr>
        <w:t>，厂址为</w:t>
      </w:r>
      <w:r>
        <w:rPr>
          <w:rFonts w:hint="eastAsia" w:ascii="宋体" w:hAnsi="宋体" w:cs="宋体"/>
          <w:bCs/>
          <w:sz w:val="24"/>
          <w:szCs w:val="24"/>
          <w:u w:val="single"/>
          <w:lang w:val="en-US" w:eastAsia="zh-CN"/>
        </w:rPr>
        <w:t>（生产厂址）</w:t>
      </w:r>
      <w:r>
        <w:rPr>
          <w:rFonts w:hint="eastAsia" w:ascii="宋体" w:hAnsi="宋体" w:cs="宋体"/>
          <w:bCs/>
          <w:sz w:val="24"/>
          <w:szCs w:val="24"/>
          <w:lang w:val="en-US" w:eastAsia="zh-CN"/>
        </w:rPr>
        <w:t>。</w:t>
      </w:r>
      <w:r>
        <w:rPr>
          <w:rFonts w:hint="eastAsia" w:ascii="宋体" w:hAnsi="宋体" w:cs="宋体"/>
          <w:bCs/>
          <w:sz w:val="24"/>
          <w:szCs w:val="24"/>
          <w:u w:val="single"/>
          <w:lang w:val="en-US" w:eastAsia="zh-CN"/>
        </w:rPr>
        <w:t>（产品名称2）</w:t>
      </w:r>
      <w:r>
        <w:rPr>
          <w:rFonts w:hint="eastAsia" w:ascii="宋体" w:hAnsi="宋体" w:cs="宋体"/>
          <w:bCs/>
          <w:sz w:val="24"/>
          <w:szCs w:val="24"/>
          <w:lang w:val="en-US" w:eastAsia="zh-CN"/>
        </w:rPr>
        <w:t xml:space="preserve">的中国境内生产的组件成本占比≥ </w:t>
      </w:r>
      <w:r>
        <w:rPr>
          <w:rFonts w:hint="eastAsia" w:ascii="宋体" w:hAnsi="宋体" w:cs="宋体"/>
          <w:bCs/>
          <w:sz w:val="24"/>
          <w:szCs w:val="24"/>
          <w:u w:val="single"/>
          <w:lang w:val="en-US" w:eastAsia="zh-CN"/>
        </w:rPr>
        <w:t>（规定比例）</w:t>
      </w:r>
      <w:r>
        <w:rPr>
          <w:rFonts w:hint="eastAsia" w:ascii="宋体" w:hAnsi="宋体" w:cs="宋体"/>
          <w:bCs/>
          <w:sz w:val="24"/>
          <w:szCs w:val="24"/>
          <w:lang w:val="en-US" w:eastAsia="zh-CN"/>
        </w:rPr>
        <w:t>。</w:t>
      </w:r>
      <w:r>
        <w:rPr>
          <w:rFonts w:hint="eastAsia" w:ascii="宋体" w:hAnsi="宋体" w:cs="宋体"/>
          <w:bCs/>
          <w:sz w:val="24"/>
          <w:szCs w:val="24"/>
          <w:u w:val="single"/>
          <w:lang w:val="en-US" w:eastAsia="zh-CN"/>
        </w:rPr>
        <w:t>（产品名称2）</w:t>
      </w:r>
      <w:r>
        <w:rPr>
          <w:rFonts w:hint="eastAsia" w:ascii="宋体" w:hAnsi="宋体" w:cs="宋体"/>
          <w:bCs/>
          <w:sz w:val="24"/>
          <w:szCs w:val="24"/>
          <w:lang w:val="en-US" w:eastAsia="zh-CN"/>
        </w:rPr>
        <w:t>的</w:t>
      </w:r>
      <w:r>
        <w:rPr>
          <w:rFonts w:hint="eastAsia" w:ascii="宋体" w:hAnsi="宋体" w:cs="宋体"/>
          <w:bCs/>
          <w:sz w:val="24"/>
          <w:szCs w:val="24"/>
          <w:u w:val="single"/>
          <w:lang w:val="en-US" w:eastAsia="zh-CN"/>
        </w:rPr>
        <w:t>（关键组件）</w:t>
      </w:r>
      <w:r>
        <w:rPr>
          <w:rFonts w:hint="eastAsia" w:ascii="宋体" w:hAnsi="宋体" w:cs="宋体"/>
          <w:bCs/>
          <w:sz w:val="24"/>
          <w:szCs w:val="24"/>
          <w:lang w:val="en-US" w:eastAsia="zh-CN"/>
        </w:rPr>
        <w:t>在中国境内生产。</w:t>
      </w:r>
      <w:r>
        <w:rPr>
          <w:rFonts w:hint="eastAsia" w:ascii="宋体" w:hAnsi="宋体" w:cs="宋体"/>
          <w:bCs/>
          <w:sz w:val="24"/>
          <w:szCs w:val="24"/>
          <w:u w:val="single"/>
          <w:lang w:val="en-US" w:eastAsia="zh-CN"/>
        </w:rPr>
        <w:t>（产品名称 2）</w:t>
      </w:r>
      <w:r>
        <w:rPr>
          <w:rFonts w:hint="eastAsia" w:ascii="宋体" w:hAnsi="宋体" w:cs="宋体"/>
          <w:bCs/>
          <w:sz w:val="24"/>
          <w:szCs w:val="24"/>
          <w:lang w:val="en-US" w:eastAsia="zh-CN"/>
        </w:rPr>
        <w:t>的</w:t>
      </w:r>
      <w:r>
        <w:rPr>
          <w:rFonts w:hint="eastAsia" w:ascii="宋体" w:hAnsi="宋体" w:cs="宋体"/>
          <w:bCs/>
          <w:sz w:val="24"/>
          <w:szCs w:val="24"/>
          <w:u w:val="single"/>
          <w:lang w:val="en-US" w:eastAsia="zh-CN"/>
        </w:rPr>
        <w:t>（关键工序）</w:t>
      </w:r>
      <w:r>
        <w:rPr>
          <w:rFonts w:hint="eastAsia" w:ascii="宋体" w:hAnsi="宋体" w:cs="宋体"/>
          <w:bCs/>
          <w:sz w:val="24"/>
          <w:szCs w:val="24"/>
          <w:lang w:val="en-US" w:eastAsia="zh-CN"/>
        </w:rPr>
        <w:t>在中国境内完成。</w:t>
      </w:r>
    </w:p>
    <w:p w14:paraId="13F6DCB1">
      <w:pPr>
        <w:numPr>
          <w:ilvl w:val="0"/>
          <w:numId w:val="0"/>
        </w:numPr>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w:t>
      </w:r>
    </w:p>
    <w:p w14:paraId="280217A2">
      <w:pPr>
        <w:numPr>
          <w:ilvl w:val="0"/>
          <w:numId w:val="0"/>
        </w:numPr>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本公司（单位）对上述声明内容的真实性负责。如有虚假，愿承担相应法律责任。</w:t>
      </w:r>
    </w:p>
    <w:p w14:paraId="4AE8D295">
      <w:pPr>
        <w:numPr>
          <w:ilvl w:val="0"/>
          <w:numId w:val="0"/>
        </w:numPr>
        <w:spacing w:line="360" w:lineRule="auto"/>
        <w:ind w:firstLine="480" w:firstLineChars="200"/>
        <w:jc w:val="both"/>
        <w:rPr>
          <w:rFonts w:hint="eastAsia" w:ascii="宋体" w:hAnsi="宋体" w:cs="宋体"/>
          <w:bCs/>
          <w:sz w:val="24"/>
          <w:szCs w:val="24"/>
          <w:lang w:val="en-US" w:eastAsia="zh-CN"/>
        </w:rPr>
      </w:pPr>
    </w:p>
    <w:p w14:paraId="71906545">
      <w:pPr>
        <w:numPr>
          <w:ilvl w:val="0"/>
          <w:numId w:val="0"/>
        </w:numPr>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公司（单位）名称（盖章）：</w:t>
      </w:r>
    </w:p>
    <w:p w14:paraId="63AA3F00">
      <w:pPr>
        <w:numPr>
          <w:ilvl w:val="0"/>
          <w:numId w:val="0"/>
        </w:numPr>
        <w:spacing w:line="360" w:lineRule="auto"/>
        <w:ind w:firstLine="480" w:firstLineChars="200"/>
        <w:jc w:val="center"/>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                                     日期：    年   月    日</w:t>
      </w:r>
    </w:p>
    <w:p w14:paraId="311ED1EC">
      <w:pPr>
        <w:numPr>
          <w:ilvl w:val="0"/>
          <w:numId w:val="0"/>
        </w:numPr>
        <w:spacing w:line="360" w:lineRule="auto"/>
        <w:ind w:firstLine="480" w:firstLineChars="200"/>
        <w:jc w:val="center"/>
        <w:rPr>
          <w:rFonts w:hint="eastAsia" w:ascii="宋体" w:hAnsi="宋体" w:cs="宋体"/>
          <w:bCs/>
          <w:sz w:val="24"/>
          <w:szCs w:val="24"/>
          <w:lang w:val="en-US" w:eastAsia="zh-CN"/>
        </w:rPr>
      </w:pPr>
    </w:p>
    <w:p w14:paraId="3989870F">
      <w:pPr>
        <w:numPr>
          <w:ilvl w:val="0"/>
          <w:numId w:val="0"/>
        </w:numPr>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eastAsiaTheme="minorEastAsia"/>
          <w:bCs/>
          <w:kern w:val="2"/>
          <w:sz w:val="24"/>
          <w:szCs w:val="24"/>
          <w:lang w:val="en-US" w:eastAsia="zh-CN" w:bidi="ar-SA"/>
        </w:rPr>
        <w:t>1.</w:t>
      </w:r>
      <w:r>
        <w:rPr>
          <w:rFonts w:hint="eastAsia" w:ascii="宋体" w:hAnsi="宋体" w:cs="宋体"/>
          <w:bCs/>
          <w:sz w:val="24"/>
          <w:szCs w:val="24"/>
          <w:lang w:val="en-US" w:eastAsia="zh-CN"/>
        </w:rPr>
        <w:t>产品如有型号，请在“产品名称”栏一并填写。</w:t>
      </w:r>
    </w:p>
    <w:p w14:paraId="226B34DB">
      <w:pPr>
        <w:numPr>
          <w:ilvl w:val="0"/>
          <w:numId w:val="0"/>
        </w:numPr>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eastAsiaTheme="minorEastAsia"/>
          <w:bCs/>
          <w:kern w:val="2"/>
          <w:sz w:val="24"/>
          <w:szCs w:val="24"/>
          <w:lang w:val="en-US" w:eastAsia="zh-CN" w:bidi="ar-SA"/>
        </w:rPr>
        <w:t>2.</w:t>
      </w:r>
      <w:r>
        <w:rPr>
          <w:rFonts w:hint="eastAsia" w:ascii="宋体" w:hAnsi="宋体" w:cs="宋体"/>
          <w:bCs/>
          <w:sz w:val="24"/>
          <w:szCs w:val="24"/>
          <w:lang w:val="en-US" w:eastAsia="zh-CN"/>
        </w:rPr>
        <w:t>生产厂名与厂址应与生产厂营业执照载明的相关信息保持一致。</w:t>
      </w:r>
    </w:p>
    <w:p w14:paraId="59737DF4">
      <w:pPr>
        <w:numPr>
          <w:ilvl w:val="0"/>
          <w:numId w:val="0"/>
        </w:numPr>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3.该产品的中国境内生产的组件成本占比相关要求实施前，“规定比例”栏可不填，下同。</w:t>
      </w:r>
    </w:p>
    <w:p w14:paraId="267DF91E">
      <w:pPr>
        <w:numPr>
          <w:ilvl w:val="0"/>
          <w:numId w:val="0"/>
        </w:numPr>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4.该产品的关键组件要求实施前，“关键组件”栏可不填，下同。</w:t>
      </w:r>
    </w:p>
    <w:p w14:paraId="272B499F">
      <w:pPr>
        <w:numPr>
          <w:ilvl w:val="0"/>
          <w:numId w:val="0"/>
        </w:numPr>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5.该产品的关键工序要求实施前，“关键工序”栏可不填，下同。</w:t>
      </w:r>
    </w:p>
    <w:p w14:paraId="55A09E79">
      <w:pPr>
        <w:numPr>
          <w:ilvl w:val="0"/>
          <w:numId w:val="0"/>
        </w:numPr>
        <w:spacing w:line="360" w:lineRule="auto"/>
        <w:ind w:firstLine="482" w:firstLineChars="200"/>
        <w:jc w:val="both"/>
        <w:rPr>
          <w:rFonts w:hint="eastAsia" w:ascii="宋体" w:hAnsi="宋体" w:eastAsia="宋体" w:cs="宋体"/>
          <w:b/>
          <w:bCs/>
          <w:color w:val="auto"/>
          <w:sz w:val="24"/>
          <w:szCs w:val="24"/>
          <w:highlight w:val="none"/>
          <w:lang w:val="en-US" w:eastAsia="en-US"/>
        </w:rPr>
      </w:pPr>
    </w:p>
    <w:p w14:paraId="7FAA7E03">
      <w:pPr>
        <w:numPr>
          <w:ilvl w:val="0"/>
          <w:numId w:val="0"/>
        </w:numPr>
        <w:spacing w:line="360" w:lineRule="auto"/>
        <w:ind w:firstLine="482" w:firstLineChars="200"/>
        <w:jc w:val="both"/>
        <w:rPr>
          <w:rFonts w:hint="eastAsia" w:ascii="宋体" w:hAnsi="宋体" w:cs="宋体"/>
          <w:bCs/>
          <w:sz w:val="24"/>
          <w:szCs w:val="24"/>
          <w:lang w:val="en-US" w:eastAsia="zh-CN"/>
        </w:rPr>
      </w:pPr>
      <w:r>
        <w:rPr>
          <w:rFonts w:hint="eastAsia" w:ascii="宋体" w:hAnsi="宋体" w:eastAsia="宋体" w:cs="宋体"/>
          <w:b/>
          <w:bCs/>
          <w:color w:val="auto"/>
          <w:sz w:val="24"/>
          <w:szCs w:val="24"/>
          <w:highlight w:val="none"/>
          <w:lang w:val="en-US" w:eastAsia="en-US"/>
        </w:rPr>
        <w:t>仅有本国产品参与竞争的政府采购项目，本国产品不享受价格扣除评审优惠。</w:t>
      </w:r>
    </w:p>
    <w:p w14:paraId="1C4B77EF">
      <w:pPr>
        <w:numPr>
          <w:ilvl w:val="0"/>
          <w:numId w:val="0"/>
        </w:numPr>
        <w:spacing w:line="360" w:lineRule="auto"/>
        <w:ind w:firstLine="480" w:firstLineChars="200"/>
        <w:jc w:val="both"/>
        <w:rPr>
          <w:rFonts w:hint="eastAsia" w:ascii="宋体" w:hAnsi="宋体" w:cs="宋体"/>
          <w:bCs/>
          <w:sz w:val="24"/>
          <w:szCs w:val="24"/>
          <w:lang w:val="en-US" w:eastAsia="zh-CN"/>
        </w:rPr>
      </w:pPr>
    </w:p>
    <w:p w14:paraId="66267080">
      <w:pPr>
        <w:pStyle w:val="13"/>
      </w:pPr>
    </w:p>
    <w:sectPr>
      <w:footerReference r:id="rId9" w:type="firs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4DB7">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197E5">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3531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73531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977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A733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8A733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7EF2">
    <w:pPr>
      <w:pStyle w:val="6"/>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6ED4C">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C6ED4C">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00D6">
    <w:pPr>
      <w:pStyle w:val="13"/>
      <w:tabs>
        <w:tab w:val="left" w:pos="7017"/>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0059A">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40059A">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68D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02DB">
    <w:pPr>
      <w:pStyle w:val="14"/>
      <w:pBdr>
        <w:bottom w:val="none" w:color="auto" w:sz="0" w:space="1"/>
      </w:pBdr>
      <w:jc w:val="left"/>
      <w:rPr>
        <w:rFonts w:ascii="宋体" w:hAnsi="宋体"/>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2"/>
      <w:numFmt w:val="decimal"/>
      <w:lvlText w:val="%1"/>
      <w:lvlJc w:val="left"/>
      <w:pPr>
        <w:ind w:left="320" w:hanging="420"/>
        <w:jc w:val="right"/>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hMjY1OWJlOWM1OGFhZDU5YWVjMDFiZjllZjdiOGQifQ=="/>
  </w:docVars>
  <w:rsids>
    <w:rsidRoot w:val="3FA642F0"/>
    <w:rsid w:val="001A4716"/>
    <w:rsid w:val="00327CB1"/>
    <w:rsid w:val="00360E24"/>
    <w:rsid w:val="007007DA"/>
    <w:rsid w:val="00726300"/>
    <w:rsid w:val="00C823C4"/>
    <w:rsid w:val="013E61E2"/>
    <w:rsid w:val="0147778C"/>
    <w:rsid w:val="017165B7"/>
    <w:rsid w:val="017A5F6E"/>
    <w:rsid w:val="017B5688"/>
    <w:rsid w:val="019D7AF8"/>
    <w:rsid w:val="01E44FDB"/>
    <w:rsid w:val="01E70628"/>
    <w:rsid w:val="01E73C46"/>
    <w:rsid w:val="01F40F97"/>
    <w:rsid w:val="02225085"/>
    <w:rsid w:val="02426589"/>
    <w:rsid w:val="02FE031F"/>
    <w:rsid w:val="031418F0"/>
    <w:rsid w:val="03435D32"/>
    <w:rsid w:val="03765B79"/>
    <w:rsid w:val="037C7496"/>
    <w:rsid w:val="03C36E72"/>
    <w:rsid w:val="040A684F"/>
    <w:rsid w:val="04131BA8"/>
    <w:rsid w:val="044A6E51"/>
    <w:rsid w:val="045E35EB"/>
    <w:rsid w:val="0471630E"/>
    <w:rsid w:val="049727D9"/>
    <w:rsid w:val="04B862AB"/>
    <w:rsid w:val="04BC5D9C"/>
    <w:rsid w:val="04D60F61"/>
    <w:rsid w:val="04F217BD"/>
    <w:rsid w:val="05094D59"/>
    <w:rsid w:val="05104339"/>
    <w:rsid w:val="053F077B"/>
    <w:rsid w:val="053F69CD"/>
    <w:rsid w:val="05467D5B"/>
    <w:rsid w:val="059F029C"/>
    <w:rsid w:val="05B42F17"/>
    <w:rsid w:val="05DB66F5"/>
    <w:rsid w:val="061127A5"/>
    <w:rsid w:val="067526A6"/>
    <w:rsid w:val="06823015"/>
    <w:rsid w:val="06975B48"/>
    <w:rsid w:val="06A07CF1"/>
    <w:rsid w:val="06C76C7A"/>
    <w:rsid w:val="06CE625A"/>
    <w:rsid w:val="06EC048E"/>
    <w:rsid w:val="072C1C5C"/>
    <w:rsid w:val="07550729"/>
    <w:rsid w:val="076F17EB"/>
    <w:rsid w:val="07891FB8"/>
    <w:rsid w:val="07A86AAB"/>
    <w:rsid w:val="081B54CF"/>
    <w:rsid w:val="08283748"/>
    <w:rsid w:val="0845254C"/>
    <w:rsid w:val="0878647D"/>
    <w:rsid w:val="08CE0793"/>
    <w:rsid w:val="08E81855"/>
    <w:rsid w:val="08F6721C"/>
    <w:rsid w:val="091F4B4B"/>
    <w:rsid w:val="092108C3"/>
    <w:rsid w:val="09320D22"/>
    <w:rsid w:val="093A7BD7"/>
    <w:rsid w:val="095F13EB"/>
    <w:rsid w:val="09896468"/>
    <w:rsid w:val="09BA4874"/>
    <w:rsid w:val="09D04097"/>
    <w:rsid w:val="09E87633"/>
    <w:rsid w:val="09F4161E"/>
    <w:rsid w:val="0A287A2F"/>
    <w:rsid w:val="0A516F86"/>
    <w:rsid w:val="0A92134D"/>
    <w:rsid w:val="0AE4604C"/>
    <w:rsid w:val="0B180167"/>
    <w:rsid w:val="0B275F39"/>
    <w:rsid w:val="0B820127"/>
    <w:rsid w:val="0BBE4019"/>
    <w:rsid w:val="0BCB720C"/>
    <w:rsid w:val="0BDE0CED"/>
    <w:rsid w:val="0BE1433A"/>
    <w:rsid w:val="0C1E10EA"/>
    <w:rsid w:val="0C3E79DE"/>
    <w:rsid w:val="0C4548C9"/>
    <w:rsid w:val="0C5E3BDC"/>
    <w:rsid w:val="0C6236CC"/>
    <w:rsid w:val="0C915D60"/>
    <w:rsid w:val="0CD914B5"/>
    <w:rsid w:val="0CE2480D"/>
    <w:rsid w:val="0CE57E5A"/>
    <w:rsid w:val="0CF12CA2"/>
    <w:rsid w:val="0D183D8B"/>
    <w:rsid w:val="0D63594E"/>
    <w:rsid w:val="0D774F56"/>
    <w:rsid w:val="0D841421"/>
    <w:rsid w:val="0DF06AB6"/>
    <w:rsid w:val="0E1704E7"/>
    <w:rsid w:val="0E1924B1"/>
    <w:rsid w:val="0E592DE1"/>
    <w:rsid w:val="0E682AF0"/>
    <w:rsid w:val="0E99714E"/>
    <w:rsid w:val="0ED10695"/>
    <w:rsid w:val="0EF16F8A"/>
    <w:rsid w:val="0F0767AD"/>
    <w:rsid w:val="0F19203C"/>
    <w:rsid w:val="0F36499C"/>
    <w:rsid w:val="0F5F0397"/>
    <w:rsid w:val="0F6159BE"/>
    <w:rsid w:val="0F8B2F3A"/>
    <w:rsid w:val="0F953D3A"/>
    <w:rsid w:val="0FB71F81"/>
    <w:rsid w:val="0FF54858"/>
    <w:rsid w:val="100470A0"/>
    <w:rsid w:val="101E7BF6"/>
    <w:rsid w:val="1034712E"/>
    <w:rsid w:val="10394744"/>
    <w:rsid w:val="10675755"/>
    <w:rsid w:val="1077526D"/>
    <w:rsid w:val="1088747A"/>
    <w:rsid w:val="10935409"/>
    <w:rsid w:val="109951E3"/>
    <w:rsid w:val="10AD5132"/>
    <w:rsid w:val="10B95885"/>
    <w:rsid w:val="10F845FF"/>
    <w:rsid w:val="11286567"/>
    <w:rsid w:val="113B273E"/>
    <w:rsid w:val="11592BC4"/>
    <w:rsid w:val="11BA7B07"/>
    <w:rsid w:val="12043223"/>
    <w:rsid w:val="122907E8"/>
    <w:rsid w:val="123258EF"/>
    <w:rsid w:val="12372F05"/>
    <w:rsid w:val="123C49C0"/>
    <w:rsid w:val="12541D09"/>
    <w:rsid w:val="126262F4"/>
    <w:rsid w:val="128123D2"/>
    <w:rsid w:val="1283439D"/>
    <w:rsid w:val="12AD31C8"/>
    <w:rsid w:val="12BA7692"/>
    <w:rsid w:val="12BE7896"/>
    <w:rsid w:val="12D93FBD"/>
    <w:rsid w:val="13392CAD"/>
    <w:rsid w:val="13743CE5"/>
    <w:rsid w:val="13AE5449"/>
    <w:rsid w:val="13B30CB1"/>
    <w:rsid w:val="13B9499F"/>
    <w:rsid w:val="13C702B9"/>
    <w:rsid w:val="13E9022F"/>
    <w:rsid w:val="142B4CEC"/>
    <w:rsid w:val="143974B5"/>
    <w:rsid w:val="1445127B"/>
    <w:rsid w:val="147321EF"/>
    <w:rsid w:val="14863CD0"/>
    <w:rsid w:val="14891A12"/>
    <w:rsid w:val="14BC3B96"/>
    <w:rsid w:val="14CB202B"/>
    <w:rsid w:val="14D233B9"/>
    <w:rsid w:val="14DA7938"/>
    <w:rsid w:val="14EF3F6B"/>
    <w:rsid w:val="15194B44"/>
    <w:rsid w:val="1525173B"/>
    <w:rsid w:val="152754B3"/>
    <w:rsid w:val="15363948"/>
    <w:rsid w:val="15396F94"/>
    <w:rsid w:val="157E0E4B"/>
    <w:rsid w:val="15802E15"/>
    <w:rsid w:val="158E72E0"/>
    <w:rsid w:val="158F12AA"/>
    <w:rsid w:val="15A63162"/>
    <w:rsid w:val="15AA1C40"/>
    <w:rsid w:val="1615355E"/>
    <w:rsid w:val="16500317"/>
    <w:rsid w:val="16A179A1"/>
    <w:rsid w:val="16E01DBD"/>
    <w:rsid w:val="16E80C72"/>
    <w:rsid w:val="16EA2C3C"/>
    <w:rsid w:val="171E4694"/>
    <w:rsid w:val="17263548"/>
    <w:rsid w:val="173739A8"/>
    <w:rsid w:val="17797B1C"/>
    <w:rsid w:val="17B80644"/>
    <w:rsid w:val="17DB07D7"/>
    <w:rsid w:val="17DD62FD"/>
    <w:rsid w:val="17FA6EAF"/>
    <w:rsid w:val="1800023D"/>
    <w:rsid w:val="18090EA0"/>
    <w:rsid w:val="181647FE"/>
    <w:rsid w:val="182C1032"/>
    <w:rsid w:val="18345ECF"/>
    <w:rsid w:val="18493992"/>
    <w:rsid w:val="18504D21"/>
    <w:rsid w:val="18624A54"/>
    <w:rsid w:val="18A312F5"/>
    <w:rsid w:val="18BA663E"/>
    <w:rsid w:val="18BC23B6"/>
    <w:rsid w:val="18C66D91"/>
    <w:rsid w:val="18F41ADC"/>
    <w:rsid w:val="19081158"/>
    <w:rsid w:val="19197809"/>
    <w:rsid w:val="19611310"/>
    <w:rsid w:val="198943B9"/>
    <w:rsid w:val="19962C07"/>
    <w:rsid w:val="19A15111"/>
    <w:rsid w:val="19CE05F3"/>
    <w:rsid w:val="19D1065C"/>
    <w:rsid w:val="19EE47F1"/>
    <w:rsid w:val="19FD2C86"/>
    <w:rsid w:val="1A07140F"/>
    <w:rsid w:val="1A316953"/>
    <w:rsid w:val="1A456FB6"/>
    <w:rsid w:val="1A6525DA"/>
    <w:rsid w:val="1A71064D"/>
    <w:rsid w:val="1A930EF5"/>
    <w:rsid w:val="1AA66E7A"/>
    <w:rsid w:val="1ABE0B73"/>
    <w:rsid w:val="1AC217DA"/>
    <w:rsid w:val="1B1262BE"/>
    <w:rsid w:val="1B210BF7"/>
    <w:rsid w:val="1B26620D"/>
    <w:rsid w:val="1B3F2E2B"/>
    <w:rsid w:val="1B4D5548"/>
    <w:rsid w:val="1B590390"/>
    <w:rsid w:val="1B632FBD"/>
    <w:rsid w:val="1B770817"/>
    <w:rsid w:val="1B7B0307"/>
    <w:rsid w:val="1B9413C8"/>
    <w:rsid w:val="1BB11F7A"/>
    <w:rsid w:val="1BE13EE2"/>
    <w:rsid w:val="1C4921B3"/>
    <w:rsid w:val="1C625023"/>
    <w:rsid w:val="1CB810E7"/>
    <w:rsid w:val="1CBF2475"/>
    <w:rsid w:val="1CC7132A"/>
    <w:rsid w:val="1CDA72AF"/>
    <w:rsid w:val="1CDC4DD5"/>
    <w:rsid w:val="1D1A0AA2"/>
    <w:rsid w:val="1D2F75FB"/>
    <w:rsid w:val="1D4604A0"/>
    <w:rsid w:val="1D7F002D"/>
    <w:rsid w:val="1D81597C"/>
    <w:rsid w:val="1D8B2357"/>
    <w:rsid w:val="1D903E12"/>
    <w:rsid w:val="1DAD6772"/>
    <w:rsid w:val="1DD669A1"/>
    <w:rsid w:val="1DDB32DF"/>
    <w:rsid w:val="1E11696C"/>
    <w:rsid w:val="1E2E44E7"/>
    <w:rsid w:val="1E7948A6"/>
    <w:rsid w:val="1E9B2A6E"/>
    <w:rsid w:val="1EA82542"/>
    <w:rsid w:val="1EB44C7D"/>
    <w:rsid w:val="1EE2069D"/>
    <w:rsid w:val="1F134CFA"/>
    <w:rsid w:val="1F185E6D"/>
    <w:rsid w:val="1F1F544D"/>
    <w:rsid w:val="1F291E28"/>
    <w:rsid w:val="1F332CA6"/>
    <w:rsid w:val="1F5C61DB"/>
    <w:rsid w:val="1F62533A"/>
    <w:rsid w:val="1F915A5C"/>
    <w:rsid w:val="1FCA53B9"/>
    <w:rsid w:val="200308CB"/>
    <w:rsid w:val="204A7F1B"/>
    <w:rsid w:val="20880DD0"/>
    <w:rsid w:val="208A0FEC"/>
    <w:rsid w:val="20A756FA"/>
    <w:rsid w:val="20D504B9"/>
    <w:rsid w:val="20E56222"/>
    <w:rsid w:val="210963B5"/>
    <w:rsid w:val="2116462E"/>
    <w:rsid w:val="211F34E2"/>
    <w:rsid w:val="213B4094"/>
    <w:rsid w:val="216B2BCB"/>
    <w:rsid w:val="21701F90"/>
    <w:rsid w:val="21845A3B"/>
    <w:rsid w:val="21AD2A6B"/>
    <w:rsid w:val="21FE57EE"/>
    <w:rsid w:val="2217065D"/>
    <w:rsid w:val="222473F9"/>
    <w:rsid w:val="224551CB"/>
    <w:rsid w:val="22482F0D"/>
    <w:rsid w:val="225E44DE"/>
    <w:rsid w:val="22625D7D"/>
    <w:rsid w:val="2272087D"/>
    <w:rsid w:val="22A04AF7"/>
    <w:rsid w:val="22A75E85"/>
    <w:rsid w:val="22F64717"/>
    <w:rsid w:val="2317348D"/>
    <w:rsid w:val="2318643B"/>
    <w:rsid w:val="235F22BC"/>
    <w:rsid w:val="241906BD"/>
    <w:rsid w:val="241D7A34"/>
    <w:rsid w:val="2480698E"/>
    <w:rsid w:val="24942439"/>
    <w:rsid w:val="25007ACF"/>
    <w:rsid w:val="251E1D03"/>
    <w:rsid w:val="25496D80"/>
    <w:rsid w:val="25570684"/>
    <w:rsid w:val="25B52667"/>
    <w:rsid w:val="25C32FD6"/>
    <w:rsid w:val="25F74A2E"/>
    <w:rsid w:val="25F96201"/>
    <w:rsid w:val="261A4BC0"/>
    <w:rsid w:val="265B02EF"/>
    <w:rsid w:val="266D2F42"/>
    <w:rsid w:val="26864004"/>
    <w:rsid w:val="26CA0394"/>
    <w:rsid w:val="26E17572"/>
    <w:rsid w:val="26E2748C"/>
    <w:rsid w:val="270F7B55"/>
    <w:rsid w:val="277B168E"/>
    <w:rsid w:val="27872CDC"/>
    <w:rsid w:val="27906EE8"/>
    <w:rsid w:val="27914A0E"/>
    <w:rsid w:val="28137B19"/>
    <w:rsid w:val="2818512F"/>
    <w:rsid w:val="283A50A6"/>
    <w:rsid w:val="28991DCC"/>
    <w:rsid w:val="28BA7F95"/>
    <w:rsid w:val="28DC43AF"/>
    <w:rsid w:val="28DE1ED5"/>
    <w:rsid w:val="28E53263"/>
    <w:rsid w:val="290851A4"/>
    <w:rsid w:val="291E22D1"/>
    <w:rsid w:val="294361DC"/>
    <w:rsid w:val="2976035F"/>
    <w:rsid w:val="298E7457"/>
    <w:rsid w:val="29946A38"/>
    <w:rsid w:val="29A70519"/>
    <w:rsid w:val="29B42C36"/>
    <w:rsid w:val="29BA5EFC"/>
    <w:rsid w:val="29BD5F8E"/>
    <w:rsid w:val="2A0E2346"/>
    <w:rsid w:val="2A5D507B"/>
    <w:rsid w:val="2AA35184"/>
    <w:rsid w:val="2AC5334C"/>
    <w:rsid w:val="2AF05827"/>
    <w:rsid w:val="2B2C517A"/>
    <w:rsid w:val="2B7E174D"/>
    <w:rsid w:val="2B830B12"/>
    <w:rsid w:val="2B8E1990"/>
    <w:rsid w:val="2BEF7F55"/>
    <w:rsid w:val="2BF957FB"/>
    <w:rsid w:val="2C131E96"/>
    <w:rsid w:val="2C1F083A"/>
    <w:rsid w:val="2C7333ED"/>
    <w:rsid w:val="2C8E5424"/>
    <w:rsid w:val="2CA70830"/>
    <w:rsid w:val="2CC413E2"/>
    <w:rsid w:val="2CC969F8"/>
    <w:rsid w:val="2CCE5274"/>
    <w:rsid w:val="2CDC672B"/>
    <w:rsid w:val="2CDF7FCA"/>
    <w:rsid w:val="2CF75313"/>
    <w:rsid w:val="2CFA4E04"/>
    <w:rsid w:val="2D2325AC"/>
    <w:rsid w:val="2D340315"/>
    <w:rsid w:val="2D377E06"/>
    <w:rsid w:val="2D5E64D0"/>
    <w:rsid w:val="2D67693D"/>
    <w:rsid w:val="2D8D7A26"/>
    <w:rsid w:val="2D9214E0"/>
    <w:rsid w:val="2D984D48"/>
    <w:rsid w:val="2DD40248"/>
    <w:rsid w:val="2DEE4968"/>
    <w:rsid w:val="2DEF248E"/>
    <w:rsid w:val="2DF14458"/>
    <w:rsid w:val="2E0A551A"/>
    <w:rsid w:val="2E204D3E"/>
    <w:rsid w:val="2E342EF2"/>
    <w:rsid w:val="2E6C1D31"/>
    <w:rsid w:val="2E894691"/>
    <w:rsid w:val="2F0B779C"/>
    <w:rsid w:val="2F177EEF"/>
    <w:rsid w:val="2F3740ED"/>
    <w:rsid w:val="2F3F2FA2"/>
    <w:rsid w:val="2FD302BA"/>
    <w:rsid w:val="2FEC137B"/>
    <w:rsid w:val="30000983"/>
    <w:rsid w:val="303B7C0D"/>
    <w:rsid w:val="303D1BD7"/>
    <w:rsid w:val="303D5733"/>
    <w:rsid w:val="305807BF"/>
    <w:rsid w:val="307153DD"/>
    <w:rsid w:val="30744ECD"/>
    <w:rsid w:val="30A21A3A"/>
    <w:rsid w:val="30A853C0"/>
    <w:rsid w:val="30B26121"/>
    <w:rsid w:val="30C74EBF"/>
    <w:rsid w:val="311A5A74"/>
    <w:rsid w:val="3176480A"/>
    <w:rsid w:val="317A6513"/>
    <w:rsid w:val="319B6BB5"/>
    <w:rsid w:val="31A6555A"/>
    <w:rsid w:val="31A737AC"/>
    <w:rsid w:val="31B859B9"/>
    <w:rsid w:val="31CD0D39"/>
    <w:rsid w:val="31EA18EB"/>
    <w:rsid w:val="31F14A27"/>
    <w:rsid w:val="31F369F1"/>
    <w:rsid w:val="32371D36"/>
    <w:rsid w:val="325154C6"/>
    <w:rsid w:val="329F0927"/>
    <w:rsid w:val="32AC3044"/>
    <w:rsid w:val="32B53CA7"/>
    <w:rsid w:val="32E620B2"/>
    <w:rsid w:val="32ED1692"/>
    <w:rsid w:val="339C6C14"/>
    <w:rsid w:val="339E473B"/>
    <w:rsid w:val="33D22636"/>
    <w:rsid w:val="33DB773D"/>
    <w:rsid w:val="33FB393B"/>
    <w:rsid w:val="33FD3B57"/>
    <w:rsid w:val="340D7B12"/>
    <w:rsid w:val="344A48C2"/>
    <w:rsid w:val="346516FC"/>
    <w:rsid w:val="3482405C"/>
    <w:rsid w:val="34825E0A"/>
    <w:rsid w:val="34C53F49"/>
    <w:rsid w:val="34D67F04"/>
    <w:rsid w:val="34DD1293"/>
    <w:rsid w:val="34FA14B8"/>
    <w:rsid w:val="353220F1"/>
    <w:rsid w:val="353A4937"/>
    <w:rsid w:val="35527ED3"/>
    <w:rsid w:val="3586192A"/>
    <w:rsid w:val="358856A2"/>
    <w:rsid w:val="35B87B53"/>
    <w:rsid w:val="35D5640E"/>
    <w:rsid w:val="360A60B7"/>
    <w:rsid w:val="362D7FF8"/>
    <w:rsid w:val="363B2715"/>
    <w:rsid w:val="3699743B"/>
    <w:rsid w:val="36CA1CEB"/>
    <w:rsid w:val="370E3CA3"/>
    <w:rsid w:val="372E04CB"/>
    <w:rsid w:val="375178DF"/>
    <w:rsid w:val="376143FD"/>
    <w:rsid w:val="376B3E86"/>
    <w:rsid w:val="37E666B0"/>
    <w:rsid w:val="37EA43F2"/>
    <w:rsid w:val="381F1BC2"/>
    <w:rsid w:val="3828316D"/>
    <w:rsid w:val="386A108F"/>
    <w:rsid w:val="386A72E1"/>
    <w:rsid w:val="38C20ECB"/>
    <w:rsid w:val="38C22C79"/>
    <w:rsid w:val="38CC39A8"/>
    <w:rsid w:val="38CE5AC2"/>
    <w:rsid w:val="38E1010B"/>
    <w:rsid w:val="392751D2"/>
    <w:rsid w:val="39B06F76"/>
    <w:rsid w:val="39BC1DFF"/>
    <w:rsid w:val="39BC3B6C"/>
    <w:rsid w:val="39E84962"/>
    <w:rsid w:val="3A0D261A"/>
    <w:rsid w:val="3A192D6D"/>
    <w:rsid w:val="3A347BA7"/>
    <w:rsid w:val="3A39340F"/>
    <w:rsid w:val="3A412809"/>
    <w:rsid w:val="3A687850"/>
    <w:rsid w:val="3A865F28"/>
    <w:rsid w:val="3A9B19D4"/>
    <w:rsid w:val="3AC30F2B"/>
    <w:rsid w:val="3AC86541"/>
    <w:rsid w:val="3AE01ADD"/>
    <w:rsid w:val="3B2E2848"/>
    <w:rsid w:val="3B392F9B"/>
    <w:rsid w:val="3B750AEF"/>
    <w:rsid w:val="3B7F30A4"/>
    <w:rsid w:val="3B954675"/>
    <w:rsid w:val="3BBD597A"/>
    <w:rsid w:val="3BE253E0"/>
    <w:rsid w:val="3BF910A8"/>
    <w:rsid w:val="3C29300F"/>
    <w:rsid w:val="3C4E2A76"/>
    <w:rsid w:val="3C81109D"/>
    <w:rsid w:val="3C9B5B59"/>
    <w:rsid w:val="3CA408E8"/>
    <w:rsid w:val="3CB27A16"/>
    <w:rsid w:val="3CB72746"/>
    <w:rsid w:val="3CCA65A0"/>
    <w:rsid w:val="3CDD2778"/>
    <w:rsid w:val="3CE3784A"/>
    <w:rsid w:val="3CED228F"/>
    <w:rsid w:val="3D6E33D0"/>
    <w:rsid w:val="3DBA4867"/>
    <w:rsid w:val="3DBD4357"/>
    <w:rsid w:val="3DC749EF"/>
    <w:rsid w:val="3DCE20C0"/>
    <w:rsid w:val="3DE47B36"/>
    <w:rsid w:val="3DEA67CE"/>
    <w:rsid w:val="3DEB2C72"/>
    <w:rsid w:val="3E2B7513"/>
    <w:rsid w:val="3E3A59A8"/>
    <w:rsid w:val="3E467EA9"/>
    <w:rsid w:val="3E8F171F"/>
    <w:rsid w:val="3E933797"/>
    <w:rsid w:val="3EC314F9"/>
    <w:rsid w:val="3EDB4A95"/>
    <w:rsid w:val="3EEF0540"/>
    <w:rsid w:val="3EEF6792"/>
    <w:rsid w:val="3F020A21"/>
    <w:rsid w:val="3F0538C0"/>
    <w:rsid w:val="3F110BCB"/>
    <w:rsid w:val="3F277CDA"/>
    <w:rsid w:val="3F762EF8"/>
    <w:rsid w:val="3F8A0269"/>
    <w:rsid w:val="3F9A4950"/>
    <w:rsid w:val="3FA642F0"/>
    <w:rsid w:val="3FB83028"/>
    <w:rsid w:val="3FC574F3"/>
    <w:rsid w:val="3FEA0D08"/>
    <w:rsid w:val="40490124"/>
    <w:rsid w:val="405368AD"/>
    <w:rsid w:val="406C53FE"/>
    <w:rsid w:val="40774C91"/>
    <w:rsid w:val="408B7F60"/>
    <w:rsid w:val="40B3559D"/>
    <w:rsid w:val="40B95C28"/>
    <w:rsid w:val="40D678BD"/>
    <w:rsid w:val="415446C9"/>
    <w:rsid w:val="415B77B2"/>
    <w:rsid w:val="416A20F0"/>
    <w:rsid w:val="41764F49"/>
    <w:rsid w:val="418A70D7"/>
    <w:rsid w:val="41B227D6"/>
    <w:rsid w:val="41DA022D"/>
    <w:rsid w:val="41DE4BC7"/>
    <w:rsid w:val="424E37D0"/>
    <w:rsid w:val="4258624D"/>
    <w:rsid w:val="42621029"/>
    <w:rsid w:val="42BC698B"/>
    <w:rsid w:val="42E934F8"/>
    <w:rsid w:val="42F115B9"/>
    <w:rsid w:val="43430E5B"/>
    <w:rsid w:val="436332AB"/>
    <w:rsid w:val="43994F1E"/>
    <w:rsid w:val="44114AB5"/>
    <w:rsid w:val="44CD20C7"/>
    <w:rsid w:val="44DF2E05"/>
    <w:rsid w:val="44F85C75"/>
    <w:rsid w:val="450B1E4C"/>
    <w:rsid w:val="453A003B"/>
    <w:rsid w:val="45442192"/>
    <w:rsid w:val="457E43CC"/>
    <w:rsid w:val="457F003D"/>
    <w:rsid w:val="45863281"/>
    <w:rsid w:val="459736E0"/>
    <w:rsid w:val="45A336F8"/>
    <w:rsid w:val="45C344D5"/>
    <w:rsid w:val="463D6035"/>
    <w:rsid w:val="464A2500"/>
    <w:rsid w:val="465869CB"/>
    <w:rsid w:val="467E5126"/>
    <w:rsid w:val="46CE3131"/>
    <w:rsid w:val="470E1780"/>
    <w:rsid w:val="471A6376"/>
    <w:rsid w:val="4766336A"/>
    <w:rsid w:val="47727F60"/>
    <w:rsid w:val="47743CD8"/>
    <w:rsid w:val="477E06B3"/>
    <w:rsid w:val="47867568"/>
    <w:rsid w:val="479C269D"/>
    <w:rsid w:val="47F40975"/>
    <w:rsid w:val="48050DD4"/>
    <w:rsid w:val="48127A27"/>
    <w:rsid w:val="482A3191"/>
    <w:rsid w:val="482D3E87"/>
    <w:rsid w:val="482E20D9"/>
    <w:rsid w:val="48360F8E"/>
    <w:rsid w:val="485D476D"/>
    <w:rsid w:val="486A6E89"/>
    <w:rsid w:val="487B1097"/>
    <w:rsid w:val="48C4659A"/>
    <w:rsid w:val="48CC18F2"/>
    <w:rsid w:val="48DD765B"/>
    <w:rsid w:val="48F6071D"/>
    <w:rsid w:val="49033566"/>
    <w:rsid w:val="493279A7"/>
    <w:rsid w:val="496F0BFB"/>
    <w:rsid w:val="49BD69A9"/>
    <w:rsid w:val="49C03205"/>
    <w:rsid w:val="49E54A1A"/>
    <w:rsid w:val="49F70BF1"/>
    <w:rsid w:val="4A037596"/>
    <w:rsid w:val="4A6A13C3"/>
    <w:rsid w:val="4A852A8D"/>
    <w:rsid w:val="4AAE584A"/>
    <w:rsid w:val="4B315A3D"/>
    <w:rsid w:val="4B35377F"/>
    <w:rsid w:val="4B3F45FD"/>
    <w:rsid w:val="4B7D0C82"/>
    <w:rsid w:val="4B8244EA"/>
    <w:rsid w:val="4BAD1567"/>
    <w:rsid w:val="4BED4059"/>
    <w:rsid w:val="4C017B05"/>
    <w:rsid w:val="4C196BFC"/>
    <w:rsid w:val="4C5B1DF6"/>
    <w:rsid w:val="4C856040"/>
    <w:rsid w:val="4C9170DB"/>
    <w:rsid w:val="4CAC181F"/>
    <w:rsid w:val="4CB15087"/>
    <w:rsid w:val="4CD34FFD"/>
    <w:rsid w:val="4CE627DD"/>
    <w:rsid w:val="4CE76CFB"/>
    <w:rsid w:val="4CEE0567"/>
    <w:rsid w:val="4D20220D"/>
    <w:rsid w:val="4D267823"/>
    <w:rsid w:val="4D27359B"/>
    <w:rsid w:val="4D357A66"/>
    <w:rsid w:val="4D451D9A"/>
    <w:rsid w:val="4D5F2D35"/>
    <w:rsid w:val="4D885802"/>
    <w:rsid w:val="4D8D592E"/>
    <w:rsid w:val="4DBC1F35"/>
    <w:rsid w:val="4DC82688"/>
    <w:rsid w:val="4DE4323A"/>
    <w:rsid w:val="4DE657FF"/>
    <w:rsid w:val="4DFC67D6"/>
    <w:rsid w:val="4E816CDB"/>
    <w:rsid w:val="4EC07803"/>
    <w:rsid w:val="4ED80FF1"/>
    <w:rsid w:val="4EDE7C89"/>
    <w:rsid w:val="4F231B40"/>
    <w:rsid w:val="4F9A62A6"/>
    <w:rsid w:val="4F9D5D96"/>
    <w:rsid w:val="4FBD70C5"/>
    <w:rsid w:val="4FDA48F5"/>
    <w:rsid w:val="4FDC68BF"/>
    <w:rsid w:val="4FDD6193"/>
    <w:rsid w:val="4FE85264"/>
    <w:rsid w:val="50106568"/>
    <w:rsid w:val="5039786D"/>
    <w:rsid w:val="50A0169A"/>
    <w:rsid w:val="50A078EC"/>
    <w:rsid w:val="50AB003F"/>
    <w:rsid w:val="50CC248F"/>
    <w:rsid w:val="50D2381E"/>
    <w:rsid w:val="50E21CB3"/>
    <w:rsid w:val="50E75601"/>
    <w:rsid w:val="51051E45"/>
    <w:rsid w:val="510A120A"/>
    <w:rsid w:val="510C4F82"/>
    <w:rsid w:val="516A13C5"/>
    <w:rsid w:val="516C3C72"/>
    <w:rsid w:val="51864D34"/>
    <w:rsid w:val="518C1C1F"/>
    <w:rsid w:val="519805C3"/>
    <w:rsid w:val="51CE0489"/>
    <w:rsid w:val="51D6733E"/>
    <w:rsid w:val="523429E2"/>
    <w:rsid w:val="525E35BB"/>
    <w:rsid w:val="52691F60"/>
    <w:rsid w:val="529671F9"/>
    <w:rsid w:val="52AF3E17"/>
    <w:rsid w:val="52CA50F4"/>
    <w:rsid w:val="52DE46FC"/>
    <w:rsid w:val="530B4C29"/>
    <w:rsid w:val="53185E60"/>
    <w:rsid w:val="53220A8C"/>
    <w:rsid w:val="53440F5B"/>
    <w:rsid w:val="536746F1"/>
    <w:rsid w:val="537806AC"/>
    <w:rsid w:val="538C5F06"/>
    <w:rsid w:val="539A6875"/>
    <w:rsid w:val="53A25729"/>
    <w:rsid w:val="540006A2"/>
    <w:rsid w:val="54212AF2"/>
    <w:rsid w:val="54300F87"/>
    <w:rsid w:val="54447157"/>
    <w:rsid w:val="545A6004"/>
    <w:rsid w:val="546E7D01"/>
    <w:rsid w:val="54843081"/>
    <w:rsid w:val="54890697"/>
    <w:rsid w:val="54DB601C"/>
    <w:rsid w:val="54E12281"/>
    <w:rsid w:val="54E43D95"/>
    <w:rsid w:val="550E2104"/>
    <w:rsid w:val="55124B31"/>
    <w:rsid w:val="55651104"/>
    <w:rsid w:val="55684751"/>
    <w:rsid w:val="55684C1F"/>
    <w:rsid w:val="55CA71B9"/>
    <w:rsid w:val="55D43B94"/>
    <w:rsid w:val="55DD0C9B"/>
    <w:rsid w:val="55F85AD5"/>
    <w:rsid w:val="56462CE4"/>
    <w:rsid w:val="565D3B8A"/>
    <w:rsid w:val="56786C15"/>
    <w:rsid w:val="5697479B"/>
    <w:rsid w:val="56DF30C9"/>
    <w:rsid w:val="56E61DD1"/>
    <w:rsid w:val="57016C0B"/>
    <w:rsid w:val="5705494D"/>
    <w:rsid w:val="572D5C52"/>
    <w:rsid w:val="57452F9B"/>
    <w:rsid w:val="57482A8C"/>
    <w:rsid w:val="57560D05"/>
    <w:rsid w:val="57686C8A"/>
    <w:rsid w:val="577B076B"/>
    <w:rsid w:val="5785783C"/>
    <w:rsid w:val="57921595"/>
    <w:rsid w:val="57925AB5"/>
    <w:rsid w:val="57B10631"/>
    <w:rsid w:val="57B123DF"/>
    <w:rsid w:val="57CD4D3F"/>
    <w:rsid w:val="57CF6D09"/>
    <w:rsid w:val="57E842D2"/>
    <w:rsid w:val="57FD5624"/>
    <w:rsid w:val="5822508B"/>
    <w:rsid w:val="582B2191"/>
    <w:rsid w:val="583D0117"/>
    <w:rsid w:val="5855720E"/>
    <w:rsid w:val="585913F3"/>
    <w:rsid w:val="585F1E3B"/>
    <w:rsid w:val="586A6232"/>
    <w:rsid w:val="58733B38"/>
    <w:rsid w:val="5875340D"/>
    <w:rsid w:val="5878114F"/>
    <w:rsid w:val="5895585D"/>
    <w:rsid w:val="58985B3E"/>
    <w:rsid w:val="589F66DB"/>
    <w:rsid w:val="58A41F44"/>
    <w:rsid w:val="58D04AE7"/>
    <w:rsid w:val="59012EF2"/>
    <w:rsid w:val="59017396"/>
    <w:rsid w:val="59102836"/>
    <w:rsid w:val="592A069B"/>
    <w:rsid w:val="59480B21"/>
    <w:rsid w:val="5952374E"/>
    <w:rsid w:val="59A57D21"/>
    <w:rsid w:val="59E24AD2"/>
    <w:rsid w:val="59E56370"/>
    <w:rsid w:val="59E62B92"/>
    <w:rsid w:val="59F111B9"/>
    <w:rsid w:val="5A290952"/>
    <w:rsid w:val="5A4A4974"/>
    <w:rsid w:val="5A581238"/>
    <w:rsid w:val="5A715E56"/>
    <w:rsid w:val="5ABA5A4E"/>
    <w:rsid w:val="5AFC1BC3"/>
    <w:rsid w:val="5B307ABF"/>
    <w:rsid w:val="5B5E462C"/>
    <w:rsid w:val="5B6B0AF7"/>
    <w:rsid w:val="5B6F6839"/>
    <w:rsid w:val="5B8878FB"/>
    <w:rsid w:val="5B975D90"/>
    <w:rsid w:val="5BA069F2"/>
    <w:rsid w:val="5BBB382C"/>
    <w:rsid w:val="5C1949F7"/>
    <w:rsid w:val="5C207B33"/>
    <w:rsid w:val="5C7A36E7"/>
    <w:rsid w:val="5C966047"/>
    <w:rsid w:val="5C981F75"/>
    <w:rsid w:val="5CC5101E"/>
    <w:rsid w:val="5CDC1AF5"/>
    <w:rsid w:val="5CE648D9"/>
    <w:rsid w:val="5D015F6A"/>
    <w:rsid w:val="5D1A4582"/>
    <w:rsid w:val="5D487342"/>
    <w:rsid w:val="5D5C0C59"/>
    <w:rsid w:val="5D804D2D"/>
    <w:rsid w:val="5D845EA0"/>
    <w:rsid w:val="5D885990"/>
    <w:rsid w:val="5DAA3B58"/>
    <w:rsid w:val="5DED2C36"/>
    <w:rsid w:val="5DF23A97"/>
    <w:rsid w:val="5E000947"/>
    <w:rsid w:val="5E0019CA"/>
    <w:rsid w:val="5E075EF8"/>
    <w:rsid w:val="5E082F75"/>
    <w:rsid w:val="5E316028"/>
    <w:rsid w:val="5E343D6A"/>
    <w:rsid w:val="5E385608"/>
    <w:rsid w:val="5E4915C3"/>
    <w:rsid w:val="5E4D2736"/>
    <w:rsid w:val="5E8048B9"/>
    <w:rsid w:val="5E993BCD"/>
    <w:rsid w:val="5EA26F25"/>
    <w:rsid w:val="5EC23124"/>
    <w:rsid w:val="5ED846F5"/>
    <w:rsid w:val="5EE04DB6"/>
    <w:rsid w:val="5F301D3D"/>
    <w:rsid w:val="5F6146EB"/>
    <w:rsid w:val="5F6D12E1"/>
    <w:rsid w:val="5F8D1984"/>
    <w:rsid w:val="5F977B55"/>
    <w:rsid w:val="5F9A5E4E"/>
    <w:rsid w:val="5FB213EA"/>
    <w:rsid w:val="5FBF1411"/>
    <w:rsid w:val="6024395C"/>
    <w:rsid w:val="604A517F"/>
    <w:rsid w:val="607E307A"/>
    <w:rsid w:val="60B46A9C"/>
    <w:rsid w:val="60C72C73"/>
    <w:rsid w:val="60D42D7C"/>
    <w:rsid w:val="61234835"/>
    <w:rsid w:val="61446072"/>
    <w:rsid w:val="618D7A19"/>
    <w:rsid w:val="618F7F01"/>
    <w:rsid w:val="61954B1F"/>
    <w:rsid w:val="61972646"/>
    <w:rsid w:val="61C64CD9"/>
    <w:rsid w:val="62096377"/>
    <w:rsid w:val="62C62899"/>
    <w:rsid w:val="630E4B89"/>
    <w:rsid w:val="631A352E"/>
    <w:rsid w:val="631F6D97"/>
    <w:rsid w:val="632717A7"/>
    <w:rsid w:val="63894210"/>
    <w:rsid w:val="63AA6C66"/>
    <w:rsid w:val="63C33BC6"/>
    <w:rsid w:val="63CD05A1"/>
    <w:rsid w:val="63D23E09"/>
    <w:rsid w:val="64175CC0"/>
    <w:rsid w:val="647E5D3F"/>
    <w:rsid w:val="6481138B"/>
    <w:rsid w:val="64850E37"/>
    <w:rsid w:val="64A55079"/>
    <w:rsid w:val="65143FAD"/>
    <w:rsid w:val="651915C4"/>
    <w:rsid w:val="6525440C"/>
    <w:rsid w:val="656E190F"/>
    <w:rsid w:val="663C7C5F"/>
    <w:rsid w:val="6663343E"/>
    <w:rsid w:val="667A3C6D"/>
    <w:rsid w:val="66CD2666"/>
    <w:rsid w:val="66F44096"/>
    <w:rsid w:val="675D60DF"/>
    <w:rsid w:val="677F7E04"/>
    <w:rsid w:val="67954BAB"/>
    <w:rsid w:val="67E1286C"/>
    <w:rsid w:val="67E265E5"/>
    <w:rsid w:val="682E35D8"/>
    <w:rsid w:val="68391F2F"/>
    <w:rsid w:val="68983D3B"/>
    <w:rsid w:val="68C63810"/>
    <w:rsid w:val="68DE4FFE"/>
    <w:rsid w:val="68F8169B"/>
    <w:rsid w:val="68FE3099"/>
    <w:rsid w:val="690305C1"/>
    <w:rsid w:val="692C7B17"/>
    <w:rsid w:val="69A578CA"/>
    <w:rsid w:val="69CE6E20"/>
    <w:rsid w:val="69CE7607"/>
    <w:rsid w:val="69D361E5"/>
    <w:rsid w:val="69D65CD5"/>
    <w:rsid w:val="69E226A0"/>
    <w:rsid w:val="69FF347E"/>
    <w:rsid w:val="6A2048A2"/>
    <w:rsid w:val="6A3D7B02"/>
    <w:rsid w:val="6A486BD3"/>
    <w:rsid w:val="6A575068"/>
    <w:rsid w:val="6A5A6906"/>
    <w:rsid w:val="6A8614A9"/>
    <w:rsid w:val="6A8D40AE"/>
    <w:rsid w:val="6AA439BC"/>
    <w:rsid w:val="6AAD5431"/>
    <w:rsid w:val="6AC90B84"/>
    <w:rsid w:val="6AE00865"/>
    <w:rsid w:val="6B2E6321"/>
    <w:rsid w:val="6B3929BF"/>
    <w:rsid w:val="6B54127A"/>
    <w:rsid w:val="6B5415A7"/>
    <w:rsid w:val="6B872C08"/>
    <w:rsid w:val="6BC229B5"/>
    <w:rsid w:val="6BC73B27"/>
    <w:rsid w:val="6BFE7BAA"/>
    <w:rsid w:val="6C2E1DF8"/>
    <w:rsid w:val="6C517895"/>
    <w:rsid w:val="6C845EBC"/>
    <w:rsid w:val="6CC36596"/>
    <w:rsid w:val="6CDC3602"/>
    <w:rsid w:val="6D2A0812"/>
    <w:rsid w:val="6D965EA7"/>
    <w:rsid w:val="6DBB76BC"/>
    <w:rsid w:val="6DD24A05"/>
    <w:rsid w:val="6DD95D94"/>
    <w:rsid w:val="6DF1132F"/>
    <w:rsid w:val="6DF20188"/>
    <w:rsid w:val="6E054729"/>
    <w:rsid w:val="6E34026C"/>
    <w:rsid w:val="6E5A5127"/>
    <w:rsid w:val="6E5A6ED5"/>
    <w:rsid w:val="6E6715F2"/>
    <w:rsid w:val="6E8B3532"/>
    <w:rsid w:val="6EA75E92"/>
    <w:rsid w:val="6EB760D5"/>
    <w:rsid w:val="6EE42C42"/>
    <w:rsid w:val="6F0B1DDA"/>
    <w:rsid w:val="6F0D2199"/>
    <w:rsid w:val="6F2968A7"/>
    <w:rsid w:val="6F3B465D"/>
    <w:rsid w:val="6F493DB0"/>
    <w:rsid w:val="6F5C0A2B"/>
    <w:rsid w:val="6FC84312"/>
    <w:rsid w:val="7003534A"/>
    <w:rsid w:val="702E23C7"/>
    <w:rsid w:val="70375AA4"/>
    <w:rsid w:val="70422316"/>
    <w:rsid w:val="70531E2E"/>
    <w:rsid w:val="7056191E"/>
    <w:rsid w:val="706A7B46"/>
    <w:rsid w:val="70C42D2B"/>
    <w:rsid w:val="70D016D0"/>
    <w:rsid w:val="70D311C0"/>
    <w:rsid w:val="70E21403"/>
    <w:rsid w:val="70F829D5"/>
    <w:rsid w:val="711361A6"/>
    <w:rsid w:val="7113780F"/>
    <w:rsid w:val="71145A61"/>
    <w:rsid w:val="71791D68"/>
    <w:rsid w:val="71883D59"/>
    <w:rsid w:val="719D22D4"/>
    <w:rsid w:val="71A87F57"/>
    <w:rsid w:val="71B80F1C"/>
    <w:rsid w:val="71F907B3"/>
    <w:rsid w:val="71F92EA9"/>
    <w:rsid w:val="72452668"/>
    <w:rsid w:val="72640322"/>
    <w:rsid w:val="726F4F19"/>
    <w:rsid w:val="72720840"/>
    <w:rsid w:val="728E539F"/>
    <w:rsid w:val="729624A5"/>
    <w:rsid w:val="72BF37AA"/>
    <w:rsid w:val="72E66F89"/>
    <w:rsid w:val="731C0BFD"/>
    <w:rsid w:val="73410663"/>
    <w:rsid w:val="73490BA2"/>
    <w:rsid w:val="737F118B"/>
    <w:rsid w:val="739E5AB6"/>
    <w:rsid w:val="73C6500C"/>
    <w:rsid w:val="73E334C8"/>
    <w:rsid w:val="73FD25BB"/>
    <w:rsid w:val="740B2A1F"/>
    <w:rsid w:val="744453AD"/>
    <w:rsid w:val="74597C2E"/>
    <w:rsid w:val="745B7503"/>
    <w:rsid w:val="74744A68"/>
    <w:rsid w:val="74795BDB"/>
    <w:rsid w:val="749D3FBF"/>
    <w:rsid w:val="74AC5FB0"/>
    <w:rsid w:val="74C27582"/>
    <w:rsid w:val="74C7103C"/>
    <w:rsid w:val="74E6346D"/>
    <w:rsid w:val="74F82FA3"/>
    <w:rsid w:val="758F1B5A"/>
    <w:rsid w:val="759A5E6F"/>
    <w:rsid w:val="75FE6CDF"/>
    <w:rsid w:val="76042D01"/>
    <w:rsid w:val="7621652A"/>
    <w:rsid w:val="76391AC6"/>
    <w:rsid w:val="76452218"/>
    <w:rsid w:val="76650B0D"/>
    <w:rsid w:val="76870A83"/>
    <w:rsid w:val="76B37ACA"/>
    <w:rsid w:val="76BD692E"/>
    <w:rsid w:val="76CC46E8"/>
    <w:rsid w:val="76F51212"/>
    <w:rsid w:val="772A140E"/>
    <w:rsid w:val="77383B2B"/>
    <w:rsid w:val="773D7394"/>
    <w:rsid w:val="77521091"/>
    <w:rsid w:val="775D3592"/>
    <w:rsid w:val="776B5CAF"/>
    <w:rsid w:val="77C11D73"/>
    <w:rsid w:val="77CE4490"/>
    <w:rsid w:val="77D31AA6"/>
    <w:rsid w:val="77EB3293"/>
    <w:rsid w:val="78454752"/>
    <w:rsid w:val="7883171E"/>
    <w:rsid w:val="791D4BEC"/>
    <w:rsid w:val="792425B9"/>
    <w:rsid w:val="795814B0"/>
    <w:rsid w:val="796432FD"/>
    <w:rsid w:val="79A809F5"/>
    <w:rsid w:val="79C36276"/>
    <w:rsid w:val="79E81839"/>
    <w:rsid w:val="79FC52E4"/>
    <w:rsid w:val="7A036672"/>
    <w:rsid w:val="7A410F49"/>
    <w:rsid w:val="7A552C46"/>
    <w:rsid w:val="7A7A445B"/>
    <w:rsid w:val="7A8F43AA"/>
    <w:rsid w:val="7AAF2356"/>
    <w:rsid w:val="7AE5639A"/>
    <w:rsid w:val="7B007056"/>
    <w:rsid w:val="7B2965AD"/>
    <w:rsid w:val="7B656EB9"/>
    <w:rsid w:val="7B875081"/>
    <w:rsid w:val="7B8B0EC2"/>
    <w:rsid w:val="7BA07EF1"/>
    <w:rsid w:val="7BAC4AE8"/>
    <w:rsid w:val="7BEC1388"/>
    <w:rsid w:val="7BED75DA"/>
    <w:rsid w:val="7C5036C5"/>
    <w:rsid w:val="7C6453C2"/>
    <w:rsid w:val="7C865339"/>
    <w:rsid w:val="7CB9570E"/>
    <w:rsid w:val="7CEA58C8"/>
    <w:rsid w:val="7D16490F"/>
    <w:rsid w:val="7D1961AD"/>
    <w:rsid w:val="7D1B1F25"/>
    <w:rsid w:val="7D496A92"/>
    <w:rsid w:val="7D5471E5"/>
    <w:rsid w:val="7DCE6F97"/>
    <w:rsid w:val="7DD24CD9"/>
    <w:rsid w:val="7DEB5D9B"/>
    <w:rsid w:val="7DF369FE"/>
    <w:rsid w:val="7E0D08A7"/>
    <w:rsid w:val="7E4234E1"/>
    <w:rsid w:val="7EBB39C0"/>
    <w:rsid w:val="7EC65EC0"/>
    <w:rsid w:val="7EFB200E"/>
    <w:rsid w:val="7F054C3B"/>
    <w:rsid w:val="7F0A3FFF"/>
    <w:rsid w:val="7F1B7FBA"/>
    <w:rsid w:val="7F21759B"/>
    <w:rsid w:val="7FAE52D2"/>
    <w:rsid w:val="7FC9483E"/>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120" w:beforeLines="0" w:after="120" w:afterLines="0"/>
      <w:jc w:val="center"/>
      <w:outlineLvl w:val="0"/>
    </w:pPr>
    <w:rPr>
      <w:b/>
      <w:spacing w:val="20"/>
      <w:kern w:val="44"/>
      <w:sz w:val="32"/>
    </w:rPr>
  </w:style>
  <w:style w:type="paragraph" w:styleId="3">
    <w:name w:val="heading 2"/>
    <w:basedOn w:val="1"/>
    <w:next w:val="1"/>
    <w:qFormat/>
    <w:uiPriority w:val="99"/>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qFormat/>
    <w:uiPriority w:val="99"/>
    <w:pPr>
      <w:keepNext/>
      <w:keepLines/>
      <w:spacing w:before="260" w:beforeLines="0" w:beforeAutospacing="0" w:after="260" w:afterLines="0" w:afterAutospacing="0" w:line="415" w:lineRule="auto"/>
      <w:outlineLvl w:val="2"/>
    </w:pPr>
    <w:rPr>
      <w:rFonts w:eastAsia="黑体"/>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Body Text"/>
    <w:basedOn w:val="1"/>
    <w:next w:val="7"/>
    <w:qFormat/>
    <w:uiPriority w:val="0"/>
    <w:pPr>
      <w:spacing w:after="120"/>
    </w:pPr>
    <w:rPr>
      <w:szCs w:val="24"/>
    </w:rPr>
  </w:style>
  <w:style w:type="paragraph" w:styleId="7">
    <w:name w:val="Body Text 2"/>
    <w:basedOn w:val="1"/>
    <w:next w:val="1"/>
    <w:qFormat/>
    <w:uiPriority w:val="0"/>
    <w:rPr>
      <w:rFonts w:ascii="宋体" w:hAnsi="宋体" w:eastAsia="宋体" w:cs="Arial"/>
      <w:b/>
      <w:kern w:val="0"/>
      <w:sz w:val="28"/>
      <w:szCs w:val="20"/>
    </w:rPr>
  </w:style>
  <w:style w:type="paragraph" w:styleId="8">
    <w:name w:val="Body Text Indent"/>
    <w:basedOn w:val="1"/>
    <w:next w:val="9"/>
    <w:qFormat/>
    <w:uiPriority w:val="0"/>
    <w:pPr>
      <w:ind w:firstLine="720" w:firstLineChars="225"/>
    </w:pPr>
    <w:rPr>
      <w:rFonts w:ascii="仿宋_GB2312" w:eastAsia="仿宋_GB2312"/>
      <w:sz w:val="32"/>
    </w:rPr>
  </w:style>
  <w:style w:type="paragraph" w:styleId="9">
    <w:name w:val="envelope return"/>
    <w:basedOn w:val="1"/>
    <w:unhideWhenUsed/>
    <w:qFormat/>
    <w:uiPriority w:val="99"/>
    <w:pPr>
      <w:snapToGrid w:val="0"/>
    </w:pPr>
    <w:rPr>
      <w:rFonts w:ascii="Arial" w:hAnsi="Arial" w:eastAsia="宋体" w:cs="Arial"/>
    </w:rPr>
  </w:style>
  <w:style w:type="paragraph" w:styleId="10">
    <w:name w:val="List 2"/>
    <w:basedOn w:val="1"/>
    <w:qFormat/>
    <w:uiPriority w:val="0"/>
    <w:pPr>
      <w:ind w:left="400" w:leftChars="200" w:hanging="200" w:hangingChars="200"/>
    </w:pPr>
    <w:rPr>
      <w:rFonts w:ascii="Times New Roman" w:eastAsia="宋体"/>
    </w:rPr>
  </w:style>
  <w:style w:type="paragraph" w:styleId="11">
    <w:name w:val="toc 3"/>
    <w:basedOn w:val="1"/>
    <w:next w:val="1"/>
    <w:qFormat/>
    <w:uiPriority w:val="39"/>
    <w:pPr>
      <w:ind w:left="840" w:leftChars="400"/>
    </w:pPr>
  </w:style>
  <w:style w:type="paragraph" w:styleId="12">
    <w:name w:val="Body Text Indent 2"/>
    <w:basedOn w:val="1"/>
    <w:qFormat/>
    <w:uiPriority w:val="99"/>
    <w:pPr>
      <w:spacing w:line="540" w:lineRule="exact"/>
      <w:ind w:firstLine="720" w:firstLineChars="225"/>
      <w:jc w:val="left"/>
    </w:pPr>
    <w:rPr>
      <w:rFonts w:ascii="仿宋_GB2312" w:eastAsia="仿宋_GB2312"/>
      <w:sz w:val="32"/>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8">
    <w:name w:val="Body Text First Indent"/>
    <w:basedOn w:val="6"/>
    <w:next w:val="19"/>
    <w:qFormat/>
    <w:uiPriority w:val="99"/>
    <w:pPr>
      <w:ind w:firstLine="420" w:firstLineChars="100"/>
    </w:pPr>
  </w:style>
  <w:style w:type="paragraph" w:styleId="19">
    <w:name w:val="Body Text First Indent 2"/>
    <w:basedOn w:val="8"/>
    <w:next w:val="1"/>
    <w:qFormat/>
    <w:uiPriority w:val="0"/>
    <w:pPr>
      <w:spacing w:after="120"/>
      <w:ind w:left="420" w:leftChars="200" w:firstLine="420" w:firstLineChars="200"/>
    </w:pPr>
    <w:rPr>
      <w:rFonts w:ascii="Calibri"/>
      <w:sz w:val="21"/>
      <w:szCs w:val="24"/>
    </w:rPr>
  </w:style>
  <w:style w:type="table" w:styleId="21">
    <w:name w:val="Table Grid"/>
    <w:basedOn w:val="2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vanish/>
    </w:rPr>
  </w:style>
  <w:style w:type="character" w:styleId="24">
    <w:name w:val="FollowedHyperlink"/>
    <w:basedOn w:val="22"/>
    <w:qFormat/>
    <w:uiPriority w:val="0"/>
    <w:rPr>
      <w:color w:val="800080"/>
      <w:u w:val="none"/>
    </w:rPr>
  </w:style>
  <w:style w:type="character" w:styleId="25">
    <w:name w:val="Emphasis"/>
    <w:qFormat/>
    <w:uiPriority w:val="0"/>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ascii="monospace" w:hAnsi="monospace" w:eastAsia="monospace" w:cs="monospace"/>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6">
    <w:name w:val="List Paragraph"/>
    <w:basedOn w:val="1"/>
    <w:qFormat/>
    <w:uiPriority w:val="1"/>
    <w:pPr>
      <w:ind w:left="320" w:firstLine="420"/>
    </w:pPr>
  </w:style>
  <w:style w:type="paragraph" w:customStyle="1" w:styleId="37">
    <w:name w:val="正文无缩进"/>
    <w:basedOn w:val="38"/>
    <w:qFormat/>
    <w:uiPriority w:val="0"/>
    <w:pPr>
      <w:ind w:firstLine="0" w:firstLineChars="0"/>
    </w:pPr>
  </w:style>
  <w:style w:type="paragraph" w:customStyle="1" w:styleId="38">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character" w:customStyle="1" w:styleId="39">
    <w:name w:val="样式 楷体_GB2312 小四"/>
    <w:qFormat/>
    <w:uiPriority w:val="0"/>
    <w:rPr>
      <w:rFonts w:ascii="楷体_GB2312" w:hAnsi="楷体_GB2312" w:eastAsia="仿宋_GB2312"/>
      <w:sz w:val="24"/>
    </w:rPr>
  </w:style>
  <w:style w:type="paragraph" w:customStyle="1" w:styleId="4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b w:val="0"/>
      <w:sz w:val="28"/>
    </w:rPr>
  </w:style>
  <w:style w:type="character" w:customStyle="1" w:styleId="41">
    <w:name w:val="hover1"/>
    <w:basedOn w:val="22"/>
    <w:qFormat/>
    <w:uiPriority w:val="0"/>
  </w:style>
  <w:style w:type="character" w:customStyle="1" w:styleId="42">
    <w:name w:val="hover2"/>
    <w:basedOn w:val="22"/>
    <w:qFormat/>
    <w:uiPriority w:val="0"/>
    <w:rPr>
      <w:color w:val="2590EB"/>
    </w:rPr>
  </w:style>
  <w:style w:type="character" w:customStyle="1" w:styleId="43">
    <w:name w:val="hover3"/>
    <w:basedOn w:val="22"/>
    <w:qFormat/>
    <w:uiPriority w:val="0"/>
    <w:rPr>
      <w:color w:val="2590EB"/>
    </w:rPr>
  </w:style>
  <w:style w:type="character" w:customStyle="1" w:styleId="44">
    <w:name w:val="mini-outputtext1"/>
    <w:basedOn w:val="22"/>
    <w:qFormat/>
    <w:uiPriority w:val="0"/>
  </w:style>
  <w:style w:type="paragraph" w:customStyle="1" w:styleId="45">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6176</Words>
  <Characters>6935</Characters>
  <Lines>0</Lines>
  <Paragraphs>0</Paragraphs>
  <TotalTime>21</TotalTime>
  <ScaleCrop>false</ScaleCrop>
  <LinksUpToDate>false</LinksUpToDate>
  <CharactersWithSpaces>6998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2024-08-15T07:08:00Z</dcterms:created>
  <dc:creator>WPS_1528172940</dc:creator>
  <cp:lastModifiedBy>贝壳</cp:lastModifiedBy>
  <dcterms:modified xsi:type="dcterms:W3CDTF">2026-02-12T01:12:43Z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2D91701CDB2248E9874A08D126A30BB9_13</vt:lpwstr>
  </property>
  <property fmtid="{D5CDD505-2E9C-101B-9397-08002B2CF9AE}" pid="4" name="KSOTemplateDocerSaveRecord">
    <vt:lpwstr>eyJoZGlkIjoiODM0YzQzMGFjMjUzMGYwODMwZjhmZTEzMTA0N2U0NTciLCJ1c2VySWQiOiIzNzQ4NjUzNjEifQ==</vt:lpwstr>
  </property>
</Properties>
</file>