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49B2A">
      <w:pPr>
        <w:jc w:val="center"/>
        <w:outlineLvl w:val="0"/>
        <w:rPr>
          <w:rFonts w:hint="eastAsia" w:ascii="黑体" w:hAnsi="黑体" w:eastAsia="黑体" w:cs="黑体"/>
          <w:b w:val="0"/>
          <w:bCs w:val="0"/>
          <w:sz w:val="48"/>
          <w:szCs w:val="48"/>
          <w:lang w:val="en-US" w:eastAsia="zh-CN"/>
        </w:rPr>
      </w:pPr>
      <w:bookmarkStart w:id="0" w:name="_Toc30514"/>
      <w:bookmarkStart w:id="1" w:name="_Toc32663"/>
      <w:r>
        <w:rPr>
          <w:rFonts w:hint="eastAsia" w:ascii="黑体" w:hAnsi="黑体" w:eastAsia="黑体" w:cs="黑体"/>
          <w:b w:val="0"/>
          <w:bCs w:val="0"/>
          <w:sz w:val="44"/>
          <w:szCs w:val="44"/>
          <w:lang w:val="en-US" w:eastAsia="zh-CN"/>
        </w:rPr>
        <w:t>民权县北关镇人民政府2024年北关镇王小楼村道路建设项目</w:t>
      </w:r>
      <w:bookmarkEnd w:id="0"/>
      <w:bookmarkEnd w:id="1"/>
    </w:p>
    <w:p w14:paraId="30F25556">
      <w:pPr>
        <w:jc w:val="center"/>
        <w:rPr>
          <w:rFonts w:hint="eastAsia" w:ascii="宋体" w:hAnsi="宋体" w:cs="宋体"/>
          <w:b/>
          <w:bCs/>
          <w:sz w:val="48"/>
          <w:szCs w:val="48"/>
          <w:lang w:val="en-US" w:eastAsia="zh-CN"/>
        </w:rPr>
      </w:pPr>
    </w:p>
    <w:p w14:paraId="0F529FE6">
      <w:pPr>
        <w:jc w:val="both"/>
        <w:rPr>
          <w:rFonts w:hint="eastAsia" w:ascii="宋体" w:hAnsi="宋体" w:cs="宋体"/>
          <w:b/>
          <w:bCs/>
          <w:sz w:val="48"/>
          <w:szCs w:val="48"/>
          <w:lang w:val="en-US" w:eastAsia="zh-CN"/>
        </w:rPr>
      </w:pPr>
    </w:p>
    <w:p w14:paraId="2438FCA3">
      <w:pPr>
        <w:jc w:val="center"/>
        <w:rPr>
          <w:rFonts w:hint="eastAsia" w:ascii="黑体" w:hAnsi="黑体" w:eastAsia="黑体" w:cs="黑体"/>
          <w:b/>
          <w:bCs/>
          <w:spacing w:val="60"/>
          <w:sz w:val="72"/>
          <w:szCs w:val="96"/>
        </w:rPr>
      </w:pPr>
      <w:r>
        <w:rPr>
          <w:rFonts w:hint="eastAsia" w:ascii="黑体" w:hAnsi="黑体" w:eastAsia="黑体" w:cs="黑体"/>
          <w:b/>
          <w:bCs/>
          <w:spacing w:val="60"/>
          <w:sz w:val="72"/>
          <w:szCs w:val="96"/>
          <w:lang w:eastAsia="zh-CN"/>
        </w:rPr>
        <w:t>竞争性磋商</w:t>
      </w:r>
      <w:r>
        <w:rPr>
          <w:rFonts w:hint="eastAsia" w:ascii="黑体" w:hAnsi="黑体" w:eastAsia="黑体" w:cs="黑体"/>
          <w:b/>
          <w:bCs/>
          <w:spacing w:val="60"/>
          <w:sz w:val="72"/>
          <w:szCs w:val="96"/>
        </w:rPr>
        <w:t>文件</w:t>
      </w:r>
    </w:p>
    <w:p w14:paraId="104E8369">
      <w:pPr>
        <w:jc w:val="center"/>
        <w:rPr>
          <w:rFonts w:hint="eastAsia" w:ascii="黑体" w:hAnsi="黑体" w:eastAsia="黑体" w:cs="黑体"/>
          <w:b/>
          <w:bCs/>
          <w:spacing w:val="60"/>
          <w:sz w:val="72"/>
          <w:szCs w:val="96"/>
          <w:lang w:eastAsia="zh-CN"/>
        </w:rPr>
      </w:pPr>
    </w:p>
    <w:p w14:paraId="43B1A439">
      <w:pPr>
        <w:spacing w:line="360" w:lineRule="auto"/>
        <w:jc w:val="center"/>
        <w:rPr>
          <w:rFonts w:hint="eastAsia" w:ascii="宋体" w:hAnsi="宋体" w:eastAsia="宋体" w:cs="宋体"/>
          <w:b/>
          <w:kern w:val="0"/>
          <w:sz w:val="30"/>
          <w:szCs w:val="30"/>
          <w:lang w:eastAsia="zh-CN"/>
        </w:rPr>
      </w:pPr>
    </w:p>
    <w:p w14:paraId="64125CDA">
      <w:pPr>
        <w:widowControl w:val="0"/>
        <w:spacing w:after="120"/>
        <w:ind w:firstLine="300" w:firstLineChars="100"/>
        <w:jc w:val="both"/>
        <w:rPr>
          <w:rFonts w:hint="eastAsia" w:ascii="Times New Roman" w:hAnsi="Times New Roman" w:eastAsia="宋体" w:cs="Times New Roman"/>
          <w:kern w:val="2"/>
          <w:sz w:val="21"/>
          <w:szCs w:val="24"/>
          <w:lang w:val="en-US" w:eastAsia="zh-CN" w:bidi="ar-SA"/>
        </w:rPr>
      </w:pPr>
      <w:r>
        <w:rPr>
          <w:rFonts w:hint="eastAsia" w:ascii="宋体" w:hAnsi="宋体" w:eastAsia="宋体" w:cs="宋体"/>
          <w:b/>
          <w:kern w:val="0"/>
          <w:sz w:val="30"/>
          <w:szCs w:val="30"/>
          <w:lang w:eastAsia="zh-CN"/>
        </w:rPr>
        <w:drawing>
          <wp:anchor distT="0" distB="0" distL="114300" distR="114300" simplePos="0" relativeHeight="251659264" behindDoc="0" locked="0" layoutInCell="1" allowOverlap="1">
            <wp:simplePos x="0" y="0"/>
            <wp:positionH relativeFrom="column">
              <wp:posOffset>1068705</wp:posOffset>
            </wp:positionH>
            <wp:positionV relativeFrom="paragraph">
              <wp:posOffset>227965</wp:posOffset>
            </wp:positionV>
            <wp:extent cx="3431540" cy="2330450"/>
            <wp:effectExtent l="0" t="0" r="16510" b="12700"/>
            <wp:wrapNone/>
            <wp:docPr id="5" name="图片 5" descr="中智咨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智咨询_00"/>
                    <pic:cNvPicPr>
                      <a:picLocks noChangeAspect="1"/>
                    </pic:cNvPicPr>
                  </pic:nvPicPr>
                  <pic:blipFill>
                    <a:blip r:embed="rId9"/>
                    <a:stretch>
                      <a:fillRect/>
                    </a:stretch>
                  </pic:blipFill>
                  <pic:spPr>
                    <a:xfrm>
                      <a:off x="0" y="0"/>
                      <a:ext cx="3431540" cy="2330450"/>
                    </a:xfrm>
                    <a:prstGeom prst="rect">
                      <a:avLst/>
                    </a:prstGeom>
                  </pic:spPr>
                </pic:pic>
              </a:graphicData>
            </a:graphic>
          </wp:anchor>
        </w:drawing>
      </w:r>
    </w:p>
    <w:p w14:paraId="7BC1C6B2">
      <w:pPr>
        <w:widowControl w:val="0"/>
        <w:spacing w:after="120"/>
        <w:ind w:firstLine="210" w:firstLineChars="100"/>
        <w:jc w:val="both"/>
        <w:rPr>
          <w:rFonts w:hint="eastAsia" w:ascii="Times New Roman" w:hAnsi="Times New Roman" w:eastAsia="宋体" w:cs="Times New Roman"/>
          <w:kern w:val="2"/>
          <w:sz w:val="21"/>
          <w:szCs w:val="24"/>
          <w:lang w:val="en-US" w:eastAsia="zh-CN" w:bidi="ar-SA"/>
        </w:rPr>
      </w:pPr>
    </w:p>
    <w:p w14:paraId="62272E73">
      <w:pPr>
        <w:widowControl w:val="0"/>
        <w:spacing w:after="120"/>
        <w:ind w:firstLine="210" w:firstLineChars="100"/>
        <w:jc w:val="both"/>
        <w:rPr>
          <w:rFonts w:hint="eastAsia" w:ascii="Times New Roman" w:hAnsi="Times New Roman" w:eastAsia="宋体" w:cs="Times New Roman"/>
          <w:kern w:val="2"/>
          <w:sz w:val="21"/>
          <w:szCs w:val="24"/>
          <w:lang w:val="en-US" w:eastAsia="zh-CN" w:bidi="ar-SA"/>
        </w:rPr>
      </w:pPr>
    </w:p>
    <w:p w14:paraId="7E61531A">
      <w:pPr>
        <w:widowControl w:val="0"/>
        <w:spacing w:after="120"/>
        <w:ind w:firstLine="210" w:firstLineChars="100"/>
        <w:jc w:val="both"/>
        <w:rPr>
          <w:rFonts w:hint="eastAsia" w:ascii="Times New Roman" w:hAnsi="Times New Roman" w:eastAsia="宋体" w:cs="Times New Roman"/>
          <w:kern w:val="2"/>
          <w:sz w:val="21"/>
          <w:szCs w:val="24"/>
          <w:lang w:val="en-US" w:eastAsia="zh-CN" w:bidi="ar-SA"/>
        </w:rPr>
      </w:pPr>
    </w:p>
    <w:p w14:paraId="63100026">
      <w:pPr>
        <w:widowControl w:val="0"/>
        <w:spacing w:after="120"/>
        <w:ind w:firstLine="210" w:firstLineChars="100"/>
        <w:jc w:val="both"/>
        <w:rPr>
          <w:rFonts w:hint="eastAsia" w:ascii="Times New Roman" w:hAnsi="Times New Roman" w:eastAsia="宋体" w:cs="Times New Roman"/>
          <w:kern w:val="2"/>
          <w:sz w:val="21"/>
          <w:szCs w:val="24"/>
          <w:lang w:val="en-US" w:eastAsia="zh-CN" w:bidi="ar-SA"/>
        </w:rPr>
      </w:pPr>
    </w:p>
    <w:p w14:paraId="482352BC">
      <w:pPr>
        <w:widowControl w:val="0"/>
        <w:spacing w:after="120"/>
        <w:ind w:firstLine="210" w:firstLineChars="100"/>
        <w:jc w:val="both"/>
        <w:rPr>
          <w:rFonts w:hint="eastAsia" w:ascii="Times New Roman" w:hAnsi="Times New Roman" w:eastAsia="宋体" w:cs="Times New Roman"/>
          <w:kern w:val="2"/>
          <w:sz w:val="21"/>
          <w:szCs w:val="24"/>
          <w:lang w:val="en-US" w:eastAsia="zh-CN" w:bidi="ar-SA"/>
        </w:rPr>
      </w:pPr>
    </w:p>
    <w:p w14:paraId="5D52A1EB">
      <w:pPr>
        <w:widowControl w:val="0"/>
        <w:spacing w:after="120"/>
        <w:ind w:firstLine="210" w:firstLineChars="100"/>
        <w:jc w:val="both"/>
        <w:rPr>
          <w:rFonts w:hint="eastAsia" w:ascii="Times New Roman" w:hAnsi="Times New Roman" w:eastAsia="宋体" w:cs="Times New Roman"/>
          <w:kern w:val="2"/>
          <w:sz w:val="21"/>
          <w:szCs w:val="24"/>
          <w:lang w:val="en-US" w:eastAsia="zh-CN" w:bidi="ar-SA"/>
        </w:rPr>
      </w:pPr>
    </w:p>
    <w:p w14:paraId="4BB1B554">
      <w:pPr>
        <w:widowControl w:val="0"/>
        <w:spacing w:after="120"/>
        <w:ind w:firstLine="210" w:firstLineChars="100"/>
        <w:jc w:val="both"/>
        <w:rPr>
          <w:rFonts w:hint="eastAsia" w:ascii="Times New Roman" w:hAnsi="Times New Roman" w:eastAsia="宋体" w:cs="Times New Roman"/>
          <w:kern w:val="2"/>
          <w:sz w:val="21"/>
          <w:szCs w:val="24"/>
          <w:lang w:val="en-US" w:eastAsia="zh-CN" w:bidi="ar-SA"/>
        </w:rPr>
      </w:pPr>
    </w:p>
    <w:p w14:paraId="673C3D91">
      <w:pPr>
        <w:widowControl w:val="0"/>
        <w:spacing w:after="120"/>
        <w:ind w:firstLine="210" w:firstLineChars="100"/>
        <w:jc w:val="both"/>
        <w:rPr>
          <w:rFonts w:hint="eastAsia" w:ascii="Times New Roman" w:hAnsi="Times New Roman" w:eastAsia="宋体" w:cs="Times New Roman"/>
          <w:kern w:val="2"/>
          <w:sz w:val="21"/>
          <w:szCs w:val="24"/>
          <w:lang w:val="en-US" w:eastAsia="zh-CN" w:bidi="ar-SA"/>
        </w:rPr>
      </w:pPr>
    </w:p>
    <w:p w14:paraId="2CE02E2F">
      <w:pPr>
        <w:widowControl w:val="0"/>
        <w:spacing w:after="120"/>
        <w:ind w:firstLine="210" w:firstLineChars="100"/>
        <w:jc w:val="both"/>
        <w:rPr>
          <w:rFonts w:hint="eastAsia" w:ascii="Times New Roman" w:hAnsi="Times New Roman" w:eastAsia="宋体" w:cs="Times New Roman"/>
          <w:kern w:val="2"/>
          <w:sz w:val="21"/>
          <w:szCs w:val="24"/>
          <w:lang w:val="en-US" w:eastAsia="zh-CN" w:bidi="ar-SA"/>
        </w:rPr>
      </w:pPr>
    </w:p>
    <w:p w14:paraId="4FA42B29">
      <w:pPr>
        <w:widowControl w:val="0"/>
        <w:spacing w:after="120"/>
        <w:jc w:val="both"/>
        <w:rPr>
          <w:rFonts w:hint="eastAsia" w:ascii="Times New Roman" w:hAnsi="Times New Roman" w:eastAsia="宋体" w:cs="Times New Roman"/>
          <w:kern w:val="2"/>
          <w:sz w:val="21"/>
          <w:szCs w:val="24"/>
          <w:lang w:val="en-US" w:eastAsia="zh-CN" w:bidi="ar-SA"/>
        </w:rPr>
      </w:pPr>
    </w:p>
    <w:p w14:paraId="22437EF2">
      <w:pPr>
        <w:widowControl w:val="0"/>
        <w:spacing w:after="120"/>
        <w:jc w:val="both"/>
        <w:rPr>
          <w:rFonts w:hint="eastAsia" w:ascii="Times New Roman" w:hAnsi="Times New Roman" w:eastAsia="宋体" w:cs="Times New Roman"/>
          <w:kern w:val="2"/>
          <w:sz w:val="21"/>
          <w:szCs w:val="24"/>
          <w:lang w:val="en-US" w:eastAsia="zh-CN" w:bidi="ar-SA"/>
        </w:rPr>
      </w:pPr>
    </w:p>
    <w:p w14:paraId="03EF2325">
      <w:pPr>
        <w:widowControl w:val="0"/>
        <w:spacing w:after="120"/>
        <w:ind w:firstLine="210" w:firstLineChars="100"/>
        <w:jc w:val="both"/>
        <w:rPr>
          <w:rFonts w:hint="eastAsia" w:ascii="Times New Roman" w:hAnsi="Times New Roman" w:eastAsia="宋体" w:cs="Times New Roman"/>
          <w:kern w:val="2"/>
          <w:sz w:val="21"/>
          <w:szCs w:val="24"/>
          <w:lang w:val="en-US" w:eastAsia="zh-CN" w:bidi="ar-SA"/>
        </w:rPr>
      </w:pPr>
    </w:p>
    <w:p w14:paraId="6D89D0E2">
      <w:pPr>
        <w:spacing w:line="360" w:lineRule="auto"/>
        <w:ind w:firstLine="1800" w:firstLineChars="600"/>
        <w:jc w:val="both"/>
        <w:outlineLvl w:val="0"/>
        <w:rPr>
          <w:rFonts w:hint="default" w:ascii="宋体" w:hAnsi="宋体" w:eastAsia="宋体" w:cs="宋体"/>
          <w:b w:val="0"/>
          <w:bCs/>
          <w:spacing w:val="100"/>
          <w:kern w:val="0"/>
          <w:sz w:val="30"/>
          <w:szCs w:val="30"/>
          <w:lang w:val="en-US" w:eastAsia="zh-CN"/>
        </w:rPr>
      </w:pPr>
      <w:bookmarkStart w:id="2" w:name="_Toc25442"/>
      <w:bookmarkStart w:id="3" w:name="_Toc4431"/>
      <w:r>
        <w:rPr>
          <w:rFonts w:hint="eastAsia" w:ascii="宋体" w:hAnsi="宋体" w:eastAsia="宋体" w:cs="宋体"/>
          <w:b/>
          <w:kern w:val="0"/>
          <w:sz w:val="30"/>
          <w:szCs w:val="30"/>
          <w:lang w:eastAsia="zh-CN"/>
        </w:rPr>
        <w:t>采</w:t>
      </w:r>
      <w:r>
        <w:rPr>
          <w:rFonts w:hint="eastAsia" w:ascii="宋体" w:hAnsi="宋体" w:eastAsia="宋体" w:cs="宋体"/>
          <w:b/>
          <w:kern w:val="0"/>
          <w:sz w:val="30"/>
          <w:szCs w:val="30"/>
        </w:rPr>
        <w:t xml:space="preserve">   </w:t>
      </w:r>
      <w:r>
        <w:rPr>
          <w:rFonts w:hint="eastAsia" w:ascii="宋体" w:hAnsi="宋体" w:eastAsia="宋体" w:cs="宋体"/>
          <w:b/>
          <w:kern w:val="0"/>
          <w:sz w:val="30"/>
          <w:szCs w:val="30"/>
          <w:lang w:eastAsia="zh-CN"/>
        </w:rPr>
        <w:t>购</w:t>
      </w:r>
      <w:r>
        <w:rPr>
          <w:rFonts w:hint="eastAsia" w:ascii="宋体" w:hAnsi="宋体" w:eastAsia="宋体" w:cs="宋体"/>
          <w:b/>
          <w:kern w:val="0"/>
          <w:sz w:val="30"/>
          <w:szCs w:val="30"/>
        </w:rPr>
        <w:t xml:space="preserve">  人：</w:t>
      </w:r>
      <w:r>
        <w:rPr>
          <w:rFonts w:hint="eastAsia" w:ascii="宋体" w:hAnsi="宋体" w:cs="宋体"/>
          <w:b w:val="0"/>
          <w:bCs/>
          <w:kern w:val="0"/>
          <w:sz w:val="30"/>
          <w:szCs w:val="30"/>
          <w:lang w:eastAsia="zh-CN"/>
        </w:rPr>
        <w:t>民权县北关镇人民政府</w:t>
      </w:r>
      <w:bookmarkEnd w:id="2"/>
      <w:bookmarkEnd w:id="3"/>
    </w:p>
    <w:p w14:paraId="4170DBAB">
      <w:pPr>
        <w:spacing w:line="360" w:lineRule="auto"/>
        <w:ind w:firstLine="1800" w:firstLineChars="600"/>
        <w:jc w:val="both"/>
        <w:outlineLvl w:val="0"/>
        <w:rPr>
          <w:rFonts w:hint="eastAsia" w:ascii="宋体" w:hAnsi="宋体" w:eastAsia="宋体" w:cs="宋体"/>
          <w:b/>
          <w:kern w:val="0"/>
          <w:sz w:val="30"/>
          <w:szCs w:val="30"/>
          <w:lang w:eastAsia="zh-CN"/>
        </w:rPr>
      </w:pPr>
      <w:bookmarkStart w:id="4" w:name="_Toc13752"/>
      <w:bookmarkStart w:id="5" w:name="_Toc2713"/>
      <w:r>
        <w:rPr>
          <w:rFonts w:hint="eastAsia" w:ascii="宋体" w:hAnsi="宋体" w:eastAsia="宋体" w:cs="宋体"/>
          <w:b/>
          <w:kern w:val="0"/>
          <w:sz w:val="30"/>
          <w:szCs w:val="30"/>
        </w:rPr>
        <w:t>代 理 机 构：</w:t>
      </w:r>
      <w:r>
        <w:rPr>
          <w:rFonts w:hint="eastAsia" w:ascii="宋体" w:hAnsi="宋体" w:cs="宋体"/>
          <w:b w:val="0"/>
          <w:bCs/>
          <w:kern w:val="0"/>
          <w:sz w:val="30"/>
          <w:szCs w:val="30"/>
          <w:lang w:eastAsia="zh-CN"/>
        </w:rPr>
        <w:t>河南中智工程咨询有限公司</w:t>
      </w:r>
      <w:bookmarkEnd w:id="4"/>
      <w:bookmarkEnd w:id="5"/>
    </w:p>
    <w:p w14:paraId="5424ECC7">
      <w:pPr>
        <w:ind w:firstLine="1800" w:firstLineChars="600"/>
        <w:jc w:val="both"/>
        <w:outlineLvl w:val="0"/>
        <w:rPr>
          <w:rFonts w:hint="eastAsia" w:ascii="宋体" w:hAnsi="宋体" w:eastAsia="宋体" w:cs="宋体"/>
          <w:b/>
          <w:kern w:val="0"/>
          <w:sz w:val="30"/>
          <w:szCs w:val="30"/>
        </w:rPr>
      </w:pPr>
      <w:bookmarkStart w:id="6" w:name="_Toc30005"/>
      <w:bookmarkStart w:id="7" w:name="_Toc16026"/>
      <w:r>
        <w:rPr>
          <w:rFonts w:hint="eastAsia" w:ascii="宋体" w:hAnsi="宋体" w:eastAsia="宋体" w:cs="宋体"/>
          <w:b/>
          <w:kern w:val="0"/>
          <w:sz w:val="30"/>
          <w:szCs w:val="30"/>
          <w:lang w:eastAsia="zh-CN"/>
        </w:rPr>
        <w:t>日</w:t>
      </w:r>
      <w:r>
        <w:rPr>
          <w:rFonts w:hint="eastAsia" w:ascii="宋体" w:hAnsi="宋体" w:eastAsia="宋体" w:cs="宋体"/>
          <w:b/>
          <w:kern w:val="0"/>
          <w:sz w:val="30"/>
          <w:szCs w:val="30"/>
          <w:lang w:val="en-US" w:eastAsia="zh-CN"/>
        </w:rPr>
        <w:t xml:space="preserve">       </w:t>
      </w:r>
      <w:r>
        <w:rPr>
          <w:rFonts w:hint="eastAsia" w:ascii="宋体" w:hAnsi="宋体" w:eastAsia="宋体" w:cs="宋体"/>
          <w:b/>
          <w:kern w:val="0"/>
          <w:sz w:val="30"/>
          <w:szCs w:val="30"/>
          <w:lang w:eastAsia="zh-CN"/>
        </w:rPr>
        <w:t>期：</w:t>
      </w:r>
      <w:r>
        <w:rPr>
          <w:rFonts w:hint="eastAsia" w:ascii="宋体" w:hAnsi="宋体" w:eastAsia="宋体" w:cs="宋体"/>
          <w:b w:val="0"/>
          <w:bCs/>
          <w:kern w:val="0"/>
          <w:sz w:val="30"/>
          <w:szCs w:val="30"/>
        </w:rPr>
        <w:t>二○二</w:t>
      </w:r>
      <w:r>
        <w:rPr>
          <w:rFonts w:hint="eastAsia" w:ascii="宋体" w:hAnsi="宋体" w:cs="宋体"/>
          <w:b w:val="0"/>
          <w:bCs/>
          <w:kern w:val="0"/>
          <w:sz w:val="30"/>
          <w:szCs w:val="30"/>
          <w:lang w:eastAsia="zh-CN"/>
        </w:rPr>
        <w:t>五</w:t>
      </w:r>
      <w:r>
        <w:rPr>
          <w:rFonts w:hint="eastAsia" w:ascii="宋体" w:hAnsi="宋体" w:eastAsia="宋体" w:cs="宋体"/>
          <w:b w:val="0"/>
          <w:bCs/>
          <w:kern w:val="0"/>
          <w:sz w:val="30"/>
          <w:szCs w:val="30"/>
        </w:rPr>
        <w:t>年</w:t>
      </w:r>
      <w:r>
        <w:rPr>
          <w:rFonts w:hint="eastAsia" w:ascii="宋体" w:hAnsi="宋体" w:cs="宋体"/>
          <w:b w:val="0"/>
          <w:bCs/>
          <w:kern w:val="0"/>
          <w:sz w:val="30"/>
          <w:szCs w:val="30"/>
          <w:lang w:eastAsia="zh-CN"/>
        </w:rPr>
        <w:t>二</w:t>
      </w:r>
      <w:r>
        <w:rPr>
          <w:rFonts w:hint="eastAsia" w:ascii="宋体" w:hAnsi="宋体" w:eastAsia="宋体" w:cs="宋体"/>
          <w:b w:val="0"/>
          <w:bCs/>
          <w:kern w:val="0"/>
          <w:sz w:val="30"/>
          <w:szCs w:val="30"/>
        </w:rPr>
        <w:t>月</w:t>
      </w:r>
      <w:bookmarkEnd w:id="6"/>
      <w:bookmarkEnd w:id="7"/>
    </w:p>
    <w:p w14:paraId="040A7D26">
      <w:pPr>
        <w:jc w:val="center"/>
        <w:rPr>
          <w:rFonts w:hint="eastAsia" w:ascii="宋体" w:hAnsi="宋体" w:eastAsia="宋体" w:cs="宋体"/>
          <w:b/>
          <w:kern w:val="0"/>
          <w:sz w:val="30"/>
          <w:szCs w:val="30"/>
        </w:rPr>
      </w:pPr>
    </w:p>
    <w:p w14:paraId="3CF91D06">
      <w:pPr>
        <w:pStyle w:val="28"/>
        <w:spacing w:before="312" w:beforeLines="100" w:after="312" w:afterLines="100" w:line="600" w:lineRule="exact"/>
        <w:jc w:val="center"/>
        <w:rPr>
          <w:rFonts w:hint="eastAsia"/>
          <w:b/>
          <w:bCs/>
          <w:sz w:val="52"/>
          <w:szCs w:val="52"/>
        </w:rPr>
        <w:sectPr>
          <w:footerReference r:id="rId3" w:type="first"/>
          <w:pgSz w:w="11907" w:h="16840"/>
          <w:pgMar w:top="1417" w:right="1417" w:bottom="1417" w:left="1417" w:header="624" w:footer="641" w:gutter="0"/>
          <w:pgNumType w:fmt="decimal" w:start="1"/>
          <w:cols w:space="720" w:num="1"/>
          <w:docGrid w:type="linesAndChars" w:linePitch="312" w:charSpace="0"/>
        </w:sectPr>
      </w:pPr>
    </w:p>
    <w:sdt>
      <w:sdtPr>
        <w:rPr>
          <w:rFonts w:hint="eastAsia" w:ascii="黑体" w:hAnsi="黑体" w:eastAsia="黑体" w:cs="黑体"/>
          <w:kern w:val="2"/>
          <w:sz w:val="48"/>
          <w:szCs w:val="48"/>
          <w:lang w:val="en-US" w:eastAsia="zh-CN" w:bidi="ar-SA"/>
        </w:rPr>
        <w:id w:val="147467645"/>
        <w15:color w:val="DBDBDB"/>
        <w:docPartObj>
          <w:docPartGallery w:val="Table of Contents"/>
          <w:docPartUnique/>
        </w:docPartObj>
      </w:sdtPr>
      <w:sdtEndPr>
        <w:rPr>
          <w:rFonts w:hint="eastAsia" w:ascii="Times New Roman" w:hAnsi="Times New Roman" w:eastAsia="宋体" w:cs="Times New Roman"/>
          <w:kern w:val="2"/>
          <w:sz w:val="21"/>
          <w:szCs w:val="24"/>
          <w:lang w:val="en-US" w:eastAsia="zh-CN" w:bidi="ar-SA"/>
        </w:rPr>
      </w:sdtEndPr>
      <w:sdtContent>
        <w:p w14:paraId="7A29E15C">
          <w:pPr>
            <w:spacing w:before="0" w:beforeLines="0" w:after="0" w:afterLines="0" w:line="240" w:lineRule="auto"/>
            <w:ind w:left="0" w:leftChars="0" w:right="0" w:rightChars="0" w:firstLine="0" w:firstLineChars="0"/>
            <w:jc w:val="center"/>
            <w:rPr>
              <w:rFonts w:hint="eastAsia" w:ascii="黑体" w:hAnsi="黑体" w:eastAsia="黑体" w:cs="黑体"/>
              <w:sz w:val="48"/>
              <w:szCs w:val="48"/>
            </w:rPr>
          </w:pPr>
          <w:r>
            <w:rPr>
              <w:rFonts w:hint="eastAsia" w:ascii="黑体" w:hAnsi="黑体" w:eastAsia="黑体" w:cs="黑体"/>
              <w:sz w:val="48"/>
              <w:szCs w:val="48"/>
            </w:rPr>
            <w:t>目</w:t>
          </w:r>
          <w:r>
            <w:rPr>
              <w:rFonts w:hint="eastAsia" w:ascii="黑体" w:hAnsi="黑体" w:eastAsia="黑体" w:cs="黑体"/>
              <w:sz w:val="48"/>
              <w:szCs w:val="48"/>
              <w:lang w:val="en-US" w:eastAsia="zh-CN"/>
            </w:rPr>
            <w:t xml:space="preserve">  </w:t>
          </w:r>
          <w:r>
            <w:rPr>
              <w:rFonts w:hint="eastAsia" w:ascii="黑体" w:hAnsi="黑体" w:eastAsia="黑体" w:cs="黑体"/>
              <w:sz w:val="48"/>
              <w:szCs w:val="48"/>
            </w:rPr>
            <w:t>录</w:t>
          </w:r>
        </w:p>
        <w:p w14:paraId="7A5D2C97">
          <w:pPr>
            <w:pStyle w:val="35"/>
            <w:tabs>
              <w:tab w:val="right" w:leader="dot" w:pos="9073"/>
            </w:tabs>
            <w:rPr>
              <w:rFonts w:hint="eastAsia"/>
              <w:lang w:val="en-US" w:eastAsia="zh-CN"/>
            </w:rPr>
          </w:pPr>
        </w:p>
        <w:p w14:paraId="706C0C72">
          <w:pPr>
            <w:pStyle w:val="35"/>
            <w:tabs>
              <w:tab w:val="right" w:leader="dot" w:pos="9073"/>
            </w:tabs>
          </w:pPr>
          <w:r>
            <w:rPr>
              <w:rFonts w:hint="eastAsia"/>
              <w:lang w:val="en-US" w:eastAsia="zh-CN"/>
            </w:rPr>
            <w:fldChar w:fldCharType="begin"/>
          </w:r>
          <w:r>
            <w:rPr>
              <w:rFonts w:hint="eastAsia"/>
              <w:lang w:val="en-US" w:eastAsia="zh-CN"/>
            </w:rPr>
            <w:instrText xml:space="preserve">TOC \o "1-1" \h \u </w:instrText>
          </w:r>
          <w:r>
            <w:rPr>
              <w:rFonts w:hint="eastAsia"/>
              <w:lang w:val="en-US" w:eastAsia="zh-CN"/>
            </w:rPr>
            <w:fldChar w:fldCharType="separate"/>
          </w:r>
        </w:p>
        <w:p w14:paraId="6FD2EEDA">
          <w:pPr>
            <w:pStyle w:val="35"/>
            <w:tabs>
              <w:tab w:val="right" w:leader="dot" w:pos="9073"/>
            </w:tabs>
            <w:spacing w:line="72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\l _Toc368 </w:instrText>
          </w:r>
          <w:r>
            <w:rPr>
              <w:rFonts w:hint="eastAsia" w:ascii="仿宋" w:hAnsi="仿宋" w:eastAsia="仿宋" w:cs="仿宋"/>
              <w:sz w:val="30"/>
              <w:szCs w:val="30"/>
              <w:lang w:val="en-US" w:eastAsia="zh-CN"/>
            </w:rPr>
            <w:fldChar w:fldCharType="separate"/>
          </w:r>
          <w:r>
            <w:rPr>
              <w:rFonts w:hint="eastAsia" w:ascii="仿宋" w:hAnsi="仿宋" w:eastAsia="仿宋" w:cs="仿宋"/>
              <w:bCs/>
              <w:sz w:val="30"/>
              <w:szCs w:val="30"/>
              <w:lang w:val="en-US" w:eastAsia="zh-CN"/>
            </w:rPr>
            <w:t>第一章 竞争性磋商公告</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_Toc368 \h </w:instrText>
          </w:r>
          <w:r>
            <w:rPr>
              <w:rFonts w:hint="eastAsia" w:ascii="仿宋" w:hAnsi="仿宋" w:eastAsia="仿宋" w:cs="仿宋"/>
              <w:sz w:val="30"/>
              <w:szCs w:val="30"/>
            </w:rPr>
            <w:fldChar w:fldCharType="separate"/>
          </w:r>
          <w:r>
            <w:rPr>
              <w:rFonts w:hint="eastAsia" w:ascii="仿宋" w:hAnsi="仿宋" w:eastAsia="仿宋" w:cs="仿宋"/>
              <w:sz w:val="30"/>
              <w:szCs w:val="30"/>
            </w:rPr>
            <w:t>2</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fldChar w:fldCharType="end"/>
          </w:r>
        </w:p>
        <w:p w14:paraId="13D86448">
          <w:pPr>
            <w:rPr>
              <w:rFonts w:hint="eastAsia"/>
            </w:rPr>
          </w:pPr>
        </w:p>
        <w:p w14:paraId="31758A5A">
          <w:pPr>
            <w:pStyle w:val="35"/>
            <w:tabs>
              <w:tab w:val="right" w:leader="dot" w:pos="9073"/>
            </w:tabs>
            <w:spacing w:line="72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\l _Toc8466 </w:instrText>
          </w:r>
          <w:r>
            <w:rPr>
              <w:rFonts w:hint="eastAsia" w:ascii="仿宋" w:hAnsi="仿宋" w:eastAsia="仿宋" w:cs="仿宋"/>
              <w:sz w:val="30"/>
              <w:szCs w:val="30"/>
              <w:lang w:val="en-US" w:eastAsia="zh-CN"/>
            </w:rPr>
            <w:fldChar w:fldCharType="separate"/>
          </w:r>
          <w:r>
            <w:rPr>
              <w:rFonts w:hint="eastAsia" w:ascii="仿宋" w:hAnsi="仿宋" w:eastAsia="仿宋" w:cs="仿宋"/>
              <w:bCs/>
              <w:sz w:val="30"/>
              <w:szCs w:val="30"/>
              <w:lang w:val="en-US" w:eastAsia="zh-CN"/>
            </w:rPr>
            <w:t xml:space="preserve">第二章 </w:t>
          </w:r>
          <w:r>
            <w:rPr>
              <w:rFonts w:hint="eastAsia" w:ascii="仿宋" w:hAnsi="仿宋" w:eastAsia="仿宋" w:cs="仿宋"/>
              <w:bCs/>
              <w:sz w:val="30"/>
              <w:szCs w:val="30"/>
            </w:rPr>
            <w:t>供应商须知</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_Toc8466 \h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fldChar w:fldCharType="end"/>
          </w:r>
        </w:p>
        <w:p w14:paraId="3A7197DE">
          <w:pPr>
            <w:rPr>
              <w:rFonts w:hint="eastAsia"/>
            </w:rPr>
          </w:pPr>
        </w:p>
        <w:p w14:paraId="5E103E27">
          <w:pPr>
            <w:pStyle w:val="35"/>
            <w:tabs>
              <w:tab w:val="right" w:leader="dot" w:pos="9073"/>
            </w:tabs>
            <w:spacing w:line="72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\l _Toc15280 </w:instrText>
          </w:r>
          <w:r>
            <w:rPr>
              <w:rFonts w:hint="eastAsia" w:ascii="仿宋" w:hAnsi="仿宋" w:eastAsia="仿宋" w:cs="仿宋"/>
              <w:sz w:val="30"/>
              <w:szCs w:val="30"/>
              <w:lang w:val="en-US" w:eastAsia="zh-CN"/>
            </w:rPr>
            <w:fldChar w:fldCharType="separate"/>
          </w:r>
          <w:r>
            <w:rPr>
              <w:rFonts w:hint="eastAsia" w:ascii="仿宋" w:hAnsi="仿宋" w:eastAsia="仿宋" w:cs="仿宋"/>
              <w:bCs/>
              <w:sz w:val="30"/>
              <w:szCs w:val="30"/>
              <w:lang w:val="en-US" w:eastAsia="zh-CN"/>
            </w:rPr>
            <w:t>第三章 工程量清单、图纸（另附）</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_Toc15280 \h </w:instrText>
          </w:r>
          <w:r>
            <w:rPr>
              <w:rFonts w:hint="eastAsia" w:ascii="仿宋" w:hAnsi="仿宋" w:eastAsia="仿宋" w:cs="仿宋"/>
              <w:sz w:val="30"/>
              <w:szCs w:val="30"/>
            </w:rPr>
            <w:fldChar w:fldCharType="separate"/>
          </w:r>
          <w:r>
            <w:rPr>
              <w:rFonts w:hint="eastAsia" w:ascii="仿宋" w:hAnsi="仿宋" w:eastAsia="仿宋" w:cs="仿宋"/>
              <w:sz w:val="30"/>
              <w:szCs w:val="30"/>
            </w:rPr>
            <w:t>18</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fldChar w:fldCharType="end"/>
          </w:r>
        </w:p>
        <w:p w14:paraId="318D7ADB">
          <w:pPr>
            <w:rPr>
              <w:rFonts w:hint="eastAsia"/>
            </w:rPr>
          </w:pPr>
        </w:p>
        <w:p w14:paraId="4F46BE99">
          <w:pPr>
            <w:pStyle w:val="35"/>
            <w:tabs>
              <w:tab w:val="right" w:leader="dot" w:pos="9073"/>
            </w:tabs>
            <w:spacing w:line="72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\l _Toc10615 </w:instrText>
          </w:r>
          <w:r>
            <w:rPr>
              <w:rFonts w:hint="eastAsia" w:ascii="仿宋" w:hAnsi="仿宋" w:eastAsia="仿宋" w:cs="仿宋"/>
              <w:sz w:val="30"/>
              <w:szCs w:val="30"/>
              <w:lang w:val="en-US" w:eastAsia="zh-CN"/>
            </w:rPr>
            <w:fldChar w:fldCharType="separate"/>
          </w:r>
          <w:r>
            <w:rPr>
              <w:rFonts w:hint="eastAsia" w:ascii="仿宋" w:hAnsi="仿宋" w:eastAsia="仿宋" w:cs="仿宋"/>
              <w:bCs/>
              <w:sz w:val="30"/>
              <w:szCs w:val="30"/>
              <w:lang w:val="en-US" w:eastAsia="zh-CN"/>
            </w:rPr>
            <w:t>第四章 合同条款及格式</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_Toc10615 \h </w:instrText>
          </w:r>
          <w:r>
            <w:rPr>
              <w:rFonts w:hint="eastAsia" w:ascii="仿宋" w:hAnsi="仿宋" w:eastAsia="仿宋" w:cs="仿宋"/>
              <w:sz w:val="30"/>
              <w:szCs w:val="30"/>
            </w:rPr>
            <w:fldChar w:fldCharType="separate"/>
          </w:r>
          <w:r>
            <w:rPr>
              <w:rFonts w:hint="eastAsia" w:ascii="仿宋" w:hAnsi="仿宋" w:eastAsia="仿宋" w:cs="仿宋"/>
              <w:sz w:val="30"/>
              <w:szCs w:val="30"/>
            </w:rPr>
            <w:t>19</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fldChar w:fldCharType="end"/>
          </w:r>
        </w:p>
        <w:p w14:paraId="02666FE2">
          <w:pPr>
            <w:rPr>
              <w:rFonts w:hint="eastAsia"/>
            </w:rPr>
          </w:pPr>
        </w:p>
        <w:p w14:paraId="23B23BF3">
          <w:pPr>
            <w:pStyle w:val="35"/>
            <w:tabs>
              <w:tab w:val="right" w:leader="dot" w:pos="9073"/>
            </w:tabs>
            <w:spacing w:line="72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\l _Toc26798 </w:instrText>
          </w:r>
          <w:r>
            <w:rPr>
              <w:rFonts w:hint="eastAsia" w:ascii="仿宋" w:hAnsi="仿宋" w:eastAsia="仿宋" w:cs="仿宋"/>
              <w:sz w:val="30"/>
              <w:szCs w:val="30"/>
              <w:lang w:val="en-US" w:eastAsia="zh-CN"/>
            </w:rPr>
            <w:fldChar w:fldCharType="separate"/>
          </w:r>
          <w:r>
            <w:rPr>
              <w:rFonts w:hint="eastAsia" w:ascii="仿宋" w:hAnsi="仿宋" w:eastAsia="仿宋" w:cs="仿宋"/>
              <w:bCs/>
              <w:sz w:val="30"/>
              <w:szCs w:val="30"/>
              <w:lang w:val="en-US" w:eastAsia="zh-CN"/>
            </w:rPr>
            <w:t xml:space="preserve">第五章 </w:t>
          </w:r>
          <w:r>
            <w:rPr>
              <w:rFonts w:hint="eastAsia" w:ascii="仿宋" w:hAnsi="仿宋" w:eastAsia="仿宋" w:cs="仿宋"/>
              <w:bCs/>
              <w:sz w:val="30"/>
              <w:szCs w:val="30"/>
            </w:rPr>
            <w:t>磋商响应文件格式</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_Toc26798 \h </w:instrText>
          </w:r>
          <w:r>
            <w:rPr>
              <w:rFonts w:hint="eastAsia" w:ascii="仿宋" w:hAnsi="仿宋" w:eastAsia="仿宋" w:cs="仿宋"/>
              <w:sz w:val="30"/>
              <w:szCs w:val="30"/>
            </w:rPr>
            <w:fldChar w:fldCharType="separate"/>
          </w:r>
          <w:r>
            <w:rPr>
              <w:rFonts w:hint="eastAsia" w:ascii="仿宋" w:hAnsi="仿宋" w:eastAsia="仿宋" w:cs="仿宋"/>
              <w:sz w:val="30"/>
              <w:szCs w:val="30"/>
            </w:rPr>
            <w:t>20</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fldChar w:fldCharType="end"/>
          </w:r>
        </w:p>
        <w:p w14:paraId="082CD2C6">
          <w:pPr>
            <w:rPr>
              <w:rFonts w:hint="eastAsia"/>
            </w:rPr>
          </w:pPr>
        </w:p>
        <w:p w14:paraId="351297D6">
          <w:pPr>
            <w:pStyle w:val="35"/>
            <w:tabs>
              <w:tab w:val="right" w:leader="dot" w:pos="9073"/>
            </w:tabs>
            <w:spacing w:line="72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\l _Toc3349 </w:instrText>
          </w:r>
          <w:r>
            <w:rPr>
              <w:rFonts w:hint="eastAsia" w:ascii="仿宋" w:hAnsi="仿宋" w:eastAsia="仿宋" w:cs="仿宋"/>
              <w:sz w:val="30"/>
              <w:szCs w:val="30"/>
              <w:lang w:val="en-US" w:eastAsia="zh-CN"/>
            </w:rPr>
            <w:fldChar w:fldCharType="separate"/>
          </w:r>
          <w:r>
            <w:rPr>
              <w:rFonts w:hint="eastAsia" w:ascii="仿宋" w:hAnsi="仿宋" w:eastAsia="仿宋" w:cs="仿宋"/>
              <w:bCs/>
              <w:sz w:val="30"/>
              <w:szCs w:val="30"/>
              <w:lang w:val="en-US" w:eastAsia="zh-CN"/>
            </w:rPr>
            <w:t>附评标办法</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_Toc3349 \h </w:instrText>
          </w:r>
          <w:r>
            <w:rPr>
              <w:rFonts w:hint="eastAsia" w:ascii="仿宋" w:hAnsi="仿宋" w:eastAsia="仿宋" w:cs="仿宋"/>
              <w:sz w:val="30"/>
              <w:szCs w:val="30"/>
            </w:rPr>
            <w:fldChar w:fldCharType="separate"/>
          </w:r>
          <w:r>
            <w:rPr>
              <w:rFonts w:hint="eastAsia" w:ascii="仿宋" w:hAnsi="仿宋" w:eastAsia="仿宋" w:cs="仿宋"/>
              <w:sz w:val="30"/>
              <w:szCs w:val="30"/>
            </w:rPr>
            <w:t>37</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fldChar w:fldCharType="end"/>
          </w:r>
        </w:p>
        <w:p w14:paraId="6C4F0334">
          <w:pPr>
            <w:rPr>
              <w:rFonts w:hint="eastAsia"/>
            </w:rPr>
          </w:pPr>
        </w:p>
        <w:p w14:paraId="1A88C3CE">
          <w:pPr>
            <w:pStyle w:val="35"/>
            <w:tabs>
              <w:tab w:val="right" w:leader="dot" w:pos="9073"/>
            </w:tabs>
            <w:spacing w:line="72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\l _Toc18085 </w:instrText>
          </w:r>
          <w:r>
            <w:rPr>
              <w:rFonts w:hint="eastAsia" w:ascii="仿宋" w:hAnsi="仿宋" w:eastAsia="仿宋" w:cs="仿宋"/>
              <w:sz w:val="30"/>
              <w:szCs w:val="30"/>
              <w:lang w:val="en-US" w:eastAsia="zh-CN"/>
            </w:rPr>
            <w:fldChar w:fldCharType="separate"/>
          </w:r>
          <w:r>
            <w:rPr>
              <w:rFonts w:hint="eastAsia" w:ascii="仿宋" w:hAnsi="仿宋" w:eastAsia="仿宋" w:cs="仿宋"/>
              <w:sz w:val="30"/>
              <w:szCs w:val="30"/>
            </w:rPr>
            <w:t>第二轮报价函（格式）</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_Toc18085 \h </w:instrText>
          </w:r>
          <w:r>
            <w:rPr>
              <w:rFonts w:hint="eastAsia" w:ascii="仿宋" w:hAnsi="仿宋" w:eastAsia="仿宋" w:cs="仿宋"/>
              <w:sz w:val="30"/>
              <w:szCs w:val="30"/>
            </w:rPr>
            <w:fldChar w:fldCharType="separate"/>
          </w:r>
          <w:r>
            <w:rPr>
              <w:rFonts w:hint="eastAsia" w:ascii="仿宋" w:hAnsi="仿宋" w:eastAsia="仿宋" w:cs="仿宋"/>
              <w:sz w:val="30"/>
              <w:szCs w:val="30"/>
            </w:rPr>
            <w:t>42</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fldChar w:fldCharType="end"/>
          </w:r>
        </w:p>
        <w:p w14:paraId="380F7A4B">
          <w:pPr>
            <w:rPr>
              <w:rFonts w:hint="eastAsia"/>
            </w:rPr>
          </w:pPr>
        </w:p>
        <w:p w14:paraId="3364FD60">
          <w:pPr>
            <w:pStyle w:val="35"/>
            <w:tabs>
              <w:tab w:val="right" w:leader="dot" w:pos="9073"/>
            </w:tabs>
            <w:spacing w:line="720" w:lineRule="auto"/>
          </w:pP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\l _Toc32472 </w:instrText>
          </w:r>
          <w:r>
            <w:rPr>
              <w:rFonts w:hint="eastAsia" w:ascii="仿宋" w:hAnsi="仿宋" w:eastAsia="仿宋" w:cs="仿宋"/>
              <w:sz w:val="30"/>
              <w:szCs w:val="30"/>
              <w:lang w:val="en-US" w:eastAsia="zh-CN"/>
            </w:rPr>
            <w:fldChar w:fldCharType="separate"/>
          </w:r>
          <w:r>
            <w:rPr>
              <w:rFonts w:hint="eastAsia" w:ascii="仿宋" w:hAnsi="仿宋" w:eastAsia="仿宋" w:cs="仿宋"/>
              <w:bCs/>
              <w:sz w:val="30"/>
              <w:szCs w:val="30"/>
              <w:lang w:val="en-US" w:eastAsia="zh-CN"/>
            </w:rPr>
            <w:t>河南省政府采购合同融资政策告知函</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_Toc32472 \h </w:instrText>
          </w:r>
          <w:r>
            <w:rPr>
              <w:rFonts w:hint="eastAsia" w:ascii="仿宋" w:hAnsi="仿宋" w:eastAsia="仿宋" w:cs="仿宋"/>
              <w:sz w:val="30"/>
              <w:szCs w:val="30"/>
            </w:rPr>
            <w:fldChar w:fldCharType="separate"/>
          </w:r>
          <w:r>
            <w:rPr>
              <w:rFonts w:hint="eastAsia" w:ascii="仿宋" w:hAnsi="仿宋" w:eastAsia="仿宋" w:cs="仿宋"/>
              <w:sz w:val="30"/>
              <w:szCs w:val="30"/>
            </w:rPr>
            <w:t>43</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fldChar w:fldCharType="end"/>
          </w:r>
        </w:p>
        <w:p w14:paraId="2A46F46C">
          <w:pPr>
            <w:pStyle w:val="5"/>
            <w:rPr>
              <w:rFonts w:hint="eastAsia" w:ascii="Times New Roman" w:hAnsi="Times New Roman" w:eastAsia="宋体" w:cs="Times New Roman"/>
              <w:kern w:val="2"/>
              <w:sz w:val="21"/>
              <w:szCs w:val="24"/>
              <w:lang w:val="en-US" w:eastAsia="zh-CN" w:bidi="ar-SA"/>
            </w:rPr>
          </w:pPr>
          <w:r>
            <w:rPr>
              <w:rFonts w:hint="eastAsia"/>
              <w:lang w:val="en-US" w:eastAsia="zh-CN"/>
            </w:rPr>
            <w:fldChar w:fldCharType="end"/>
          </w:r>
        </w:p>
      </w:sdtContent>
    </w:sdt>
    <w:p w14:paraId="19D6FED3">
      <w:pPr>
        <w:rPr>
          <w:rFonts w:hint="eastAsia"/>
          <w:lang w:val="en-US" w:eastAsia="zh-CN"/>
        </w:rPr>
      </w:pPr>
      <w:bookmarkStart w:id="610" w:name="_GoBack"/>
      <w:bookmarkEnd w:id="610"/>
    </w:p>
    <w:p w14:paraId="59E4DFB1">
      <w:pPr>
        <w:rPr>
          <w:rFonts w:hint="eastAsia"/>
          <w:b/>
          <w:bCs/>
          <w:sz w:val="32"/>
          <w:szCs w:val="32"/>
          <w:lang w:val="en-US" w:eastAsia="zh-CN"/>
        </w:rPr>
      </w:pPr>
      <w:r>
        <w:rPr>
          <w:rFonts w:hint="eastAsia"/>
          <w:b/>
          <w:bCs/>
          <w:sz w:val="32"/>
          <w:szCs w:val="32"/>
          <w:lang w:val="en-US" w:eastAsia="zh-CN"/>
        </w:rPr>
        <w:br w:type="page"/>
      </w:r>
    </w:p>
    <w:p w14:paraId="5B466246">
      <w:pPr>
        <w:pageBreakBefore w:val="0"/>
        <w:kinsoku/>
        <w:overflowPunct/>
        <w:topLinePunct w:val="0"/>
        <w:autoSpaceDE/>
        <w:autoSpaceDN/>
        <w:bidi w:val="0"/>
        <w:snapToGrid/>
        <w:spacing w:line="360" w:lineRule="auto"/>
        <w:jc w:val="center"/>
        <w:outlineLvl w:val="0"/>
        <w:rPr>
          <w:rFonts w:hint="default"/>
          <w:b/>
          <w:bCs/>
          <w:sz w:val="32"/>
          <w:szCs w:val="32"/>
          <w:lang w:val="en-US" w:eastAsia="zh-CN"/>
        </w:rPr>
      </w:pPr>
      <w:bookmarkStart w:id="8" w:name="_Toc368"/>
      <w:r>
        <w:rPr>
          <w:rFonts w:hint="eastAsia"/>
          <w:b/>
          <w:bCs/>
          <w:sz w:val="32"/>
          <w:szCs w:val="32"/>
          <w:lang w:val="en-US" w:eastAsia="zh-CN"/>
        </w:rPr>
        <w:t>第一章 竞争性磋商公告</w:t>
      </w:r>
      <w:bookmarkEnd w:id="8"/>
    </w:p>
    <w:p w14:paraId="61327CD3">
      <w:pPr>
        <w:pageBreakBefore w:val="0"/>
        <w:kinsoku/>
        <w:overflowPunct/>
        <w:topLinePunct w:val="0"/>
        <w:autoSpaceDE/>
        <w:autoSpaceDN/>
        <w:bidi w:val="0"/>
        <w:snapToGrid/>
        <w:spacing w:line="360" w:lineRule="auto"/>
        <w:jc w:val="center"/>
        <w:outlineLvl w:val="1"/>
        <w:rPr>
          <w:rFonts w:hint="eastAsia" w:ascii="宋体" w:hAnsi="宋体" w:cs="宋体"/>
          <w:b/>
          <w:sz w:val="28"/>
          <w:szCs w:val="28"/>
          <w:lang w:val="en-US" w:eastAsia="zh-CN"/>
        </w:rPr>
      </w:pPr>
      <w:r>
        <w:rPr>
          <w:rFonts w:hint="eastAsia" w:ascii="宋体" w:hAnsi="宋体" w:cs="宋体"/>
          <w:b/>
          <w:sz w:val="28"/>
          <w:szCs w:val="28"/>
          <w:lang w:val="en-US" w:eastAsia="zh-CN"/>
        </w:rPr>
        <w:t xml:space="preserve"> 民权县北关镇人民政府2024年北关镇王小楼村道路建设项目</w:t>
      </w:r>
    </w:p>
    <w:p w14:paraId="1579B1FD">
      <w:pPr>
        <w:pageBreakBefore w:val="0"/>
        <w:kinsoku/>
        <w:overflowPunct/>
        <w:topLinePunct w:val="0"/>
        <w:autoSpaceDE/>
        <w:autoSpaceDN/>
        <w:bidi w:val="0"/>
        <w:snapToGrid/>
        <w:spacing w:line="360" w:lineRule="auto"/>
        <w:jc w:val="center"/>
        <w:rPr>
          <w:rFonts w:hint="eastAsia" w:ascii="宋体" w:hAnsi="宋体" w:cs="宋体"/>
          <w:b/>
          <w:sz w:val="28"/>
          <w:szCs w:val="28"/>
          <w:lang w:val="en-US" w:eastAsia="zh-CN"/>
        </w:rPr>
      </w:pPr>
      <w:r>
        <w:rPr>
          <w:rFonts w:hint="eastAsia" w:ascii="宋体" w:hAnsi="宋体" w:cs="宋体"/>
          <w:b/>
          <w:sz w:val="28"/>
          <w:szCs w:val="28"/>
        </w:rPr>
        <w:t>竞争性磋商公告</w:t>
      </w:r>
    </w:p>
    <w:p w14:paraId="100C53B8">
      <w:pPr>
        <w:pageBreakBefore w:val="0"/>
        <w:kinsoku/>
        <w:overflowPunct/>
        <w:topLinePunct w:val="0"/>
        <w:autoSpaceDE/>
        <w:autoSpaceDN/>
        <w:bidi w:val="0"/>
        <w:snapToGrid/>
        <w:spacing w:line="360" w:lineRule="auto"/>
        <w:outlineLvl w:val="1"/>
        <w:rPr>
          <w:rFonts w:hint="eastAsia" w:ascii="宋体" w:hAnsi="宋体" w:eastAsia="宋体" w:cs="宋体"/>
          <w:szCs w:val="21"/>
          <w:lang w:eastAsia="zh-CN"/>
        </w:rPr>
      </w:pPr>
      <w:r>
        <w:rPr>
          <w:rFonts w:hint="eastAsia" w:ascii="宋体" w:hAnsi="宋体" w:cs="宋体"/>
          <w:b/>
          <w:szCs w:val="21"/>
        </w:rPr>
        <w:t>一、</w:t>
      </w:r>
      <w:r>
        <w:rPr>
          <w:rFonts w:hint="eastAsia" w:ascii="宋体" w:hAnsi="宋体" w:cs="宋体"/>
          <w:b/>
          <w:szCs w:val="21"/>
          <w:lang w:val="en-US" w:eastAsia="zh-CN"/>
        </w:rPr>
        <w:t>采购</w:t>
      </w:r>
      <w:r>
        <w:rPr>
          <w:rFonts w:hint="eastAsia" w:ascii="宋体" w:hAnsi="宋体" w:cs="宋体"/>
          <w:b/>
          <w:szCs w:val="21"/>
        </w:rPr>
        <w:t>条件</w:t>
      </w:r>
      <w:r>
        <w:rPr>
          <w:rFonts w:hint="eastAsia" w:ascii="宋体" w:hAnsi="宋体" w:cs="宋体"/>
          <w:b/>
          <w:szCs w:val="21"/>
          <w:lang w:eastAsia="zh-CN"/>
        </w:rPr>
        <w:t>：</w:t>
      </w:r>
    </w:p>
    <w:p w14:paraId="4D43234F">
      <w:pPr>
        <w:pageBreakBefore w:val="0"/>
        <w:kinsoku/>
        <w:overflowPunct/>
        <w:topLinePunct w:val="0"/>
        <w:autoSpaceDE/>
        <w:autoSpaceDN/>
        <w:bidi w:val="0"/>
        <w:snapToGrid/>
        <w:spacing w:line="360" w:lineRule="auto"/>
        <w:ind w:firstLine="420" w:firstLineChars="200"/>
        <w:rPr>
          <w:rFonts w:hint="eastAsia" w:ascii="宋体" w:hAnsi="宋体" w:cs="宋体"/>
          <w:szCs w:val="21"/>
        </w:rPr>
      </w:pPr>
      <w:r>
        <w:rPr>
          <w:rFonts w:hint="eastAsia" w:ascii="宋体" w:hAnsi="宋体" w:cs="宋体"/>
          <w:szCs w:val="21"/>
          <w:lang w:val="en-US" w:eastAsia="zh-CN"/>
        </w:rPr>
        <w:t>河南中智工程咨询有限公司</w:t>
      </w:r>
      <w:r>
        <w:rPr>
          <w:rFonts w:hint="eastAsia" w:ascii="宋体" w:hAnsi="宋体" w:cs="宋体"/>
          <w:szCs w:val="21"/>
        </w:rPr>
        <w:t>受</w:t>
      </w:r>
      <w:r>
        <w:rPr>
          <w:rFonts w:hint="eastAsia" w:ascii="宋体" w:hAnsi="宋体" w:cs="宋体"/>
          <w:szCs w:val="21"/>
          <w:lang w:val="en-US" w:eastAsia="zh-CN"/>
        </w:rPr>
        <w:t>民权县北关镇人民政府</w:t>
      </w:r>
      <w:r>
        <w:rPr>
          <w:rFonts w:hint="eastAsia" w:ascii="宋体" w:hAnsi="宋体" w:cs="宋体"/>
          <w:szCs w:val="21"/>
        </w:rPr>
        <w:t>的委托，就</w:t>
      </w:r>
      <w:r>
        <w:rPr>
          <w:rFonts w:hint="eastAsia" w:ascii="宋体" w:hAnsi="宋体" w:cs="宋体"/>
          <w:szCs w:val="21"/>
          <w:lang w:val="en-US" w:eastAsia="zh-CN"/>
        </w:rPr>
        <w:t>民权县北关镇人民政府2024年北关镇王小楼村道路建设项目</w:t>
      </w:r>
      <w:r>
        <w:rPr>
          <w:rFonts w:hint="eastAsia" w:ascii="宋体" w:hAnsi="宋体" w:cs="宋体"/>
          <w:szCs w:val="21"/>
        </w:rPr>
        <w:t>进行竞争性磋商采购，现欢迎符合相关条件的供应商参加竞争性磋商，现将磋商事宜公告如下：</w:t>
      </w:r>
    </w:p>
    <w:p w14:paraId="233968AC">
      <w:pPr>
        <w:pageBreakBefore w:val="0"/>
        <w:kinsoku/>
        <w:overflowPunct/>
        <w:topLinePunct w:val="0"/>
        <w:autoSpaceDE/>
        <w:autoSpaceDN/>
        <w:bidi w:val="0"/>
        <w:snapToGrid/>
        <w:spacing w:line="360" w:lineRule="auto"/>
        <w:outlineLvl w:val="1"/>
        <w:rPr>
          <w:rFonts w:hint="eastAsia" w:ascii="宋体" w:hAnsi="宋体" w:eastAsia="宋体" w:cs="宋体"/>
          <w:szCs w:val="21"/>
          <w:lang w:eastAsia="zh-CN"/>
        </w:rPr>
      </w:pPr>
      <w:bookmarkStart w:id="9" w:name="_Toc12793"/>
      <w:r>
        <w:rPr>
          <w:rFonts w:hint="eastAsia" w:ascii="宋体" w:hAnsi="宋体" w:cs="宋体"/>
          <w:b/>
          <w:szCs w:val="21"/>
        </w:rPr>
        <w:t>二 、项目概况与招标范围</w:t>
      </w:r>
      <w:r>
        <w:rPr>
          <w:rFonts w:hint="eastAsia" w:ascii="宋体" w:hAnsi="宋体" w:cs="宋体"/>
          <w:b/>
          <w:szCs w:val="21"/>
          <w:lang w:eastAsia="zh-CN"/>
        </w:rPr>
        <w:t>：</w:t>
      </w:r>
      <w:bookmarkEnd w:id="9"/>
    </w:p>
    <w:p w14:paraId="6E669DB9">
      <w:pPr>
        <w:pStyle w:val="88"/>
        <w:pageBreakBefore w:val="0"/>
        <w:kinsoku/>
        <w:overflowPunct/>
        <w:topLinePunct w:val="0"/>
        <w:autoSpaceDE/>
        <w:autoSpaceDN/>
        <w:bidi w:val="0"/>
        <w:snapToGrid/>
        <w:spacing w:line="360" w:lineRule="auto"/>
        <w:ind w:firstLine="420" w:firstLineChars="200"/>
        <w:rPr>
          <w:rFonts w:hint="eastAsia" w:ascii="宋体" w:hAnsi="宋体" w:cs="宋体"/>
          <w:bCs/>
          <w:lang w:eastAsia="zh-CN"/>
        </w:rPr>
      </w:pPr>
      <w:r>
        <w:rPr>
          <w:rFonts w:hint="eastAsia" w:ascii="宋体" w:hAnsi="宋体" w:cs="宋体"/>
          <w:bCs/>
        </w:rPr>
        <w:t>2.1项目名称：</w:t>
      </w:r>
      <w:r>
        <w:rPr>
          <w:rFonts w:hint="eastAsia" w:ascii="宋体" w:hAnsi="宋体" w:cs="宋体"/>
          <w:bCs/>
          <w:lang w:eastAsia="zh-CN"/>
        </w:rPr>
        <w:t>民权县北关镇人民政府2024年北关镇王小楼村道路建设项目</w:t>
      </w:r>
    </w:p>
    <w:p w14:paraId="26BB6F28">
      <w:pPr>
        <w:pStyle w:val="88"/>
        <w:pageBreakBefore w:val="0"/>
        <w:kinsoku/>
        <w:overflowPunct/>
        <w:topLinePunct w:val="0"/>
        <w:autoSpaceDE/>
        <w:autoSpaceDN/>
        <w:bidi w:val="0"/>
        <w:snapToGrid/>
        <w:spacing w:line="360" w:lineRule="auto"/>
        <w:ind w:firstLine="420" w:firstLineChars="200"/>
        <w:rPr>
          <w:rFonts w:hint="eastAsia" w:ascii="宋体" w:hAnsi="宋体" w:cs="宋体"/>
          <w:bCs/>
          <w:color w:val="auto"/>
          <w:lang w:val="en-US" w:eastAsia="zh-CN"/>
        </w:rPr>
      </w:pPr>
      <w:r>
        <w:rPr>
          <w:rFonts w:hint="eastAsia" w:ascii="宋体" w:hAnsi="宋体" w:cs="宋体"/>
          <w:bCs/>
          <w:color w:val="000000" w:themeColor="text1"/>
          <w14:textFill>
            <w14:solidFill>
              <w14:schemeClr w14:val="tx1"/>
            </w14:solidFill>
          </w14:textFill>
        </w:rPr>
        <w:t>2.2采购编号：</w:t>
      </w:r>
      <w:r>
        <w:rPr>
          <w:rFonts w:hint="eastAsia" w:ascii="宋体" w:hAnsi="宋体" w:cs="宋体"/>
          <w:bCs/>
          <w:color w:val="000000" w:themeColor="text1"/>
          <w:lang w:val="en-US" w:eastAsia="zh-CN"/>
          <w14:textFill>
            <w14:solidFill>
              <w14:schemeClr w14:val="tx1"/>
            </w14:solidFill>
          </w14:textFill>
        </w:rPr>
        <w:t xml:space="preserve">民财采磋-2025-3      </w:t>
      </w:r>
      <w:r>
        <w:rPr>
          <w:rFonts w:hint="eastAsia" w:ascii="宋体" w:hAnsi="宋体" w:cs="宋体"/>
          <w:bCs/>
          <w:color w:val="auto"/>
          <w:lang w:val="en-US" w:eastAsia="zh-CN"/>
        </w:rPr>
        <w:t xml:space="preserve"> </w:t>
      </w:r>
      <w:r>
        <w:rPr>
          <w:rFonts w:hint="eastAsia" w:ascii="宋体" w:hAnsi="宋体" w:cs="宋体"/>
          <w:bCs/>
          <w:color w:val="auto"/>
        </w:rPr>
        <w:t>招标编号：</w:t>
      </w:r>
      <w:r>
        <w:rPr>
          <w:rFonts w:hint="eastAsia" w:ascii="宋体" w:hAnsi="宋体" w:cs="宋体"/>
          <w:bCs/>
          <w:color w:val="auto"/>
          <w:lang w:val="en-US" w:eastAsia="zh-CN"/>
        </w:rPr>
        <w:t xml:space="preserve">商政采[2025]083号    </w:t>
      </w:r>
    </w:p>
    <w:p w14:paraId="737191F6">
      <w:pPr>
        <w:pStyle w:val="88"/>
        <w:pageBreakBefore w:val="0"/>
        <w:kinsoku/>
        <w:overflowPunct/>
        <w:topLinePunct w:val="0"/>
        <w:autoSpaceDE/>
        <w:autoSpaceDN/>
        <w:bidi w:val="0"/>
        <w:snapToGrid/>
        <w:spacing w:line="360" w:lineRule="auto"/>
        <w:ind w:firstLine="420" w:firstLineChars="200"/>
        <w:rPr>
          <w:rFonts w:hint="eastAsia" w:ascii="宋体" w:hAnsi="宋体" w:cs="宋体"/>
          <w:bCs/>
        </w:rPr>
      </w:pPr>
      <w:r>
        <w:rPr>
          <w:rFonts w:hint="eastAsia" w:ascii="宋体" w:hAnsi="宋体" w:cs="宋体"/>
          <w:bCs/>
        </w:rPr>
        <w:t>2.3建设地点：</w:t>
      </w:r>
      <w:r>
        <w:rPr>
          <w:rFonts w:hint="eastAsia" w:ascii="宋体" w:hAnsi="宋体" w:cs="宋体"/>
          <w:bCs/>
          <w:lang w:eastAsia="zh-CN"/>
        </w:rPr>
        <w:t>民权县</w:t>
      </w:r>
      <w:r>
        <w:rPr>
          <w:rFonts w:hint="eastAsia" w:ascii="宋体" w:hAnsi="宋体" w:cs="宋体"/>
          <w:bCs/>
          <w:lang w:val="en-US" w:eastAsia="zh-CN"/>
        </w:rPr>
        <w:t>境内</w:t>
      </w:r>
    </w:p>
    <w:p w14:paraId="6445CB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bCs/>
          <w:highlight w:val="none"/>
          <w:lang w:val="en-US" w:eastAsia="zh-CN"/>
        </w:rPr>
      </w:pPr>
      <w:r>
        <w:rPr>
          <w:rFonts w:hint="eastAsia" w:ascii="宋体" w:hAnsi="宋体" w:cs="宋体"/>
          <w:bCs/>
          <w:highlight w:val="none"/>
          <w:lang w:val="en-US" w:eastAsia="zh-CN"/>
        </w:rPr>
        <w:t>2.4采购控制价：113.642452万元</w:t>
      </w:r>
    </w:p>
    <w:p w14:paraId="03F6F3BE">
      <w:pPr>
        <w:pStyle w:val="88"/>
        <w:pageBreakBefore w:val="0"/>
        <w:kinsoku/>
        <w:overflowPunct/>
        <w:topLinePunct w:val="0"/>
        <w:autoSpaceDE/>
        <w:autoSpaceDN/>
        <w:bidi w:val="0"/>
        <w:snapToGrid/>
        <w:spacing w:line="360" w:lineRule="auto"/>
        <w:ind w:firstLine="420" w:firstLineChars="200"/>
        <w:rPr>
          <w:rFonts w:hint="eastAsia" w:ascii="宋体" w:hAnsi="宋体" w:cs="宋体"/>
          <w:bCs/>
          <w:color w:val="000000"/>
          <w:lang w:eastAsia="zh-CN"/>
        </w:rPr>
      </w:pPr>
      <w:r>
        <w:rPr>
          <w:rFonts w:hint="eastAsia" w:ascii="宋体" w:hAnsi="宋体" w:cs="宋体"/>
          <w:bCs/>
        </w:rPr>
        <w:t>2.5招标</w:t>
      </w:r>
      <w:r>
        <w:rPr>
          <w:rFonts w:hint="eastAsia" w:ascii="宋体" w:hAnsi="宋体" w:cs="宋体"/>
          <w:bCs/>
          <w:color w:val="000000"/>
        </w:rPr>
        <w:t>范围：</w:t>
      </w:r>
      <w:r>
        <w:rPr>
          <w:rFonts w:hint="eastAsia" w:ascii="宋体" w:hAnsi="宋体" w:cs="宋体"/>
          <w:bCs/>
          <w:color w:val="000000"/>
          <w:lang w:eastAsia="zh-CN"/>
        </w:rPr>
        <w:t>招标文件、图纸、清单全部内容</w:t>
      </w:r>
    </w:p>
    <w:p w14:paraId="4AB05682">
      <w:pPr>
        <w:pStyle w:val="88"/>
        <w:pageBreakBefore w:val="0"/>
        <w:kinsoku/>
        <w:overflowPunct/>
        <w:topLinePunct w:val="0"/>
        <w:autoSpaceDE/>
        <w:autoSpaceDN/>
        <w:bidi w:val="0"/>
        <w:snapToGrid/>
        <w:spacing w:line="360" w:lineRule="auto"/>
        <w:ind w:firstLine="420" w:firstLineChars="200"/>
        <w:rPr>
          <w:rFonts w:hint="eastAsia" w:ascii="宋体" w:hAnsi="宋体" w:eastAsia="宋体" w:cs="宋体"/>
          <w:bCs/>
          <w:color w:val="000000"/>
          <w:lang w:eastAsia="zh-CN"/>
        </w:rPr>
      </w:pPr>
      <w:r>
        <w:rPr>
          <w:rFonts w:hint="eastAsia" w:ascii="宋体" w:hAnsi="宋体" w:cs="宋体"/>
          <w:bCs/>
          <w:color w:val="000000"/>
        </w:rPr>
        <w:t>2.6标段划分：</w:t>
      </w:r>
      <w:r>
        <w:rPr>
          <w:rFonts w:hint="eastAsia" w:ascii="宋体" w:hAnsi="宋体" w:cs="宋体"/>
          <w:bCs/>
          <w:color w:val="000000"/>
          <w:lang w:eastAsia="zh-CN"/>
        </w:rPr>
        <w:t>一个标段</w:t>
      </w:r>
    </w:p>
    <w:p w14:paraId="7FE9D455">
      <w:pPr>
        <w:pStyle w:val="88"/>
        <w:pageBreakBefore w:val="0"/>
        <w:kinsoku/>
        <w:overflowPunct/>
        <w:topLinePunct w:val="0"/>
        <w:autoSpaceDE/>
        <w:autoSpaceDN/>
        <w:bidi w:val="0"/>
        <w:snapToGrid/>
        <w:spacing w:line="360" w:lineRule="auto"/>
        <w:ind w:firstLine="420" w:firstLineChars="200"/>
        <w:rPr>
          <w:rFonts w:hint="eastAsia" w:ascii="宋体" w:hAnsi="宋体" w:eastAsia="宋体" w:cs="宋体"/>
          <w:bCs/>
          <w:color w:val="auto"/>
          <w:lang w:eastAsia="zh-CN"/>
        </w:rPr>
      </w:pPr>
      <w:r>
        <w:rPr>
          <w:rFonts w:hint="eastAsia" w:ascii="宋体" w:hAnsi="宋体" w:cs="宋体"/>
          <w:bCs/>
          <w:color w:val="auto"/>
        </w:rPr>
        <w:t>2.7</w:t>
      </w:r>
      <w:r>
        <w:rPr>
          <w:rFonts w:hint="eastAsia" w:ascii="宋体" w:hAnsi="宋体" w:cs="宋体"/>
          <w:bCs/>
          <w:color w:val="auto"/>
          <w:lang w:eastAsia="zh-CN"/>
        </w:rPr>
        <w:t>工期：自合同签订后20日历天内</w:t>
      </w:r>
    </w:p>
    <w:p w14:paraId="2ACE7C33">
      <w:pPr>
        <w:pStyle w:val="88"/>
        <w:pageBreakBefore w:val="0"/>
        <w:kinsoku/>
        <w:overflowPunct/>
        <w:topLinePunct w:val="0"/>
        <w:autoSpaceDE/>
        <w:autoSpaceDN/>
        <w:bidi w:val="0"/>
        <w:snapToGrid/>
        <w:spacing w:line="360" w:lineRule="auto"/>
        <w:ind w:firstLine="420" w:firstLineChars="200"/>
        <w:rPr>
          <w:rFonts w:hint="eastAsia" w:ascii="宋体" w:hAnsi="宋体" w:cs="宋体"/>
          <w:bCs/>
          <w:color w:val="000000"/>
        </w:rPr>
      </w:pPr>
      <w:r>
        <w:rPr>
          <w:rFonts w:hint="eastAsia" w:ascii="宋体" w:hAnsi="宋体" w:cs="宋体"/>
          <w:bCs/>
          <w:color w:val="000000"/>
        </w:rPr>
        <w:t>2.8质量要求：合格</w:t>
      </w:r>
    </w:p>
    <w:p w14:paraId="5CDCAF15">
      <w:pPr>
        <w:pStyle w:val="88"/>
        <w:pageBreakBefore w:val="0"/>
        <w:kinsoku/>
        <w:overflowPunct/>
        <w:topLinePunct w:val="0"/>
        <w:autoSpaceDE/>
        <w:autoSpaceDN/>
        <w:bidi w:val="0"/>
        <w:snapToGrid/>
        <w:spacing w:line="360" w:lineRule="auto"/>
        <w:ind w:firstLine="420" w:firstLineChars="200"/>
        <w:rPr>
          <w:rFonts w:ascii="宋体" w:hAnsi="宋体" w:cs="宋体"/>
          <w:bCs/>
        </w:rPr>
      </w:pPr>
      <w:r>
        <w:rPr>
          <w:rFonts w:hint="eastAsia" w:ascii="宋体" w:hAnsi="宋体" w:cs="宋体"/>
          <w:bCs/>
        </w:rPr>
        <w:t>2.9资金来源：</w:t>
      </w:r>
      <w:r>
        <w:rPr>
          <w:rFonts w:hint="eastAsia" w:ascii="宋体" w:hAnsi="宋体" w:cs="宋体"/>
          <w:bCs/>
          <w:lang w:val="en-US" w:eastAsia="zh-CN"/>
        </w:rPr>
        <w:t>财政资金</w:t>
      </w:r>
    </w:p>
    <w:p w14:paraId="187AEB12">
      <w:pPr>
        <w:pageBreakBefore w:val="0"/>
        <w:kinsoku/>
        <w:overflowPunct/>
        <w:topLinePunct w:val="0"/>
        <w:autoSpaceDE/>
        <w:autoSpaceDN/>
        <w:bidi w:val="0"/>
        <w:snapToGrid/>
        <w:spacing w:line="360" w:lineRule="auto"/>
        <w:ind w:firstLine="420" w:firstLineChars="200"/>
        <w:outlineLvl w:val="9"/>
        <w:rPr>
          <w:rFonts w:hint="eastAsia" w:ascii="宋体" w:hAnsi="宋体" w:cs="宋体"/>
          <w:b/>
          <w:sz w:val="21"/>
          <w:szCs w:val="21"/>
        </w:rPr>
      </w:pPr>
      <w:bookmarkStart w:id="10" w:name="_Toc31032"/>
      <w:r>
        <w:rPr>
          <w:rFonts w:hint="eastAsia" w:ascii="宋体" w:hAnsi="宋体" w:cs="宋体"/>
          <w:b w:val="0"/>
          <w:bCs/>
          <w:sz w:val="21"/>
          <w:szCs w:val="21"/>
          <w:lang w:val="en-US" w:eastAsia="zh-CN"/>
        </w:rPr>
        <w:t>2.10</w:t>
      </w:r>
      <w:r>
        <w:rPr>
          <w:rFonts w:hint="eastAsia" w:ascii="宋体" w:hAnsi="宋体" w:eastAsia="宋体" w:cs="宋体"/>
          <w:color w:val="auto"/>
          <w:sz w:val="21"/>
          <w:szCs w:val="21"/>
          <w:highlight w:val="none"/>
          <w:lang w:val="en-US" w:eastAsia="zh-CN"/>
        </w:rPr>
        <w:t>本项目落实的政府采购政策：支持中小企业发展、强制采购节能产品、优先采购环境标志产品（如有）。</w:t>
      </w:r>
      <w:bookmarkEnd w:id="10"/>
    </w:p>
    <w:p w14:paraId="4ABEC469">
      <w:pPr>
        <w:pageBreakBefore w:val="0"/>
        <w:kinsoku/>
        <w:overflowPunct/>
        <w:topLinePunct w:val="0"/>
        <w:autoSpaceDE/>
        <w:autoSpaceDN/>
        <w:bidi w:val="0"/>
        <w:snapToGrid/>
        <w:spacing w:line="360" w:lineRule="auto"/>
        <w:outlineLvl w:val="1"/>
        <w:rPr>
          <w:rFonts w:ascii="宋体" w:hAnsi="宋体" w:cs="宋体"/>
          <w:b/>
          <w:szCs w:val="21"/>
        </w:rPr>
      </w:pPr>
      <w:bookmarkStart w:id="11" w:name="_Toc4140"/>
      <w:r>
        <w:rPr>
          <w:rFonts w:hint="eastAsia" w:ascii="宋体" w:hAnsi="宋体" w:cs="宋体"/>
          <w:b/>
          <w:szCs w:val="21"/>
        </w:rPr>
        <w:t>三、供应商资格要求：</w:t>
      </w:r>
      <w:bookmarkEnd w:id="11"/>
    </w:p>
    <w:p w14:paraId="77930359">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Style w:val="50"/>
          <w:rFonts w:hint="eastAsia" w:ascii="宋体" w:hAnsi="宋体" w:eastAsia="宋体" w:cs="宋体"/>
          <w:b w:val="0"/>
          <w:bCs w:val="0"/>
          <w:color w:val="000000"/>
          <w:sz w:val="21"/>
          <w:szCs w:val="21"/>
          <w:shd w:val="clear" w:color="auto" w:fill="FFFFFF"/>
          <w:lang w:val="en-US" w:eastAsia="zh-CN"/>
        </w:rPr>
      </w:pPr>
      <w:r>
        <w:rPr>
          <w:rStyle w:val="50"/>
          <w:rFonts w:hint="eastAsia" w:ascii="宋体" w:hAnsi="宋体" w:eastAsia="宋体" w:cs="宋体"/>
          <w:b w:val="0"/>
          <w:bCs w:val="0"/>
          <w:color w:val="000000"/>
          <w:sz w:val="21"/>
          <w:szCs w:val="21"/>
          <w:shd w:val="clear" w:color="auto" w:fill="FFFFFF"/>
          <w:lang w:val="en-US" w:eastAsia="zh-CN"/>
        </w:rPr>
        <w:t>3.1.供应商须符合《中华人民共和国政府采购法》第二十二条规定的条件，提供下列材料：</w:t>
      </w:r>
    </w:p>
    <w:p w14:paraId="6AEB4A83">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30" w:firstLineChars="300"/>
        <w:jc w:val="left"/>
        <w:textAlignment w:val="auto"/>
        <w:rPr>
          <w:rStyle w:val="50"/>
          <w:rFonts w:hint="eastAsia" w:ascii="宋体" w:hAnsi="宋体" w:eastAsia="宋体" w:cs="宋体"/>
          <w:b w:val="0"/>
          <w:bCs w:val="0"/>
          <w:color w:val="000000"/>
          <w:sz w:val="21"/>
          <w:szCs w:val="21"/>
          <w:shd w:val="clear" w:color="auto" w:fill="FFFFFF"/>
          <w:lang w:val="en-US" w:eastAsia="zh-CN"/>
        </w:rPr>
      </w:pPr>
      <w:r>
        <w:rPr>
          <w:rStyle w:val="50"/>
          <w:rFonts w:hint="eastAsia" w:ascii="宋体" w:hAnsi="宋体" w:eastAsia="宋体" w:cs="宋体"/>
          <w:b w:val="0"/>
          <w:bCs w:val="0"/>
          <w:color w:val="000000"/>
          <w:sz w:val="21"/>
          <w:szCs w:val="21"/>
          <w:shd w:val="clear" w:color="auto" w:fill="FFFFFF"/>
          <w:lang w:val="en-US" w:eastAsia="zh-CN"/>
        </w:rPr>
        <w:t>（一）具有独立承担民事责任的能力；（提供有效的营业执照或事业单位法人证书）；</w:t>
      </w:r>
    </w:p>
    <w:p w14:paraId="3BD12027">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30" w:firstLineChars="300"/>
        <w:jc w:val="left"/>
        <w:textAlignment w:val="auto"/>
        <w:rPr>
          <w:rStyle w:val="50"/>
          <w:rFonts w:hint="eastAsia" w:ascii="宋体" w:hAnsi="宋体" w:eastAsia="宋体" w:cs="宋体"/>
          <w:b w:val="0"/>
          <w:bCs w:val="0"/>
          <w:color w:val="000000"/>
          <w:sz w:val="21"/>
          <w:szCs w:val="21"/>
          <w:shd w:val="clear" w:color="auto" w:fill="FFFFFF"/>
          <w:lang w:val="en-US" w:eastAsia="zh-CN"/>
        </w:rPr>
      </w:pPr>
      <w:r>
        <w:rPr>
          <w:rStyle w:val="50"/>
          <w:rFonts w:hint="eastAsia" w:ascii="宋体" w:hAnsi="宋体" w:eastAsia="宋体" w:cs="宋体"/>
          <w:b w:val="0"/>
          <w:bCs w:val="0"/>
          <w:color w:val="000000"/>
          <w:sz w:val="21"/>
          <w:szCs w:val="21"/>
          <w:shd w:val="clear" w:color="auto" w:fill="FFFFFF"/>
          <w:lang w:val="en-US" w:eastAsia="zh-CN"/>
        </w:rPr>
        <w:t>（二）具有良好的商业信誉和健全的财务会计制度；（提供2023年度经审计且注册会计师签字并盖章的完整的财务报告或财务报表（新成立企业从成立之日起算））。</w:t>
      </w:r>
    </w:p>
    <w:p w14:paraId="189861EF">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30" w:firstLineChars="300"/>
        <w:jc w:val="left"/>
        <w:textAlignment w:val="auto"/>
        <w:rPr>
          <w:rStyle w:val="50"/>
          <w:rFonts w:hint="eastAsia" w:ascii="宋体" w:hAnsi="宋体" w:eastAsia="宋体" w:cs="宋体"/>
          <w:b w:val="0"/>
          <w:bCs w:val="0"/>
          <w:color w:val="000000"/>
          <w:sz w:val="21"/>
          <w:szCs w:val="21"/>
          <w:shd w:val="clear" w:color="auto" w:fill="FFFFFF"/>
          <w:lang w:val="en-US" w:eastAsia="zh-CN"/>
        </w:rPr>
      </w:pPr>
      <w:r>
        <w:rPr>
          <w:rStyle w:val="50"/>
          <w:rFonts w:hint="eastAsia" w:ascii="宋体" w:hAnsi="宋体" w:eastAsia="宋体" w:cs="宋体"/>
          <w:b w:val="0"/>
          <w:bCs w:val="0"/>
          <w:color w:val="000000"/>
          <w:sz w:val="21"/>
          <w:szCs w:val="21"/>
          <w:shd w:val="clear" w:color="auto" w:fill="FFFFFF"/>
          <w:lang w:val="en-US" w:eastAsia="zh-CN"/>
        </w:rPr>
        <w:t>（三）具有履行合同所必需的设备和专业技术能力；（提供承诺书，格式自拟）；</w:t>
      </w:r>
    </w:p>
    <w:p w14:paraId="3C562D8A">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30" w:firstLineChars="300"/>
        <w:jc w:val="left"/>
        <w:textAlignment w:val="auto"/>
        <w:rPr>
          <w:rStyle w:val="50"/>
          <w:rFonts w:hint="eastAsia" w:ascii="宋体" w:hAnsi="宋体" w:eastAsia="宋体" w:cs="宋体"/>
          <w:b w:val="0"/>
          <w:bCs w:val="0"/>
          <w:color w:val="000000"/>
          <w:sz w:val="21"/>
          <w:szCs w:val="21"/>
          <w:shd w:val="clear" w:color="auto" w:fill="FFFFFF"/>
          <w:lang w:val="en-US" w:eastAsia="zh-CN"/>
        </w:rPr>
      </w:pPr>
      <w:r>
        <w:rPr>
          <w:rStyle w:val="50"/>
          <w:rFonts w:hint="eastAsia" w:ascii="宋体" w:hAnsi="宋体" w:eastAsia="宋体" w:cs="宋体"/>
          <w:b w:val="0"/>
          <w:bCs w:val="0"/>
          <w:color w:val="000000"/>
          <w:sz w:val="21"/>
          <w:szCs w:val="21"/>
          <w:shd w:val="clear" w:color="auto" w:fill="FFFFFF"/>
          <w:lang w:val="en-US" w:eastAsia="zh-CN"/>
        </w:rPr>
        <w:t>（四）有依法缴纳税收和社会保障资金的良好记录；（提供2024年6月份以来任意一个月的纳税和社保缴纳凭证，依法免税或不需要缴纳社会保障资金的供应商，应提供相应文件证明其依法免税或不需要缴纳社会保障资金）；</w:t>
      </w:r>
    </w:p>
    <w:p w14:paraId="5231CD42">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30" w:firstLineChars="300"/>
        <w:jc w:val="left"/>
        <w:textAlignment w:val="auto"/>
        <w:rPr>
          <w:rStyle w:val="50"/>
          <w:rFonts w:hint="eastAsia" w:ascii="宋体" w:hAnsi="宋体" w:eastAsia="宋体" w:cs="宋体"/>
          <w:b w:val="0"/>
          <w:bCs w:val="0"/>
          <w:color w:val="000000"/>
          <w:sz w:val="21"/>
          <w:szCs w:val="21"/>
          <w:shd w:val="clear" w:color="auto" w:fill="FFFFFF"/>
          <w:lang w:val="en-US" w:eastAsia="zh-CN"/>
        </w:rPr>
      </w:pPr>
      <w:r>
        <w:rPr>
          <w:rStyle w:val="50"/>
          <w:rFonts w:hint="eastAsia" w:ascii="宋体" w:hAnsi="宋体" w:eastAsia="宋体" w:cs="宋体"/>
          <w:b w:val="0"/>
          <w:bCs w:val="0"/>
          <w:color w:val="000000"/>
          <w:sz w:val="21"/>
          <w:szCs w:val="21"/>
          <w:shd w:val="clear" w:color="auto" w:fill="FFFFFF"/>
          <w:lang w:val="en-US" w:eastAsia="zh-CN"/>
        </w:rPr>
        <w:t>（五）参加政府采购活动前三年内，在经营活动中没有重大违法记录；（提供承诺书，格式自拟）</w:t>
      </w:r>
    </w:p>
    <w:p w14:paraId="18ABD354">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30" w:firstLineChars="300"/>
        <w:jc w:val="left"/>
        <w:textAlignment w:val="auto"/>
        <w:outlineLvl w:val="2"/>
        <w:rPr>
          <w:rStyle w:val="50"/>
          <w:rFonts w:hint="eastAsia" w:ascii="宋体" w:hAnsi="宋体" w:eastAsia="宋体" w:cs="宋体"/>
          <w:b w:val="0"/>
          <w:bCs w:val="0"/>
          <w:color w:val="000000"/>
          <w:sz w:val="21"/>
          <w:szCs w:val="21"/>
          <w:shd w:val="clear" w:color="auto" w:fill="FFFFFF"/>
          <w:lang w:val="en-US" w:eastAsia="zh-CN"/>
        </w:rPr>
      </w:pPr>
      <w:r>
        <w:rPr>
          <w:rStyle w:val="50"/>
          <w:rFonts w:hint="eastAsia" w:ascii="宋体" w:hAnsi="宋体" w:eastAsia="宋体" w:cs="宋体"/>
          <w:b w:val="0"/>
          <w:bCs w:val="0"/>
          <w:color w:val="000000"/>
          <w:sz w:val="21"/>
          <w:szCs w:val="21"/>
          <w:shd w:val="clear" w:color="auto" w:fill="FFFFFF"/>
          <w:lang w:val="en-US" w:eastAsia="zh-CN"/>
        </w:rPr>
        <w:t>（六）法律、行政法规规定的其他条件（提供承诺书，格式自拟）。</w:t>
      </w:r>
    </w:p>
    <w:p w14:paraId="29F097E2">
      <w:pPr>
        <w:pStyle w:val="4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000000"/>
          <w:sz w:val="21"/>
          <w:szCs w:val="21"/>
          <w:shd w:val="clear" w:color="auto" w:fill="FFFFFF"/>
          <w:lang w:val="zh-CN"/>
        </w:rPr>
      </w:pPr>
      <w:r>
        <w:rPr>
          <w:rFonts w:hint="eastAsia" w:ascii="宋体" w:hAnsi="宋体" w:eastAsia="宋体" w:cs="宋体"/>
          <w:b w:val="0"/>
          <w:bCs w:val="0"/>
          <w:color w:val="auto"/>
          <w:sz w:val="21"/>
          <w:szCs w:val="21"/>
          <w:lang w:val="en-US" w:eastAsia="zh-CN"/>
        </w:rPr>
        <w:t>3.2</w:t>
      </w:r>
      <w:r>
        <w:rPr>
          <w:rFonts w:hint="eastAsia" w:ascii="宋体" w:hAnsi="宋体" w:eastAsia="宋体" w:cs="宋体"/>
          <w:b w:val="0"/>
          <w:bCs w:val="0"/>
          <w:color w:val="000000"/>
          <w:sz w:val="21"/>
          <w:szCs w:val="21"/>
          <w:lang w:val="en-US" w:eastAsia="zh-CN"/>
        </w:rPr>
        <w:t>供应商须具备</w:t>
      </w:r>
      <w:r>
        <w:rPr>
          <w:rFonts w:hint="eastAsia" w:cs="宋体"/>
          <w:kern w:val="0"/>
          <w:sz w:val="21"/>
          <w:szCs w:val="21"/>
          <w:lang w:val="en-US" w:eastAsia="zh-CN" w:bidi="ar"/>
        </w:rPr>
        <w:t>市政公用工程施工</w:t>
      </w:r>
      <w:r>
        <w:rPr>
          <w:rFonts w:hint="eastAsia" w:ascii="宋体" w:hAnsi="宋体" w:eastAsia="宋体" w:cs="宋体"/>
          <w:kern w:val="0"/>
          <w:sz w:val="21"/>
          <w:szCs w:val="21"/>
          <w:lang w:val="en-US" w:eastAsia="zh-CN" w:bidi="ar"/>
        </w:rPr>
        <w:t>总承包叁级及以上资质，</w:t>
      </w:r>
      <w:r>
        <w:rPr>
          <w:rFonts w:hint="eastAsia" w:ascii="宋体" w:hAnsi="宋体" w:eastAsia="宋体" w:cs="宋体"/>
          <w:color w:val="000000"/>
          <w:sz w:val="21"/>
          <w:szCs w:val="21"/>
          <w:shd w:val="clear" w:color="auto" w:fill="FFFFFF"/>
        </w:rPr>
        <w:t>具备</w:t>
      </w:r>
      <w:r>
        <w:rPr>
          <w:rFonts w:hint="eastAsia" w:ascii="宋体" w:hAnsi="宋体" w:eastAsia="宋体" w:cs="宋体"/>
          <w:color w:val="000000"/>
          <w:sz w:val="21"/>
          <w:szCs w:val="21"/>
          <w:shd w:val="clear" w:color="auto" w:fill="FFFFFF"/>
          <w:lang w:eastAsia="zh-CN"/>
        </w:rPr>
        <w:t>有效的</w:t>
      </w:r>
      <w:r>
        <w:rPr>
          <w:rFonts w:hint="eastAsia" w:ascii="宋体" w:hAnsi="宋体" w:eastAsia="宋体" w:cs="宋体"/>
          <w:color w:val="000000"/>
          <w:sz w:val="21"/>
          <w:szCs w:val="21"/>
          <w:shd w:val="clear" w:color="auto" w:fill="FFFFFF"/>
        </w:rPr>
        <w:t>安全生产许可证</w:t>
      </w:r>
      <w:r>
        <w:rPr>
          <w:rFonts w:hint="eastAsia" w:ascii="宋体" w:hAnsi="宋体" w:eastAsia="宋体" w:cs="宋体"/>
          <w:color w:val="000000"/>
          <w:sz w:val="21"/>
          <w:szCs w:val="21"/>
        </w:rPr>
        <w:t>；</w:t>
      </w:r>
      <w:r>
        <w:rPr>
          <w:rFonts w:hint="eastAsia" w:ascii="宋体" w:hAnsi="宋体" w:eastAsia="宋体" w:cs="宋体"/>
          <w:color w:val="auto"/>
          <w:sz w:val="21"/>
          <w:szCs w:val="21"/>
          <w:lang w:eastAsia="zh-CN"/>
        </w:rPr>
        <w:t>拟派</w:t>
      </w:r>
      <w:r>
        <w:rPr>
          <w:rFonts w:hint="eastAsia" w:ascii="宋体" w:hAnsi="宋体" w:eastAsia="宋体" w:cs="宋体"/>
          <w:i w:val="0"/>
          <w:caps w:val="0"/>
          <w:color w:val="auto"/>
          <w:spacing w:val="0"/>
          <w:kern w:val="0"/>
          <w:sz w:val="21"/>
          <w:szCs w:val="21"/>
          <w:shd w:val="clear" w:color="auto" w:fill="FFFFFF"/>
          <w:lang w:val="en-US" w:eastAsia="zh-CN" w:bidi="ar"/>
        </w:rPr>
        <w:t>项目经理须具有</w:t>
      </w:r>
      <w:r>
        <w:rPr>
          <w:rFonts w:hint="eastAsia" w:cs="宋体"/>
          <w:i w:val="0"/>
          <w:caps w:val="0"/>
          <w:color w:val="auto"/>
          <w:spacing w:val="0"/>
          <w:kern w:val="0"/>
          <w:sz w:val="21"/>
          <w:szCs w:val="21"/>
          <w:shd w:val="clear" w:color="auto" w:fill="FFFFFF"/>
          <w:lang w:val="en-US" w:eastAsia="zh-CN" w:bidi="ar"/>
        </w:rPr>
        <w:t>市政公用工程</w:t>
      </w:r>
      <w:r>
        <w:rPr>
          <w:rFonts w:hint="eastAsia" w:ascii="宋体" w:hAnsi="宋体" w:eastAsia="宋体" w:cs="宋体"/>
          <w:i w:val="0"/>
          <w:caps w:val="0"/>
          <w:color w:val="auto"/>
          <w:spacing w:val="0"/>
          <w:kern w:val="0"/>
          <w:sz w:val="21"/>
          <w:szCs w:val="21"/>
          <w:shd w:val="clear" w:color="auto" w:fill="FFFFFF"/>
          <w:lang w:val="en-US" w:eastAsia="zh-CN" w:bidi="ar"/>
        </w:rPr>
        <w:t>专业贰级及以上注册建造师证书，</w:t>
      </w:r>
      <w:r>
        <w:rPr>
          <w:rFonts w:hint="eastAsia" w:ascii="宋体" w:hAnsi="宋体" w:eastAsia="宋体" w:cs="宋体"/>
          <w:b w:val="0"/>
          <w:i w:val="0"/>
          <w:caps w:val="0"/>
          <w:color w:val="auto"/>
          <w:spacing w:val="0"/>
          <w:kern w:val="0"/>
          <w:sz w:val="21"/>
          <w:szCs w:val="21"/>
          <w:shd w:val="clear" w:color="auto" w:fill="FFFFFF"/>
          <w:lang w:val="en-US" w:eastAsia="zh-CN" w:bidi="ar-SA"/>
        </w:rPr>
        <w:t>并取得安全生产考核合格</w:t>
      </w:r>
      <w:r>
        <w:rPr>
          <w:rFonts w:hint="eastAsia" w:ascii="宋体" w:hAnsi="宋体" w:eastAsia="宋体" w:cs="宋体"/>
          <w:b w:val="0"/>
          <w:i w:val="0"/>
          <w:caps w:val="0"/>
          <w:color w:val="000000"/>
          <w:spacing w:val="0"/>
          <w:kern w:val="0"/>
          <w:sz w:val="21"/>
          <w:szCs w:val="21"/>
          <w:shd w:val="clear" w:color="auto" w:fill="FFFFFF"/>
          <w:lang w:val="en-US" w:eastAsia="zh-CN" w:bidi="ar-SA"/>
        </w:rPr>
        <w:t>证B证</w:t>
      </w:r>
      <w:r>
        <w:rPr>
          <w:rFonts w:hint="eastAsia" w:ascii="宋体" w:hAnsi="宋体" w:eastAsia="宋体" w:cs="宋体"/>
          <w:color w:val="000000"/>
          <w:sz w:val="21"/>
          <w:szCs w:val="21"/>
        </w:rPr>
        <w:t>，</w:t>
      </w:r>
      <w:r>
        <w:rPr>
          <w:rFonts w:hint="eastAsia" w:cs="宋体"/>
          <w:color w:val="000000"/>
          <w:sz w:val="21"/>
          <w:szCs w:val="21"/>
          <w:lang w:eastAsia="zh-CN"/>
        </w:rPr>
        <w:t>并提供项目经理2024年6月份以来任意一个月的社保缴纳凭证</w:t>
      </w:r>
      <w:r>
        <w:rPr>
          <w:rFonts w:hint="eastAsia" w:ascii="宋体" w:hAnsi="宋体" w:eastAsia="宋体" w:cs="宋体"/>
          <w:color w:val="000000"/>
          <w:sz w:val="21"/>
          <w:szCs w:val="21"/>
          <w:lang w:eastAsia="zh-CN"/>
        </w:rPr>
        <w:t>（以劳动和社会保障部门出具的书面证明或查询清单为准），</w:t>
      </w:r>
      <w:r>
        <w:rPr>
          <w:rFonts w:hint="eastAsia" w:ascii="宋体" w:hAnsi="宋体" w:eastAsia="宋体" w:cs="宋体"/>
          <w:color w:val="000000"/>
          <w:sz w:val="21"/>
          <w:szCs w:val="21"/>
          <w:shd w:val="clear" w:color="auto" w:fill="FFFFFF"/>
          <w:lang w:eastAsia="zh-CN"/>
        </w:rPr>
        <w:t>项目经理</w:t>
      </w:r>
      <w:r>
        <w:rPr>
          <w:rFonts w:hint="eastAsia" w:ascii="宋体" w:hAnsi="宋体" w:eastAsia="宋体" w:cs="宋体"/>
          <w:color w:val="000000"/>
          <w:sz w:val="21"/>
          <w:szCs w:val="21"/>
          <w:shd w:val="clear" w:color="auto" w:fill="FFFFFF"/>
        </w:rPr>
        <w:t>不得有在建工程</w:t>
      </w:r>
      <w:r>
        <w:rPr>
          <w:rFonts w:hint="eastAsia" w:ascii="宋体" w:hAnsi="宋体" w:eastAsia="宋体" w:cs="宋体"/>
          <w:color w:val="000000"/>
          <w:sz w:val="21"/>
          <w:szCs w:val="21"/>
          <w:shd w:val="clear" w:color="auto" w:fill="FFFFFF"/>
          <w:lang w:eastAsia="zh-CN"/>
        </w:rPr>
        <w:t>，</w:t>
      </w:r>
      <w:r>
        <w:rPr>
          <w:rFonts w:hint="eastAsia" w:ascii="宋体" w:hAnsi="宋体" w:eastAsia="宋体" w:cs="宋体"/>
          <w:color w:val="000000"/>
          <w:sz w:val="21"/>
          <w:szCs w:val="21"/>
          <w:shd w:val="clear" w:color="auto" w:fill="FFFFFF"/>
          <w:lang w:val="en-US" w:eastAsia="zh-CN"/>
        </w:rPr>
        <w:t>所承揽的施工项目未交工或正在施工的项目经理不允许参与投标，若项目经理不符合该条要求而参加投标，一经查实，随时取消申请人的资格</w:t>
      </w:r>
      <w:r>
        <w:rPr>
          <w:rFonts w:hint="eastAsia" w:ascii="宋体" w:hAnsi="宋体" w:eastAsia="宋体" w:cs="宋体"/>
          <w:color w:val="000000"/>
          <w:sz w:val="21"/>
          <w:szCs w:val="21"/>
          <w:shd w:val="clear" w:color="auto" w:fill="FFFFFF"/>
          <w:lang w:val="zh-CN"/>
        </w:rPr>
        <w:t>。</w:t>
      </w:r>
    </w:p>
    <w:p w14:paraId="6E7E7EC4">
      <w:pPr>
        <w:pStyle w:val="4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3.3供应商应通过“</w:t>
      </w:r>
      <w:r>
        <w:rPr>
          <w:rFonts w:hint="eastAsia" w:cs="宋体"/>
          <w:bCs/>
          <w:sz w:val="21"/>
          <w:szCs w:val="21"/>
          <w:lang w:val="en-US" w:eastAsia="zh-CN"/>
        </w:rPr>
        <w:t>中国执行信息公开网（http://zxgk.court.gov.cn/shixin/）”查询“失信被执行人、</w:t>
      </w:r>
      <w:r>
        <w:rPr>
          <w:rFonts w:hint="eastAsia" w:ascii="宋体" w:hAnsi="宋体" w:eastAsia="宋体" w:cs="宋体"/>
          <w:bCs/>
          <w:sz w:val="21"/>
          <w:szCs w:val="21"/>
          <w:lang w:val="en-US" w:eastAsia="zh-CN"/>
        </w:rPr>
        <w:t>“信用中国（www.creditchina.gov.cn）”查询“重大税收违法案件当事人名单”和“中国政府采购网（www.ccgp.gov.cn）”查询“政府采购严重违法失信行为记录”进行信用查询，列入上述名单的供应商将被拒绝参加投标活动。（供应商应在招标公告发布后对本单位信用信息进行查询并将查询结果附在响应文件中）。</w:t>
      </w:r>
    </w:p>
    <w:p w14:paraId="4E384D11">
      <w:pPr>
        <w:pStyle w:val="88"/>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outlineLvl w:val="3"/>
        <w:rPr>
          <w:rFonts w:hint="eastAsia" w:ascii="宋体" w:hAnsi="宋体" w:eastAsia="宋体" w:cs="宋体"/>
          <w:bCs/>
          <w:sz w:val="21"/>
          <w:szCs w:val="21"/>
        </w:rPr>
      </w:pPr>
      <w:r>
        <w:rPr>
          <w:rFonts w:hint="eastAsia" w:ascii="宋体" w:hAnsi="宋体" w:eastAsia="宋体" w:cs="宋体"/>
          <w:bCs/>
          <w:sz w:val="21"/>
          <w:szCs w:val="21"/>
        </w:rPr>
        <w:t>3.</w:t>
      </w:r>
      <w:r>
        <w:rPr>
          <w:rFonts w:hint="eastAsia" w:ascii="宋体" w:hAnsi="宋体" w:eastAsia="宋体" w:cs="宋体"/>
          <w:bCs/>
          <w:sz w:val="21"/>
          <w:szCs w:val="21"/>
          <w:lang w:val="en-US" w:eastAsia="zh-CN"/>
        </w:rPr>
        <w:t>4</w:t>
      </w:r>
      <w:r>
        <w:rPr>
          <w:rFonts w:hint="eastAsia" w:ascii="宋体" w:hAnsi="宋体" w:eastAsia="宋体" w:cs="宋体"/>
          <w:bCs/>
          <w:sz w:val="21"/>
          <w:szCs w:val="21"/>
        </w:rPr>
        <w:t>本项目不接受联合体磋商。</w:t>
      </w:r>
    </w:p>
    <w:p w14:paraId="64CAF77A">
      <w:pPr>
        <w:pStyle w:val="88"/>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cs="宋体"/>
          <w:bCs/>
          <w:sz w:val="21"/>
          <w:szCs w:val="21"/>
        </w:rPr>
      </w:pPr>
      <w:r>
        <w:rPr>
          <w:rFonts w:hint="eastAsia" w:ascii="宋体" w:hAnsi="宋体" w:eastAsia="宋体" w:cs="宋体"/>
          <w:b/>
          <w:bCs w:val="0"/>
          <w:sz w:val="21"/>
          <w:szCs w:val="21"/>
        </w:rPr>
        <w:t>注：本项目落实的政府采购政策：支持中小企业发展、强制采购节能产品、优先采购环境标志产品（如有）。</w:t>
      </w:r>
    </w:p>
    <w:p w14:paraId="0DDBBD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0"/>
        <w:jc w:val="left"/>
        <w:textAlignment w:val="auto"/>
        <w:outlineLvl w:val="1"/>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四、报名及文件领取须知：</w:t>
      </w:r>
    </w:p>
    <w:p w14:paraId="073E1B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1.凡有意参加者，请使用企业数字证书（key）登录商丘市公共资源交易中心网站（</w:t>
      </w:r>
      <w:r>
        <w:rPr>
          <w:rFonts w:hint="eastAsia" w:ascii="宋体" w:hAnsi="宋体" w:cs="宋体"/>
          <w:b w:val="0"/>
          <w:bCs w:val="0"/>
          <w:color w:val="auto"/>
          <w:kern w:val="0"/>
          <w:sz w:val="21"/>
          <w:szCs w:val="21"/>
          <w:highlight w:val="none"/>
          <w:lang w:val="en-US" w:eastAsia="zh-CN"/>
        </w:rPr>
        <w:t>ggzyjy.shangqiu.gov.cn</w:t>
      </w:r>
      <w:r>
        <w:rPr>
          <w:rFonts w:hint="eastAsia" w:ascii="宋体" w:hAnsi="宋体" w:eastAsia="宋体" w:cs="宋体"/>
          <w:b w:val="0"/>
          <w:bCs w:val="0"/>
          <w:color w:val="auto"/>
          <w:kern w:val="0"/>
          <w:sz w:val="21"/>
          <w:szCs w:val="21"/>
          <w:highlight w:val="none"/>
          <w:lang w:val="en-US" w:eastAsia="zh-CN"/>
        </w:rPr>
        <w:t>）点击公告中的我要报名或者登陆后选择项目按照页面提示进行网上报名并下载</w:t>
      </w:r>
      <w:r>
        <w:rPr>
          <w:rFonts w:hint="eastAsia" w:ascii="宋体" w:hAnsi="宋体" w:cs="宋体"/>
          <w:b w:val="0"/>
          <w:bCs w:val="0"/>
          <w:color w:val="auto"/>
          <w:kern w:val="0"/>
          <w:sz w:val="21"/>
          <w:szCs w:val="21"/>
          <w:highlight w:val="none"/>
          <w:lang w:val="en-US" w:eastAsia="zh-CN"/>
        </w:rPr>
        <w:t>磋商</w:t>
      </w:r>
      <w:r>
        <w:rPr>
          <w:rFonts w:hint="eastAsia" w:ascii="宋体" w:hAnsi="宋体" w:eastAsia="宋体" w:cs="宋体"/>
          <w:b w:val="0"/>
          <w:bCs w:val="0"/>
          <w:color w:val="auto"/>
          <w:kern w:val="0"/>
          <w:sz w:val="21"/>
          <w:szCs w:val="21"/>
          <w:highlight w:val="none"/>
          <w:lang w:val="en-US" w:eastAsia="zh-CN"/>
        </w:rPr>
        <w:t>文件、工程量清单。</w:t>
      </w:r>
    </w:p>
    <w:p w14:paraId="5A36D8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2"/>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2.请在规定时间内报名，超过时间将停止报名。</w:t>
      </w:r>
    </w:p>
    <w:p w14:paraId="434E4E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3.网上报名时间:开始时间默认为公告发布时间，截止时间是开标时间。</w:t>
      </w:r>
    </w:p>
    <w:p w14:paraId="596415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注：如确定要参与项目投标，因在电子投标文件制作和投标过程中需要用到CA数字证书的加密、解密、电子签章等功能，请在制作投标文件前办理CA数字证书，以免影响自身投标。</w:t>
      </w:r>
    </w:p>
    <w:p w14:paraId="7589EF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0"/>
        <w:jc w:val="left"/>
        <w:textAlignment w:val="auto"/>
        <w:outlineLvl w:val="1"/>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五、磋商响应文件的递交及磋商信息：</w:t>
      </w:r>
    </w:p>
    <w:p w14:paraId="4FF689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1响应文件递交的截止时间及开标时间：</w:t>
      </w:r>
      <w:r>
        <w:rPr>
          <w:rFonts w:hint="eastAsia" w:ascii="宋体" w:hAnsi="宋体" w:cs="宋体"/>
          <w:b w:val="0"/>
          <w:bCs w:val="0"/>
          <w:color w:val="auto"/>
          <w:kern w:val="0"/>
          <w:sz w:val="21"/>
          <w:szCs w:val="21"/>
          <w:highlight w:val="none"/>
          <w:lang w:val="en-US" w:eastAsia="zh-CN"/>
        </w:rPr>
        <w:t>2025年3月13日</w:t>
      </w:r>
      <w:r>
        <w:rPr>
          <w:rFonts w:hint="eastAsia" w:ascii="宋体" w:hAnsi="宋体" w:eastAsia="宋体" w:cs="宋体"/>
          <w:b w:val="0"/>
          <w:bCs w:val="0"/>
          <w:color w:val="auto"/>
          <w:kern w:val="0"/>
          <w:sz w:val="21"/>
          <w:szCs w:val="21"/>
          <w:highlight w:val="none"/>
          <w:lang w:val="en-US" w:eastAsia="zh-CN"/>
        </w:rPr>
        <w:t>上午09:00北京时间（将电子响应文件在投标专区上传到商丘市公共资源交易中心平台）</w:t>
      </w:r>
    </w:p>
    <w:p w14:paraId="0D5B40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响应文件递交地点及开标地点：商丘市公共资源交易中</w:t>
      </w:r>
      <w:r>
        <w:rPr>
          <w:rFonts w:hint="eastAsia" w:ascii="宋体" w:hAnsi="宋体" w:cs="宋体"/>
          <w:b w:val="0"/>
          <w:bCs w:val="0"/>
          <w:color w:val="auto"/>
          <w:kern w:val="0"/>
          <w:sz w:val="21"/>
          <w:szCs w:val="21"/>
          <w:highlight w:val="none"/>
          <w:lang w:val="en-US" w:eastAsia="zh-CN"/>
        </w:rPr>
        <w:t>心</w:t>
      </w:r>
      <w:r>
        <w:rPr>
          <w:rFonts w:hint="eastAsia" w:ascii="宋体" w:hAnsi="宋体" w:eastAsia="宋体" w:cs="宋体"/>
          <w:b w:val="0"/>
          <w:bCs w:val="0"/>
          <w:color w:val="auto"/>
          <w:kern w:val="0"/>
          <w:sz w:val="21"/>
          <w:szCs w:val="21"/>
          <w:highlight w:val="none"/>
          <w:lang w:val="en-US" w:eastAsia="zh-CN"/>
        </w:rPr>
        <w:t>二楼</w:t>
      </w:r>
      <w:r>
        <w:rPr>
          <w:rFonts w:hint="eastAsia" w:ascii="宋体" w:hAnsi="宋体" w:cs="宋体"/>
          <w:b w:val="0"/>
          <w:bCs w:val="0"/>
          <w:color w:val="auto"/>
          <w:kern w:val="0"/>
          <w:sz w:val="21"/>
          <w:szCs w:val="21"/>
          <w:highlight w:val="none"/>
          <w:lang w:val="en-US" w:eastAsia="zh-CN"/>
        </w:rPr>
        <w:t xml:space="preserve">开标席位五   </w:t>
      </w:r>
    </w:p>
    <w:p w14:paraId="0E1B0E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2.响应文件解密开始时间：</w:t>
      </w:r>
      <w:r>
        <w:rPr>
          <w:rFonts w:hint="eastAsia" w:ascii="宋体" w:hAnsi="宋体" w:cs="宋体"/>
          <w:b w:val="0"/>
          <w:bCs w:val="0"/>
          <w:color w:val="auto"/>
          <w:kern w:val="0"/>
          <w:sz w:val="21"/>
          <w:szCs w:val="21"/>
          <w:highlight w:val="none"/>
          <w:lang w:val="en-US" w:eastAsia="zh-CN"/>
        </w:rPr>
        <w:t>2025年3月13日</w:t>
      </w:r>
      <w:r>
        <w:rPr>
          <w:rFonts w:hint="eastAsia" w:ascii="宋体" w:hAnsi="宋体" w:eastAsia="宋体" w:cs="宋体"/>
          <w:b w:val="0"/>
          <w:bCs w:val="0"/>
          <w:color w:val="auto"/>
          <w:kern w:val="0"/>
          <w:sz w:val="21"/>
          <w:szCs w:val="21"/>
          <w:highlight w:val="none"/>
          <w:lang w:val="en-US" w:eastAsia="zh-CN"/>
        </w:rPr>
        <w:t>上午09:00（北京时间）</w:t>
      </w:r>
    </w:p>
    <w:p w14:paraId="67CAF5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3.响应文件解密截止时间：</w:t>
      </w:r>
      <w:r>
        <w:rPr>
          <w:rFonts w:hint="eastAsia" w:ascii="宋体" w:hAnsi="宋体" w:cs="宋体"/>
          <w:b w:val="0"/>
          <w:bCs w:val="0"/>
          <w:color w:val="auto"/>
          <w:kern w:val="0"/>
          <w:sz w:val="21"/>
          <w:szCs w:val="21"/>
          <w:highlight w:val="none"/>
          <w:lang w:val="en-US" w:eastAsia="zh-CN"/>
        </w:rPr>
        <w:t>2025年3月13</w:t>
      </w:r>
      <w:r>
        <w:rPr>
          <w:rFonts w:hint="eastAsia" w:ascii="宋体" w:hAnsi="宋体" w:eastAsia="宋体" w:cs="宋体"/>
          <w:b w:val="0"/>
          <w:bCs w:val="0"/>
          <w:color w:val="auto"/>
          <w:kern w:val="0"/>
          <w:sz w:val="21"/>
          <w:szCs w:val="21"/>
          <w:highlight w:val="none"/>
          <w:lang w:val="en-US" w:eastAsia="zh-CN"/>
        </w:rPr>
        <w:t>上午11:00（北京时间）</w:t>
      </w:r>
    </w:p>
    <w:p w14:paraId="31A537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注：电子响应文件的递交，投标单位应在递交响应文件的截止时间之前，将电子响应文件在投标专区上传到商丘市公共资源交易中心平台。电子响应文件逾期上传或没有上传的，招标单位将拒绝接收。</w:t>
      </w:r>
    </w:p>
    <w:p w14:paraId="73A7E6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本次招标实行不见面开评标，</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不需要再到现场（需要现场演示或样品展示的除外）。内容详见商丘公共资源交易中心发布的《关于实行全过程不见面交易的公告》。</w:t>
      </w:r>
    </w:p>
    <w:p w14:paraId="52F8BF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0"/>
        <w:jc w:val="left"/>
        <w:textAlignment w:val="auto"/>
        <w:outlineLvl w:val="1"/>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六、发布公告的媒介：</w:t>
      </w:r>
    </w:p>
    <w:p w14:paraId="309A39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Autospacing="0" w:after="0" w:afterAutospacing="0" w:line="360" w:lineRule="auto"/>
        <w:ind w:left="0" w:leftChars="0" w:right="0"/>
        <w:jc w:val="left"/>
        <w:textAlignment w:val="baseline"/>
        <w:rPr>
          <w:rFonts w:hint="eastAsia" w:ascii="宋体" w:hAnsi="宋体" w:eastAsia="宋体" w:cs="宋体"/>
          <w:b w:val="0"/>
          <w:i w:val="0"/>
          <w:caps w:val="0"/>
          <w:color w:val="auto"/>
          <w:spacing w:val="0"/>
          <w:sz w:val="21"/>
          <w:szCs w:val="21"/>
          <w:highlight w:val="none"/>
        </w:rPr>
      </w:pPr>
      <w:r>
        <w:rPr>
          <w:rFonts w:hint="eastAsia" w:ascii="宋体" w:hAnsi="宋体" w:eastAsia="宋体" w:cs="宋体"/>
          <w:color w:val="auto"/>
          <w:kern w:val="0"/>
          <w:sz w:val="21"/>
          <w:szCs w:val="21"/>
          <w:highlight w:val="none"/>
          <w:lang w:val="en-US" w:eastAsia="zh-CN"/>
        </w:rPr>
        <w:t xml:space="preserve">    本公告在《河南省政府采购网》、《商丘市政府采购网》及《商丘市公共资源交易平台》上发布，其他网站转载不负法律责任。</w:t>
      </w:r>
    </w:p>
    <w:p w14:paraId="183094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0"/>
        <w:jc w:val="left"/>
        <w:textAlignment w:val="auto"/>
        <w:outlineLvl w:val="1"/>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七、联系方式：</w:t>
      </w:r>
    </w:p>
    <w:p w14:paraId="24FA4C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 购 人：</w:t>
      </w:r>
      <w:r>
        <w:rPr>
          <w:rFonts w:hint="eastAsia" w:ascii="宋体" w:hAnsi="宋体" w:cs="宋体"/>
          <w:color w:val="auto"/>
          <w:kern w:val="0"/>
          <w:sz w:val="21"/>
          <w:szCs w:val="21"/>
          <w:highlight w:val="none"/>
          <w:lang w:val="en-US" w:eastAsia="zh-CN"/>
        </w:rPr>
        <w:t>民权县北关镇人民政府</w:t>
      </w:r>
    </w:p>
    <w:p w14:paraId="57EDBE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    址：</w:t>
      </w:r>
      <w:r>
        <w:rPr>
          <w:rFonts w:hint="eastAsia" w:ascii="宋体" w:hAnsi="宋体" w:cs="宋体"/>
          <w:color w:val="auto"/>
          <w:kern w:val="0"/>
          <w:sz w:val="21"/>
          <w:szCs w:val="21"/>
          <w:highlight w:val="none"/>
          <w:lang w:val="en-US" w:eastAsia="zh-CN"/>
        </w:rPr>
        <w:t>民权县北关镇</w:t>
      </w:r>
    </w:p>
    <w:p w14:paraId="54ED9F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 系 人：</w:t>
      </w:r>
      <w:r>
        <w:rPr>
          <w:rFonts w:hint="eastAsia" w:ascii="宋体" w:hAnsi="宋体" w:cs="宋体"/>
          <w:color w:val="auto"/>
          <w:kern w:val="0"/>
          <w:sz w:val="21"/>
          <w:szCs w:val="21"/>
          <w:highlight w:val="none"/>
          <w:lang w:val="en-US" w:eastAsia="zh-CN"/>
        </w:rPr>
        <w:t>赵先生</w:t>
      </w:r>
    </w:p>
    <w:p w14:paraId="50EFDF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电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话：</w:t>
      </w:r>
      <w:r>
        <w:rPr>
          <w:rFonts w:hint="eastAsia" w:ascii="宋体" w:hAnsi="宋体" w:cs="宋体"/>
          <w:color w:val="auto"/>
          <w:kern w:val="0"/>
          <w:sz w:val="21"/>
          <w:szCs w:val="21"/>
          <w:highlight w:val="none"/>
          <w:lang w:val="en-US" w:eastAsia="zh-CN"/>
        </w:rPr>
        <w:t>15225235759</w:t>
      </w:r>
    </w:p>
    <w:p w14:paraId="65E45E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代理机构：</w:t>
      </w:r>
      <w:r>
        <w:rPr>
          <w:rFonts w:hint="eastAsia" w:ascii="宋体" w:hAnsi="宋体" w:cs="宋体"/>
          <w:color w:val="auto"/>
          <w:kern w:val="0"/>
          <w:sz w:val="21"/>
          <w:szCs w:val="21"/>
          <w:highlight w:val="none"/>
          <w:lang w:val="en-US" w:eastAsia="zh-CN"/>
        </w:rPr>
        <w:t>河南中智工程咨询有限公司</w:t>
      </w:r>
    </w:p>
    <w:p w14:paraId="0DA31A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联系地址：</w:t>
      </w:r>
      <w:r>
        <w:rPr>
          <w:rFonts w:hint="eastAsia" w:ascii="宋体" w:hAnsi="宋体" w:cs="宋体"/>
          <w:color w:val="auto"/>
          <w:kern w:val="0"/>
          <w:sz w:val="21"/>
          <w:szCs w:val="21"/>
          <w:highlight w:val="none"/>
          <w:lang w:val="en-US" w:eastAsia="zh-CN"/>
        </w:rPr>
        <w:t>河南省郑州市冬青街46号</w:t>
      </w:r>
    </w:p>
    <w:p w14:paraId="7C49FD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 系 人：李先生</w:t>
      </w:r>
    </w:p>
    <w:p w14:paraId="2B2FFB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联系电话：</w:t>
      </w:r>
      <w:r>
        <w:rPr>
          <w:rFonts w:hint="eastAsia" w:ascii="宋体" w:hAnsi="宋体" w:cs="宋体"/>
          <w:color w:val="auto"/>
          <w:kern w:val="0"/>
          <w:sz w:val="21"/>
          <w:szCs w:val="21"/>
          <w:highlight w:val="none"/>
          <w:lang w:val="en-US" w:eastAsia="zh-CN"/>
        </w:rPr>
        <w:t>15780285136</w:t>
      </w:r>
    </w:p>
    <w:p w14:paraId="7F23E8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5250" w:firstLineChars="2500"/>
        <w:jc w:val="both"/>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p>
    <w:p w14:paraId="1BDA9D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5460" w:firstLineChars="2600"/>
        <w:jc w:val="righ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2025</w:t>
      </w:r>
      <w:r>
        <w:rPr>
          <w:rFonts w:hint="eastAsia" w:ascii="宋体" w:hAnsi="宋体" w:eastAsia="宋体" w:cs="宋体"/>
          <w:b/>
          <w:bCs/>
          <w:color w:val="auto"/>
          <w:kern w:val="0"/>
          <w:sz w:val="21"/>
          <w:szCs w:val="21"/>
          <w:highlight w:val="none"/>
          <w:lang w:val="en-US" w:eastAsia="zh-CN"/>
        </w:rPr>
        <w:t>年</w:t>
      </w:r>
      <w:r>
        <w:rPr>
          <w:rFonts w:hint="eastAsia" w:ascii="宋体" w:hAnsi="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lang w:val="en-US" w:eastAsia="zh-CN"/>
        </w:rPr>
        <w:t>月</w:t>
      </w:r>
      <w:r>
        <w:rPr>
          <w:rFonts w:hint="eastAsia" w:ascii="宋体" w:hAnsi="宋体" w:cs="宋体"/>
          <w:b/>
          <w:bCs/>
          <w:color w:val="auto"/>
          <w:kern w:val="0"/>
          <w:sz w:val="21"/>
          <w:szCs w:val="21"/>
          <w:highlight w:val="none"/>
          <w:lang w:val="en-US" w:eastAsia="zh-CN"/>
        </w:rPr>
        <w:t>28</w:t>
      </w:r>
      <w:r>
        <w:rPr>
          <w:rFonts w:hint="eastAsia" w:ascii="宋体" w:hAnsi="宋体" w:eastAsia="宋体" w:cs="宋体"/>
          <w:b/>
          <w:bCs/>
          <w:color w:val="auto"/>
          <w:kern w:val="0"/>
          <w:sz w:val="21"/>
          <w:szCs w:val="21"/>
          <w:highlight w:val="none"/>
          <w:lang w:val="en-US" w:eastAsia="zh-CN"/>
        </w:rPr>
        <w:t>日</w:t>
      </w:r>
    </w:p>
    <w:p w14:paraId="189CA3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5250" w:firstLineChars="2500"/>
        <w:jc w:val="both"/>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bookmarkStart w:id="12" w:name="_bookmark1"/>
      <w:bookmarkEnd w:id="12"/>
      <w:bookmarkStart w:id="13" w:name="_Toc22183"/>
      <w:bookmarkStart w:id="14" w:name="_Toc23479"/>
    </w:p>
    <w:p w14:paraId="7F36E4C5">
      <w:pP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br w:type="page"/>
      </w:r>
    </w:p>
    <w:p w14:paraId="1589AC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rightChars="0"/>
        <w:jc w:val="center"/>
        <w:textAlignment w:val="auto"/>
        <w:outlineLvl w:val="0"/>
        <w:rPr>
          <w:rFonts w:hint="eastAsia"/>
        </w:rPr>
      </w:pPr>
      <w:bookmarkStart w:id="15" w:name="_Toc8466"/>
      <w:r>
        <w:rPr>
          <w:rFonts w:hint="eastAsia"/>
          <w:b/>
          <w:bCs/>
          <w:sz w:val="32"/>
          <w:szCs w:val="32"/>
          <w:lang w:val="en-US" w:eastAsia="zh-CN"/>
        </w:rPr>
        <w:t xml:space="preserve">第二章 </w:t>
      </w:r>
      <w:r>
        <w:rPr>
          <w:rFonts w:hint="eastAsia"/>
          <w:b/>
          <w:bCs/>
          <w:sz w:val="32"/>
          <w:szCs w:val="32"/>
        </w:rPr>
        <w:t>供应商须知</w:t>
      </w:r>
      <w:bookmarkEnd w:id="13"/>
      <w:bookmarkEnd w:id="14"/>
      <w:bookmarkEnd w:id="15"/>
    </w:p>
    <w:p w14:paraId="1613E979">
      <w:pPr>
        <w:pStyle w:val="8"/>
        <w:spacing w:line="360" w:lineRule="auto"/>
        <w:jc w:val="center"/>
        <w:outlineLvl w:val="1"/>
        <w:rPr>
          <w:rFonts w:hint="eastAsia" w:ascii="宋体" w:hAnsi="宋体" w:eastAsia="宋体"/>
          <w:sz w:val="24"/>
          <w:szCs w:val="24"/>
        </w:rPr>
      </w:pPr>
      <w:bookmarkStart w:id="16" w:name="_Toc13329"/>
      <w:bookmarkStart w:id="17" w:name="_Toc26739"/>
      <w:bookmarkStart w:id="18" w:name="_Toc30063"/>
      <w:r>
        <w:rPr>
          <w:rFonts w:hint="eastAsia" w:ascii="宋体" w:hAnsi="宋体" w:eastAsia="宋体"/>
          <w:sz w:val="24"/>
          <w:szCs w:val="24"/>
        </w:rPr>
        <w:t>&lt;供应商须知前附表&gt;</w:t>
      </w:r>
      <w:bookmarkEnd w:id="16"/>
      <w:bookmarkEnd w:id="17"/>
      <w:bookmarkEnd w:id="18"/>
    </w:p>
    <w:tbl>
      <w:tblPr>
        <w:tblStyle w:val="46"/>
        <w:tblW w:w="10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196"/>
        <w:gridCol w:w="1683"/>
        <w:gridCol w:w="6667"/>
      </w:tblGrid>
      <w:tr w14:paraId="190A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2487CFD3">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879" w:type="dxa"/>
            <w:gridSpan w:val="2"/>
            <w:noWrap w:val="0"/>
            <w:vAlign w:val="center"/>
          </w:tcPr>
          <w:p w14:paraId="779B4FED">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条 款 名 称</w:t>
            </w:r>
          </w:p>
        </w:tc>
        <w:tc>
          <w:tcPr>
            <w:tcW w:w="6667" w:type="dxa"/>
            <w:noWrap w:val="0"/>
            <w:vAlign w:val="center"/>
          </w:tcPr>
          <w:p w14:paraId="067D244E">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编 列 内 容</w:t>
            </w:r>
          </w:p>
        </w:tc>
      </w:tr>
      <w:tr w14:paraId="62BC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92" w:type="dxa"/>
            <w:noWrap w:val="0"/>
            <w:vAlign w:val="center"/>
          </w:tcPr>
          <w:p w14:paraId="694A953C">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w:t>
            </w:r>
          </w:p>
        </w:tc>
        <w:tc>
          <w:tcPr>
            <w:tcW w:w="2879" w:type="dxa"/>
            <w:gridSpan w:val="2"/>
            <w:noWrap w:val="0"/>
            <w:vAlign w:val="center"/>
          </w:tcPr>
          <w:p w14:paraId="5601D386">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采购人</w:t>
            </w:r>
          </w:p>
        </w:tc>
        <w:tc>
          <w:tcPr>
            <w:tcW w:w="6667" w:type="dxa"/>
            <w:noWrap w:val="0"/>
            <w:vAlign w:val="center"/>
          </w:tcPr>
          <w:p w14:paraId="2ACD3C7A">
            <w:pPr>
              <w:autoSpaceDE w:val="0"/>
              <w:autoSpaceDN w:val="0"/>
              <w:adjustRightInd w:val="0"/>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 购 人：</w:t>
            </w:r>
            <w:r>
              <w:rPr>
                <w:rFonts w:hint="eastAsia" w:ascii="宋体" w:hAnsi="宋体" w:cs="宋体"/>
                <w:color w:val="auto"/>
                <w:sz w:val="21"/>
                <w:szCs w:val="21"/>
                <w:lang w:val="en-US" w:eastAsia="zh-CN"/>
              </w:rPr>
              <w:t>民权县北关镇人民政府</w:t>
            </w:r>
          </w:p>
          <w:p w14:paraId="006F7CD0">
            <w:pPr>
              <w:autoSpaceDE w:val="0"/>
              <w:autoSpaceDN w:val="0"/>
              <w:adjustRightInd w:val="0"/>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    址：</w:t>
            </w:r>
            <w:r>
              <w:rPr>
                <w:rFonts w:hint="eastAsia" w:ascii="宋体" w:hAnsi="宋体" w:cs="宋体"/>
                <w:color w:val="auto"/>
                <w:sz w:val="21"/>
                <w:szCs w:val="21"/>
                <w:lang w:val="en-US" w:eastAsia="zh-CN"/>
              </w:rPr>
              <w:t>民权县北关镇</w:t>
            </w:r>
          </w:p>
          <w:p w14:paraId="0059EA0F">
            <w:pPr>
              <w:autoSpaceDE w:val="0"/>
              <w:autoSpaceDN w:val="0"/>
              <w:adjustRightInd w:val="0"/>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 系 人：</w:t>
            </w:r>
            <w:r>
              <w:rPr>
                <w:rFonts w:hint="eastAsia" w:ascii="宋体" w:hAnsi="宋体" w:cs="宋体"/>
                <w:color w:val="auto"/>
                <w:sz w:val="21"/>
                <w:szCs w:val="21"/>
                <w:lang w:val="en-US" w:eastAsia="zh-CN"/>
              </w:rPr>
              <w:t>赵先生</w:t>
            </w:r>
          </w:p>
          <w:p w14:paraId="483FEFA3">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电    话：</w:t>
            </w:r>
            <w:r>
              <w:rPr>
                <w:rFonts w:hint="eastAsia" w:ascii="宋体" w:hAnsi="宋体" w:cs="宋体"/>
                <w:color w:val="auto"/>
                <w:sz w:val="21"/>
                <w:szCs w:val="21"/>
                <w:lang w:val="en-US" w:eastAsia="zh-CN"/>
              </w:rPr>
              <w:t>15225235759</w:t>
            </w:r>
          </w:p>
        </w:tc>
      </w:tr>
      <w:tr w14:paraId="25D6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310404D5">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1.1.2</w:t>
            </w:r>
          </w:p>
        </w:tc>
        <w:tc>
          <w:tcPr>
            <w:tcW w:w="2879" w:type="dxa"/>
            <w:gridSpan w:val="2"/>
            <w:noWrap w:val="0"/>
            <w:vAlign w:val="center"/>
          </w:tcPr>
          <w:p w14:paraId="08F4958C">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采购代理机构</w:t>
            </w:r>
          </w:p>
        </w:tc>
        <w:tc>
          <w:tcPr>
            <w:tcW w:w="6667" w:type="dxa"/>
            <w:noWrap w:val="0"/>
            <w:vAlign w:val="center"/>
          </w:tcPr>
          <w:p w14:paraId="724A8CBA">
            <w:pPr>
              <w:autoSpaceDE w:val="0"/>
              <w:autoSpaceDN w:val="0"/>
              <w:adjustRightInd w:val="0"/>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代理机构：</w:t>
            </w:r>
            <w:r>
              <w:rPr>
                <w:rFonts w:hint="eastAsia" w:ascii="宋体" w:hAnsi="宋体" w:cs="宋体"/>
                <w:color w:val="auto"/>
                <w:sz w:val="21"/>
                <w:szCs w:val="21"/>
                <w:lang w:val="en-US" w:eastAsia="zh-CN"/>
              </w:rPr>
              <w:t>河南中智工程咨询有限公司</w:t>
            </w:r>
          </w:p>
          <w:p w14:paraId="09BFBFCE">
            <w:pPr>
              <w:autoSpaceDE w:val="0"/>
              <w:autoSpaceDN w:val="0"/>
              <w:adjustRightInd w:val="0"/>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联系地址：</w:t>
            </w:r>
            <w:r>
              <w:rPr>
                <w:rFonts w:hint="eastAsia" w:ascii="宋体" w:hAnsi="宋体" w:cs="宋体"/>
                <w:color w:val="auto"/>
                <w:sz w:val="21"/>
                <w:szCs w:val="21"/>
                <w:lang w:val="en-US" w:eastAsia="zh-CN"/>
              </w:rPr>
              <w:t>河南省郑州市冬青街46号</w:t>
            </w:r>
          </w:p>
          <w:p w14:paraId="4608E741">
            <w:pPr>
              <w:autoSpaceDE w:val="0"/>
              <w:autoSpaceDN w:val="0"/>
              <w:adjustRightInd w:val="0"/>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 系 人：李先生</w:t>
            </w:r>
          </w:p>
          <w:p w14:paraId="29934AE5">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联系电话：</w:t>
            </w:r>
            <w:r>
              <w:rPr>
                <w:rFonts w:hint="eastAsia" w:ascii="宋体" w:hAnsi="宋体" w:cs="宋体"/>
                <w:color w:val="auto"/>
                <w:sz w:val="21"/>
                <w:szCs w:val="21"/>
                <w:lang w:val="en-US" w:eastAsia="zh-CN"/>
              </w:rPr>
              <w:t>15780285136</w:t>
            </w:r>
          </w:p>
        </w:tc>
      </w:tr>
      <w:tr w14:paraId="440A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0F1E60AB">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1.1.3</w:t>
            </w:r>
          </w:p>
        </w:tc>
        <w:tc>
          <w:tcPr>
            <w:tcW w:w="2879" w:type="dxa"/>
            <w:gridSpan w:val="2"/>
            <w:noWrap w:val="0"/>
            <w:vAlign w:val="center"/>
          </w:tcPr>
          <w:p w14:paraId="692F5CCC">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采购方式</w:t>
            </w:r>
          </w:p>
        </w:tc>
        <w:tc>
          <w:tcPr>
            <w:tcW w:w="6667" w:type="dxa"/>
            <w:noWrap w:val="0"/>
            <w:vAlign w:val="center"/>
          </w:tcPr>
          <w:p w14:paraId="2CA190DE">
            <w:pPr>
              <w:autoSpaceDE w:val="0"/>
              <w:autoSpaceDN w:val="0"/>
              <w:adjustRightIn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竞争性磋商</w:t>
            </w:r>
          </w:p>
        </w:tc>
      </w:tr>
      <w:tr w14:paraId="5330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030DE964">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1.1.4</w:t>
            </w:r>
          </w:p>
        </w:tc>
        <w:tc>
          <w:tcPr>
            <w:tcW w:w="2879" w:type="dxa"/>
            <w:gridSpan w:val="2"/>
            <w:noWrap w:val="0"/>
            <w:vAlign w:val="center"/>
          </w:tcPr>
          <w:p w14:paraId="680D2884">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项目名称</w:t>
            </w:r>
          </w:p>
        </w:tc>
        <w:tc>
          <w:tcPr>
            <w:tcW w:w="6667" w:type="dxa"/>
            <w:noWrap w:val="0"/>
            <w:vAlign w:val="center"/>
          </w:tcPr>
          <w:p w14:paraId="4BD1BD5A">
            <w:pPr>
              <w:autoSpaceDE w:val="0"/>
              <w:autoSpaceDN w:val="0"/>
              <w:adjustRightInd w:val="0"/>
              <w:spacing w:line="400" w:lineRule="exact"/>
              <w:rPr>
                <w:rFonts w:hint="eastAsia" w:ascii="宋体" w:hAnsi="宋体" w:eastAsia="宋体" w:cs="宋体"/>
                <w:b/>
                <w:bCs/>
                <w:color w:val="auto"/>
                <w:kern w:val="0"/>
                <w:sz w:val="21"/>
                <w:szCs w:val="21"/>
              </w:rPr>
            </w:pPr>
            <w:r>
              <w:rPr>
                <w:rFonts w:hint="eastAsia" w:ascii="宋体" w:hAnsi="宋体" w:cs="宋体"/>
                <w:color w:val="auto"/>
                <w:sz w:val="21"/>
                <w:szCs w:val="21"/>
                <w:lang w:eastAsia="zh-CN"/>
              </w:rPr>
              <w:t>民权县北关镇人民政府2024年北关镇王小楼村道路建设项目</w:t>
            </w:r>
          </w:p>
        </w:tc>
      </w:tr>
      <w:tr w14:paraId="09B7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06709746">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1.1.5</w:t>
            </w:r>
          </w:p>
        </w:tc>
        <w:tc>
          <w:tcPr>
            <w:tcW w:w="2879" w:type="dxa"/>
            <w:gridSpan w:val="2"/>
            <w:noWrap w:val="0"/>
            <w:vAlign w:val="center"/>
          </w:tcPr>
          <w:p w14:paraId="7809C72F">
            <w:pPr>
              <w:autoSpaceDE w:val="0"/>
              <w:autoSpaceDN w:val="0"/>
              <w:adjustRightInd w:val="0"/>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项目地点</w:t>
            </w:r>
          </w:p>
        </w:tc>
        <w:tc>
          <w:tcPr>
            <w:tcW w:w="6667" w:type="dxa"/>
            <w:noWrap w:val="0"/>
            <w:vAlign w:val="center"/>
          </w:tcPr>
          <w:p w14:paraId="20E3289E">
            <w:pPr>
              <w:autoSpaceDE w:val="0"/>
              <w:autoSpaceDN w:val="0"/>
              <w:adjustRightInd w:val="0"/>
              <w:spacing w:line="400" w:lineRule="exact"/>
              <w:rPr>
                <w:rFonts w:hint="eastAsia" w:ascii="宋体" w:hAnsi="宋体" w:eastAsia="宋体" w:cs="宋体"/>
                <w:b w:val="0"/>
                <w:bCs w:val="0"/>
                <w:color w:val="auto"/>
                <w:kern w:val="0"/>
                <w:sz w:val="21"/>
                <w:szCs w:val="21"/>
              </w:rPr>
            </w:pPr>
            <w:r>
              <w:rPr>
                <w:rFonts w:hint="eastAsia" w:ascii="宋体" w:hAnsi="宋体" w:cs="宋体"/>
                <w:color w:val="auto"/>
                <w:sz w:val="21"/>
                <w:szCs w:val="21"/>
                <w:lang w:eastAsia="zh-CN"/>
              </w:rPr>
              <w:t>民权县</w:t>
            </w:r>
            <w:r>
              <w:rPr>
                <w:rFonts w:hint="eastAsia" w:ascii="宋体" w:hAnsi="宋体" w:cs="宋体"/>
                <w:color w:val="auto"/>
                <w:sz w:val="21"/>
                <w:szCs w:val="21"/>
                <w:lang w:val="en-US" w:eastAsia="zh-CN"/>
              </w:rPr>
              <w:t>境内</w:t>
            </w:r>
          </w:p>
        </w:tc>
      </w:tr>
      <w:tr w14:paraId="55E8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75BCEE13">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1.2.1</w:t>
            </w:r>
          </w:p>
        </w:tc>
        <w:tc>
          <w:tcPr>
            <w:tcW w:w="2879" w:type="dxa"/>
            <w:gridSpan w:val="2"/>
            <w:noWrap w:val="0"/>
            <w:vAlign w:val="center"/>
          </w:tcPr>
          <w:p w14:paraId="0FE0E434">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资金来源</w:t>
            </w:r>
          </w:p>
        </w:tc>
        <w:tc>
          <w:tcPr>
            <w:tcW w:w="6667" w:type="dxa"/>
            <w:noWrap w:val="0"/>
            <w:vAlign w:val="center"/>
          </w:tcPr>
          <w:p w14:paraId="01C5DE86">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cs="宋体"/>
                <w:color w:val="auto"/>
                <w:sz w:val="21"/>
                <w:szCs w:val="21"/>
                <w:lang w:val="en-US" w:eastAsia="zh-CN"/>
              </w:rPr>
              <w:t>财政资金</w:t>
            </w:r>
          </w:p>
        </w:tc>
      </w:tr>
      <w:tr w14:paraId="7420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2B82B3D2">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1.2.2</w:t>
            </w:r>
          </w:p>
        </w:tc>
        <w:tc>
          <w:tcPr>
            <w:tcW w:w="2879" w:type="dxa"/>
            <w:gridSpan w:val="2"/>
            <w:noWrap w:val="0"/>
            <w:vAlign w:val="center"/>
          </w:tcPr>
          <w:p w14:paraId="17C08241">
            <w:pPr>
              <w:autoSpaceDE w:val="0"/>
              <w:autoSpaceDN w:val="0"/>
              <w:adjustRightInd w:val="0"/>
              <w:spacing w:line="40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采购</w:t>
            </w:r>
            <w:r>
              <w:rPr>
                <w:rFonts w:hint="eastAsia" w:ascii="宋体" w:hAnsi="宋体" w:eastAsia="宋体" w:cs="宋体"/>
                <w:bCs/>
                <w:color w:val="auto"/>
                <w:kern w:val="0"/>
                <w:sz w:val="21"/>
                <w:szCs w:val="21"/>
              </w:rPr>
              <w:t>控制价</w:t>
            </w:r>
          </w:p>
        </w:tc>
        <w:tc>
          <w:tcPr>
            <w:tcW w:w="6667" w:type="dxa"/>
            <w:noWrap w:val="0"/>
            <w:vAlign w:val="center"/>
          </w:tcPr>
          <w:p w14:paraId="45C577CC">
            <w:pPr>
              <w:pStyle w:val="88"/>
              <w:pageBreakBefore w:val="0"/>
              <w:kinsoku/>
              <w:overflowPunct/>
              <w:topLinePunct w:val="0"/>
              <w:autoSpaceDE/>
              <w:autoSpaceDN/>
              <w:bidi w:val="0"/>
              <w:snapToGrid/>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113.642452万元</w:t>
            </w:r>
          </w:p>
        </w:tc>
      </w:tr>
      <w:tr w14:paraId="7E7F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0FEA594C">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1.2.3</w:t>
            </w:r>
          </w:p>
        </w:tc>
        <w:tc>
          <w:tcPr>
            <w:tcW w:w="2879" w:type="dxa"/>
            <w:gridSpan w:val="2"/>
            <w:noWrap w:val="0"/>
            <w:vAlign w:val="center"/>
          </w:tcPr>
          <w:p w14:paraId="0CE49D90">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采购项目性质</w:t>
            </w:r>
          </w:p>
        </w:tc>
        <w:tc>
          <w:tcPr>
            <w:tcW w:w="6667" w:type="dxa"/>
            <w:noWrap w:val="0"/>
            <w:vAlign w:val="center"/>
          </w:tcPr>
          <w:p w14:paraId="09297CF7">
            <w:pPr>
              <w:pStyle w:val="62"/>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工程</w:t>
            </w:r>
          </w:p>
        </w:tc>
      </w:tr>
      <w:tr w14:paraId="4DBF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2" w:type="dxa"/>
            <w:noWrap w:val="0"/>
            <w:vAlign w:val="center"/>
          </w:tcPr>
          <w:p w14:paraId="0F441598">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1.2.4</w:t>
            </w:r>
          </w:p>
        </w:tc>
        <w:tc>
          <w:tcPr>
            <w:tcW w:w="2879" w:type="dxa"/>
            <w:gridSpan w:val="2"/>
            <w:noWrap w:val="0"/>
            <w:vAlign w:val="center"/>
          </w:tcPr>
          <w:p w14:paraId="125C1D7E">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资金落实情况</w:t>
            </w:r>
          </w:p>
        </w:tc>
        <w:tc>
          <w:tcPr>
            <w:tcW w:w="6667" w:type="dxa"/>
            <w:noWrap w:val="0"/>
            <w:vAlign w:val="center"/>
          </w:tcPr>
          <w:p w14:paraId="43B9659F">
            <w:pPr>
              <w:pStyle w:val="62"/>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已落实</w:t>
            </w:r>
          </w:p>
        </w:tc>
      </w:tr>
      <w:tr w14:paraId="394C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5BC52EB2">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1.3.1</w:t>
            </w:r>
          </w:p>
        </w:tc>
        <w:tc>
          <w:tcPr>
            <w:tcW w:w="2879" w:type="dxa"/>
            <w:gridSpan w:val="2"/>
            <w:noWrap w:val="0"/>
            <w:vAlign w:val="center"/>
          </w:tcPr>
          <w:p w14:paraId="1CCC1E5E">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招标范围</w:t>
            </w:r>
          </w:p>
        </w:tc>
        <w:tc>
          <w:tcPr>
            <w:tcW w:w="6667" w:type="dxa"/>
            <w:noWrap w:val="0"/>
            <w:vAlign w:val="center"/>
          </w:tcPr>
          <w:p w14:paraId="67C42F3B">
            <w:pPr>
              <w:pStyle w:val="62"/>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招标文件、图纸、清单全部内容</w:t>
            </w:r>
          </w:p>
        </w:tc>
      </w:tr>
      <w:tr w14:paraId="260E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3B2BC066">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1.3.2</w:t>
            </w:r>
          </w:p>
        </w:tc>
        <w:tc>
          <w:tcPr>
            <w:tcW w:w="2879" w:type="dxa"/>
            <w:gridSpan w:val="2"/>
            <w:noWrap w:val="0"/>
            <w:vAlign w:val="center"/>
          </w:tcPr>
          <w:p w14:paraId="7A287219">
            <w:pPr>
              <w:autoSpaceDE w:val="0"/>
              <w:autoSpaceDN w:val="0"/>
              <w:adjustRightInd w:val="0"/>
              <w:spacing w:line="40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工期</w:t>
            </w:r>
          </w:p>
        </w:tc>
        <w:tc>
          <w:tcPr>
            <w:tcW w:w="6667" w:type="dxa"/>
            <w:noWrap w:val="0"/>
            <w:vAlign w:val="center"/>
          </w:tcPr>
          <w:p w14:paraId="45B5D49E">
            <w:pPr>
              <w:pStyle w:val="62"/>
              <w:spacing w:line="400" w:lineRule="exact"/>
              <w:jc w:val="both"/>
              <w:rPr>
                <w:rFonts w:hint="eastAsia" w:ascii="宋体" w:hAnsi="宋体" w:eastAsia="宋体" w:cs="宋体"/>
                <w:color w:val="auto"/>
                <w:sz w:val="21"/>
                <w:szCs w:val="21"/>
              </w:rPr>
            </w:pPr>
            <w:r>
              <w:rPr>
                <w:rFonts w:hint="eastAsia" w:hAnsi="宋体" w:cs="宋体"/>
                <w:color w:val="auto"/>
                <w:sz w:val="21"/>
                <w:szCs w:val="21"/>
                <w:lang w:val="en-US" w:eastAsia="zh-CN"/>
              </w:rPr>
              <w:t>自合同签订后20日历天内</w:t>
            </w:r>
          </w:p>
        </w:tc>
      </w:tr>
      <w:tr w14:paraId="336C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1873B6CC">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1.3.3</w:t>
            </w:r>
          </w:p>
        </w:tc>
        <w:tc>
          <w:tcPr>
            <w:tcW w:w="2879" w:type="dxa"/>
            <w:gridSpan w:val="2"/>
            <w:noWrap w:val="0"/>
            <w:vAlign w:val="center"/>
          </w:tcPr>
          <w:p w14:paraId="3E7CA882">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质量要求</w:t>
            </w:r>
          </w:p>
        </w:tc>
        <w:tc>
          <w:tcPr>
            <w:tcW w:w="6667" w:type="dxa"/>
            <w:noWrap w:val="0"/>
            <w:vAlign w:val="center"/>
          </w:tcPr>
          <w:p w14:paraId="7EF6EF3B">
            <w:pPr>
              <w:pStyle w:val="62"/>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合格</w:t>
            </w:r>
          </w:p>
        </w:tc>
      </w:tr>
      <w:tr w14:paraId="4141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 w:type="dxa"/>
            <w:noWrap w:val="0"/>
            <w:vAlign w:val="center"/>
          </w:tcPr>
          <w:p w14:paraId="7E48BD2B">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2879" w:type="dxa"/>
            <w:gridSpan w:val="2"/>
            <w:noWrap w:val="0"/>
            <w:vAlign w:val="center"/>
          </w:tcPr>
          <w:p w14:paraId="40721F5B">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供应商资质条件</w:t>
            </w:r>
          </w:p>
        </w:tc>
        <w:tc>
          <w:tcPr>
            <w:tcW w:w="6667" w:type="dxa"/>
            <w:noWrap w:val="0"/>
            <w:vAlign w:val="center"/>
          </w:tcPr>
          <w:p w14:paraId="53CCE3D6">
            <w:pPr>
              <w:pStyle w:val="88"/>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sz w:val="21"/>
                <w:szCs w:val="21"/>
                <w:lang w:eastAsia="zh-CN"/>
              </w:rPr>
            </w:pPr>
            <w:r>
              <w:rPr>
                <w:rFonts w:hint="eastAsia" w:ascii="宋体" w:hAnsi="宋体" w:cs="宋体"/>
                <w:b w:val="0"/>
                <w:bCs/>
                <w:sz w:val="21"/>
                <w:szCs w:val="21"/>
                <w:lang w:eastAsia="zh-CN"/>
              </w:rPr>
              <w:t>符合竞争性磋商公告中相关要求</w:t>
            </w:r>
          </w:p>
        </w:tc>
      </w:tr>
      <w:tr w14:paraId="3430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43988E69">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1.9.1</w:t>
            </w:r>
          </w:p>
        </w:tc>
        <w:tc>
          <w:tcPr>
            <w:tcW w:w="2879" w:type="dxa"/>
            <w:gridSpan w:val="2"/>
            <w:noWrap w:val="0"/>
            <w:vAlign w:val="center"/>
          </w:tcPr>
          <w:p w14:paraId="0FA6AF59">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踏勘现场</w:t>
            </w:r>
          </w:p>
        </w:tc>
        <w:tc>
          <w:tcPr>
            <w:tcW w:w="6667" w:type="dxa"/>
            <w:noWrap w:val="0"/>
            <w:vAlign w:val="center"/>
          </w:tcPr>
          <w:p w14:paraId="2BB39AA1">
            <w:pPr>
              <w:spacing w:line="400" w:lineRule="exact"/>
              <w:rPr>
                <w:rFonts w:hint="eastAsia" w:ascii="宋体" w:hAnsi="宋体" w:eastAsia="宋体" w:cs="宋体"/>
                <w:sz w:val="21"/>
                <w:szCs w:val="21"/>
              </w:rPr>
            </w:pPr>
            <w:r>
              <w:rPr>
                <w:rFonts w:hint="eastAsia" w:ascii="宋体" w:hAnsi="宋体" w:eastAsia="宋体" w:cs="宋体"/>
                <w:sz w:val="21"/>
                <w:szCs w:val="21"/>
              </w:rPr>
              <w:t>不组织</w:t>
            </w:r>
          </w:p>
        </w:tc>
      </w:tr>
      <w:tr w14:paraId="1C06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14344659">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1.11</w:t>
            </w:r>
          </w:p>
        </w:tc>
        <w:tc>
          <w:tcPr>
            <w:tcW w:w="2879" w:type="dxa"/>
            <w:gridSpan w:val="2"/>
            <w:noWrap w:val="0"/>
            <w:vAlign w:val="center"/>
          </w:tcPr>
          <w:p w14:paraId="7DF127B3">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分  包</w:t>
            </w:r>
          </w:p>
        </w:tc>
        <w:tc>
          <w:tcPr>
            <w:tcW w:w="6667" w:type="dxa"/>
            <w:noWrap w:val="0"/>
            <w:vAlign w:val="center"/>
          </w:tcPr>
          <w:p w14:paraId="6E8FCD92">
            <w:pPr>
              <w:spacing w:line="400" w:lineRule="exact"/>
              <w:rPr>
                <w:rFonts w:hint="eastAsia" w:ascii="宋体" w:hAnsi="宋体" w:eastAsia="宋体" w:cs="宋体"/>
                <w:sz w:val="21"/>
                <w:szCs w:val="21"/>
              </w:rPr>
            </w:pPr>
            <w:r>
              <w:rPr>
                <w:rFonts w:hint="eastAsia" w:ascii="宋体" w:hAnsi="宋体" w:eastAsia="宋体" w:cs="宋体"/>
                <w:sz w:val="21"/>
                <w:szCs w:val="21"/>
              </w:rPr>
              <w:t>不允许</w:t>
            </w:r>
          </w:p>
        </w:tc>
      </w:tr>
      <w:tr w14:paraId="30BC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2961C51E">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1.12</w:t>
            </w:r>
          </w:p>
        </w:tc>
        <w:tc>
          <w:tcPr>
            <w:tcW w:w="2879" w:type="dxa"/>
            <w:gridSpan w:val="2"/>
            <w:noWrap w:val="0"/>
            <w:vAlign w:val="center"/>
          </w:tcPr>
          <w:p w14:paraId="3A309F1D">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偏  离</w:t>
            </w:r>
          </w:p>
        </w:tc>
        <w:tc>
          <w:tcPr>
            <w:tcW w:w="6667" w:type="dxa"/>
            <w:noWrap w:val="0"/>
            <w:vAlign w:val="center"/>
          </w:tcPr>
          <w:p w14:paraId="7AAEFC38">
            <w:pPr>
              <w:spacing w:line="400" w:lineRule="exact"/>
              <w:rPr>
                <w:rFonts w:hint="eastAsia" w:ascii="宋体" w:hAnsi="宋体" w:eastAsia="宋体" w:cs="宋体"/>
                <w:sz w:val="21"/>
                <w:szCs w:val="21"/>
              </w:rPr>
            </w:pPr>
            <w:r>
              <w:rPr>
                <w:rFonts w:hint="eastAsia" w:ascii="宋体" w:hAnsi="宋体" w:eastAsia="宋体" w:cs="宋体"/>
                <w:sz w:val="21"/>
                <w:szCs w:val="21"/>
              </w:rPr>
              <w:t>不允许</w:t>
            </w:r>
          </w:p>
        </w:tc>
      </w:tr>
      <w:tr w14:paraId="2418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48794D67">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1.13</w:t>
            </w:r>
          </w:p>
        </w:tc>
        <w:tc>
          <w:tcPr>
            <w:tcW w:w="2879" w:type="dxa"/>
            <w:gridSpan w:val="2"/>
            <w:noWrap w:val="0"/>
            <w:vAlign w:val="center"/>
          </w:tcPr>
          <w:p w14:paraId="24D4F987">
            <w:pPr>
              <w:autoSpaceDE w:val="0"/>
              <w:autoSpaceDN w:val="0"/>
              <w:adjustRightIn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是否接受选择性报价方案</w:t>
            </w:r>
          </w:p>
        </w:tc>
        <w:tc>
          <w:tcPr>
            <w:tcW w:w="6667" w:type="dxa"/>
            <w:noWrap w:val="0"/>
            <w:vAlign w:val="center"/>
          </w:tcPr>
          <w:p w14:paraId="6D0916C9">
            <w:pPr>
              <w:autoSpaceDE w:val="0"/>
              <w:autoSpaceDN w:val="0"/>
              <w:adjustRightIn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不接受：首次响应文件只允许一个报价方案</w:t>
            </w:r>
          </w:p>
        </w:tc>
      </w:tr>
      <w:tr w14:paraId="211A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366768F6">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2879" w:type="dxa"/>
            <w:gridSpan w:val="2"/>
            <w:noWrap w:val="0"/>
            <w:vAlign w:val="center"/>
          </w:tcPr>
          <w:p w14:paraId="59F07F0F">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构成竞争性磋商文件的</w:t>
            </w:r>
          </w:p>
          <w:p w14:paraId="0F8E1E9E">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其他材料</w:t>
            </w:r>
          </w:p>
        </w:tc>
        <w:tc>
          <w:tcPr>
            <w:tcW w:w="6667" w:type="dxa"/>
            <w:noWrap w:val="0"/>
            <w:vAlign w:val="center"/>
          </w:tcPr>
          <w:p w14:paraId="6ED866AD">
            <w:pPr>
              <w:autoSpaceDE w:val="0"/>
              <w:autoSpaceDN w:val="0"/>
              <w:adjustRightInd w:val="0"/>
              <w:spacing w:line="400" w:lineRule="exact"/>
              <w:rPr>
                <w:rFonts w:hint="eastAsia" w:ascii="宋体" w:hAnsi="宋体" w:eastAsia="宋体" w:cs="宋体"/>
                <w:kern w:val="0"/>
                <w:sz w:val="21"/>
                <w:szCs w:val="21"/>
                <w:u w:val="single"/>
                <w:lang w:val="en-US"/>
              </w:rPr>
            </w:pPr>
            <w:r>
              <w:rPr>
                <w:rFonts w:hint="eastAsia" w:ascii="宋体" w:hAnsi="宋体" w:eastAsia="宋体" w:cs="宋体"/>
                <w:kern w:val="0"/>
                <w:sz w:val="21"/>
                <w:szCs w:val="21"/>
              </w:rPr>
              <w:t>本项目采购控制价为：</w:t>
            </w:r>
            <w:r>
              <w:rPr>
                <w:rFonts w:hint="eastAsia" w:ascii="宋体" w:hAnsi="宋体" w:cs="宋体"/>
                <w:kern w:val="0"/>
                <w:sz w:val="21"/>
                <w:szCs w:val="21"/>
                <w:lang w:val="en-US" w:eastAsia="zh-CN"/>
              </w:rPr>
              <w:t>见公告</w:t>
            </w:r>
            <w:r>
              <w:rPr>
                <w:rFonts w:hint="eastAsia" w:ascii="宋体" w:hAnsi="宋体" w:eastAsia="宋体" w:cs="宋体"/>
                <w:kern w:val="0"/>
                <w:sz w:val="21"/>
                <w:szCs w:val="21"/>
                <w:lang w:val="en-US" w:eastAsia="zh-CN"/>
              </w:rPr>
              <w:t xml:space="preserve"> </w:t>
            </w:r>
          </w:p>
          <w:p w14:paraId="5E9CEFBC">
            <w:pPr>
              <w:autoSpaceDE w:val="0"/>
              <w:autoSpaceDN w:val="0"/>
              <w:adjustRightIn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人报价超过采购控制价的取消其磋商资格</w:t>
            </w:r>
          </w:p>
        </w:tc>
      </w:tr>
      <w:tr w14:paraId="7389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05B0C6CB">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3.3</w:t>
            </w:r>
          </w:p>
        </w:tc>
        <w:tc>
          <w:tcPr>
            <w:tcW w:w="2879" w:type="dxa"/>
            <w:gridSpan w:val="2"/>
            <w:noWrap w:val="0"/>
            <w:vAlign w:val="center"/>
          </w:tcPr>
          <w:p w14:paraId="00DA98A3">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磋商有效期</w:t>
            </w:r>
          </w:p>
        </w:tc>
        <w:tc>
          <w:tcPr>
            <w:tcW w:w="6667" w:type="dxa"/>
            <w:noWrap w:val="0"/>
            <w:vAlign w:val="center"/>
          </w:tcPr>
          <w:p w14:paraId="0FEFF11F">
            <w:pPr>
              <w:autoSpaceDE w:val="0"/>
              <w:autoSpaceDN w:val="0"/>
              <w:adjustRightIn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磋商截止之日起60日历天</w:t>
            </w:r>
          </w:p>
        </w:tc>
      </w:tr>
      <w:tr w14:paraId="2664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6945CD29">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3.5.3</w:t>
            </w:r>
          </w:p>
        </w:tc>
        <w:tc>
          <w:tcPr>
            <w:tcW w:w="2879" w:type="dxa"/>
            <w:gridSpan w:val="2"/>
            <w:noWrap w:val="0"/>
            <w:vAlign w:val="center"/>
          </w:tcPr>
          <w:p w14:paraId="1F43EEB0">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签字或盖章要求</w:t>
            </w:r>
          </w:p>
        </w:tc>
        <w:tc>
          <w:tcPr>
            <w:tcW w:w="6667" w:type="dxa"/>
            <w:noWrap w:val="0"/>
            <w:vAlign w:val="center"/>
          </w:tcPr>
          <w:p w14:paraId="6E849D0A">
            <w:pPr>
              <w:autoSpaceDE w:val="0"/>
              <w:autoSpaceDN w:val="0"/>
              <w:adjustRightIn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见磋商响应文件格式要求</w:t>
            </w:r>
          </w:p>
        </w:tc>
      </w:tr>
      <w:tr w14:paraId="58D5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4B887EF8">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3.5.4</w:t>
            </w:r>
          </w:p>
        </w:tc>
        <w:tc>
          <w:tcPr>
            <w:tcW w:w="2879" w:type="dxa"/>
            <w:gridSpan w:val="2"/>
            <w:noWrap w:val="0"/>
            <w:vAlign w:val="center"/>
          </w:tcPr>
          <w:p w14:paraId="202FD78D">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响应文件份数</w:t>
            </w:r>
          </w:p>
        </w:tc>
        <w:tc>
          <w:tcPr>
            <w:tcW w:w="6667" w:type="dxa"/>
            <w:noWrap w:val="0"/>
            <w:vAlign w:val="center"/>
          </w:tcPr>
          <w:p w14:paraId="076E5348">
            <w:pPr>
              <w:autoSpaceDE w:val="0"/>
              <w:autoSpaceDN w:val="0"/>
              <w:adjustRightInd w:val="0"/>
              <w:spacing w:line="400" w:lineRule="exact"/>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rPr>
              <w:t>电子响应文件1份</w:t>
            </w:r>
          </w:p>
        </w:tc>
      </w:tr>
      <w:tr w14:paraId="3D10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1D2DCB71">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4.2.1</w:t>
            </w:r>
          </w:p>
        </w:tc>
        <w:tc>
          <w:tcPr>
            <w:tcW w:w="2879" w:type="dxa"/>
            <w:gridSpan w:val="2"/>
            <w:noWrap w:val="0"/>
            <w:vAlign w:val="center"/>
          </w:tcPr>
          <w:p w14:paraId="0D82F306">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首次</w:t>
            </w:r>
            <w:r>
              <w:rPr>
                <w:rFonts w:hint="eastAsia" w:ascii="宋体" w:hAnsi="宋体" w:eastAsia="宋体" w:cs="宋体"/>
                <w:kern w:val="0"/>
                <w:sz w:val="21"/>
                <w:szCs w:val="21"/>
                <w:lang w:val="en-US" w:eastAsia="zh-CN"/>
              </w:rPr>
              <w:t>磋商</w:t>
            </w:r>
            <w:r>
              <w:rPr>
                <w:rFonts w:hint="eastAsia" w:ascii="宋体" w:hAnsi="宋体" w:eastAsia="宋体" w:cs="宋体"/>
                <w:kern w:val="0"/>
                <w:sz w:val="21"/>
                <w:szCs w:val="21"/>
              </w:rPr>
              <w:t>响应文件递交</w:t>
            </w:r>
          </w:p>
          <w:p w14:paraId="20A199B6">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截止时间</w:t>
            </w:r>
          </w:p>
        </w:tc>
        <w:tc>
          <w:tcPr>
            <w:tcW w:w="6667" w:type="dxa"/>
            <w:noWrap w:val="0"/>
            <w:vAlign w:val="center"/>
          </w:tcPr>
          <w:p w14:paraId="43F9C592">
            <w:pPr>
              <w:autoSpaceDE w:val="0"/>
              <w:autoSpaceDN w:val="0"/>
              <w:adjustRightInd w:val="0"/>
              <w:spacing w:line="400" w:lineRule="exact"/>
              <w:rPr>
                <w:rFonts w:hint="eastAsia" w:ascii="宋体" w:hAnsi="宋体" w:eastAsia="宋体" w:cs="宋体"/>
                <w:b/>
                <w:color w:val="auto"/>
                <w:sz w:val="21"/>
                <w:szCs w:val="21"/>
              </w:rPr>
            </w:pPr>
            <w:r>
              <w:rPr>
                <w:rFonts w:hint="eastAsia" w:ascii="宋体" w:hAnsi="宋体" w:cs="宋体"/>
                <w:b w:val="0"/>
                <w:bCs/>
                <w:color w:val="auto"/>
                <w:sz w:val="21"/>
                <w:szCs w:val="21"/>
                <w:lang w:val="en-US" w:eastAsia="zh-CN"/>
              </w:rPr>
              <w:t>详见磋商公告</w:t>
            </w:r>
          </w:p>
        </w:tc>
      </w:tr>
      <w:tr w14:paraId="6920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220204CE">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4.2.2</w:t>
            </w:r>
          </w:p>
        </w:tc>
        <w:tc>
          <w:tcPr>
            <w:tcW w:w="2879" w:type="dxa"/>
            <w:gridSpan w:val="2"/>
            <w:noWrap w:val="0"/>
            <w:vAlign w:val="center"/>
          </w:tcPr>
          <w:p w14:paraId="0EE0B6BD">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首次递交</w:t>
            </w:r>
            <w:r>
              <w:rPr>
                <w:rFonts w:hint="eastAsia" w:ascii="宋体" w:hAnsi="宋体" w:eastAsia="宋体" w:cs="宋体"/>
                <w:kern w:val="0"/>
                <w:sz w:val="21"/>
                <w:szCs w:val="21"/>
                <w:lang w:val="en-US" w:eastAsia="zh-CN"/>
              </w:rPr>
              <w:t>磋商</w:t>
            </w:r>
            <w:r>
              <w:rPr>
                <w:rFonts w:hint="eastAsia" w:ascii="宋体" w:hAnsi="宋体" w:eastAsia="宋体" w:cs="宋体"/>
                <w:kern w:val="0"/>
                <w:sz w:val="21"/>
                <w:szCs w:val="21"/>
              </w:rPr>
              <w:t>响应文件地点</w:t>
            </w:r>
          </w:p>
        </w:tc>
        <w:tc>
          <w:tcPr>
            <w:tcW w:w="6667" w:type="dxa"/>
            <w:noWrap w:val="0"/>
            <w:vAlign w:val="center"/>
          </w:tcPr>
          <w:p w14:paraId="3896E6CB">
            <w:pPr>
              <w:spacing w:line="400" w:lineRule="exact"/>
              <w:rPr>
                <w:rFonts w:hint="eastAsia" w:ascii="宋体" w:hAnsi="宋体" w:eastAsia="宋体" w:cs="宋体"/>
                <w:b/>
                <w:color w:val="auto"/>
                <w:sz w:val="21"/>
                <w:szCs w:val="21"/>
                <w:lang w:eastAsia="zh-CN"/>
              </w:rPr>
            </w:pPr>
            <w:r>
              <w:rPr>
                <w:rFonts w:hint="eastAsia" w:ascii="宋体" w:hAnsi="宋体" w:eastAsia="宋体" w:cs="宋体"/>
                <w:b w:val="0"/>
                <w:bCs/>
                <w:color w:val="auto"/>
                <w:sz w:val="21"/>
                <w:szCs w:val="21"/>
                <w:lang w:eastAsia="zh-CN"/>
              </w:rPr>
              <w:t>将电子</w:t>
            </w:r>
            <w:r>
              <w:rPr>
                <w:rFonts w:hint="eastAsia" w:ascii="宋体" w:hAnsi="宋体" w:eastAsia="宋体" w:cs="宋体"/>
                <w:b w:val="0"/>
                <w:bCs/>
                <w:color w:val="auto"/>
                <w:sz w:val="21"/>
                <w:szCs w:val="21"/>
                <w:lang w:val="en-US" w:eastAsia="zh-CN"/>
              </w:rPr>
              <w:t>响应</w:t>
            </w:r>
            <w:r>
              <w:rPr>
                <w:rFonts w:hint="eastAsia" w:ascii="宋体" w:hAnsi="宋体" w:eastAsia="宋体" w:cs="宋体"/>
                <w:b w:val="0"/>
                <w:bCs/>
                <w:color w:val="auto"/>
                <w:sz w:val="21"/>
                <w:szCs w:val="21"/>
                <w:lang w:eastAsia="zh-CN"/>
              </w:rPr>
              <w:t>文件在投标专区上传到商丘市公共资源交易中心平台</w:t>
            </w:r>
          </w:p>
        </w:tc>
      </w:tr>
      <w:tr w14:paraId="78B9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3D120B54">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4.2.4</w:t>
            </w:r>
          </w:p>
        </w:tc>
        <w:tc>
          <w:tcPr>
            <w:tcW w:w="2879" w:type="dxa"/>
            <w:gridSpan w:val="2"/>
            <w:noWrap w:val="0"/>
            <w:vAlign w:val="center"/>
          </w:tcPr>
          <w:p w14:paraId="7D2BC537">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是否退还磋商响应文件</w:t>
            </w:r>
          </w:p>
        </w:tc>
        <w:tc>
          <w:tcPr>
            <w:tcW w:w="6667" w:type="dxa"/>
            <w:noWrap w:val="0"/>
            <w:vAlign w:val="center"/>
          </w:tcPr>
          <w:p w14:paraId="13C4EE9F">
            <w:pPr>
              <w:autoSpaceDE w:val="0"/>
              <w:autoSpaceDN w:val="0"/>
              <w:adjustRightIn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否</w:t>
            </w:r>
          </w:p>
        </w:tc>
      </w:tr>
      <w:tr w14:paraId="43CE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tcBorders>
              <w:bottom w:val="single" w:color="auto" w:sz="4" w:space="0"/>
            </w:tcBorders>
            <w:noWrap w:val="0"/>
            <w:vAlign w:val="center"/>
          </w:tcPr>
          <w:p w14:paraId="2C4BDBEA">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5.1</w:t>
            </w:r>
          </w:p>
        </w:tc>
        <w:tc>
          <w:tcPr>
            <w:tcW w:w="2879" w:type="dxa"/>
            <w:gridSpan w:val="2"/>
            <w:tcBorders>
              <w:bottom w:val="single" w:color="auto" w:sz="4" w:space="0"/>
            </w:tcBorders>
            <w:noWrap w:val="0"/>
            <w:vAlign w:val="center"/>
          </w:tcPr>
          <w:p w14:paraId="667C59E0">
            <w:pPr>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竞争性磋商时间和地点</w:t>
            </w:r>
          </w:p>
        </w:tc>
        <w:tc>
          <w:tcPr>
            <w:tcW w:w="6667" w:type="dxa"/>
            <w:tcBorders>
              <w:bottom w:val="single" w:color="auto" w:sz="4" w:space="0"/>
            </w:tcBorders>
            <w:noWrap w:val="0"/>
            <w:vAlign w:val="center"/>
          </w:tcPr>
          <w:p w14:paraId="6F449E0B">
            <w:pPr>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磋商时间：同首次</w:t>
            </w:r>
            <w:r>
              <w:rPr>
                <w:rFonts w:hint="eastAsia" w:ascii="宋体" w:hAnsi="宋体" w:eastAsia="宋体" w:cs="宋体"/>
                <w:kern w:val="0"/>
                <w:sz w:val="21"/>
                <w:szCs w:val="21"/>
                <w:lang w:val="en-US" w:eastAsia="zh-CN"/>
              </w:rPr>
              <w:t>磋商</w:t>
            </w:r>
            <w:r>
              <w:rPr>
                <w:rFonts w:hint="eastAsia" w:ascii="宋体" w:hAnsi="宋体" w:eastAsia="宋体" w:cs="宋体"/>
                <w:kern w:val="0"/>
                <w:sz w:val="21"/>
                <w:szCs w:val="21"/>
              </w:rPr>
              <w:t>响应文件递交截止时间</w:t>
            </w:r>
          </w:p>
          <w:p w14:paraId="0166C54E">
            <w:pPr>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磋商地点：同首次递交</w:t>
            </w:r>
            <w:r>
              <w:rPr>
                <w:rFonts w:hint="eastAsia" w:ascii="宋体" w:hAnsi="宋体" w:eastAsia="宋体" w:cs="宋体"/>
                <w:kern w:val="0"/>
                <w:sz w:val="21"/>
                <w:szCs w:val="21"/>
                <w:lang w:val="en-US" w:eastAsia="zh-CN"/>
              </w:rPr>
              <w:t>磋商</w:t>
            </w:r>
            <w:r>
              <w:rPr>
                <w:rFonts w:hint="eastAsia" w:ascii="宋体" w:hAnsi="宋体" w:eastAsia="宋体" w:cs="宋体"/>
                <w:kern w:val="0"/>
                <w:sz w:val="21"/>
                <w:szCs w:val="21"/>
              </w:rPr>
              <w:t>响应文件地点</w:t>
            </w:r>
          </w:p>
        </w:tc>
      </w:tr>
      <w:tr w14:paraId="0D81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92" w:type="dxa"/>
            <w:tcBorders>
              <w:top w:val="single" w:color="auto" w:sz="4" w:space="0"/>
              <w:left w:val="single" w:color="auto" w:sz="4" w:space="0"/>
              <w:bottom w:val="single" w:color="auto" w:sz="4" w:space="0"/>
              <w:right w:val="single" w:color="auto" w:sz="4" w:space="0"/>
            </w:tcBorders>
            <w:noWrap w:val="0"/>
            <w:vAlign w:val="center"/>
          </w:tcPr>
          <w:p w14:paraId="59D80E50">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5.3.1</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14:paraId="1397EDE5">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磋商小组的组建</w:t>
            </w:r>
          </w:p>
        </w:tc>
        <w:tc>
          <w:tcPr>
            <w:tcW w:w="6667" w:type="dxa"/>
            <w:tcBorders>
              <w:top w:val="single" w:color="auto" w:sz="4" w:space="0"/>
              <w:left w:val="single" w:color="auto" w:sz="4" w:space="0"/>
              <w:bottom w:val="single" w:color="auto" w:sz="4" w:space="0"/>
              <w:right w:val="single" w:color="auto" w:sz="4" w:space="0"/>
            </w:tcBorders>
            <w:noWrap w:val="0"/>
            <w:vAlign w:val="center"/>
          </w:tcPr>
          <w:p w14:paraId="6E59A3C0">
            <w:pPr>
              <w:spacing w:line="400" w:lineRule="exact"/>
              <w:rPr>
                <w:rFonts w:hint="eastAsia" w:ascii="宋体" w:hAnsi="宋体" w:eastAsia="宋体" w:cs="宋体"/>
                <w:spacing w:val="-11"/>
                <w:sz w:val="21"/>
                <w:szCs w:val="21"/>
              </w:rPr>
            </w:pPr>
            <w:r>
              <w:rPr>
                <w:rFonts w:hint="eastAsia" w:ascii="宋体" w:hAnsi="宋体" w:eastAsia="宋体" w:cs="宋体"/>
                <w:spacing w:val="-11"/>
                <w:kern w:val="0"/>
                <w:sz w:val="21"/>
                <w:szCs w:val="21"/>
              </w:rPr>
              <w:t>磋商小组由3人组成，相关经济专家</w:t>
            </w:r>
            <w:r>
              <w:rPr>
                <w:rFonts w:hint="eastAsia" w:ascii="宋体" w:hAnsi="宋体" w:eastAsia="宋体" w:cs="宋体"/>
                <w:spacing w:val="-11"/>
                <w:kern w:val="0"/>
                <w:sz w:val="21"/>
                <w:szCs w:val="21"/>
                <w:lang w:val="en-US" w:eastAsia="zh-CN"/>
              </w:rPr>
              <w:t>1人</w:t>
            </w:r>
            <w:r>
              <w:rPr>
                <w:rFonts w:hint="eastAsia" w:ascii="宋体" w:hAnsi="宋体" w:eastAsia="宋体" w:cs="宋体"/>
                <w:spacing w:val="-11"/>
                <w:kern w:val="0"/>
                <w:sz w:val="21"/>
                <w:szCs w:val="21"/>
              </w:rPr>
              <w:t>、技术专家</w:t>
            </w:r>
            <w:r>
              <w:rPr>
                <w:rFonts w:hint="eastAsia" w:ascii="宋体" w:hAnsi="宋体" w:eastAsia="宋体" w:cs="宋体"/>
                <w:spacing w:val="-11"/>
                <w:kern w:val="0"/>
                <w:sz w:val="21"/>
                <w:szCs w:val="21"/>
                <w:lang w:val="en-US" w:eastAsia="zh-CN"/>
              </w:rPr>
              <w:t>1</w:t>
            </w:r>
            <w:r>
              <w:rPr>
                <w:rFonts w:hint="eastAsia" w:ascii="宋体" w:hAnsi="宋体" w:eastAsia="宋体" w:cs="宋体"/>
                <w:spacing w:val="-11"/>
                <w:kern w:val="0"/>
                <w:sz w:val="21"/>
                <w:szCs w:val="21"/>
              </w:rPr>
              <w:t>人</w:t>
            </w:r>
            <w:r>
              <w:rPr>
                <w:rFonts w:hint="eastAsia" w:ascii="宋体" w:hAnsi="宋体" w:eastAsia="宋体" w:cs="宋体"/>
                <w:spacing w:val="-11"/>
                <w:kern w:val="0"/>
                <w:sz w:val="21"/>
                <w:szCs w:val="21"/>
                <w:lang w:eastAsia="zh-CN"/>
              </w:rPr>
              <w:t>、</w:t>
            </w:r>
            <w:r>
              <w:rPr>
                <w:rFonts w:hint="eastAsia" w:ascii="宋体" w:hAnsi="宋体" w:eastAsia="宋体" w:cs="宋体"/>
                <w:spacing w:val="-11"/>
                <w:kern w:val="0"/>
                <w:sz w:val="21"/>
                <w:szCs w:val="21"/>
                <w:lang w:val="en-US" w:eastAsia="zh-CN"/>
              </w:rPr>
              <w:t>采购人</w:t>
            </w:r>
            <w:r>
              <w:rPr>
                <w:rFonts w:hint="eastAsia" w:ascii="宋体" w:hAnsi="宋体" w:cs="宋体"/>
                <w:spacing w:val="-11"/>
                <w:kern w:val="0"/>
                <w:sz w:val="21"/>
                <w:szCs w:val="21"/>
                <w:lang w:val="en-US" w:eastAsia="zh-CN"/>
              </w:rPr>
              <w:t>代表</w:t>
            </w:r>
            <w:r>
              <w:rPr>
                <w:rFonts w:hint="eastAsia" w:ascii="宋体" w:hAnsi="宋体" w:eastAsia="宋体" w:cs="宋体"/>
                <w:spacing w:val="-11"/>
                <w:kern w:val="0"/>
                <w:sz w:val="21"/>
                <w:szCs w:val="21"/>
                <w:lang w:val="en-US" w:eastAsia="zh-CN"/>
              </w:rPr>
              <w:t>1人</w:t>
            </w:r>
            <w:r>
              <w:rPr>
                <w:rFonts w:hint="eastAsia" w:ascii="宋体" w:hAnsi="宋体" w:eastAsia="宋体" w:cs="宋体"/>
                <w:spacing w:val="-11"/>
                <w:kern w:val="0"/>
                <w:sz w:val="21"/>
                <w:szCs w:val="21"/>
              </w:rPr>
              <w:t>；</w:t>
            </w:r>
          </w:p>
          <w:p w14:paraId="0B28ADE4">
            <w:pPr>
              <w:spacing w:line="400" w:lineRule="exact"/>
              <w:rPr>
                <w:rFonts w:hint="eastAsia" w:ascii="宋体" w:hAnsi="宋体" w:eastAsia="宋体" w:cs="宋体"/>
                <w:sz w:val="21"/>
                <w:szCs w:val="21"/>
              </w:rPr>
            </w:pPr>
            <w:r>
              <w:rPr>
                <w:rFonts w:hint="eastAsia" w:ascii="宋体" w:hAnsi="宋体" w:eastAsia="宋体" w:cs="宋体"/>
                <w:sz w:val="21"/>
                <w:szCs w:val="21"/>
              </w:rPr>
              <w:t>磋商小组成员确定方式：从相关专家库中随机抽取。</w:t>
            </w:r>
          </w:p>
        </w:tc>
      </w:tr>
      <w:tr w14:paraId="19EB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tcBorders>
              <w:top w:val="single" w:color="auto" w:sz="4" w:space="0"/>
              <w:left w:val="single" w:color="auto" w:sz="4" w:space="0"/>
              <w:bottom w:val="single" w:color="auto" w:sz="4" w:space="0"/>
              <w:right w:val="single" w:color="auto" w:sz="4" w:space="0"/>
            </w:tcBorders>
            <w:noWrap w:val="0"/>
            <w:vAlign w:val="center"/>
          </w:tcPr>
          <w:p w14:paraId="3D4E4C8F">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5.3.9</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14:paraId="013D0490">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是否授权磋商小组确定</w:t>
            </w:r>
          </w:p>
          <w:p w14:paraId="10F9AE93">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成交人</w:t>
            </w:r>
          </w:p>
        </w:tc>
        <w:tc>
          <w:tcPr>
            <w:tcW w:w="6667" w:type="dxa"/>
            <w:tcBorders>
              <w:top w:val="single" w:color="auto" w:sz="4" w:space="0"/>
              <w:left w:val="single" w:color="auto" w:sz="4" w:space="0"/>
              <w:bottom w:val="single" w:color="auto" w:sz="4" w:space="0"/>
              <w:right w:val="single" w:color="auto" w:sz="4" w:space="0"/>
            </w:tcBorders>
            <w:noWrap w:val="0"/>
            <w:vAlign w:val="center"/>
          </w:tcPr>
          <w:p w14:paraId="75F2F652">
            <w:pPr>
              <w:autoSpaceDE w:val="0"/>
              <w:autoSpaceDN w:val="0"/>
              <w:adjustRightInd w:val="0"/>
              <w:spacing w:line="400" w:lineRule="exact"/>
              <w:rPr>
                <w:rFonts w:hint="eastAsia" w:ascii="宋体" w:hAnsi="宋体" w:eastAsia="宋体" w:cs="宋体"/>
                <w:b/>
                <w:kern w:val="0"/>
                <w:sz w:val="21"/>
                <w:szCs w:val="21"/>
              </w:rPr>
            </w:pPr>
            <w:r>
              <w:rPr>
                <w:rFonts w:hint="eastAsia" w:ascii="宋体" w:hAnsi="宋体" w:eastAsia="宋体" w:cs="宋体"/>
                <w:sz w:val="21"/>
                <w:szCs w:val="21"/>
              </w:rPr>
              <w:t>否，推荐的中标候选人数：</w:t>
            </w:r>
            <w:r>
              <w:rPr>
                <w:rFonts w:hint="eastAsia" w:ascii="宋体" w:hAnsi="宋体" w:eastAsia="宋体" w:cs="宋体"/>
                <w:sz w:val="21"/>
                <w:szCs w:val="21"/>
                <w:u w:val="single"/>
              </w:rPr>
              <w:t>1-3名</w:t>
            </w:r>
          </w:p>
        </w:tc>
      </w:tr>
      <w:tr w14:paraId="7F74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tcBorders>
              <w:top w:val="single" w:color="auto" w:sz="4" w:space="0"/>
            </w:tcBorders>
            <w:noWrap w:val="0"/>
            <w:vAlign w:val="center"/>
          </w:tcPr>
          <w:p w14:paraId="20A6ED2A">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9.1</w:t>
            </w:r>
          </w:p>
        </w:tc>
        <w:tc>
          <w:tcPr>
            <w:tcW w:w="2879" w:type="dxa"/>
            <w:gridSpan w:val="2"/>
            <w:tcBorders>
              <w:top w:val="single" w:color="auto" w:sz="4" w:space="0"/>
            </w:tcBorders>
            <w:noWrap w:val="0"/>
            <w:vAlign w:val="center"/>
          </w:tcPr>
          <w:p w14:paraId="365929DF">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采购代理服务费</w:t>
            </w:r>
          </w:p>
        </w:tc>
        <w:tc>
          <w:tcPr>
            <w:tcW w:w="6667" w:type="dxa"/>
            <w:tcBorders>
              <w:top w:val="single" w:color="auto" w:sz="4" w:space="0"/>
            </w:tcBorders>
            <w:noWrap w:val="0"/>
            <w:vAlign w:val="center"/>
          </w:tcPr>
          <w:p w14:paraId="0619EF5C">
            <w:pPr>
              <w:spacing w:line="400" w:lineRule="exact"/>
              <w:rPr>
                <w:rFonts w:hint="eastAsia" w:ascii="宋体" w:hAnsi="宋体" w:eastAsia="宋体" w:cs="宋体"/>
                <w:kern w:val="0"/>
                <w:sz w:val="21"/>
                <w:szCs w:val="21"/>
              </w:rPr>
            </w:pPr>
            <w:r>
              <w:rPr>
                <w:rFonts w:hint="eastAsia" w:ascii="宋体" w:hAnsi="宋体" w:eastAsia="宋体" w:cs="宋体"/>
                <w:sz w:val="21"/>
                <w:szCs w:val="21"/>
              </w:rPr>
              <w:t>采购代理服务费由成交供应商按中标价参考计价格【2002】1980号及发改办【2003】857号文件由成交供应商支付。</w:t>
            </w:r>
          </w:p>
        </w:tc>
      </w:tr>
      <w:tr w14:paraId="3C5A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92" w:type="dxa"/>
            <w:noWrap w:val="0"/>
            <w:vAlign w:val="center"/>
          </w:tcPr>
          <w:p w14:paraId="72385C0B">
            <w:pPr>
              <w:autoSpaceDE w:val="0"/>
              <w:autoSpaceDN w:val="0"/>
              <w:adjustRightInd w:val="0"/>
              <w:spacing w:line="4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9.</w:t>
            </w:r>
            <w:r>
              <w:rPr>
                <w:rFonts w:hint="eastAsia" w:ascii="宋体" w:hAnsi="宋体" w:eastAsia="宋体" w:cs="宋体"/>
                <w:kern w:val="0"/>
                <w:sz w:val="21"/>
                <w:szCs w:val="21"/>
                <w:lang w:val="en-US" w:eastAsia="zh-CN"/>
              </w:rPr>
              <w:t>2</w:t>
            </w:r>
          </w:p>
        </w:tc>
        <w:tc>
          <w:tcPr>
            <w:tcW w:w="2879" w:type="dxa"/>
            <w:gridSpan w:val="2"/>
            <w:noWrap w:val="0"/>
            <w:vAlign w:val="center"/>
          </w:tcPr>
          <w:p w14:paraId="3BF526A2">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响应文件可能被拒绝的因素</w:t>
            </w:r>
          </w:p>
        </w:tc>
        <w:tc>
          <w:tcPr>
            <w:tcW w:w="6667" w:type="dxa"/>
            <w:noWrap w:val="0"/>
            <w:vAlign w:val="center"/>
          </w:tcPr>
          <w:p w14:paraId="4E299AD6">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详见供应商须知第5.3.5款及5.3.</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款规定内容</w:t>
            </w:r>
          </w:p>
        </w:tc>
      </w:tr>
      <w:tr w14:paraId="20ED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92" w:type="dxa"/>
            <w:noWrap w:val="0"/>
            <w:vAlign w:val="center"/>
          </w:tcPr>
          <w:p w14:paraId="498FC6E9">
            <w:pPr>
              <w:spacing w:line="460" w:lineRule="exact"/>
              <w:jc w:val="center"/>
              <w:rPr>
                <w:rFonts w:hint="default" w:ascii="宋体" w:hAnsi="宋体" w:eastAsia="宋体" w:cs="宋体"/>
                <w:b w:val="0"/>
                <w:bCs w:val="0"/>
                <w:sz w:val="21"/>
                <w:szCs w:val="21"/>
                <w:lang w:val="en-US" w:eastAsia="zh-CN"/>
              </w:rPr>
            </w:pPr>
            <w:bookmarkStart w:id="19" w:name="_Toc270604575"/>
            <w:bookmarkStart w:id="20" w:name="_Toc30034"/>
            <w:bookmarkStart w:id="21" w:name="_Toc269470294"/>
            <w:r>
              <w:rPr>
                <w:rFonts w:hint="eastAsia" w:ascii="宋体" w:hAnsi="宋体" w:cs="宋体"/>
                <w:b w:val="0"/>
                <w:bCs w:val="0"/>
                <w:sz w:val="21"/>
                <w:szCs w:val="21"/>
                <w:lang w:val="en-US" w:eastAsia="zh-CN"/>
              </w:rPr>
              <w:t>10</w:t>
            </w:r>
          </w:p>
        </w:tc>
        <w:tc>
          <w:tcPr>
            <w:tcW w:w="1196" w:type="dxa"/>
            <w:noWrap w:val="0"/>
            <w:vAlign w:val="center"/>
          </w:tcPr>
          <w:p w14:paraId="380D2C55">
            <w:pPr>
              <w:spacing w:line="460" w:lineRule="exact"/>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注意事项</w:t>
            </w:r>
            <w:r>
              <w:rPr>
                <w:rFonts w:hint="eastAsia" w:ascii="宋体" w:hAnsi="宋体" w:cs="宋体"/>
                <w:b w:val="0"/>
                <w:bCs w:val="0"/>
                <w:sz w:val="21"/>
                <w:szCs w:val="21"/>
                <w:lang w:val="en-US" w:eastAsia="zh-CN"/>
              </w:rPr>
              <w:t>1</w:t>
            </w:r>
          </w:p>
        </w:tc>
        <w:tc>
          <w:tcPr>
            <w:tcW w:w="8350" w:type="dxa"/>
            <w:gridSpan w:val="2"/>
            <w:noWrap w:val="0"/>
            <w:vAlign w:val="center"/>
          </w:tcPr>
          <w:p w14:paraId="4AAC8FA2">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1、本次项目采用不见面开评标，投标人不需要再到现场，投标人通过互联网登录交易平台自助完成投标签到、投标文件解密及澄清答疑等操作，具体流程详见附件“不见面开标系统投标人操作及说明”。 </w:t>
            </w:r>
          </w:p>
          <w:p w14:paraId="13D72704">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2、投标人需根据招标文件要求，如有需提供企业资质、业绩、获奖等资料的，投标人应将相应涉及评审的所有客观资料上传至市场主体诚信库对应位置（涉密的除外），由评标评审</w:t>
            </w:r>
            <w:r>
              <w:rPr>
                <w:rFonts w:hint="eastAsia" w:ascii="宋体" w:hAnsi="宋体" w:eastAsia="宋体" w:cs="宋体"/>
                <w:b w:val="0"/>
                <w:bCs w:val="0"/>
                <w:spacing w:val="-6"/>
                <w:kern w:val="2"/>
                <w:sz w:val="21"/>
                <w:szCs w:val="21"/>
                <w:lang w:val="en-US" w:eastAsia="zh-CN" w:bidi="ar-SA"/>
              </w:rPr>
              <w:t xml:space="preserve">专家予以认定，没有上传的视同没有提供相应评审资料，不再要求投标人现场提交原件。 </w:t>
            </w:r>
          </w:p>
          <w:p w14:paraId="053A06D2">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3、投标人应根据《商丘市公共资源交易平台操作指南2019-12-31版本》，按照招标文件要求，将本单位相关资料上传至市场主体库相应位置，为确保材料上传成功并方便评标评审专家查找核对，投标人应在开标前完成资料上传并在投标文件中列明资料上传位置，市场主体诚信库中市场主体信息以评标评审专家核对时为准，核对后主体库信息发生的任何变更均不再作为评标依据。 </w:t>
            </w:r>
          </w:p>
          <w:p w14:paraId="4B4F1010">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4、当中标通知书发出后，中标人可以登陆交易平台点击对应项目操作—我要投标—操作—下载中标通知书完成自行下载。 </w:t>
            </w:r>
          </w:p>
          <w:p w14:paraId="1D806C1E">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5、投标人制作投标文件，请使用新版投标人工具箱，具体请查阅商丘市公共资源交易中心网站（http://ggzyjy.shangqiu.gov.cn）点击通知公告栏目。</w:t>
            </w:r>
          </w:p>
          <w:p w14:paraId="707360D1">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6、新增加开标过程在线询问功能，在开标结束之前，投标人可通过开标大厅在线询问按钮与代理机构在线交流。 </w:t>
            </w:r>
          </w:p>
          <w:p w14:paraId="5B5D8F7E">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7、开标大厅增加开标过程直播功能，投标人安装直播插件后，在代理机构开启直播后，投标人可以点击查看直播可实时查看代理机构开标过程。直播功能插件压缩包附件下载后直接解压，并将解压后的文件放入电脑 C 盘 Windows 文件夹中即可。 </w:t>
            </w:r>
          </w:p>
          <w:p w14:paraId="6720B194">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8、新增加开标结束提示信息，代理机构点击开标结束后，投标人在开标大厅和交易平台会收到项目开标已结束的提醒。 </w:t>
            </w:r>
          </w:p>
          <w:p w14:paraId="212C4A9E">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9、新增加市场主体资信库锁定功能，市场主体参与项目评审期间，市场主体资信库无法更新上传内容的设定，锁定时间为开标签到至评审结束。锁定期间，市场主体资信库信息提交发布时会提示：参与的项目正在评审，主体诚信库已被锁定，不可编辑，评审结束后自动解锁。因此友情提示各市场主体，如有多天连续参与项目交易时，建议将主体库信息根据项目招标文件要求一次更新完成，以免造成不利后果。 </w:t>
            </w:r>
          </w:p>
          <w:p w14:paraId="435A2169">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10、交易平台菜单栏目更新，把澄清答疑等按钮统一集中在了快捷导航里面。各市场主体在使用过程中遇到自行无法解决技术问题时请及时咨询，技术服务电话 0370-2853693。11.为贯彻落实《河南省营商环境优化提升行动方案(2022 版)》(豫营商〔2022〕1 号)、 《2022 年全省公共资源交易管理工作要点》(豫公管委〔2022〕2 号)、《河南省财政厅关于防范供应商串通投标促进政府采购公平竞争的通知》、《河南省财政厅关于防范供应商串通投标促进政府采购公平竞争的通知》(豫财购〔2021〕6 号)精神，按照商丘市公共资源交易管理办公室《关于进一步使用大数据分析监测预警信息的通知》要求，发挥市公共资源交易中心大数据分析系统监测预警作用，进一步优化公共资源交易领域营商环境，维护公平公正、竞争有序的市场秩序，防范和惩治串通投标等不正当竞争行为，现将启用大数据分析监测预警功能，有关事项通知如下： </w:t>
            </w:r>
          </w:p>
          <w:p w14:paraId="19B1A7B2">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一、分析监测预警情形： </w:t>
            </w:r>
          </w:p>
          <w:p w14:paraId="66D2722E">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对参与本项目同一标段的投标人存在下列情形的，大数据分析系统会将监测信息在电子评标系统中给予预警提示存在下列情形的，大数据分析系统会将监测信息在电子评标系统中给予预警提示： </w:t>
            </w:r>
          </w:p>
          <w:p w14:paraId="20047760">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1、不同投标人的电子投标文件上传计算机的网卡 MAC 地址、CPU 序列号和硬盘序列号等硬件信息相同；序列号和硬盘序列号等硬件信息相同； </w:t>
            </w:r>
          </w:p>
          <w:p w14:paraId="2C77C673">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2、不同投标人的电子投标文件由同一电子设备编制或者上传； </w:t>
            </w:r>
          </w:p>
          <w:p w14:paraId="452EFC8A">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3、不同投标人的电子投标文件由同一 IP 地址上传； </w:t>
            </w:r>
          </w:p>
          <w:p w14:paraId="0D011C4F">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4、不同投标人的电子投标文件工程预算由同一预算软件(同一把预算锁)编制</w:t>
            </w:r>
          </w:p>
          <w:p w14:paraId="5FE90A04">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二、存在上述预警情形之一的，其投标文件无效。</w:t>
            </w:r>
          </w:p>
        </w:tc>
      </w:tr>
      <w:tr w14:paraId="49D0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92" w:type="dxa"/>
            <w:noWrap w:val="0"/>
            <w:vAlign w:val="center"/>
          </w:tcPr>
          <w:p w14:paraId="3A507A2D">
            <w:pPr>
              <w:spacing w:line="460" w:lineRule="exact"/>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11</w:t>
            </w:r>
          </w:p>
        </w:tc>
        <w:tc>
          <w:tcPr>
            <w:tcW w:w="1196" w:type="dxa"/>
            <w:noWrap w:val="0"/>
            <w:vAlign w:val="center"/>
          </w:tcPr>
          <w:p w14:paraId="1E175264">
            <w:pPr>
              <w:spacing w:line="460" w:lineRule="exact"/>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注意事项2</w:t>
            </w:r>
          </w:p>
        </w:tc>
        <w:tc>
          <w:tcPr>
            <w:tcW w:w="8350" w:type="dxa"/>
            <w:gridSpan w:val="2"/>
            <w:noWrap w:val="0"/>
            <w:vAlign w:val="center"/>
          </w:tcPr>
          <w:p w14:paraId="5EDACBA1">
            <w:pPr>
              <w:adjustRightInd w:val="0"/>
              <w:snapToGrid w:val="0"/>
              <w:spacing w:after="0" w:line="360" w:lineRule="exact"/>
              <w:jc w:val="left"/>
              <w:rPr>
                <w:rFonts w:hint="default" w:ascii="宋体" w:hAnsi="宋体" w:eastAsia="宋体" w:cs="宋体"/>
                <w:b/>
                <w:bCs/>
                <w:kern w:val="2"/>
                <w:sz w:val="21"/>
                <w:szCs w:val="21"/>
                <w:lang w:val="en-US" w:eastAsia="zh-CN" w:bidi="ar-SA"/>
              </w:rPr>
            </w:pPr>
            <w:r>
              <w:rPr>
                <w:rFonts w:hint="eastAsia" w:ascii="宋体" w:hAnsi="宋体" w:eastAsia="宋体" w:cs="宋体"/>
                <w:b w:val="0"/>
                <w:bCs w:val="0"/>
                <w:kern w:val="2"/>
                <w:sz w:val="21"/>
                <w:szCs w:val="21"/>
                <w:lang w:val="en-US" w:eastAsia="zh-CN" w:bidi="ar-SA"/>
              </w:rPr>
              <w:t>依据“关于印发中小企业划型标准规定的通知工信部联企业〔2011〕300 号”本项目属于建筑业。</w:t>
            </w:r>
          </w:p>
        </w:tc>
      </w:tr>
      <w:tr w14:paraId="30C0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92" w:type="dxa"/>
            <w:noWrap w:val="0"/>
            <w:vAlign w:val="center"/>
          </w:tcPr>
          <w:p w14:paraId="2C7D988E">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rPr>
                <w:rFonts w:hint="eastAsia" w:ascii="宋体" w:hAnsi="宋体" w:eastAsia="宋体" w:cs="宋体"/>
                <w:b w:val="0"/>
                <w:bCs w:val="0"/>
                <w:kern w:val="0"/>
                <w:sz w:val="21"/>
                <w:szCs w:val="21"/>
                <w:lang w:val="en-US" w:eastAsia="zh-CN"/>
              </w:rPr>
            </w:pPr>
            <w:r>
              <w:rPr>
                <w:rFonts w:hint="eastAsia" w:ascii="宋体" w:hAnsi="宋体" w:eastAsia="宋体" w:cs="宋体"/>
                <w:b w:val="0"/>
                <w:bCs w:val="0"/>
                <w:i w:val="0"/>
                <w:caps w:val="0"/>
                <w:color w:val="auto"/>
                <w:spacing w:val="0"/>
                <w:sz w:val="21"/>
                <w:szCs w:val="21"/>
              </w:rPr>
              <w:t>3</w:t>
            </w:r>
            <w:r>
              <w:rPr>
                <w:rFonts w:hint="eastAsia" w:ascii="宋体" w:hAnsi="宋体" w:eastAsia="宋体" w:cs="宋体"/>
                <w:b w:val="0"/>
                <w:bCs w:val="0"/>
                <w:i w:val="0"/>
                <w:caps w:val="0"/>
                <w:color w:val="auto"/>
                <w:spacing w:val="0"/>
                <w:sz w:val="21"/>
                <w:szCs w:val="21"/>
                <w:lang w:val="en-US" w:eastAsia="zh-CN"/>
              </w:rPr>
              <w:t>1</w:t>
            </w:r>
            <w:r>
              <w:rPr>
                <w:rFonts w:hint="eastAsia" w:ascii="宋体" w:hAnsi="宋体" w:eastAsia="宋体" w:cs="宋体"/>
                <w:b w:val="0"/>
                <w:bCs w:val="0"/>
                <w:i w:val="0"/>
                <w:caps w:val="0"/>
                <w:color w:val="auto"/>
                <w:spacing w:val="0"/>
                <w:sz w:val="21"/>
                <w:szCs w:val="21"/>
              </w:rPr>
              <w:t>.1.1</w:t>
            </w:r>
          </w:p>
        </w:tc>
        <w:tc>
          <w:tcPr>
            <w:tcW w:w="9546" w:type="dxa"/>
            <w:gridSpan w:val="3"/>
            <w:noWrap w:val="0"/>
            <w:vAlign w:val="center"/>
          </w:tcPr>
          <w:p w14:paraId="621250F9">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b w:val="0"/>
                <w:bCs w:val="0"/>
                <w:kern w:val="0"/>
                <w:sz w:val="21"/>
                <w:szCs w:val="21"/>
              </w:rPr>
            </w:pPr>
            <w:r>
              <w:rPr>
                <w:rFonts w:hint="eastAsia" w:ascii="宋体" w:hAnsi="宋体" w:eastAsia="宋体" w:cs="宋体"/>
                <w:b w:val="0"/>
                <w:bCs w:val="0"/>
                <w:i w:val="0"/>
                <w:caps w:val="0"/>
                <w:color w:val="auto"/>
                <w:spacing w:val="0"/>
                <w:sz w:val="21"/>
                <w:szCs w:val="21"/>
              </w:rPr>
              <w:t>是否收取履约保证金：（是</w:t>
            </w:r>
            <w:r>
              <w:rPr>
                <w:rFonts w:hint="eastAsia" w:cs="宋体"/>
                <w:b w:val="0"/>
                <w:bCs w:val="0"/>
                <w:i w:val="0"/>
                <w:caps w:val="0"/>
                <w:color w:val="auto"/>
                <w:spacing w:val="0"/>
                <w:sz w:val="21"/>
                <w:szCs w:val="21"/>
                <w:lang w:eastAsia="zh-CN"/>
              </w:rPr>
              <w:t>□</w:t>
            </w:r>
            <w:r>
              <w:rPr>
                <w:rFonts w:hint="eastAsia" w:ascii="宋体" w:hAnsi="宋体" w:eastAsia="宋体" w:cs="宋体"/>
                <w:b w:val="0"/>
                <w:bCs w:val="0"/>
                <w:i w:val="0"/>
                <w:caps w:val="0"/>
                <w:color w:val="auto"/>
                <w:spacing w:val="0"/>
                <w:sz w:val="21"/>
                <w:szCs w:val="21"/>
              </w:rPr>
              <w:t>、否</w:t>
            </w:r>
            <w:r>
              <w:rPr>
                <w:rFonts w:hint="eastAsia" w:cs="宋体"/>
                <w:b w:val="0"/>
                <w:bCs w:val="0"/>
                <w:i w:val="0"/>
                <w:caps w:val="0"/>
                <w:color w:val="auto"/>
                <w:spacing w:val="0"/>
                <w:sz w:val="21"/>
                <w:szCs w:val="21"/>
                <w:lang w:eastAsia="zh-CN"/>
              </w:rPr>
              <w:t>☑</w:t>
            </w:r>
            <w:r>
              <w:rPr>
                <w:rFonts w:hint="eastAsia" w:ascii="宋体" w:hAnsi="宋体" w:eastAsia="宋体" w:cs="宋体"/>
                <w:b w:val="0"/>
                <w:bCs w:val="0"/>
                <w:i w:val="0"/>
                <w:caps w:val="0"/>
                <w:color w:val="auto"/>
                <w:spacing w:val="0"/>
                <w:sz w:val="21"/>
                <w:szCs w:val="21"/>
              </w:rPr>
              <w:t>）</w:t>
            </w:r>
          </w:p>
        </w:tc>
      </w:tr>
      <w:tr w14:paraId="740C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92" w:type="dxa"/>
            <w:noWrap w:val="0"/>
            <w:vAlign w:val="center"/>
          </w:tcPr>
          <w:p w14:paraId="1330BFD5">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rPr>
                <w:rFonts w:hint="eastAsia" w:ascii="宋体" w:hAnsi="宋体" w:eastAsia="宋体" w:cs="宋体"/>
                <w:b w:val="0"/>
                <w:bCs w:val="0"/>
                <w:kern w:val="0"/>
                <w:sz w:val="21"/>
                <w:szCs w:val="21"/>
                <w:lang w:val="en-US" w:eastAsia="zh-CN"/>
              </w:rPr>
            </w:pPr>
            <w:r>
              <w:rPr>
                <w:rFonts w:hint="eastAsia" w:ascii="宋体" w:hAnsi="宋体" w:eastAsia="宋体" w:cs="宋体"/>
                <w:b w:val="0"/>
                <w:bCs w:val="0"/>
                <w:i w:val="0"/>
                <w:caps w:val="0"/>
                <w:color w:val="auto"/>
                <w:spacing w:val="0"/>
                <w:sz w:val="21"/>
                <w:szCs w:val="21"/>
              </w:rPr>
              <w:t>3</w:t>
            </w:r>
            <w:r>
              <w:rPr>
                <w:rFonts w:hint="eastAsia" w:ascii="宋体" w:hAnsi="宋体" w:eastAsia="宋体" w:cs="宋体"/>
                <w:b w:val="0"/>
                <w:bCs w:val="0"/>
                <w:i w:val="0"/>
                <w:caps w:val="0"/>
                <w:color w:val="auto"/>
                <w:spacing w:val="0"/>
                <w:sz w:val="21"/>
                <w:szCs w:val="21"/>
                <w:lang w:val="en-US" w:eastAsia="zh-CN"/>
              </w:rPr>
              <w:t>1</w:t>
            </w:r>
            <w:r>
              <w:rPr>
                <w:rFonts w:hint="eastAsia" w:ascii="宋体" w:hAnsi="宋体" w:eastAsia="宋体" w:cs="宋体"/>
                <w:b w:val="0"/>
                <w:bCs w:val="0"/>
                <w:i w:val="0"/>
                <w:caps w:val="0"/>
                <w:color w:val="auto"/>
                <w:spacing w:val="0"/>
                <w:sz w:val="21"/>
                <w:szCs w:val="21"/>
              </w:rPr>
              <w:t>.2.1</w:t>
            </w:r>
          </w:p>
        </w:tc>
        <w:tc>
          <w:tcPr>
            <w:tcW w:w="9546" w:type="dxa"/>
            <w:gridSpan w:val="3"/>
            <w:noWrap w:val="0"/>
            <w:vAlign w:val="center"/>
          </w:tcPr>
          <w:p w14:paraId="3F1C01C5">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sz w:val="21"/>
                <w:szCs w:val="21"/>
              </w:rPr>
              <w:t>预付款金额：中标金额的</w:t>
            </w:r>
            <w:r>
              <w:rPr>
                <w:rFonts w:hint="eastAsia" w:cs="宋体"/>
                <w:b w:val="0"/>
                <w:bCs w:val="0"/>
                <w:i w:val="0"/>
                <w:caps w:val="0"/>
                <w:color w:val="auto"/>
                <w:spacing w:val="0"/>
                <w:sz w:val="21"/>
                <w:szCs w:val="21"/>
                <w:lang w:val="en-US" w:eastAsia="zh-CN"/>
              </w:rPr>
              <w:t>60</w:t>
            </w:r>
            <w:r>
              <w:rPr>
                <w:rFonts w:hint="eastAsia" w:ascii="宋体" w:hAnsi="宋体" w:eastAsia="宋体" w:cs="宋体"/>
                <w:b w:val="0"/>
                <w:bCs w:val="0"/>
                <w:i w:val="0"/>
                <w:caps w:val="0"/>
                <w:color w:val="auto"/>
                <w:spacing w:val="0"/>
                <w:sz w:val="21"/>
                <w:szCs w:val="21"/>
              </w:rPr>
              <w:t>％。</w:t>
            </w:r>
          </w:p>
          <w:p w14:paraId="3D069711">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sz w:val="21"/>
                <w:szCs w:val="21"/>
              </w:rPr>
              <w:t>是否要求中标单位提交电子预付款保函：（是</w:t>
            </w:r>
            <w:r>
              <w:rPr>
                <w:rFonts w:hint="eastAsia" w:cs="宋体"/>
                <w:b w:val="0"/>
                <w:bCs w:val="0"/>
                <w:i w:val="0"/>
                <w:caps w:val="0"/>
                <w:color w:val="auto"/>
                <w:spacing w:val="0"/>
                <w:sz w:val="21"/>
                <w:szCs w:val="21"/>
                <w:lang w:eastAsia="zh-CN"/>
              </w:rPr>
              <w:t>□</w:t>
            </w:r>
            <w:r>
              <w:rPr>
                <w:rFonts w:hint="eastAsia" w:ascii="宋体" w:hAnsi="宋体" w:eastAsia="宋体" w:cs="宋体"/>
                <w:b w:val="0"/>
                <w:bCs w:val="0"/>
                <w:i w:val="0"/>
                <w:caps w:val="0"/>
                <w:color w:val="auto"/>
                <w:spacing w:val="0"/>
                <w:sz w:val="21"/>
                <w:szCs w:val="21"/>
              </w:rPr>
              <w:t>、否</w:t>
            </w:r>
            <w:r>
              <w:rPr>
                <w:rFonts w:hint="eastAsia" w:cs="宋体"/>
                <w:b w:val="0"/>
                <w:bCs w:val="0"/>
                <w:i w:val="0"/>
                <w:caps w:val="0"/>
                <w:color w:val="auto"/>
                <w:spacing w:val="0"/>
                <w:sz w:val="21"/>
                <w:szCs w:val="21"/>
                <w:lang w:eastAsia="zh-CN"/>
              </w:rPr>
              <w:t>☑</w:t>
            </w:r>
            <w:r>
              <w:rPr>
                <w:rFonts w:hint="eastAsia" w:ascii="宋体" w:hAnsi="宋体" w:eastAsia="宋体" w:cs="宋体"/>
                <w:b w:val="0"/>
                <w:bCs w:val="0"/>
                <w:i w:val="0"/>
                <w:caps w:val="0"/>
                <w:color w:val="auto"/>
                <w:spacing w:val="0"/>
                <w:sz w:val="21"/>
                <w:szCs w:val="21"/>
              </w:rPr>
              <w:t>）</w:t>
            </w:r>
          </w:p>
          <w:p w14:paraId="2A2D6F06">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sz w:val="21"/>
                <w:szCs w:val="21"/>
              </w:rPr>
              <w:t>电子预付款保函担保金额：等同预付款金额。</w:t>
            </w:r>
          </w:p>
          <w:p w14:paraId="70542D6A">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sz w:val="21"/>
                <w:szCs w:val="21"/>
              </w:rPr>
              <w:t>电子预付款保函开具：应通过商丘市公共资源交易中心电子保函平台全程网上办理，实现保函信息与项目关联绑定、自动验真。具体操作参照商丘市公共资源交易中心发布的《关于推行电子预付款保函和履约保函的公告》</w:t>
            </w:r>
          </w:p>
          <w:p w14:paraId="211077BE">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sz w:val="21"/>
                <w:szCs w:val="21"/>
              </w:rPr>
              <w:t>提交电子预付款保函时间：合同签订生效后</w:t>
            </w:r>
            <w:r>
              <w:rPr>
                <w:rFonts w:hint="eastAsia" w:ascii="宋体" w:hAnsi="宋体" w:eastAsia="宋体" w:cs="宋体"/>
                <w:b w:val="0"/>
                <w:bCs w:val="0"/>
                <w:i w:val="0"/>
                <w:caps w:val="0"/>
                <w:color w:val="auto"/>
                <w:spacing w:val="0"/>
                <w:sz w:val="21"/>
                <w:szCs w:val="21"/>
                <w:lang w:val="en-US" w:eastAsia="zh-CN"/>
              </w:rPr>
              <w:t>7</w:t>
            </w:r>
            <w:r>
              <w:rPr>
                <w:rFonts w:hint="eastAsia" w:ascii="宋体" w:hAnsi="宋体" w:eastAsia="宋体" w:cs="宋体"/>
                <w:b w:val="0"/>
                <w:bCs w:val="0"/>
                <w:i w:val="0"/>
                <w:caps w:val="0"/>
                <w:color w:val="auto"/>
                <w:spacing w:val="0"/>
                <w:sz w:val="21"/>
                <w:szCs w:val="21"/>
              </w:rPr>
              <w:t>日历</w:t>
            </w:r>
            <w:r>
              <w:rPr>
                <w:rFonts w:hint="eastAsia" w:ascii="宋体" w:hAnsi="宋体" w:eastAsia="宋体" w:cs="宋体"/>
                <w:b w:val="0"/>
                <w:bCs w:val="0"/>
                <w:i w:val="0"/>
                <w:caps w:val="0"/>
                <w:color w:val="auto"/>
                <w:spacing w:val="0"/>
                <w:sz w:val="21"/>
                <w:szCs w:val="21"/>
                <w:lang w:eastAsia="zh-CN"/>
              </w:rPr>
              <w:t>天</w:t>
            </w:r>
            <w:r>
              <w:rPr>
                <w:rFonts w:hint="eastAsia" w:ascii="宋体" w:hAnsi="宋体" w:eastAsia="宋体" w:cs="宋体"/>
                <w:b w:val="0"/>
                <w:bCs w:val="0"/>
                <w:i w:val="0"/>
                <w:caps w:val="0"/>
                <w:color w:val="auto"/>
                <w:spacing w:val="0"/>
                <w:sz w:val="21"/>
                <w:szCs w:val="21"/>
              </w:rPr>
              <w:t>。</w:t>
            </w:r>
          </w:p>
          <w:p w14:paraId="5F920BC2">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b w:val="0"/>
                <w:bCs w:val="0"/>
                <w:kern w:val="0"/>
                <w:sz w:val="21"/>
                <w:szCs w:val="21"/>
              </w:rPr>
            </w:pPr>
            <w:r>
              <w:rPr>
                <w:rFonts w:hint="eastAsia" w:ascii="宋体" w:hAnsi="宋体" w:eastAsia="宋体" w:cs="宋体"/>
                <w:b w:val="0"/>
                <w:bCs w:val="0"/>
                <w:i w:val="0"/>
                <w:caps w:val="0"/>
                <w:color w:val="auto"/>
                <w:spacing w:val="0"/>
                <w:sz w:val="21"/>
                <w:szCs w:val="21"/>
              </w:rPr>
              <w:t>预付款支付时间：合同签订生效或提交电子预付款保函且具备实施条件后5个工作日内。</w:t>
            </w:r>
          </w:p>
        </w:tc>
      </w:tr>
    </w:tbl>
    <w:p w14:paraId="68F69BB5">
      <w:pPr>
        <w:rPr>
          <w:rFonts w:hint="eastAsia" w:hAnsi="宋体" w:cs="黑体"/>
          <w:b/>
          <w:color w:val="auto"/>
        </w:rPr>
      </w:pPr>
      <w:bookmarkStart w:id="22" w:name="_Toc14917"/>
      <w:bookmarkStart w:id="23" w:name="_Toc11727"/>
      <w:r>
        <w:rPr>
          <w:rFonts w:hint="eastAsia" w:hAnsi="宋体" w:cs="黑体"/>
          <w:b/>
          <w:color w:val="auto"/>
        </w:rPr>
        <w:br w:type="page"/>
      </w:r>
    </w:p>
    <w:p w14:paraId="7C76A3A2">
      <w:pPr>
        <w:pStyle w:val="62"/>
        <w:tabs>
          <w:tab w:val="left" w:pos="360"/>
        </w:tabs>
        <w:snapToGrid w:val="0"/>
        <w:spacing w:line="360" w:lineRule="auto"/>
        <w:contextualSpacing/>
        <w:jc w:val="both"/>
        <w:outlineLvl w:val="1"/>
        <w:rPr>
          <w:rFonts w:hAnsi="宋体" w:cs="黑体"/>
          <w:b/>
          <w:color w:val="auto"/>
        </w:rPr>
      </w:pPr>
      <w:r>
        <w:rPr>
          <w:rFonts w:hint="eastAsia" w:hAnsi="宋体" w:cs="黑体"/>
          <w:b/>
          <w:color w:val="auto"/>
        </w:rPr>
        <w:t>1  总则</w:t>
      </w:r>
      <w:bookmarkEnd w:id="19"/>
      <w:bookmarkEnd w:id="20"/>
      <w:bookmarkEnd w:id="21"/>
      <w:bookmarkEnd w:id="22"/>
      <w:bookmarkEnd w:id="23"/>
    </w:p>
    <w:p w14:paraId="5F9AE265">
      <w:pPr>
        <w:pStyle w:val="62"/>
        <w:numPr>
          <w:ilvl w:val="1"/>
          <w:numId w:val="2"/>
        </w:numPr>
        <w:tabs>
          <w:tab w:val="left" w:pos="540"/>
          <w:tab w:val="clear" w:pos="992"/>
        </w:tabs>
        <w:snapToGrid w:val="0"/>
        <w:spacing w:line="360" w:lineRule="auto"/>
        <w:ind w:left="540" w:hanging="540"/>
        <w:contextualSpacing/>
        <w:jc w:val="both"/>
        <w:outlineLvl w:val="2"/>
        <w:rPr>
          <w:rFonts w:hint="eastAsia" w:hAnsi="宋体" w:cs="黑体"/>
          <w:b/>
          <w:color w:val="auto"/>
          <w:sz w:val="21"/>
          <w:szCs w:val="21"/>
        </w:rPr>
      </w:pPr>
      <w:bookmarkStart w:id="24" w:name="_Toc454788009"/>
      <w:bookmarkStart w:id="25" w:name="_Toc428351629"/>
      <w:bookmarkStart w:id="26" w:name="_Toc463011253"/>
      <w:bookmarkStart w:id="27" w:name="_Toc27089"/>
      <w:bookmarkStart w:id="28" w:name="_Toc455678100"/>
      <w:bookmarkStart w:id="29" w:name="_Toc277149365"/>
      <w:bookmarkStart w:id="30" w:name="_Toc10099"/>
      <w:bookmarkStart w:id="31" w:name="_Toc428276569"/>
      <w:bookmarkStart w:id="32" w:name="_Toc13394"/>
      <w:bookmarkStart w:id="33" w:name="_Toc462934274"/>
      <w:bookmarkStart w:id="34" w:name="_Toc13005"/>
      <w:r>
        <w:rPr>
          <w:rFonts w:hint="eastAsia" w:hAnsi="宋体" w:cs="黑体"/>
          <w:b/>
          <w:color w:val="auto"/>
          <w:sz w:val="21"/>
          <w:szCs w:val="21"/>
        </w:rPr>
        <w:t>项目概况</w:t>
      </w:r>
      <w:bookmarkEnd w:id="24"/>
      <w:bookmarkEnd w:id="25"/>
      <w:bookmarkEnd w:id="26"/>
      <w:bookmarkEnd w:id="27"/>
      <w:bookmarkEnd w:id="28"/>
      <w:bookmarkEnd w:id="29"/>
      <w:bookmarkEnd w:id="30"/>
      <w:bookmarkEnd w:id="31"/>
      <w:bookmarkEnd w:id="32"/>
      <w:bookmarkEnd w:id="33"/>
      <w:bookmarkEnd w:id="34"/>
    </w:p>
    <w:p w14:paraId="1CA7DA19">
      <w:pPr>
        <w:pStyle w:val="62"/>
        <w:snapToGrid w:val="0"/>
        <w:spacing w:line="360" w:lineRule="auto"/>
        <w:ind w:firstLine="420" w:firstLineChars="200"/>
        <w:contextualSpacing/>
        <w:jc w:val="both"/>
        <w:rPr>
          <w:rFonts w:hint="eastAsia" w:hAnsi="宋体" w:cs="黑体"/>
          <w:color w:val="auto"/>
          <w:sz w:val="21"/>
          <w:szCs w:val="21"/>
        </w:rPr>
      </w:pPr>
      <w:r>
        <w:rPr>
          <w:rFonts w:hint="eastAsia" w:hAnsi="宋体" w:cs="黑体"/>
          <w:color w:val="auto"/>
          <w:sz w:val="21"/>
          <w:szCs w:val="21"/>
        </w:rPr>
        <w:t>根据《中华人民共和国政府采购法》等有关法律、法规和规章的规定，本采购项目已具备竞争性磋商条件，现对本项目进行采购。</w:t>
      </w:r>
    </w:p>
    <w:p w14:paraId="31D9086A">
      <w:pPr>
        <w:pStyle w:val="62"/>
        <w:numPr>
          <w:ilvl w:val="2"/>
          <w:numId w:val="2"/>
        </w:numPr>
        <w:tabs>
          <w:tab w:val="left" w:pos="0"/>
        </w:tabs>
        <w:snapToGrid w:val="0"/>
        <w:spacing w:line="360" w:lineRule="auto"/>
        <w:ind w:left="420" w:leftChars="200" w:firstLine="0"/>
        <w:contextualSpacing/>
        <w:jc w:val="both"/>
        <w:rPr>
          <w:rFonts w:hint="eastAsia" w:hAnsi="宋体" w:cs="黑体"/>
          <w:color w:val="auto"/>
          <w:sz w:val="21"/>
          <w:szCs w:val="21"/>
        </w:rPr>
      </w:pPr>
      <w:r>
        <w:rPr>
          <w:rFonts w:hint="eastAsia" w:hAnsi="宋体" w:cs="黑体"/>
          <w:color w:val="auto"/>
          <w:sz w:val="21"/>
          <w:szCs w:val="21"/>
        </w:rPr>
        <w:t>本次磋商项目采购人：&lt;供应商须知前附表&gt;中所述的，依法进行政府采购的国家机关、事业单位、团体组织。</w:t>
      </w:r>
    </w:p>
    <w:p w14:paraId="2A584D23">
      <w:pPr>
        <w:pStyle w:val="62"/>
        <w:numPr>
          <w:ilvl w:val="2"/>
          <w:numId w:val="2"/>
        </w:numPr>
        <w:tabs>
          <w:tab w:val="left" w:pos="0"/>
        </w:tabs>
        <w:snapToGrid w:val="0"/>
        <w:spacing w:line="360" w:lineRule="auto"/>
        <w:ind w:left="420" w:leftChars="200" w:firstLine="0"/>
        <w:contextualSpacing/>
        <w:jc w:val="both"/>
        <w:rPr>
          <w:rFonts w:hint="eastAsia" w:hAnsi="宋体" w:cs="黑体"/>
          <w:color w:val="auto"/>
          <w:sz w:val="21"/>
          <w:szCs w:val="21"/>
        </w:rPr>
      </w:pPr>
      <w:r>
        <w:rPr>
          <w:rFonts w:hint="eastAsia" w:hAnsi="宋体" w:cs="黑体"/>
          <w:color w:val="auto"/>
          <w:sz w:val="21"/>
          <w:szCs w:val="21"/>
        </w:rPr>
        <w:t>本次磋商项目采购代理机构：受采购人委托组织采购活动，在采购过程中负有相应责任的社会中介组织。</w:t>
      </w:r>
    </w:p>
    <w:p w14:paraId="10C00785">
      <w:pPr>
        <w:pStyle w:val="62"/>
        <w:numPr>
          <w:ilvl w:val="2"/>
          <w:numId w:val="2"/>
        </w:numPr>
        <w:tabs>
          <w:tab w:val="left" w:pos="0"/>
        </w:tabs>
        <w:snapToGrid w:val="0"/>
        <w:spacing w:line="360" w:lineRule="auto"/>
        <w:ind w:left="420" w:leftChars="200" w:firstLine="0"/>
        <w:contextualSpacing/>
        <w:jc w:val="both"/>
        <w:rPr>
          <w:rFonts w:hint="eastAsia" w:hAnsi="宋体" w:cs="黑体"/>
          <w:color w:val="auto"/>
          <w:sz w:val="21"/>
          <w:szCs w:val="21"/>
        </w:rPr>
      </w:pPr>
      <w:r>
        <w:rPr>
          <w:rFonts w:hint="eastAsia" w:hAnsi="宋体" w:cs="黑体"/>
          <w:color w:val="auto"/>
          <w:sz w:val="21"/>
          <w:szCs w:val="21"/>
        </w:rPr>
        <w:t>本次采购方式：见&lt;供应商须知前附表&gt;。</w:t>
      </w:r>
    </w:p>
    <w:p w14:paraId="3D808405">
      <w:pPr>
        <w:pStyle w:val="62"/>
        <w:numPr>
          <w:ilvl w:val="2"/>
          <w:numId w:val="2"/>
        </w:numPr>
        <w:tabs>
          <w:tab w:val="left" w:pos="0"/>
        </w:tabs>
        <w:snapToGrid w:val="0"/>
        <w:spacing w:line="360" w:lineRule="auto"/>
        <w:ind w:left="420" w:leftChars="200" w:firstLine="0"/>
        <w:contextualSpacing/>
        <w:jc w:val="both"/>
        <w:rPr>
          <w:rFonts w:hAnsi="宋体" w:cs="黑体"/>
          <w:color w:val="auto"/>
          <w:sz w:val="21"/>
          <w:szCs w:val="21"/>
        </w:rPr>
      </w:pPr>
      <w:r>
        <w:rPr>
          <w:rFonts w:hint="eastAsia" w:hAnsi="宋体" w:cs="黑体"/>
          <w:color w:val="auto"/>
          <w:sz w:val="21"/>
          <w:szCs w:val="21"/>
        </w:rPr>
        <w:t>本次磋商项目名称：见&lt;供应商须知前附表&gt;。</w:t>
      </w:r>
    </w:p>
    <w:p w14:paraId="70DBB6D0">
      <w:pPr>
        <w:pStyle w:val="62"/>
        <w:numPr>
          <w:ilvl w:val="2"/>
          <w:numId w:val="2"/>
        </w:numPr>
        <w:tabs>
          <w:tab w:val="left" w:pos="0"/>
        </w:tabs>
        <w:snapToGrid w:val="0"/>
        <w:spacing w:line="360" w:lineRule="auto"/>
        <w:ind w:left="420" w:leftChars="200" w:firstLine="0"/>
        <w:contextualSpacing/>
        <w:jc w:val="both"/>
        <w:rPr>
          <w:rFonts w:hint="eastAsia" w:hAnsi="宋体" w:cs="黑体"/>
          <w:color w:val="auto"/>
          <w:sz w:val="21"/>
          <w:szCs w:val="21"/>
        </w:rPr>
      </w:pPr>
      <w:r>
        <w:rPr>
          <w:rFonts w:hint="eastAsia" w:hAnsi="宋体" w:cs="黑体"/>
          <w:color w:val="auto"/>
          <w:sz w:val="21"/>
          <w:szCs w:val="21"/>
        </w:rPr>
        <w:t>本项目地点：见&lt;供应商须知前附表&gt;。</w:t>
      </w:r>
    </w:p>
    <w:p w14:paraId="4FD1644F">
      <w:pPr>
        <w:pStyle w:val="62"/>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35" w:name="_Toc455678101"/>
      <w:bookmarkStart w:id="36" w:name="_Toc269470296"/>
      <w:bookmarkStart w:id="37" w:name="_Toc29176"/>
      <w:bookmarkStart w:id="38" w:name="_Toc270604577"/>
      <w:bookmarkStart w:id="39" w:name="_Toc13259"/>
      <w:bookmarkStart w:id="40" w:name="_Toc462934275"/>
      <w:bookmarkStart w:id="41" w:name="_Toc277149366"/>
      <w:bookmarkStart w:id="42" w:name="_Toc270604804"/>
      <w:bookmarkStart w:id="43" w:name="_Toc463011254"/>
      <w:bookmarkStart w:id="44" w:name="_Toc12813"/>
      <w:bookmarkStart w:id="45" w:name="_Toc8881"/>
      <w:bookmarkStart w:id="46" w:name="_Toc428351630"/>
      <w:bookmarkStart w:id="47" w:name="_Toc454788010"/>
      <w:bookmarkStart w:id="48" w:name="_Toc428276570"/>
      <w:r>
        <w:rPr>
          <w:rFonts w:hint="eastAsia" w:hAnsi="宋体" w:cs="黑体"/>
          <w:b/>
          <w:color w:val="auto"/>
          <w:sz w:val="21"/>
          <w:szCs w:val="21"/>
        </w:rPr>
        <w:t>资金来源和落实情况</w:t>
      </w:r>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7080A099">
      <w:pPr>
        <w:pStyle w:val="62"/>
        <w:numPr>
          <w:ilvl w:val="2"/>
          <w:numId w:val="2"/>
        </w:numPr>
        <w:tabs>
          <w:tab w:val="left" w:pos="0"/>
        </w:tabs>
        <w:snapToGrid w:val="0"/>
        <w:spacing w:line="360" w:lineRule="auto"/>
        <w:ind w:left="420" w:leftChars="200" w:firstLine="0"/>
        <w:contextualSpacing/>
        <w:jc w:val="both"/>
        <w:outlineLvl w:val="3"/>
        <w:rPr>
          <w:rFonts w:hint="eastAsia" w:hAnsi="宋体" w:cs="黑体"/>
          <w:color w:val="auto"/>
          <w:sz w:val="21"/>
          <w:szCs w:val="21"/>
        </w:rPr>
      </w:pPr>
      <w:r>
        <w:rPr>
          <w:rFonts w:hint="eastAsia" w:hAnsi="宋体" w:cs="黑体"/>
          <w:color w:val="auto"/>
          <w:sz w:val="21"/>
          <w:szCs w:val="21"/>
        </w:rPr>
        <w:t>本磋商项目的资金来源：见&lt;供应商须知前附表&gt;。</w:t>
      </w:r>
    </w:p>
    <w:p w14:paraId="7181FC1A">
      <w:pPr>
        <w:pStyle w:val="62"/>
        <w:numPr>
          <w:ilvl w:val="2"/>
          <w:numId w:val="2"/>
        </w:numPr>
        <w:tabs>
          <w:tab w:val="left" w:pos="0"/>
        </w:tabs>
        <w:snapToGrid w:val="0"/>
        <w:spacing w:line="360" w:lineRule="auto"/>
        <w:ind w:left="420" w:leftChars="200" w:firstLine="0"/>
        <w:contextualSpacing/>
        <w:jc w:val="both"/>
        <w:rPr>
          <w:rFonts w:hAnsi="宋体" w:cs="黑体"/>
          <w:color w:val="auto"/>
          <w:sz w:val="21"/>
          <w:szCs w:val="21"/>
        </w:rPr>
      </w:pPr>
      <w:r>
        <w:rPr>
          <w:rFonts w:hint="eastAsia" w:hAnsi="宋体" w:cs="黑体"/>
          <w:color w:val="auto"/>
          <w:sz w:val="21"/>
          <w:szCs w:val="21"/>
        </w:rPr>
        <w:t>本磋商项目的采购采购控制价：见&lt;供应商须知前附表&gt;。</w:t>
      </w:r>
    </w:p>
    <w:p w14:paraId="3CDF66A0">
      <w:pPr>
        <w:pStyle w:val="62"/>
        <w:numPr>
          <w:ilvl w:val="2"/>
          <w:numId w:val="2"/>
        </w:numPr>
        <w:tabs>
          <w:tab w:val="left" w:pos="0"/>
        </w:tabs>
        <w:snapToGrid w:val="0"/>
        <w:spacing w:line="360" w:lineRule="auto"/>
        <w:ind w:left="420" w:leftChars="200" w:firstLine="0"/>
        <w:contextualSpacing/>
        <w:jc w:val="both"/>
        <w:rPr>
          <w:rFonts w:hAnsi="宋体" w:cs="黑体"/>
          <w:color w:val="auto"/>
          <w:sz w:val="21"/>
          <w:szCs w:val="21"/>
        </w:rPr>
      </w:pPr>
      <w:r>
        <w:rPr>
          <w:rFonts w:hint="eastAsia" w:hAnsi="宋体" w:cs="黑体"/>
          <w:color w:val="auto"/>
          <w:sz w:val="21"/>
          <w:szCs w:val="21"/>
        </w:rPr>
        <w:t>本磋商项目的采购项目性质：见&lt;供应商须知前附表&gt;。</w:t>
      </w:r>
    </w:p>
    <w:p w14:paraId="1E4932BE">
      <w:pPr>
        <w:pStyle w:val="62"/>
        <w:numPr>
          <w:ilvl w:val="2"/>
          <w:numId w:val="2"/>
        </w:numPr>
        <w:tabs>
          <w:tab w:val="left" w:pos="0"/>
        </w:tabs>
        <w:snapToGrid w:val="0"/>
        <w:spacing w:line="360" w:lineRule="auto"/>
        <w:ind w:left="420" w:leftChars="200" w:firstLine="0"/>
        <w:contextualSpacing/>
        <w:jc w:val="both"/>
        <w:rPr>
          <w:rFonts w:hAnsi="宋体" w:cs="黑体"/>
          <w:color w:val="auto"/>
          <w:sz w:val="21"/>
          <w:szCs w:val="21"/>
        </w:rPr>
      </w:pPr>
      <w:r>
        <w:rPr>
          <w:rFonts w:hint="eastAsia" w:hAnsi="宋体" w:cs="黑体"/>
          <w:color w:val="auto"/>
          <w:sz w:val="21"/>
          <w:szCs w:val="21"/>
        </w:rPr>
        <w:t>本磋商项目的资金落实情况：见&lt;供应商须知前附表&gt;。</w:t>
      </w:r>
    </w:p>
    <w:p w14:paraId="7B719C8A">
      <w:pPr>
        <w:pStyle w:val="62"/>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49" w:name="_Toc277149367"/>
      <w:bookmarkStart w:id="50" w:name="_Toc462934276"/>
      <w:bookmarkStart w:id="51" w:name="_Toc270604805"/>
      <w:bookmarkStart w:id="52" w:name="_Toc12327"/>
      <w:bookmarkStart w:id="53" w:name="_Toc428351631"/>
      <w:bookmarkStart w:id="54" w:name="_Toc454788011"/>
      <w:bookmarkStart w:id="55" w:name="_Toc270604578"/>
      <w:bookmarkStart w:id="56" w:name="_Toc463011255"/>
      <w:bookmarkStart w:id="57" w:name="_Toc20155"/>
      <w:bookmarkStart w:id="58" w:name="_Toc74"/>
      <w:bookmarkStart w:id="59" w:name="_Toc428276571"/>
      <w:bookmarkStart w:id="60" w:name="_Toc269470297"/>
      <w:bookmarkStart w:id="61" w:name="_Toc8949"/>
      <w:bookmarkStart w:id="62" w:name="_Toc455678102"/>
      <w:r>
        <w:rPr>
          <w:rFonts w:hint="eastAsia" w:hAnsi="宋体" w:cs="黑体"/>
          <w:b/>
          <w:color w:val="auto"/>
          <w:sz w:val="21"/>
          <w:szCs w:val="21"/>
        </w:rPr>
        <w:t>建设内容、交货期和质量要求</w:t>
      </w:r>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54960736">
      <w:pPr>
        <w:pStyle w:val="62"/>
        <w:numPr>
          <w:ilvl w:val="2"/>
          <w:numId w:val="2"/>
        </w:numPr>
        <w:tabs>
          <w:tab w:val="left" w:pos="0"/>
        </w:tabs>
        <w:snapToGrid w:val="0"/>
        <w:spacing w:line="360" w:lineRule="auto"/>
        <w:ind w:left="420" w:leftChars="200" w:firstLine="0"/>
        <w:contextualSpacing/>
        <w:jc w:val="both"/>
        <w:rPr>
          <w:rFonts w:hint="eastAsia" w:hAnsi="宋体" w:cs="黑体"/>
          <w:color w:val="auto"/>
          <w:sz w:val="21"/>
          <w:szCs w:val="21"/>
        </w:rPr>
      </w:pPr>
      <w:r>
        <w:rPr>
          <w:rFonts w:hint="eastAsia" w:hAnsi="宋体" w:cs="黑体"/>
          <w:color w:val="auto"/>
          <w:sz w:val="21"/>
          <w:szCs w:val="21"/>
        </w:rPr>
        <w:t>本次建设内容：见&lt;供应商须知前附表&gt;。</w:t>
      </w:r>
    </w:p>
    <w:p w14:paraId="18841AEA">
      <w:pPr>
        <w:pStyle w:val="62"/>
        <w:numPr>
          <w:ilvl w:val="2"/>
          <w:numId w:val="2"/>
        </w:numPr>
        <w:tabs>
          <w:tab w:val="left" w:pos="0"/>
        </w:tabs>
        <w:snapToGrid w:val="0"/>
        <w:spacing w:line="360" w:lineRule="auto"/>
        <w:ind w:left="420" w:leftChars="200" w:firstLine="0"/>
        <w:contextualSpacing/>
        <w:jc w:val="both"/>
        <w:rPr>
          <w:rFonts w:hAnsi="宋体" w:cs="黑体"/>
          <w:color w:val="auto"/>
          <w:sz w:val="21"/>
          <w:szCs w:val="21"/>
        </w:rPr>
      </w:pPr>
      <w:r>
        <w:rPr>
          <w:rFonts w:hint="eastAsia" w:hAnsi="宋体" w:cs="黑体"/>
          <w:color w:val="auto"/>
          <w:sz w:val="21"/>
          <w:szCs w:val="21"/>
        </w:rPr>
        <w:t>本项目的工期：见&lt;供应商须知前附表&gt;。</w:t>
      </w:r>
    </w:p>
    <w:p w14:paraId="0BF3D895">
      <w:pPr>
        <w:pStyle w:val="62"/>
        <w:numPr>
          <w:ilvl w:val="2"/>
          <w:numId w:val="2"/>
        </w:numPr>
        <w:tabs>
          <w:tab w:val="left" w:pos="0"/>
        </w:tabs>
        <w:snapToGrid w:val="0"/>
        <w:spacing w:line="360" w:lineRule="auto"/>
        <w:ind w:left="420" w:leftChars="200" w:firstLine="0"/>
        <w:contextualSpacing/>
        <w:jc w:val="both"/>
        <w:rPr>
          <w:rFonts w:hint="eastAsia" w:hAnsi="宋体" w:cs="黑体"/>
          <w:color w:val="auto"/>
          <w:sz w:val="21"/>
          <w:szCs w:val="21"/>
        </w:rPr>
      </w:pPr>
      <w:r>
        <w:rPr>
          <w:rFonts w:hint="eastAsia" w:hAnsi="宋体" w:cs="黑体"/>
          <w:color w:val="auto"/>
          <w:sz w:val="21"/>
          <w:szCs w:val="21"/>
        </w:rPr>
        <w:t>本项目的质量要求：见&lt;供应商须知前附表&gt;。</w:t>
      </w:r>
    </w:p>
    <w:p w14:paraId="1E208C8B">
      <w:pPr>
        <w:pStyle w:val="62"/>
        <w:numPr>
          <w:ilvl w:val="1"/>
          <w:numId w:val="2"/>
        </w:numPr>
        <w:tabs>
          <w:tab w:val="left" w:pos="540"/>
          <w:tab w:val="clear" w:pos="992"/>
        </w:tabs>
        <w:snapToGrid w:val="0"/>
        <w:spacing w:line="360" w:lineRule="auto"/>
        <w:ind w:left="540" w:hanging="540"/>
        <w:contextualSpacing/>
        <w:jc w:val="both"/>
        <w:outlineLvl w:val="2"/>
        <w:rPr>
          <w:rFonts w:hint="eastAsia" w:hAnsi="宋体" w:cs="黑体"/>
          <w:b/>
          <w:color w:val="auto"/>
          <w:sz w:val="21"/>
          <w:szCs w:val="21"/>
        </w:rPr>
      </w:pPr>
      <w:bookmarkStart w:id="63" w:name="_Toc269470298"/>
      <w:bookmarkStart w:id="64" w:name="_Toc463011256"/>
      <w:bookmarkStart w:id="65" w:name="_Toc6648"/>
      <w:bookmarkStart w:id="66" w:name="_Toc462934277"/>
      <w:bookmarkStart w:id="67" w:name="_Toc16958"/>
      <w:bookmarkStart w:id="68" w:name="_Toc270604579"/>
      <w:bookmarkStart w:id="69" w:name="_Toc8995"/>
      <w:bookmarkStart w:id="70" w:name="_Toc428351632"/>
      <w:bookmarkStart w:id="71" w:name="_Toc277149368"/>
      <w:bookmarkStart w:id="72" w:name="_Toc270604806"/>
      <w:bookmarkStart w:id="73" w:name="_Toc455678103"/>
      <w:bookmarkStart w:id="74" w:name="_Toc454788012"/>
      <w:bookmarkStart w:id="75" w:name="_Toc428276572"/>
      <w:bookmarkStart w:id="76" w:name="_Toc18617"/>
      <w:r>
        <w:rPr>
          <w:rFonts w:hint="eastAsia" w:hAnsi="宋体" w:cs="黑体"/>
          <w:b/>
          <w:color w:val="auto"/>
          <w:sz w:val="21"/>
          <w:szCs w:val="21"/>
        </w:rPr>
        <w:t>供应商资格要求</w:t>
      </w:r>
      <w:bookmarkEnd w:id="63"/>
      <w:r>
        <w:rPr>
          <w:rFonts w:hint="eastAsia" w:hAnsi="宋体" w:cs="黑体"/>
          <w:b/>
          <w:color w:val="auto"/>
          <w:sz w:val="21"/>
          <w:szCs w:val="21"/>
        </w:rPr>
        <w:t>：</w:t>
      </w:r>
      <w:r>
        <w:rPr>
          <w:rFonts w:hint="eastAsia" w:hAnsi="宋体"/>
          <w:b/>
          <w:color w:val="auto"/>
          <w:sz w:val="21"/>
          <w:szCs w:val="21"/>
        </w:rPr>
        <w:t>见&lt;供应商须知前附表&gt;。</w:t>
      </w:r>
      <w:bookmarkEnd w:id="64"/>
      <w:bookmarkEnd w:id="65"/>
      <w:bookmarkEnd w:id="66"/>
      <w:bookmarkEnd w:id="67"/>
      <w:bookmarkEnd w:id="68"/>
      <w:bookmarkEnd w:id="69"/>
      <w:bookmarkEnd w:id="70"/>
      <w:bookmarkEnd w:id="71"/>
      <w:bookmarkEnd w:id="72"/>
      <w:bookmarkEnd w:id="73"/>
      <w:bookmarkEnd w:id="74"/>
      <w:bookmarkEnd w:id="75"/>
      <w:bookmarkEnd w:id="76"/>
    </w:p>
    <w:p w14:paraId="5499335C">
      <w:pPr>
        <w:pStyle w:val="62"/>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77" w:name="_Toc277149369"/>
      <w:bookmarkStart w:id="78" w:name="_Toc463011257"/>
      <w:bookmarkStart w:id="79" w:name="_Toc462934278"/>
      <w:bookmarkStart w:id="80" w:name="_Toc27980"/>
      <w:bookmarkStart w:id="81" w:name="_Toc24742"/>
      <w:bookmarkStart w:id="82" w:name="_Toc454788013"/>
      <w:bookmarkStart w:id="83" w:name="_Toc270604807"/>
      <w:bookmarkStart w:id="84" w:name="_Toc28593"/>
      <w:bookmarkStart w:id="85" w:name="_Toc270604580"/>
      <w:bookmarkStart w:id="86" w:name="_Toc19948"/>
      <w:bookmarkStart w:id="87" w:name="_Toc428351633"/>
      <w:bookmarkStart w:id="88" w:name="_Toc455678104"/>
      <w:bookmarkStart w:id="89" w:name="_Toc269470299"/>
      <w:bookmarkStart w:id="90" w:name="_Toc428276573"/>
      <w:r>
        <w:rPr>
          <w:rFonts w:hint="eastAsia" w:hAnsi="宋体" w:cs="黑体"/>
          <w:b/>
          <w:color w:val="auto"/>
          <w:sz w:val="21"/>
          <w:szCs w:val="21"/>
        </w:rPr>
        <w:t>费用承担</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316A745">
      <w:pPr>
        <w:snapToGrid w:val="0"/>
        <w:spacing w:line="360" w:lineRule="auto"/>
        <w:ind w:firstLine="420" w:firstLineChars="200"/>
        <w:contextualSpacing/>
        <w:rPr>
          <w:rFonts w:hint="eastAsia" w:ascii="宋体" w:hAnsi="宋体"/>
        </w:rPr>
      </w:pPr>
      <w:r>
        <w:rPr>
          <w:rFonts w:hint="eastAsia" w:ascii="宋体" w:hAnsi="宋体"/>
        </w:rPr>
        <w:t>供应商必须自行承担所有与参加磋商有关的费用。不论磋商的结果如何，采购人在任何情况下均无义务和责任承担这些费用。</w:t>
      </w:r>
    </w:p>
    <w:p w14:paraId="07A4E5A3">
      <w:pPr>
        <w:pStyle w:val="62"/>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91" w:name="_Toc455678105"/>
      <w:bookmarkStart w:id="92" w:name="_Toc269470300"/>
      <w:bookmarkStart w:id="93" w:name="_Toc428351634"/>
      <w:bookmarkStart w:id="94" w:name="_Toc463011258"/>
      <w:bookmarkStart w:id="95" w:name="_Toc462934279"/>
      <w:bookmarkStart w:id="96" w:name="_Toc454788014"/>
      <w:bookmarkStart w:id="97" w:name="_Toc270604808"/>
      <w:bookmarkStart w:id="98" w:name="_Toc428276574"/>
      <w:bookmarkStart w:id="99" w:name="_Toc25892"/>
      <w:bookmarkStart w:id="100" w:name="_Toc1512"/>
      <w:bookmarkStart w:id="101" w:name="_Toc270604581"/>
      <w:bookmarkStart w:id="102" w:name="_Toc277149370"/>
      <w:bookmarkStart w:id="103" w:name="_Toc29742"/>
      <w:bookmarkStart w:id="104" w:name="_Toc7854"/>
      <w:r>
        <w:rPr>
          <w:rFonts w:hint="eastAsia" w:hAnsi="宋体" w:cs="黑体"/>
          <w:b/>
          <w:color w:val="auto"/>
          <w:sz w:val="21"/>
          <w:szCs w:val="21"/>
        </w:rPr>
        <w:t>保密</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6F6B1E1E">
      <w:pPr>
        <w:tabs>
          <w:tab w:val="left" w:pos="720"/>
          <w:tab w:val="left" w:pos="1320"/>
        </w:tabs>
        <w:snapToGrid w:val="0"/>
        <w:spacing w:line="360" w:lineRule="auto"/>
        <w:ind w:firstLine="420" w:firstLineChars="200"/>
        <w:contextualSpacing/>
        <w:rPr>
          <w:rFonts w:hint="eastAsia" w:ascii="宋体" w:hAnsi="宋体"/>
          <w:szCs w:val="21"/>
        </w:rPr>
      </w:pPr>
      <w:r>
        <w:rPr>
          <w:rFonts w:hint="eastAsia" w:ascii="宋体" w:hAnsi="宋体"/>
          <w:szCs w:val="21"/>
        </w:rPr>
        <w:t>1.6.1  磋商开始前，任何人不得向他人泄露供应商名单等可能影响磋商结果，或形成获得信息不对、有差别等事实上形成的差别待遇的行为。</w:t>
      </w:r>
    </w:p>
    <w:p w14:paraId="20C00651">
      <w:pPr>
        <w:tabs>
          <w:tab w:val="left" w:pos="720"/>
          <w:tab w:val="left" w:pos="1320"/>
        </w:tabs>
        <w:snapToGrid w:val="0"/>
        <w:spacing w:line="360" w:lineRule="auto"/>
        <w:ind w:firstLine="420" w:firstLineChars="200"/>
        <w:contextualSpacing/>
        <w:rPr>
          <w:rFonts w:hint="eastAsia" w:ascii="宋体" w:hAnsi="宋体"/>
          <w:szCs w:val="21"/>
        </w:rPr>
      </w:pPr>
      <w:r>
        <w:rPr>
          <w:rFonts w:hint="eastAsia" w:ascii="宋体" w:hAnsi="宋体"/>
          <w:szCs w:val="21"/>
        </w:rPr>
        <w:t>1.6.2  磋商期间，直到授予成交供应商合同止，凡是与磋商响应文件审查、澄清、评价、比较以及推荐成交候选人等方面的情况，均不得向供应商或其他无关的人员透露。</w:t>
      </w:r>
    </w:p>
    <w:p w14:paraId="79F80BAC">
      <w:pPr>
        <w:tabs>
          <w:tab w:val="left" w:pos="720"/>
          <w:tab w:val="left" w:pos="1320"/>
        </w:tabs>
        <w:snapToGrid w:val="0"/>
        <w:spacing w:line="360" w:lineRule="auto"/>
        <w:ind w:firstLine="420" w:firstLineChars="200"/>
        <w:contextualSpacing/>
        <w:rPr>
          <w:rFonts w:hint="eastAsia" w:ascii="宋体" w:hAnsi="宋体"/>
          <w:szCs w:val="21"/>
        </w:rPr>
      </w:pPr>
      <w:r>
        <w:rPr>
          <w:rFonts w:hint="eastAsia" w:ascii="宋体" w:hAnsi="宋体"/>
          <w:szCs w:val="21"/>
        </w:rPr>
        <w:t>1.6.3  在采购过程中，供应商有试图向磋商小组成员施加影响的任何行为，都将会导致其响应文件被拒绝。</w:t>
      </w:r>
    </w:p>
    <w:p w14:paraId="6EE425B4">
      <w:pPr>
        <w:tabs>
          <w:tab w:val="left" w:pos="720"/>
          <w:tab w:val="left" w:pos="1320"/>
        </w:tabs>
        <w:snapToGrid w:val="0"/>
        <w:spacing w:line="360" w:lineRule="auto"/>
        <w:ind w:firstLine="420" w:firstLineChars="200"/>
        <w:contextualSpacing/>
        <w:rPr>
          <w:rFonts w:hint="eastAsia" w:ascii="宋体" w:hAnsi="宋体"/>
          <w:szCs w:val="21"/>
        </w:rPr>
      </w:pPr>
      <w:r>
        <w:rPr>
          <w:rFonts w:hint="eastAsia" w:ascii="宋体" w:hAnsi="宋体"/>
          <w:szCs w:val="21"/>
        </w:rPr>
        <w:t>1.6.4  为保证成交结果的公正性，磋商期间直至授予供应商合同时，磋商小组成员不得与供应商私下接触、交换意见。在磋商结束后，凡与磋商情况有接触的任何人不得也不应将磋商情况扩散出磋商小组成员之外。</w:t>
      </w:r>
    </w:p>
    <w:p w14:paraId="4CB55A0E">
      <w:pPr>
        <w:tabs>
          <w:tab w:val="left" w:pos="720"/>
          <w:tab w:val="left" w:pos="1320"/>
        </w:tabs>
        <w:snapToGrid w:val="0"/>
        <w:spacing w:line="360" w:lineRule="auto"/>
        <w:ind w:firstLine="420" w:firstLineChars="200"/>
        <w:contextualSpacing/>
        <w:rPr>
          <w:rFonts w:hint="eastAsia" w:ascii="宋体" w:hAnsi="宋体"/>
          <w:szCs w:val="21"/>
        </w:rPr>
      </w:pPr>
      <w:r>
        <w:rPr>
          <w:rFonts w:hint="eastAsia" w:ascii="宋体" w:hAnsi="宋体"/>
          <w:szCs w:val="21"/>
        </w:rPr>
        <w:t>1.6.5  采购人原则上不向落选方解释落选原因，参加本项目竞争性磋商的供应商如对本次评审推荐的拟成交供应商有异议或发现违规违纪行为，请向采购人提出质疑，并提供有关证明材料，超过法律规定时间将不再受理。</w:t>
      </w:r>
    </w:p>
    <w:p w14:paraId="363C4FE7">
      <w:pPr>
        <w:tabs>
          <w:tab w:val="left" w:pos="720"/>
          <w:tab w:val="left" w:pos="1320"/>
        </w:tabs>
        <w:snapToGrid w:val="0"/>
        <w:spacing w:line="360" w:lineRule="auto"/>
        <w:ind w:firstLine="420" w:firstLineChars="200"/>
        <w:contextualSpacing/>
        <w:outlineLvl w:val="3"/>
        <w:rPr>
          <w:rFonts w:ascii="宋体" w:hAnsi="宋体"/>
          <w:szCs w:val="21"/>
        </w:rPr>
      </w:pPr>
      <w:r>
        <w:rPr>
          <w:rFonts w:hint="eastAsia" w:ascii="宋体" w:hAnsi="宋体"/>
          <w:szCs w:val="21"/>
        </w:rPr>
        <w:t>1.6.6  磋商结束后，不退还磋商响应文件。</w:t>
      </w:r>
    </w:p>
    <w:p w14:paraId="258F08B8">
      <w:pPr>
        <w:pStyle w:val="62"/>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105" w:name="_Toc277149371"/>
      <w:bookmarkStart w:id="106" w:name="_Toc270604582"/>
      <w:bookmarkStart w:id="107" w:name="_Toc454788015"/>
      <w:bookmarkStart w:id="108" w:name="_Toc7606"/>
      <w:bookmarkStart w:id="109" w:name="_Toc428276575"/>
      <w:bookmarkStart w:id="110" w:name="_Toc455678106"/>
      <w:bookmarkStart w:id="111" w:name="_Toc428351635"/>
      <w:bookmarkStart w:id="112" w:name="_Toc270604809"/>
      <w:bookmarkStart w:id="113" w:name="_Toc31501"/>
      <w:bookmarkStart w:id="114" w:name="_Toc462934280"/>
      <w:bookmarkStart w:id="115" w:name="_Toc30075"/>
      <w:bookmarkStart w:id="116" w:name="_Toc463011259"/>
      <w:bookmarkStart w:id="117" w:name="_Toc19438"/>
      <w:bookmarkStart w:id="118" w:name="_Toc269470301"/>
      <w:r>
        <w:rPr>
          <w:rFonts w:hint="eastAsia" w:hAnsi="宋体" w:cs="黑体"/>
          <w:b/>
          <w:color w:val="auto"/>
          <w:sz w:val="21"/>
          <w:szCs w:val="21"/>
        </w:rPr>
        <w:t>语言文字</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681F74DB">
      <w:pPr>
        <w:autoSpaceDE w:val="0"/>
        <w:autoSpaceDN w:val="0"/>
        <w:adjustRightInd w:val="0"/>
        <w:snapToGrid w:val="0"/>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除国外第三方出具的证明文件、专用术语外，与磋商有关的响应文件语言文字均应使用中文。必须使用他国语言文字时，证明文件、专用术语应附有中文注释和翻译文件。响应文件中因使用他国语言文字发生歧义时，以中文为准。</w:t>
      </w:r>
    </w:p>
    <w:p w14:paraId="2BBF78D7">
      <w:pPr>
        <w:pStyle w:val="62"/>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119" w:name="_Toc428276576"/>
      <w:bookmarkStart w:id="120" w:name="_Toc463011260"/>
      <w:bookmarkStart w:id="121" w:name="_Toc9894"/>
      <w:bookmarkStart w:id="122" w:name="_Toc428351636"/>
      <w:bookmarkStart w:id="123" w:name="_Toc269470302"/>
      <w:bookmarkStart w:id="124" w:name="_Toc277149372"/>
      <w:bookmarkStart w:id="125" w:name="_Toc454788016"/>
      <w:bookmarkStart w:id="126" w:name="_Toc30360"/>
      <w:bookmarkStart w:id="127" w:name="_Toc455678107"/>
      <w:bookmarkStart w:id="128" w:name="_Toc270604810"/>
      <w:bookmarkStart w:id="129" w:name="_Toc29299"/>
      <w:bookmarkStart w:id="130" w:name="_Toc24185"/>
      <w:bookmarkStart w:id="131" w:name="_Toc462934281"/>
      <w:bookmarkStart w:id="132" w:name="_Toc270604583"/>
      <w:r>
        <w:rPr>
          <w:rFonts w:hint="eastAsia" w:hAnsi="宋体" w:cs="黑体"/>
          <w:b/>
          <w:color w:val="auto"/>
          <w:sz w:val="21"/>
          <w:szCs w:val="21"/>
        </w:rPr>
        <w:t>计量单位</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09350945">
      <w:pPr>
        <w:autoSpaceDE w:val="0"/>
        <w:autoSpaceDN w:val="0"/>
        <w:adjustRightInd w:val="0"/>
        <w:snapToGrid w:val="0"/>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所有计量均采用中华人民共和国法定计量标准单位。</w:t>
      </w:r>
    </w:p>
    <w:p w14:paraId="068B13A8">
      <w:pPr>
        <w:pStyle w:val="62"/>
        <w:numPr>
          <w:ilvl w:val="1"/>
          <w:numId w:val="2"/>
        </w:numPr>
        <w:tabs>
          <w:tab w:val="left" w:pos="540"/>
          <w:tab w:val="clear" w:pos="992"/>
        </w:tabs>
        <w:snapToGrid w:val="0"/>
        <w:spacing w:line="360" w:lineRule="auto"/>
        <w:ind w:left="540" w:hanging="540"/>
        <w:contextualSpacing/>
        <w:jc w:val="both"/>
        <w:outlineLvl w:val="2"/>
        <w:rPr>
          <w:rFonts w:hint="eastAsia" w:hAnsi="宋体" w:cs="黑体"/>
          <w:b/>
          <w:color w:val="auto"/>
          <w:sz w:val="21"/>
          <w:szCs w:val="21"/>
        </w:rPr>
      </w:pPr>
      <w:bookmarkStart w:id="133" w:name="_Toc270604811"/>
      <w:bookmarkStart w:id="134" w:name="_Toc269470303"/>
      <w:bookmarkStart w:id="135" w:name="_Toc455678108"/>
      <w:bookmarkStart w:id="136" w:name="_Toc270604584"/>
      <w:bookmarkStart w:id="137" w:name="_Toc463011261"/>
      <w:bookmarkStart w:id="138" w:name="_Toc5588"/>
      <w:bookmarkStart w:id="139" w:name="_Toc428276577"/>
      <w:bookmarkStart w:id="140" w:name="_Toc277149373"/>
      <w:bookmarkStart w:id="141" w:name="_Toc7491"/>
      <w:bookmarkStart w:id="142" w:name="_Toc11248"/>
      <w:bookmarkStart w:id="143" w:name="_Toc4233"/>
      <w:bookmarkStart w:id="144" w:name="_Toc462934282"/>
      <w:bookmarkStart w:id="145" w:name="_Toc454788017"/>
      <w:bookmarkStart w:id="146" w:name="_Toc428351637"/>
      <w:r>
        <w:rPr>
          <w:rFonts w:hint="eastAsia" w:hAnsi="宋体" w:cs="黑体"/>
          <w:b/>
          <w:color w:val="auto"/>
          <w:sz w:val="21"/>
          <w:szCs w:val="21"/>
        </w:rPr>
        <w:t>踏勘现场</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73D8F010">
      <w:pPr>
        <w:snapToGrid w:val="0"/>
        <w:spacing w:line="360" w:lineRule="auto"/>
        <w:ind w:firstLine="420" w:firstLineChars="200"/>
        <w:contextualSpacing/>
        <w:rPr>
          <w:rFonts w:hint="eastAsia" w:ascii="宋体" w:hAnsi="宋体"/>
          <w:szCs w:val="21"/>
        </w:rPr>
      </w:pPr>
      <w:r>
        <w:rPr>
          <w:rFonts w:hint="eastAsia" w:ascii="宋体" w:hAnsi="宋体"/>
          <w:szCs w:val="21"/>
        </w:rPr>
        <w:t>1.9.1  供应商须知前附表规定组织踏勘现场的，采购人按供应商须知前附表规定的时间、地点组织供应商踏勘项目现场。</w:t>
      </w:r>
    </w:p>
    <w:p w14:paraId="29A2DEA0">
      <w:pPr>
        <w:snapToGrid w:val="0"/>
        <w:spacing w:line="360" w:lineRule="auto"/>
        <w:ind w:firstLine="420" w:firstLineChars="200"/>
        <w:contextualSpacing/>
        <w:outlineLvl w:val="3"/>
        <w:rPr>
          <w:rFonts w:hint="eastAsia" w:ascii="宋体" w:hAnsi="宋体"/>
          <w:szCs w:val="21"/>
        </w:rPr>
      </w:pPr>
      <w:r>
        <w:rPr>
          <w:rFonts w:hint="eastAsia" w:ascii="宋体" w:hAnsi="宋体"/>
          <w:szCs w:val="21"/>
        </w:rPr>
        <w:t>1.9.2  供应商如需踏勘现场，所发生的费用自理。</w:t>
      </w:r>
    </w:p>
    <w:p w14:paraId="75F9C007">
      <w:pPr>
        <w:snapToGrid w:val="0"/>
        <w:spacing w:line="360" w:lineRule="auto"/>
        <w:ind w:firstLine="420" w:firstLineChars="200"/>
        <w:contextualSpacing/>
        <w:rPr>
          <w:rFonts w:hint="eastAsia" w:ascii="宋体" w:hAnsi="宋体"/>
          <w:szCs w:val="21"/>
        </w:rPr>
      </w:pPr>
      <w:r>
        <w:rPr>
          <w:rFonts w:hint="eastAsia" w:ascii="宋体" w:hAnsi="宋体"/>
          <w:szCs w:val="21"/>
        </w:rPr>
        <w:t>1.9.3  除采购人的原因外，供应商自行负责在踏勘现场中所发生的人员伤亡和财产损失。</w:t>
      </w:r>
    </w:p>
    <w:p w14:paraId="1F189DF0">
      <w:pPr>
        <w:snapToGrid w:val="0"/>
        <w:spacing w:line="360" w:lineRule="auto"/>
        <w:ind w:firstLine="420" w:firstLineChars="200"/>
        <w:contextualSpacing/>
        <w:rPr>
          <w:rFonts w:ascii="宋体" w:hAnsi="宋体"/>
          <w:szCs w:val="21"/>
        </w:rPr>
      </w:pPr>
      <w:r>
        <w:rPr>
          <w:rFonts w:hint="eastAsia" w:ascii="宋体" w:hAnsi="宋体"/>
          <w:szCs w:val="21"/>
        </w:rPr>
        <w:t>1.9.4  采购人在踏勘现场中介绍的项目场地和相关的周边环境情况，供应商在编制响应文件时参考，采购人不对供应商据此作出的判断和决策负责。</w:t>
      </w:r>
    </w:p>
    <w:p w14:paraId="56EDDF69">
      <w:pPr>
        <w:pStyle w:val="62"/>
        <w:numPr>
          <w:ilvl w:val="1"/>
          <w:numId w:val="2"/>
        </w:numPr>
        <w:tabs>
          <w:tab w:val="left" w:pos="540"/>
          <w:tab w:val="clear" w:pos="992"/>
        </w:tabs>
        <w:snapToGrid w:val="0"/>
        <w:spacing w:line="360" w:lineRule="auto"/>
        <w:ind w:left="540" w:hanging="540"/>
        <w:contextualSpacing/>
        <w:jc w:val="both"/>
        <w:outlineLvl w:val="2"/>
        <w:rPr>
          <w:rFonts w:hint="eastAsia" w:ascii="宋体" w:hAnsi="宋体"/>
          <w:szCs w:val="21"/>
        </w:rPr>
      </w:pPr>
      <w:bookmarkStart w:id="147" w:name="_Toc463011262"/>
      <w:bookmarkStart w:id="148" w:name="_Toc454788018"/>
      <w:bookmarkStart w:id="149" w:name="_Toc13996"/>
      <w:bookmarkStart w:id="150" w:name="_Toc455678109"/>
      <w:bookmarkStart w:id="151" w:name="_Toc462934283"/>
      <w:bookmarkStart w:id="152" w:name="_Toc25905"/>
      <w:bookmarkStart w:id="153" w:name="_Toc428351638"/>
      <w:bookmarkStart w:id="154" w:name="_Toc428276578"/>
      <w:bookmarkStart w:id="155" w:name="_Toc2731"/>
      <w:bookmarkStart w:id="156" w:name="_Toc25978"/>
      <w:r>
        <w:rPr>
          <w:rFonts w:hint="eastAsia" w:hAnsi="宋体" w:cs="黑体"/>
          <w:b/>
          <w:color w:val="auto"/>
          <w:sz w:val="21"/>
          <w:szCs w:val="21"/>
        </w:rPr>
        <w:t>磋商文件提出问题和修改要求</w:t>
      </w:r>
      <w:bookmarkEnd w:id="147"/>
      <w:bookmarkEnd w:id="148"/>
      <w:bookmarkEnd w:id="149"/>
      <w:bookmarkEnd w:id="150"/>
      <w:bookmarkEnd w:id="151"/>
      <w:bookmarkEnd w:id="152"/>
      <w:bookmarkEnd w:id="153"/>
      <w:bookmarkEnd w:id="154"/>
      <w:bookmarkEnd w:id="155"/>
      <w:bookmarkEnd w:id="156"/>
    </w:p>
    <w:p w14:paraId="0E073764">
      <w:pPr>
        <w:tabs>
          <w:tab w:val="left" w:pos="720"/>
          <w:tab w:val="left" w:pos="1320"/>
        </w:tabs>
        <w:snapToGrid w:val="0"/>
        <w:spacing w:line="360" w:lineRule="auto"/>
        <w:ind w:firstLine="420" w:firstLineChars="200"/>
        <w:contextualSpacing/>
        <w:rPr>
          <w:rFonts w:hint="eastAsia" w:ascii="宋体" w:hAnsi="宋体"/>
          <w:szCs w:val="21"/>
        </w:rPr>
      </w:pPr>
      <w:r>
        <w:rPr>
          <w:rFonts w:hint="eastAsia" w:ascii="宋体" w:hAnsi="宋体"/>
          <w:szCs w:val="21"/>
        </w:rPr>
        <w:t>1.10.1  供应商对磋商文件中如有需要澄清的疑问的，应当在提交首次响应文件截止之日前5日通知到采购代理机构。在规定的时间内未提出疑问的，将被视为对磋商文件完全认可。</w:t>
      </w:r>
    </w:p>
    <w:p w14:paraId="1B242E3A">
      <w:pPr>
        <w:tabs>
          <w:tab w:val="left" w:pos="720"/>
          <w:tab w:val="left" w:pos="1320"/>
        </w:tabs>
        <w:snapToGrid w:val="0"/>
        <w:spacing w:line="360" w:lineRule="auto"/>
        <w:ind w:firstLine="420" w:firstLineChars="200"/>
        <w:contextualSpacing/>
        <w:rPr>
          <w:rFonts w:hint="eastAsia" w:ascii="宋体" w:hAnsi="宋体"/>
          <w:szCs w:val="21"/>
        </w:rPr>
      </w:pPr>
      <w:r>
        <w:rPr>
          <w:rFonts w:hint="eastAsia" w:ascii="宋体" w:hAnsi="宋体"/>
          <w:szCs w:val="21"/>
        </w:rPr>
        <w:t>1.10.2  采购代理机构将按规定对收到的要求澄清的问题予以答复，采购代理机构应在将澄清内容以公告形式在网上予以公布。</w:t>
      </w:r>
    </w:p>
    <w:p w14:paraId="7E7150A0">
      <w:pPr>
        <w:pStyle w:val="62"/>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157" w:name="_Toc428276579"/>
      <w:bookmarkStart w:id="158" w:name="_Toc1444"/>
      <w:bookmarkStart w:id="159" w:name="_Toc462934284"/>
      <w:bookmarkStart w:id="160" w:name="_Toc270604813"/>
      <w:bookmarkStart w:id="161" w:name="_Toc8646"/>
      <w:bookmarkStart w:id="162" w:name="_Toc24091"/>
      <w:bookmarkStart w:id="163" w:name="_Toc454788019"/>
      <w:bookmarkStart w:id="164" w:name="_Toc269470305"/>
      <w:bookmarkStart w:id="165" w:name="_Toc463011263"/>
      <w:bookmarkStart w:id="166" w:name="_Toc455678110"/>
      <w:bookmarkStart w:id="167" w:name="_Toc277149375"/>
      <w:bookmarkStart w:id="168" w:name="_Toc17663"/>
      <w:bookmarkStart w:id="169" w:name="_Toc270604586"/>
      <w:bookmarkStart w:id="170" w:name="_Toc428351639"/>
      <w:r>
        <w:rPr>
          <w:rFonts w:hint="eastAsia" w:hAnsi="宋体" w:cs="黑体"/>
          <w:b/>
          <w:color w:val="auto"/>
          <w:sz w:val="21"/>
          <w:szCs w:val="21"/>
        </w:rPr>
        <w:t>分包</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307551B8">
      <w:pPr>
        <w:autoSpaceDE w:val="0"/>
        <w:autoSpaceDN w:val="0"/>
        <w:adjustRightInd w:val="0"/>
        <w:snapToGrid w:val="0"/>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本项目未经采购人同意不允许分包。也不允许将同一包（标）下的项目内容坼分报价。</w:t>
      </w:r>
    </w:p>
    <w:p w14:paraId="45DF0DAC">
      <w:pPr>
        <w:pStyle w:val="62"/>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171" w:name="_Toc428351640"/>
      <w:bookmarkStart w:id="172" w:name="_Toc29251"/>
      <w:bookmarkStart w:id="173" w:name="_Toc10220"/>
      <w:bookmarkStart w:id="174" w:name="_Toc14020"/>
      <w:bookmarkStart w:id="175" w:name="_Toc277149376"/>
      <w:bookmarkStart w:id="176" w:name="_Toc454788020"/>
      <w:bookmarkStart w:id="177" w:name="_Toc462934285"/>
      <w:bookmarkStart w:id="178" w:name="_Toc270604814"/>
      <w:bookmarkStart w:id="179" w:name="_Toc8513"/>
      <w:bookmarkStart w:id="180" w:name="_Toc455678111"/>
      <w:bookmarkStart w:id="181" w:name="_Toc269470306"/>
      <w:bookmarkStart w:id="182" w:name="_Toc463011264"/>
      <w:bookmarkStart w:id="183" w:name="_Toc270604587"/>
      <w:bookmarkStart w:id="184" w:name="_Toc428276580"/>
      <w:r>
        <w:rPr>
          <w:rFonts w:hint="eastAsia" w:hAnsi="宋体" w:cs="黑体"/>
          <w:b/>
          <w:color w:val="auto"/>
          <w:sz w:val="21"/>
          <w:szCs w:val="21"/>
        </w:rPr>
        <w:t>偏离</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609F3B21">
      <w:pPr>
        <w:tabs>
          <w:tab w:val="left" w:pos="720"/>
          <w:tab w:val="left" w:pos="1320"/>
        </w:tabs>
        <w:snapToGrid w:val="0"/>
        <w:spacing w:line="360" w:lineRule="auto"/>
        <w:ind w:firstLine="420" w:firstLineChars="200"/>
        <w:contextualSpacing/>
        <w:rPr>
          <w:rFonts w:hAnsi="宋体" w:cs="黑体"/>
          <w:b/>
          <w:szCs w:val="21"/>
        </w:rPr>
      </w:pPr>
      <w:r>
        <w:rPr>
          <w:rFonts w:hint="eastAsia" w:hAnsi="宋体" w:cs="黑体"/>
          <w:szCs w:val="21"/>
        </w:rPr>
        <w:t>见&lt;供应商须知前附表&gt;。</w:t>
      </w:r>
    </w:p>
    <w:p w14:paraId="45B01B25">
      <w:pPr>
        <w:pStyle w:val="62"/>
        <w:numPr>
          <w:ilvl w:val="1"/>
          <w:numId w:val="2"/>
        </w:numPr>
        <w:tabs>
          <w:tab w:val="left" w:pos="540"/>
          <w:tab w:val="clear" w:pos="992"/>
        </w:tabs>
        <w:snapToGrid w:val="0"/>
        <w:spacing w:line="360" w:lineRule="auto"/>
        <w:ind w:left="540" w:hanging="540"/>
        <w:contextualSpacing/>
        <w:jc w:val="both"/>
        <w:outlineLvl w:val="2"/>
        <w:rPr>
          <w:rFonts w:hint="eastAsia" w:hAnsi="宋体" w:cs="黑体"/>
          <w:b/>
          <w:color w:val="auto"/>
          <w:sz w:val="21"/>
          <w:szCs w:val="21"/>
        </w:rPr>
      </w:pPr>
      <w:bookmarkStart w:id="185" w:name="_Toc455678112"/>
      <w:bookmarkStart w:id="186" w:name="_Toc463011265"/>
      <w:bookmarkStart w:id="187" w:name="_Toc462934286"/>
      <w:bookmarkStart w:id="188" w:name="_Toc17145"/>
      <w:bookmarkStart w:id="189" w:name="_Toc5569"/>
      <w:bookmarkStart w:id="190" w:name="_Toc28263"/>
      <w:bookmarkStart w:id="191" w:name="_Toc11809"/>
      <w:r>
        <w:rPr>
          <w:rFonts w:hint="eastAsia" w:hAnsi="宋体" w:cs="黑体"/>
          <w:b/>
          <w:color w:val="auto"/>
          <w:sz w:val="21"/>
          <w:szCs w:val="21"/>
        </w:rPr>
        <w:t>选择性报价方案</w:t>
      </w:r>
      <w:bookmarkEnd w:id="185"/>
      <w:bookmarkEnd w:id="186"/>
      <w:bookmarkEnd w:id="187"/>
      <w:bookmarkEnd w:id="188"/>
      <w:bookmarkEnd w:id="189"/>
      <w:bookmarkEnd w:id="190"/>
      <w:bookmarkEnd w:id="191"/>
    </w:p>
    <w:p w14:paraId="4C0C6B65">
      <w:pPr>
        <w:tabs>
          <w:tab w:val="left" w:pos="720"/>
          <w:tab w:val="left" w:pos="1320"/>
        </w:tabs>
        <w:snapToGrid w:val="0"/>
        <w:spacing w:line="360" w:lineRule="auto"/>
        <w:ind w:firstLine="420" w:firstLineChars="200"/>
        <w:contextualSpacing/>
        <w:rPr>
          <w:rFonts w:ascii="宋体" w:hAnsi="宋体"/>
          <w:szCs w:val="21"/>
        </w:rPr>
      </w:pPr>
      <w:r>
        <w:rPr>
          <w:rFonts w:hint="eastAsia" w:hAnsi="宋体" w:cs="黑体"/>
          <w:szCs w:val="21"/>
        </w:rPr>
        <w:t>见&lt;供应商须知前附表&gt;。</w:t>
      </w:r>
    </w:p>
    <w:p w14:paraId="6DE0A613">
      <w:pPr>
        <w:pStyle w:val="62"/>
        <w:numPr>
          <w:ilvl w:val="0"/>
          <w:numId w:val="2"/>
        </w:numPr>
        <w:tabs>
          <w:tab w:val="left" w:pos="360"/>
          <w:tab w:val="clear" w:pos="425"/>
        </w:tabs>
        <w:snapToGrid w:val="0"/>
        <w:spacing w:line="360" w:lineRule="auto"/>
        <w:contextualSpacing/>
        <w:jc w:val="both"/>
        <w:outlineLvl w:val="1"/>
        <w:rPr>
          <w:rFonts w:hAnsi="宋体" w:cs="黑体"/>
          <w:b/>
          <w:color w:val="auto"/>
        </w:rPr>
      </w:pPr>
      <w:bookmarkStart w:id="192" w:name="_Toc270604588"/>
      <w:bookmarkStart w:id="193" w:name="_Toc14103"/>
      <w:bookmarkStart w:id="194" w:name="_Toc6260"/>
      <w:bookmarkStart w:id="195" w:name="_Toc15654"/>
      <w:r>
        <w:rPr>
          <w:rFonts w:hint="eastAsia" w:hAnsi="宋体" w:cs="黑体"/>
          <w:b/>
          <w:color w:val="auto"/>
        </w:rPr>
        <w:t>竞争性磋商文件</w:t>
      </w:r>
      <w:bookmarkEnd w:id="192"/>
      <w:bookmarkEnd w:id="193"/>
      <w:bookmarkEnd w:id="194"/>
      <w:bookmarkEnd w:id="195"/>
    </w:p>
    <w:p w14:paraId="31E013AB">
      <w:pPr>
        <w:pStyle w:val="62"/>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196" w:name="_Toc27664"/>
      <w:bookmarkStart w:id="197" w:name="_Toc269470308"/>
      <w:bookmarkStart w:id="198" w:name="_Toc463011267"/>
      <w:bookmarkStart w:id="199" w:name="_Toc462934288"/>
      <w:bookmarkStart w:id="200" w:name="_Toc428351642"/>
      <w:bookmarkStart w:id="201" w:name="_Toc10962"/>
      <w:bookmarkStart w:id="202" w:name="_Toc270604816"/>
      <w:bookmarkStart w:id="203" w:name="_Toc270604589"/>
      <w:bookmarkStart w:id="204" w:name="_Toc428276582"/>
      <w:bookmarkStart w:id="205" w:name="_Toc454788022"/>
      <w:bookmarkStart w:id="206" w:name="_Toc455678114"/>
      <w:bookmarkStart w:id="207" w:name="_Toc277149378"/>
      <w:bookmarkStart w:id="208" w:name="_Toc26505"/>
      <w:bookmarkStart w:id="209" w:name="_Toc2799"/>
      <w:r>
        <w:rPr>
          <w:rFonts w:hint="eastAsia" w:hAnsi="宋体" w:cs="黑体"/>
          <w:b/>
          <w:color w:val="auto"/>
          <w:sz w:val="21"/>
          <w:szCs w:val="21"/>
        </w:rPr>
        <w:t>竞争性磋商文件的组成</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743A0354">
      <w:pPr>
        <w:tabs>
          <w:tab w:val="left" w:pos="1260"/>
        </w:tabs>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本竞争性磋商文件包括：</w:t>
      </w:r>
    </w:p>
    <w:p w14:paraId="26735159">
      <w:pPr>
        <w:tabs>
          <w:tab w:val="left" w:pos="1260"/>
        </w:tabs>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）磋商公告</w:t>
      </w:r>
    </w:p>
    <w:p w14:paraId="79D3BEF0">
      <w:pPr>
        <w:tabs>
          <w:tab w:val="left" w:pos="1260"/>
        </w:tabs>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）供应商须知</w:t>
      </w:r>
    </w:p>
    <w:p w14:paraId="68AD37D4">
      <w:pPr>
        <w:tabs>
          <w:tab w:val="left" w:pos="1260"/>
        </w:tabs>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w:t>
      </w:r>
      <w:r>
        <w:rPr>
          <w:rFonts w:hint="eastAsia" w:ascii="宋体" w:hAnsi="宋体" w:cs="TimesNewRomanPSMT"/>
          <w:kern w:val="0"/>
          <w:szCs w:val="21"/>
        </w:rPr>
        <w:t>3</w:t>
      </w:r>
      <w:r>
        <w:rPr>
          <w:rFonts w:hint="eastAsia" w:ascii="宋体" w:hAnsi="宋体" w:cs="仿宋_GB2312"/>
          <w:kern w:val="0"/>
          <w:szCs w:val="21"/>
        </w:rPr>
        <w:t>）项目基本内容及要求</w:t>
      </w:r>
    </w:p>
    <w:p w14:paraId="2A19404D">
      <w:pPr>
        <w:tabs>
          <w:tab w:val="left" w:pos="1260"/>
        </w:tabs>
        <w:autoSpaceDE w:val="0"/>
        <w:autoSpaceDN w:val="0"/>
        <w:adjustRightInd w:val="0"/>
        <w:snapToGrid w:val="0"/>
        <w:spacing w:line="360" w:lineRule="auto"/>
        <w:ind w:firstLine="472" w:firstLineChars="225"/>
        <w:contextualSpacing/>
        <w:jc w:val="left"/>
        <w:rPr>
          <w:rFonts w:hint="eastAsia" w:ascii="宋体" w:hAnsi="宋体" w:cs="仿宋_GB2312"/>
          <w:kern w:val="0"/>
          <w:szCs w:val="21"/>
          <w:lang w:val="en-US" w:eastAsia="zh-CN"/>
        </w:rPr>
      </w:pPr>
      <w:r>
        <w:rPr>
          <w:rFonts w:hint="eastAsia" w:ascii="宋体" w:hAnsi="宋体" w:cs="仿宋_GB2312"/>
          <w:kern w:val="0"/>
          <w:szCs w:val="21"/>
        </w:rPr>
        <w:t>（</w:t>
      </w:r>
      <w:r>
        <w:rPr>
          <w:rFonts w:hint="eastAsia" w:ascii="宋体" w:hAnsi="宋体" w:cs="TimesNewRomanPSMT"/>
          <w:kern w:val="0"/>
          <w:szCs w:val="21"/>
        </w:rPr>
        <w:t>4</w:t>
      </w:r>
      <w:r>
        <w:rPr>
          <w:rFonts w:hint="eastAsia" w:ascii="宋体" w:hAnsi="宋体" w:cs="仿宋_GB2312"/>
          <w:kern w:val="0"/>
          <w:szCs w:val="21"/>
        </w:rPr>
        <w:t>）合同条款及格式</w:t>
      </w:r>
      <w:r>
        <w:rPr>
          <w:rFonts w:hint="eastAsia" w:ascii="宋体" w:hAnsi="宋体" w:cs="仿宋_GB2312"/>
          <w:kern w:val="0"/>
          <w:szCs w:val="21"/>
          <w:lang w:val="en-US" w:eastAsia="zh-CN"/>
        </w:rPr>
        <w:t xml:space="preserve"> </w:t>
      </w:r>
    </w:p>
    <w:p w14:paraId="44D5E0FC">
      <w:pPr>
        <w:tabs>
          <w:tab w:val="left" w:pos="1260"/>
        </w:tabs>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w:t>
      </w:r>
      <w:r>
        <w:rPr>
          <w:rFonts w:hint="eastAsia" w:ascii="宋体" w:hAnsi="宋体" w:cs="TimesNewRomanPSMT"/>
          <w:kern w:val="0"/>
          <w:szCs w:val="21"/>
        </w:rPr>
        <w:t>5</w:t>
      </w:r>
      <w:r>
        <w:rPr>
          <w:rFonts w:hint="eastAsia" w:ascii="宋体" w:hAnsi="宋体" w:cs="仿宋_GB2312"/>
          <w:kern w:val="0"/>
          <w:szCs w:val="21"/>
        </w:rPr>
        <w:t>）磋商响应文件格式</w:t>
      </w:r>
    </w:p>
    <w:p w14:paraId="2646F7B6">
      <w:pPr>
        <w:tabs>
          <w:tab w:val="left" w:pos="1260"/>
        </w:tabs>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（6）附评标办法</w:t>
      </w:r>
    </w:p>
    <w:p w14:paraId="50A27CA0">
      <w:pPr>
        <w:tabs>
          <w:tab w:val="left" w:pos="1260"/>
        </w:tabs>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根据本章第</w:t>
      </w:r>
      <w:r>
        <w:rPr>
          <w:rFonts w:ascii="宋体" w:hAnsi="宋体" w:cs="TimesNewRomanPSMT"/>
          <w:kern w:val="0"/>
          <w:szCs w:val="21"/>
        </w:rPr>
        <w:t xml:space="preserve">1.10 </w:t>
      </w:r>
      <w:r>
        <w:rPr>
          <w:rFonts w:hint="eastAsia" w:ascii="宋体" w:hAnsi="宋体" w:cs="仿宋_GB2312"/>
          <w:kern w:val="0"/>
          <w:szCs w:val="21"/>
        </w:rPr>
        <w:t>款、第</w:t>
      </w:r>
      <w:r>
        <w:rPr>
          <w:rFonts w:ascii="宋体" w:hAnsi="宋体" w:cs="TimesNewRomanPSMT"/>
          <w:kern w:val="0"/>
          <w:szCs w:val="21"/>
        </w:rPr>
        <w:t xml:space="preserve">2.2 </w:t>
      </w:r>
      <w:r>
        <w:rPr>
          <w:rFonts w:hint="eastAsia" w:ascii="宋体" w:hAnsi="宋体" w:cs="仿宋_GB2312"/>
          <w:kern w:val="0"/>
          <w:szCs w:val="21"/>
        </w:rPr>
        <w:t>款和第</w:t>
      </w:r>
      <w:r>
        <w:rPr>
          <w:rFonts w:ascii="宋体" w:hAnsi="宋体" w:cs="TimesNewRomanPSMT"/>
          <w:kern w:val="0"/>
          <w:szCs w:val="21"/>
        </w:rPr>
        <w:t xml:space="preserve">2.3 </w:t>
      </w:r>
      <w:r>
        <w:rPr>
          <w:rFonts w:hint="eastAsia" w:ascii="宋体" w:hAnsi="宋体" w:cs="仿宋_GB2312"/>
          <w:kern w:val="0"/>
          <w:szCs w:val="21"/>
        </w:rPr>
        <w:t>款对竞争性磋商文件所作的澄清、修改，构成竞争性磋商文件的组成部分。</w:t>
      </w:r>
    </w:p>
    <w:p w14:paraId="2CA35322">
      <w:pPr>
        <w:pStyle w:val="62"/>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210" w:name="_Toc462934289"/>
      <w:bookmarkStart w:id="211" w:name="_Toc270604817"/>
      <w:bookmarkStart w:id="212" w:name="_Toc455678115"/>
      <w:bookmarkStart w:id="213" w:name="_Toc13094"/>
      <w:bookmarkStart w:id="214" w:name="_Toc454788023"/>
      <w:bookmarkStart w:id="215" w:name="_Toc428351643"/>
      <w:bookmarkStart w:id="216" w:name="_Toc428276583"/>
      <w:bookmarkStart w:id="217" w:name="_Toc17437"/>
      <w:bookmarkStart w:id="218" w:name="_Toc463011268"/>
      <w:bookmarkStart w:id="219" w:name="_Toc269470309"/>
      <w:bookmarkStart w:id="220" w:name="_Toc270604590"/>
      <w:bookmarkStart w:id="221" w:name="_Toc277149379"/>
      <w:bookmarkStart w:id="222" w:name="_Toc11511"/>
      <w:bookmarkStart w:id="223" w:name="_Toc20378"/>
      <w:r>
        <w:rPr>
          <w:rFonts w:hint="eastAsia" w:hAnsi="宋体" w:cs="黑体"/>
          <w:b/>
          <w:color w:val="auto"/>
          <w:sz w:val="21"/>
          <w:szCs w:val="21"/>
        </w:rPr>
        <w:t>竞争性磋商文件的澄清</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5CE957E9">
      <w:pPr>
        <w:tabs>
          <w:tab w:val="left" w:pos="720"/>
          <w:tab w:val="left" w:pos="1320"/>
        </w:tabs>
        <w:snapToGrid w:val="0"/>
        <w:spacing w:line="360" w:lineRule="auto"/>
        <w:ind w:firstLine="420" w:firstLineChars="200"/>
        <w:contextualSpacing/>
        <w:rPr>
          <w:rFonts w:ascii="宋体" w:hAnsi="宋体"/>
          <w:szCs w:val="21"/>
        </w:rPr>
      </w:pPr>
      <w:r>
        <w:rPr>
          <w:rFonts w:hint="eastAsia" w:ascii="宋体" w:hAnsi="宋体"/>
          <w:szCs w:val="21"/>
        </w:rPr>
        <w:t>供应商应仔细阅读和检查竞争性磋商文件的全部内容。如发现缺页或附件不全，应及时向采购人提出，以便补齐。任何对竞争性磋商文件认为有需要澄清的供应商，均应在提交首次响应文件截止之日5日前要求采购人、采购代理机构对竞争性磋商文件予以澄清，采购代理机构将对收到要求澄清的问题进行答复，采购代理机构应在将答复内容以公告形式在网上予以公布。</w:t>
      </w:r>
    </w:p>
    <w:p w14:paraId="0600E243">
      <w:pPr>
        <w:pStyle w:val="62"/>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224" w:name="_Toc428276584"/>
      <w:bookmarkStart w:id="225" w:name="_Toc455678116"/>
      <w:bookmarkStart w:id="226" w:name="_Toc462934290"/>
      <w:bookmarkStart w:id="227" w:name="_Toc20316"/>
      <w:bookmarkStart w:id="228" w:name="_Toc270604818"/>
      <w:bookmarkStart w:id="229" w:name="_Toc9009"/>
      <w:bookmarkStart w:id="230" w:name="_Toc269470310"/>
      <w:bookmarkStart w:id="231" w:name="_Toc8920"/>
      <w:bookmarkStart w:id="232" w:name="_Toc277149380"/>
      <w:bookmarkStart w:id="233" w:name="_Toc400"/>
      <w:bookmarkStart w:id="234" w:name="_Toc454788024"/>
      <w:bookmarkStart w:id="235" w:name="_Toc463011269"/>
      <w:bookmarkStart w:id="236" w:name="_Toc428351644"/>
      <w:bookmarkStart w:id="237" w:name="_Toc270604591"/>
      <w:r>
        <w:rPr>
          <w:rFonts w:hint="eastAsia" w:hAnsi="宋体" w:cs="黑体"/>
          <w:b/>
          <w:color w:val="auto"/>
          <w:sz w:val="21"/>
          <w:szCs w:val="21"/>
        </w:rPr>
        <w:t>竞争性磋商文件的修改</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5A1836AB">
      <w:pPr>
        <w:tabs>
          <w:tab w:val="left" w:pos="720"/>
          <w:tab w:val="left" w:pos="1320"/>
        </w:tabs>
        <w:snapToGrid w:val="0"/>
        <w:spacing w:line="360" w:lineRule="auto"/>
        <w:ind w:firstLine="420" w:firstLineChars="200"/>
        <w:contextualSpacing/>
        <w:rPr>
          <w:rFonts w:hint="eastAsia" w:ascii="宋体" w:hAnsi="宋体"/>
          <w:szCs w:val="21"/>
        </w:rPr>
      </w:pPr>
      <w:r>
        <w:rPr>
          <w:rFonts w:hint="eastAsia" w:ascii="宋体" w:hAnsi="宋体"/>
          <w:szCs w:val="21"/>
        </w:rPr>
        <w:t>2.3.1  提交首次响应文件截止之日前，采购人、采购代理机构或者磋商小组可以对已发出的竞争性磋商文件进行必要的澄清或者修改，澄清或者修改的内容作为竞争性磋商文件的组成部分。澄清或者修改的内容可能影响响应文件编制的，采购人、采购代理机构应当在提交首次响应文件截止之日5日前，将澄清或者修改内容以公告形式在网上予以公布。不足5日的，应当顺延提交首次响应文件截止之日。</w:t>
      </w:r>
    </w:p>
    <w:p w14:paraId="08E68F6F">
      <w:pPr>
        <w:tabs>
          <w:tab w:val="left" w:pos="720"/>
          <w:tab w:val="left" w:pos="1320"/>
        </w:tabs>
        <w:snapToGrid w:val="0"/>
        <w:spacing w:line="360" w:lineRule="auto"/>
        <w:ind w:firstLine="420" w:firstLineChars="200"/>
        <w:contextualSpacing/>
        <w:rPr>
          <w:rFonts w:ascii="宋体" w:hAnsi="宋体"/>
          <w:szCs w:val="21"/>
        </w:rPr>
      </w:pPr>
      <w:r>
        <w:rPr>
          <w:rFonts w:hint="eastAsia" w:ascii="宋体" w:hAnsi="宋体"/>
          <w:szCs w:val="21"/>
        </w:rPr>
        <w:t>2.3.2  澄清或者修改的内容与竞争性磋商文件不一致的地方，以澄清或者修改的内容为准。</w:t>
      </w:r>
    </w:p>
    <w:p w14:paraId="24356F69">
      <w:pPr>
        <w:pStyle w:val="62"/>
        <w:numPr>
          <w:ilvl w:val="0"/>
          <w:numId w:val="2"/>
        </w:numPr>
        <w:tabs>
          <w:tab w:val="left" w:pos="360"/>
          <w:tab w:val="clear" w:pos="425"/>
        </w:tabs>
        <w:snapToGrid w:val="0"/>
        <w:spacing w:line="360" w:lineRule="auto"/>
        <w:contextualSpacing/>
        <w:jc w:val="both"/>
        <w:outlineLvl w:val="1"/>
        <w:rPr>
          <w:rFonts w:hAnsi="宋体" w:cs="黑体"/>
          <w:b/>
          <w:color w:val="auto"/>
        </w:rPr>
      </w:pPr>
      <w:bookmarkStart w:id="238" w:name="_Toc21045"/>
      <w:bookmarkStart w:id="239" w:name="_Toc12045"/>
      <w:bookmarkStart w:id="240" w:name="_Toc23830"/>
      <w:bookmarkStart w:id="241" w:name="_Toc270604592"/>
      <w:r>
        <w:rPr>
          <w:rFonts w:hint="eastAsia" w:hAnsi="宋体" w:cs="黑体"/>
          <w:b/>
          <w:color w:val="auto"/>
        </w:rPr>
        <w:t>磋商响应文件</w:t>
      </w:r>
      <w:bookmarkEnd w:id="238"/>
      <w:bookmarkEnd w:id="239"/>
      <w:bookmarkEnd w:id="240"/>
      <w:bookmarkEnd w:id="241"/>
    </w:p>
    <w:p w14:paraId="178F58E0">
      <w:pPr>
        <w:pStyle w:val="62"/>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242" w:name="_Toc277149382"/>
      <w:bookmarkStart w:id="243" w:name="_Toc269470312"/>
      <w:bookmarkStart w:id="244" w:name="_Toc270604820"/>
      <w:bookmarkStart w:id="245" w:name="_Toc455678118"/>
      <w:bookmarkStart w:id="246" w:name="_Toc463011271"/>
      <w:bookmarkStart w:id="247" w:name="_Toc20143"/>
      <w:bookmarkStart w:id="248" w:name="_Toc270604593"/>
      <w:bookmarkStart w:id="249" w:name="_Toc1308"/>
      <w:bookmarkStart w:id="250" w:name="_Toc454788026"/>
      <w:bookmarkStart w:id="251" w:name="_Toc428351646"/>
      <w:bookmarkStart w:id="252" w:name="_Toc9888"/>
      <w:bookmarkStart w:id="253" w:name="_Toc428276586"/>
      <w:bookmarkStart w:id="254" w:name="_Toc462934292"/>
      <w:bookmarkStart w:id="255" w:name="_Toc12181"/>
      <w:r>
        <w:rPr>
          <w:rFonts w:hint="eastAsia" w:hAnsi="宋体" w:cs="黑体"/>
          <w:b/>
          <w:color w:val="auto"/>
          <w:sz w:val="21"/>
          <w:szCs w:val="21"/>
        </w:rPr>
        <w:t>磋商响应文件的组成</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51CD811F">
      <w:pPr>
        <w:pStyle w:val="62"/>
        <w:snapToGrid w:val="0"/>
        <w:spacing w:line="360" w:lineRule="auto"/>
        <w:ind w:left="540"/>
        <w:contextualSpacing/>
        <w:jc w:val="both"/>
        <w:rPr>
          <w:rFonts w:hint="eastAsia" w:ascii="宋体" w:hAnsi="宋体" w:cs="仿宋_GB2312"/>
          <w:kern w:val="0"/>
          <w:szCs w:val="21"/>
        </w:rPr>
      </w:pPr>
      <w:r>
        <w:rPr>
          <w:rFonts w:hint="eastAsia" w:hAnsi="宋体" w:cs="黑体"/>
          <w:color w:val="auto"/>
          <w:sz w:val="21"/>
          <w:szCs w:val="21"/>
        </w:rPr>
        <w:t>磋商响应文件应包括下列内容：</w:t>
      </w:r>
      <w:bookmarkStart w:id="256" w:name="_Toc4803"/>
      <w:bookmarkStart w:id="257" w:name="_Toc463011272"/>
      <w:bookmarkStart w:id="258" w:name="_Toc22898"/>
      <w:bookmarkStart w:id="259" w:name="_Toc29258"/>
      <w:bookmarkStart w:id="260" w:name="_Toc462934293"/>
      <w:bookmarkStart w:id="261" w:name="_Toc455678119"/>
      <w:bookmarkStart w:id="262" w:name="_Toc28890"/>
      <w:bookmarkStart w:id="263" w:name="_Toc270604822"/>
      <w:bookmarkStart w:id="264" w:name="_Toc277149384"/>
      <w:bookmarkStart w:id="265" w:name="_Toc270604595"/>
      <w:bookmarkStart w:id="266" w:name="_Toc269470314"/>
    </w:p>
    <w:p w14:paraId="0A55A4CA">
      <w:pPr>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lang w:eastAsia="zh-CN"/>
        </w:rPr>
        <w:t>（</w:t>
      </w:r>
      <w:r>
        <w:rPr>
          <w:rFonts w:ascii="宋体" w:hAnsi="宋体" w:cs="仿宋_GB2312"/>
          <w:kern w:val="0"/>
          <w:szCs w:val="21"/>
        </w:rPr>
        <w:t>1</w:t>
      </w:r>
      <w:r>
        <w:rPr>
          <w:rFonts w:hint="eastAsia" w:ascii="宋体" w:hAnsi="宋体" w:cs="仿宋_GB2312"/>
          <w:kern w:val="0"/>
          <w:szCs w:val="21"/>
        </w:rPr>
        <w:t>）报价函</w:t>
      </w:r>
    </w:p>
    <w:p w14:paraId="32F6AFD7">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（2）报价函附录（第一轮报价）</w:t>
      </w:r>
    </w:p>
    <w:p w14:paraId="460636F2">
      <w:pPr>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（3）法定代表人身份证明</w:t>
      </w:r>
    </w:p>
    <w:p w14:paraId="7DCAB36F">
      <w:pPr>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（4）</w:t>
      </w:r>
      <w:r>
        <w:rPr>
          <w:rFonts w:hint="eastAsia" w:ascii="宋体" w:hAnsi="宋体"/>
          <w:szCs w:val="21"/>
        </w:rPr>
        <w:t>授权委托书</w:t>
      </w:r>
    </w:p>
    <w:p w14:paraId="65C9ABBF">
      <w:pPr>
        <w:autoSpaceDE w:val="0"/>
        <w:autoSpaceDN w:val="0"/>
        <w:adjustRightInd w:val="0"/>
        <w:snapToGrid w:val="0"/>
        <w:spacing w:line="360" w:lineRule="auto"/>
        <w:ind w:firstLine="472" w:firstLineChars="225"/>
        <w:contextualSpacing/>
        <w:jc w:val="left"/>
        <w:rPr>
          <w:rFonts w:hint="eastAsia" w:ascii="宋体" w:hAnsi="宋体" w:eastAsia="Times New Roman" w:cs="仿宋_GB2312"/>
          <w:kern w:val="0"/>
          <w:szCs w:val="21"/>
        </w:rPr>
      </w:pPr>
      <w:r>
        <w:rPr>
          <w:rFonts w:hint="eastAsia" w:ascii="宋体" w:hAnsi="宋体" w:cs="仿宋_GB2312"/>
          <w:kern w:val="0"/>
          <w:szCs w:val="21"/>
        </w:rPr>
        <w:t>（5）已标价工程量清单</w:t>
      </w:r>
    </w:p>
    <w:p w14:paraId="3FF8F927">
      <w:pPr>
        <w:autoSpaceDE w:val="0"/>
        <w:autoSpaceDN w:val="0"/>
        <w:adjustRightInd w:val="0"/>
        <w:snapToGrid w:val="0"/>
        <w:spacing w:line="360" w:lineRule="auto"/>
        <w:ind w:firstLine="472" w:firstLineChars="225"/>
        <w:contextualSpacing/>
        <w:jc w:val="left"/>
        <w:rPr>
          <w:rFonts w:hint="eastAsia" w:ascii="宋体" w:hAnsi="宋体"/>
          <w:szCs w:val="21"/>
        </w:rPr>
      </w:pPr>
      <w:r>
        <w:rPr>
          <w:rFonts w:hint="eastAsia" w:ascii="宋体" w:hAnsi="宋体" w:cs="仿宋_GB2312"/>
          <w:kern w:val="0"/>
          <w:szCs w:val="21"/>
        </w:rPr>
        <w:t>（6）</w:t>
      </w:r>
      <w:r>
        <w:rPr>
          <w:rFonts w:hint="eastAsia" w:ascii="宋体" w:hAnsi="宋体"/>
          <w:szCs w:val="21"/>
        </w:rPr>
        <w:t>供应商的资格及证明文件</w:t>
      </w:r>
    </w:p>
    <w:p w14:paraId="3F50E3EB">
      <w:pPr>
        <w:tabs>
          <w:tab w:val="left" w:pos="6090"/>
        </w:tabs>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w:t>
      </w:r>
      <w:r>
        <w:rPr>
          <w:rFonts w:hint="eastAsia" w:ascii="宋体" w:hAnsi="宋体" w:cs="仿宋_GB2312"/>
          <w:kern w:val="0"/>
          <w:szCs w:val="21"/>
          <w:lang w:val="en-US" w:eastAsia="zh-CN"/>
        </w:rPr>
        <w:t>7</w:t>
      </w:r>
      <w:r>
        <w:rPr>
          <w:rFonts w:hint="eastAsia" w:ascii="宋体" w:hAnsi="宋体" w:cs="仿宋_GB2312"/>
          <w:kern w:val="0"/>
          <w:szCs w:val="21"/>
        </w:rPr>
        <w:t>）供应商类似的项目业绩清单</w:t>
      </w:r>
      <w:r>
        <w:rPr>
          <w:rFonts w:ascii="宋体" w:hAnsi="宋体" w:cs="仿宋_GB2312"/>
          <w:kern w:val="0"/>
          <w:szCs w:val="21"/>
        </w:rPr>
        <w:tab/>
      </w:r>
    </w:p>
    <w:p w14:paraId="4D8B160B">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w:t>
      </w:r>
      <w:r>
        <w:rPr>
          <w:rFonts w:hint="eastAsia" w:ascii="宋体" w:hAnsi="宋体" w:cs="仿宋_GB2312"/>
          <w:kern w:val="0"/>
          <w:szCs w:val="21"/>
          <w:lang w:val="en-US" w:eastAsia="zh-CN"/>
        </w:rPr>
        <w:t>8</w:t>
      </w:r>
      <w:r>
        <w:rPr>
          <w:rFonts w:hint="eastAsia" w:ascii="宋体" w:hAnsi="宋体" w:cs="仿宋_GB2312"/>
          <w:kern w:val="0"/>
          <w:szCs w:val="21"/>
        </w:rPr>
        <w:t>）施工组织设计内容</w:t>
      </w:r>
    </w:p>
    <w:p w14:paraId="45C3E7BD">
      <w:pPr>
        <w:autoSpaceDE w:val="0"/>
        <w:autoSpaceDN w:val="0"/>
        <w:adjustRightInd w:val="0"/>
        <w:snapToGrid w:val="0"/>
        <w:spacing w:line="360" w:lineRule="auto"/>
        <w:ind w:firstLine="472" w:firstLineChars="225"/>
        <w:contextualSpacing/>
        <w:jc w:val="left"/>
        <w:rPr>
          <w:rFonts w:hint="eastAsia"/>
        </w:rPr>
      </w:pPr>
      <w:r>
        <w:rPr>
          <w:rFonts w:hint="eastAsia"/>
          <w:lang w:val="en-US" w:eastAsia="zh-CN"/>
        </w:rPr>
        <w:t>（9）</w:t>
      </w:r>
      <w:r>
        <w:rPr>
          <w:rFonts w:hint="eastAsia"/>
        </w:rPr>
        <w:t>项目管理机构表</w:t>
      </w:r>
    </w:p>
    <w:p w14:paraId="514ED343">
      <w:pPr>
        <w:autoSpaceDE w:val="0"/>
        <w:autoSpaceDN w:val="0"/>
        <w:adjustRightInd w:val="0"/>
        <w:snapToGrid w:val="0"/>
        <w:spacing w:line="360" w:lineRule="auto"/>
        <w:ind w:firstLine="472" w:firstLineChars="225"/>
        <w:contextualSpacing/>
        <w:jc w:val="left"/>
        <w:rPr>
          <w:rFonts w:hint="eastAsia"/>
        </w:rPr>
      </w:pPr>
      <w:r>
        <w:rPr>
          <w:rFonts w:hint="eastAsia" w:ascii="宋体" w:hAnsi="宋体" w:cs="仿宋_GB2312"/>
          <w:kern w:val="0"/>
          <w:szCs w:val="21"/>
        </w:rPr>
        <w:t>（1</w:t>
      </w:r>
      <w:r>
        <w:rPr>
          <w:rFonts w:hint="eastAsia" w:ascii="宋体" w:hAnsi="宋体" w:cs="仿宋_GB2312"/>
          <w:kern w:val="0"/>
          <w:szCs w:val="21"/>
          <w:lang w:val="en-US" w:eastAsia="zh-CN"/>
        </w:rPr>
        <w:t>0</w:t>
      </w:r>
      <w:r>
        <w:rPr>
          <w:rFonts w:hint="eastAsia" w:ascii="宋体" w:hAnsi="宋体" w:cs="仿宋_GB2312"/>
          <w:kern w:val="0"/>
          <w:szCs w:val="21"/>
        </w:rPr>
        <w:t>）反商业贿赂承诺书</w:t>
      </w:r>
    </w:p>
    <w:p w14:paraId="24AC9075">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（1</w:t>
      </w:r>
      <w:r>
        <w:rPr>
          <w:rFonts w:hint="eastAsia" w:ascii="宋体" w:hAnsi="宋体" w:cs="仿宋_GB2312"/>
          <w:kern w:val="0"/>
          <w:szCs w:val="21"/>
          <w:lang w:val="en-US" w:eastAsia="zh-CN"/>
        </w:rPr>
        <w:t>1</w:t>
      </w:r>
      <w:r>
        <w:rPr>
          <w:rFonts w:hint="eastAsia" w:ascii="宋体" w:hAnsi="宋体" w:cs="仿宋_GB2312"/>
          <w:kern w:val="0"/>
          <w:szCs w:val="21"/>
        </w:rPr>
        <w:t>）其它资料</w:t>
      </w:r>
    </w:p>
    <w:p w14:paraId="1CDE60DA">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lang w:val="en-US" w:eastAsia="zh-CN"/>
        </w:rPr>
      </w:pPr>
      <w:r>
        <w:rPr>
          <w:rFonts w:hint="eastAsia" w:ascii="宋体" w:hAnsi="宋体" w:cs="仿宋_GB2312"/>
          <w:kern w:val="0"/>
          <w:szCs w:val="21"/>
          <w:lang w:eastAsia="zh-CN"/>
        </w:rPr>
        <w:t>（</w:t>
      </w:r>
      <w:r>
        <w:rPr>
          <w:rFonts w:hint="eastAsia" w:ascii="宋体" w:hAnsi="宋体" w:cs="仿宋_GB2312"/>
          <w:kern w:val="0"/>
          <w:szCs w:val="21"/>
          <w:lang w:val="en-US" w:eastAsia="zh-CN"/>
        </w:rPr>
        <w:t>12）中小企业声明函</w:t>
      </w:r>
    </w:p>
    <w:p w14:paraId="5DE18A2E">
      <w:pPr>
        <w:autoSpaceDE w:val="0"/>
        <w:autoSpaceDN w:val="0"/>
        <w:adjustRightInd w:val="0"/>
        <w:snapToGrid w:val="0"/>
        <w:spacing w:line="360" w:lineRule="auto"/>
        <w:ind w:firstLine="472" w:firstLineChars="225"/>
        <w:contextualSpacing/>
        <w:jc w:val="left"/>
        <w:rPr>
          <w:rFonts w:hint="eastAsia" w:ascii="宋体" w:hAnsi="宋体" w:eastAsia="宋体" w:cs="宋体"/>
        </w:rPr>
      </w:pPr>
      <w:r>
        <w:rPr>
          <w:rFonts w:hint="eastAsia" w:ascii="宋体" w:hAnsi="宋体" w:eastAsia="宋体" w:cs="宋体"/>
          <w:lang w:val="en-US" w:eastAsia="zh-CN"/>
        </w:rPr>
        <w:t>（13）残疾人福利性单位声明函</w:t>
      </w:r>
    </w:p>
    <w:p w14:paraId="560E24BD">
      <w:pPr>
        <w:pStyle w:val="62"/>
        <w:numPr>
          <w:ilvl w:val="1"/>
          <w:numId w:val="2"/>
        </w:numPr>
        <w:tabs>
          <w:tab w:val="left" w:pos="540"/>
          <w:tab w:val="clear" w:pos="992"/>
        </w:tabs>
        <w:snapToGrid w:val="0"/>
        <w:spacing w:line="360" w:lineRule="auto"/>
        <w:ind w:left="540" w:hanging="540"/>
        <w:contextualSpacing/>
        <w:jc w:val="both"/>
        <w:outlineLvl w:val="2"/>
        <w:rPr>
          <w:rFonts w:hint="eastAsia" w:hAnsi="宋体" w:cs="黑体"/>
          <w:b/>
          <w:color w:val="auto"/>
          <w:sz w:val="21"/>
          <w:szCs w:val="21"/>
        </w:rPr>
      </w:pPr>
      <w:r>
        <w:rPr>
          <w:rFonts w:hint="eastAsia" w:hAnsi="宋体" w:cs="黑体"/>
          <w:b/>
          <w:color w:val="auto"/>
          <w:sz w:val="21"/>
          <w:szCs w:val="21"/>
        </w:rPr>
        <w:t>磋商价格构成及报价要求</w:t>
      </w:r>
      <w:bookmarkEnd w:id="256"/>
      <w:bookmarkEnd w:id="257"/>
      <w:bookmarkEnd w:id="258"/>
      <w:bookmarkEnd w:id="259"/>
      <w:bookmarkEnd w:id="260"/>
      <w:bookmarkEnd w:id="261"/>
      <w:bookmarkEnd w:id="262"/>
    </w:p>
    <w:p w14:paraId="3C6BEC7C">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1"/>
        <w:jc w:val="both"/>
        <w:textAlignment w:val="auto"/>
        <w:rPr>
          <w:rFonts w:hint="eastAsia" w:ascii="宋体" w:hAnsi="宋体" w:eastAsia="宋体" w:cs="宋体"/>
          <w:b/>
          <w:bCs w:val="0"/>
          <w:color w:val="auto"/>
          <w:sz w:val="21"/>
          <w:szCs w:val="21"/>
        </w:rPr>
      </w:pPr>
      <w:bookmarkStart w:id="267" w:name="_Toc12402"/>
      <w:r>
        <w:rPr>
          <w:rFonts w:hint="eastAsia"/>
          <w:b/>
          <w:sz w:val="21"/>
          <w:szCs w:val="21"/>
          <w:lang w:eastAsia="zh-CN"/>
        </w:rPr>
        <w:t>（</w:t>
      </w:r>
      <w:r>
        <w:rPr>
          <w:rFonts w:hint="eastAsia"/>
          <w:b/>
          <w:sz w:val="21"/>
          <w:szCs w:val="21"/>
          <w:lang w:val="en-US" w:eastAsia="zh-CN"/>
        </w:rPr>
        <w:t>1</w:t>
      </w:r>
      <w:r>
        <w:rPr>
          <w:rFonts w:hint="eastAsia"/>
          <w:b/>
          <w:sz w:val="21"/>
          <w:szCs w:val="21"/>
          <w:lang w:eastAsia="zh-CN"/>
        </w:rPr>
        <w:t>）</w:t>
      </w:r>
      <w:r>
        <w:rPr>
          <w:rFonts w:hint="eastAsia" w:hAnsi="宋体"/>
          <w:b/>
          <w:sz w:val="21"/>
          <w:szCs w:val="21"/>
        </w:rPr>
        <w:t>本工程的磋商报价应按照磋商文件、补充通知、答疑纪要、现场情况、承包范围，并充分考虑施工期间各类建材市场风险和国家政策性调整等风险系数，由各响应人根据自身情况，在合理范围内，自主考虑、优惠报价，但不得低于企业成本，</w:t>
      </w:r>
      <w:r>
        <w:rPr>
          <w:rFonts w:hint="eastAsia" w:ascii="宋体" w:hAnsi="宋体"/>
          <w:b/>
          <w:sz w:val="21"/>
          <w:szCs w:val="21"/>
        </w:rPr>
        <w:t>分二次报价：第一次报价必须按照磋商文件的报价格式填报，第二次报价在磋商中填报，第二次报价（不得高于一次报价）</w:t>
      </w:r>
      <w:r>
        <w:rPr>
          <w:rFonts w:hint="eastAsia" w:ascii="宋体" w:hAnsi="宋体" w:cs="宋体"/>
          <w:b/>
          <w:sz w:val="21"/>
          <w:szCs w:val="21"/>
        </w:rPr>
        <w:t>即</w:t>
      </w:r>
      <w:r>
        <w:rPr>
          <w:rFonts w:hint="eastAsia" w:ascii="宋体" w:hAnsi="宋体"/>
          <w:b/>
          <w:sz w:val="21"/>
          <w:szCs w:val="21"/>
        </w:rPr>
        <w:t>为最终报价；</w:t>
      </w:r>
      <w:bookmarkEnd w:id="267"/>
      <w:r>
        <w:rPr>
          <w:rFonts w:hint="eastAsia"/>
          <w:b/>
          <w:sz w:val="21"/>
          <w:szCs w:val="21"/>
          <w:lang w:val="en-US" w:eastAsia="zh-CN"/>
        </w:rPr>
        <w:t xml:space="preserve">    </w:t>
      </w:r>
      <w:r>
        <w:rPr>
          <w:rFonts w:hint="eastAsia"/>
          <w:b/>
          <w:color w:val="auto"/>
          <w:sz w:val="21"/>
          <w:szCs w:val="21"/>
          <w:lang w:eastAsia="zh-CN"/>
        </w:rPr>
        <w:t>（</w:t>
      </w:r>
      <w:r>
        <w:rPr>
          <w:rFonts w:hint="eastAsia"/>
          <w:b/>
          <w:color w:val="auto"/>
          <w:sz w:val="21"/>
          <w:szCs w:val="21"/>
          <w:lang w:val="en-US" w:eastAsia="zh-CN"/>
        </w:rPr>
        <w:t>2</w:t>
      </w:r>
      <w:r>
        <w:rPr>
          <w:rFonts w:hint="eastAsia"/>
          <w:b/>
          <w:color w:val="auto"/>
          <w:sz w:val="21"/>
          <w:szCs w:val="21"/>
          <w:lang w:eastAsia="zh-CN"/>
        </w:rPr>
        <w:t>）</w:t>
      </w:r>
      <w:r>
        <w:rPr>
          <w:rStyle w:val="50"/>
          <w:rFonts w:hint="eastAsia" w:ascii="宋体" w:hAnsi="宋体" w:eastAsia="宋体" w:cs="宋体"/>
          <w:b/>
          <w:bCs w:val="0"/>
          <w:i w:val="0"/>
          <w:caps w:val="0"/>
          <w:color w:val="auto"/>
          <w:spacing w:val="0"/>
          <w:sz w:val="21"/>
          <w:szCs w:val="21"/>
          <w:shd w:val="clear" w:color="auto" w:fill="FFFFFF"/>
        </w:rPr>
        <w:t>供应商应注意事项</w:t>
      </w:r>
    </w:p>
    <w:p w14:paraId="0A82CC42">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both"/>
        <w:textAlignment w:val="auto"/>
        <w:rPr>
          <w:rFonts w:hint="eastAsia" w:ascii="宋体" w:hAnsi="宋体" w:eastAsia="宋体" w:cs="宋体"/>
          <w:b/>
          <w:bCs w:val="0"/>
          <w:color w:val="auto"/>
          <w:sz w:val="21"/>
          <w:szCs w:val="21"/>
        </w:rPr>
      </w:pPr>
      <w:r>
        <w:rPr>
          <w:rFonts w:hint="eastAsia" w:ascii="宋体" w:hAnsi="宋体" w:eastAsia="宋体" w:cs="宋体"/>
          <w:b/>
          <w:bCs w:val="0"/>
          <w:i w:val="0"/>
          <w:caps w:val="0"/>
          <w:color w:val="auto"/>
          <w:spacing w:val="0"/>
          <w:sz w:val="21"/>
          <w:szCs w:val="21"/>
          <w:shd w:val="clear" w:color="auto" w:fill="FFFFFF"/>
        </w:rPr>
        <w:t>1、供应商在开标结束后，应实时保持交易系统处于登录状态，确保能及时收到评标评审专家的澄清、说明或者补正的要求。同时供应商应打开IE浏览器，新建窗口输入网址</w:t>
      </w:r>
      <w:r>
        <w:rPr>
          <w:rFonts w:hint="eastAsia" w:ascii="宋体" w:hAnsi="宋体" w:eastAsia="宋体" w:cs="宋体"/>
          <w:b/>
          <w:bCs w:val="0"/>
          <w:i w:val="0"/>
          <w:caps w:val="0"/>
          <w:color w:val="auto"/>
          <w:spacing w:val="0"/>
          <w:sz w:val="21"/>
          <w:szCs w:val="21"/>
          <w:u w:val="none"/>
          <w:shd w:val="clear" w:color="auto" w:fill="FFFFFF"/>
        </w:rPr>
        <w:fldChar w:fldCharType="begin"/>
      </w:r>
      <w:r>
        <w:rPr>
          <w:rFonts w:hint="eastAsia" w:ascii="宋体" w:hAnsi="宋体" w:eastAsia="宋体" w:cs="宋体"/>
          <w:b/>
          <w:bCs w:val="0"/>
          <w:i w:val="0"/>
          <w:caps w:val="0"/>
          <w:color w:val="auto"/>
          <w:spacing w:val="0"/>
          <w:sz w:val="21"/>
          <w:szCs w:val="21"/>
          <w:u w:val="none"/>
          <w:shd w:val="clear" w:color="auto" w:fill="FFFFFF"/>
        </w:rPr>
        <w:instrText xml:space="preserve"> HYPERLINK "http://222.138.172.2:5562/" </w:instrText>
      </w:r>
      <w:r>
        <w:rPr>
          <w:rFonts w:hint="eastAsia" w:ascii="宋体" w:hAnsi="宋体" w:eastAsia="宋体" w:cs="宋体"/>
          <w:b/>
          <w:bCs w:val="0"/>
          <w:i w:val="0"/>
          <w:caps w:val="0"/>
          <w:color w:val="auto"/>
          <w:spacing w:val="0"/>
          <w:sz w:val="21"/>
          <w:szCs w:val="21"/>
          <w:u w:val="none"/>
          <w:shd w:val="clear" w:color="auto" w:fill="FFFFFF"/>
        </w:rPr>
        <w:fldChar w:fldCharType="separate"/>
      </w:r>
      <w:r>
        <w:rPr>
          <w:rStyle w:val="56"/>
          <w:rFonts w:hint="eastAsia" w:ascii="宋体" w:hAnsi="宋体" w:eastAsia="宋体" w:cs="宋体"/>
          <w:b/>
          <w:bCs w:val="0"/>
          <w:i w:val="0"/>
          <w:caps w:val="0"/>
          <w:color w:val="auto"/>
          <w:spacing w:val="0"/>
          <w:sz w:val="21"/>
          <w:szCs w:val="21"/>
          <w:u w:val="none"/>
          <w:shd w:val="clear" w:color="auto" w:fill="FFFFFF"/>
        </w:rPr>
        <w:t>http://222.138.172.2:5562/</w:t>
      </w:r>
      <w:r>
        <w:rPr>
          <w:rFonts w:hint="eastAsia" w:ascii="宋体" w:hAnsi="宋体" w:eastAsia="宋体" w:cs="宋体"/>
          <w:b/>
          <w:bCs w:val="0"/>
          <w:i w:val="0"/>
          <w:caps w:val="0"/>
          <w:color w:val="auto"/>
          <w:spacing w:val="0"/>
          <w:sz w:val="21"/>
          <w:szCs w:val="21"/>
          <w:u w:val="none"/>
          <w:shd w:val="clear" w:color="auto" w:fill="FFFFFF"/>
        </w:rPr>
        <w:fldChar w:fldCharType="end"/>
      </w:r>
      <w:r>
        <w:rPr>
          <w:rFonts w:hint="eastAsia" w:ascii="宋体" w:hAnsi="宋体" w:eastAsia="宋体" w:cs="宋体"/>
          <w:b/>
          <w:bCs w:val="0"/>
          <w:i w:val="0"/>
          <w:caps w:val="0"/>
          <w:color w:val="auto"/>
          <w:spacing w:val="0"/>
          <w:sz w:val="21"/>
          <w:szCs w:val="21"/>
          <w:shd w:val="clear" w:color="auto" w:fill="FFFFFF"/>
        </w:rPr>
        <w:t>，通过账户口令或数字证书登录二次报价页面并保持实时登录状态，以确保能及时收到评审专家要求二次报价的信息。</w:t>
      </w:r>
      <w:r>
        <w:rPr>
          <w:rStyle w:val="50"/>
          <w:rFonts w:hint="eastAsia" w:ascii="宋体" w:hAnsi="宋体" w:eastAsia="宋体" w:cs="宋体"/>
          <w:b/>
          <w:bCs w:val="0"/>
          <w:i w:val="0"/>
          <w:caps w:val="0"/>
          <w:color w:val="auto"/>
          <w:spacing w:val="0"/>
          <w:sz w:val="21"/>
          <w:szCs w:val="21"/>
          <w:shd w:val="clear" w:color="auto" w:fill="FFFFFF"/>
        </w:rPr>
        <w:t>即供应商应保持两个页面都实时处于登录状态。</w:t>
      </w:r>
    </w:p>
    <w:p w14:paraId="1652D3EB">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both"/>
        <w:textAlignment w:val="auto"/>
        <w:rPr>
          <w:rFonts w:hint="eastAsia" w:ascii="宋体" w:hAnsi="宋体" w:eastAsia="宋体" w:cs="宋体"/>
          <w:b/>
          <w:bCs w:val="0"/>
          <w:color w:val="auto"/>
          <w:sz w:val="21"/>
          <w:szCs w:val="21"/>
        </w:rPr>
      </w:pPr>
      <w:r>
        <w:rPr>
          <w:rStyle w:val="50"/>
          <w:rFonts w:hint="eastAsia" w:ascii="宋体" w:hAnsi="宋体" w:eastAsia="宋体" w:cs="宋体"/>
          <w:b/>
          <w:bCs w:val="0"/>
          <w:i w:val="0"/>
          <w:caps w:val="0"/>
          <w:color w:val="auto"/>
          <w:spacing w:val="0"/>
          <w:sz w:val="21"/>
          <w:szCs w:val="21"/>
          <w:shd w:val="clear" w:color="auto" w:fill="FFFFFF"/>
        </w:rPr>
        <w:t>因网络安全的需要，登录后长时间不操作将自动退出登录状态，建议供应商5分钟刷新一次。</w:t>
      </w:r>
    </w:p>
    <w:p w14:paraId="2ABDF1E4">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30"/>
        <w:jc w:val="both"/>
        <w:textAlignment w:val="auto"/>
        <w:rPr>
          <w:rFonts w:hint="eastAsia" w:ascii="宋体" w:hAnsi="宋体" w:eastAsia="宋体" w:cs="宋体"/>
          <w:b/>
          <w:bCs w:val="0"/>
          <w:color w:val="auto"/>
          <w:sz w:val="21"/>
          <w:szCs w:val="21"/>
        </w:rPr>
      </w:pPr>
      <w:r>
        <w:rPr>
          <w:rFonts w:hint="eastAsia" w:ascii="宋体" w:hAnsi="宋体" w:eastAsia="宋体" w:cs="宋体"/>
          <w:b/>
          <w:bCs w:val="0"/>
          <w:i w:val="0"/>
          <w:caps w:val="0"/>
          <w:color w:val="auto"/>
          <w:spacing w:val="0"/>
          <w:sz w:val="21"/>
          <w:szCs w:val="21"/>
          <w:shd w:val="clear" w:color="auto" w:fill="FFFFFF"/>
        </w:rPr>
        <w:t>2、无论是二次报价还是澄清、说明需要上传交易系统的文件，必须是PDF格式并且加盖有</w:t>
      </w:r>
      <w:r>
        <w:rPr>
          <w:rFonts w:hint="eastAsia" w:cs="宋体"/>
          <w:b/>
          <w:bCs w:val="0"/>
          <w:i w:val="0"/>
          <w:caps w:val="0"/>
          <w:color w:val="auto"/>
          <w:spacing w:val="0"/>
          <w:sz w:val="21"/>
          <w:szCs w:val="21"/>
          <w:shd w:val="clear" w:color="auto" w:fill="FFFFFF"/>
          <w:lang w:eastAsia="zh-CN"/>
        </w:rPr>
        <w:t>供应商</w:t>
      </w:r>
      <w:r>
        <w:rPr>
          <w:rFonts w:hint="eastAsia" w:ascii="宋体" w:hAnsi="宋体" w:eastAsia="宋体" w:cs="宋体"/>
          <w:b/>
          <w:bCs w:val="0"/>
          <w:i w:val="0"/>
          <w:caps w:val="0"/>
          <w:color w:val="auto"/>
          <w:spacing w:val="0"/>
          <w:sz w:val="21"/>
          <w:szCs w:val="21"/>
          <w:shd w:val="clear" w:color="auto" w:fill="FFFFFF"/>
        </w:rPr>
        <w:t>（供应商）电子签章。如果文件是用word编辑的，</w:t>
      </w:r>
      <w:r>
        <w:rPr>
          <w:rFonts w:hint="eastAsia" w:cs="宋体"/>
          <w:b/>
          <w:bCs w:val="0"/>
          <w:i w:val="0"/>
          <w:caps w:val="0"/>
          <w:color w:val="auto"/>
          <w:spacing w:val="0"/>
          <w:sz w:val="21"/>
          <w:szCs w:val="21"/>
          <w:shd w:val="clear" w:color="auto" w:fill="FFFFFF"/>
          <w:lang w:eastAsia="zh-CN"/>
        </w:rPr>
        <w:t>供应商</w:t>
      </w:r>
      <w:r>
        <w:rPr>
          <w:rFonts w:hint="eastAsia" w:ascii="宋体" w:hAnsi="宋体" w:eastAsia="宋体" w:cs="宋体"/>
          <w:b/>
          <w:bCs w:val="0"/>
          <w:i w:val="0"/>
          <w:caps w:val="0"/>
          <w:color w:val="auto"/>
          <w:spacing w:val="0"/>
          <w:sz w:val="21"/>
          <w:szCs w:val="21"/>
          <w:shd w:val="clear" w:color="auto" w:fill="FFFFFF"/>
        </w:rPr>
        <w:t>（供应商）可点击文件左上角文件选择“输出为PDF”，将word文件转变为PDF格式后加盖电子签章上传。如供应商二次报价已确定情况下，可提前准备好二次报价文件，在规定时间内填写完报价上传该文件即可。</w:t>
      </w:r>
    </w:p>
    <w:p w14:paraId="0051801B">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30"/>
        <w:jc w:val="both"/>
        <w:textAlignment w:val="auto"/>
        <w:rPr>
          <w:rFonts w:hint="eastAsia" w:ascii="宋体" w:hAnsi="宋体" w:eastAsia="宋体" w:cs="宋体"/>
          <w:b/>
          <w:bCs w:val="0"/>
          <w:color w:val="auto"/>
          <w:sz w:val="21"/>
          <w:szCs w:val="21"/>
        </w:rPr>
      </w:pPr>
      <w:r>
        <w:rPr>
          <w:rFonts w:hint="eastAsia" w:ascii="宋体" w:hAnsi="宋体" w:eastAsia="宋体" w:cs="宋体"/>
          <w:b/>
          <w:bCs w:val="0"/>
          <w:i w:val="0"/>
          <w:caps w:val="0"/>
          <w:color w:val="auto"/>
          <w:spacing w:val="0"/>
          <w:sz w:val="21"/>
          <w:szCs w:val="21"/>
          <w:shd w:val="clear" w:color="auto" w:fill="FFFFFF"/>
        </w:rPr>
        <w:t>3、二次报价时，供应商应首先填写二次报价金额，然后上传二次报价PDF文件。需注意填写金额应与上传的报价文件一致。如不一致，报价以上传的加盖有电子签章的报价文件为准。</w:t>
      </w:r>
    </w:p>
    <w:p w14:paraId="02CA64BC">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30"/>
        <w:jc w:val="both"/>
        <w:textAlignment w:val="auto"/>
        <w:rPr>
          <w:rFonts w:hint="eastAsia" w:ascii="宋体" w:hAnsi="宋体" w:eastAsia="宋体" w:cs="宋体"/>
          <w:b/>
          <w:bCs w:val="0"/>
          <w:color w:val="auto"/>
          <w:sz w:val="21"/>
          <w:szCs w:val="21"/>
        </w:rPr>
      </w:pPr>
      <w:r>
        <w:rPr>
          <w:rFonts w:hint="eastAsia" w:ascii="宋体" w:hAnsi="宋体" w:eastAsia="宋体" w:cs="宋体"/>
          <w:b/>
          <w:bCs w:val="0"/>
          <w:i w:val="0"/>
          <w:caps w:val="0"/>
          <w:color w:val="auto"/>
          <w:spacing w:val="0"/>
          <w:sz w:val="21"/>
          <w:szCs w:val="21"/>
          <w:shd w:val="clear" w:color="auto" w:fill="FFFFFF"/>
        </w:rPr>
        <w:t>4、二次报价输入页面一经保存，报价立即生效，无法再次修改。各供应商应对自己所输入的内容确认无误后再点击保存。所有供应商二次报价完成或评审专家规定的二次报价时间截止后，二次报价结束。如没有在规定时间内完成操作，即视为自动放弃二次报价权利。</w:t>
      </w:r>
    </w:p>
    <w:p w14:paraId="78AFA1E3">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30"/>
        <w:jc w:val="both"/>
        <w:textAlignment w:val="auto"/>
        <w:rPr>
          <w:rFonts w:hint="eastAsia" w:ascii="宋体" w:hAnsi="宋体" w:eastAsia="宋体" w:cs="宋体"/>
          <w:b/>
          <w:bCs w:val="0"/>
          <w:sz w:val="21"/>
          <w:szCs w:val="21"/>
        </w:rPr>
      </w:pPr>
      <w:r>
        <w:rPr>
          <w:rFonts w:hint="eastAsia" w:ascii="宋体" w:hAnsi="宋体" w:eastAsia="宋体" w:cs="宋体"/>
          <w:b/>
          <w:bCs w:val="0"/>
          <w:i w:val="0"/>
          <w:caps w:val="0"/>
          <w:color w:val="auto"/>
          <w:spacing w:val="0"/>
          <w:sz w:val="21"/>
          <w:szCs w:val="21"/>
          <w:shd w:val="clear" w:color="auto" w:fill="FFFFFF"/>
        </w:rPr>
        <w:t>5、评审专家对供应商进行二次报价或澄清的要求均有时间限制，并且在</w:t>
      </w:r>
      <w:r>
        <w:rPr>
          <w:rFonts w:hint="eastAsia" w:cs="宋体"/>
          <w:b/>
          <w:bCs w:val="0"/>
          <w:i w:val="0"/>
          <w:caps w:val="0"/>
          <w:color w:val="auto"/>
          <w:spacing w:val="0"/>
          <w:sz w:val="21"/>
          <w:szCs w:val="21"/>
          <w:shd w:val="clear" w:color="auto" w:fill="FFFFFF"/>
          <w:lang w:eastAsia="zh-CN"/>
        </w:rPr>
        <w:t>供应商</w:t>
      </w:r>
      <w:r>
        <w:rPr>
          <w:rFonts w:hint="eastAsia" w:ascii="宋体" w:hAnsi="宋体" w:eastAsia="宋体" w:cs="宋体"/>
          <w:b/>
          <w:bCs w:val="0"/>
          <w:i w:val="0"/>
          <w:caps w:val="0"/>
          <w:color w:val="auto"/>
          <w:spacing w:val="0"/>
          <w:sz w:val="21"/>
          <w:szCs w:val="21"/>
          <w:shd w:val="clear" w:color="auto" w:fill="FFFFFF"/>
        </w:rPr>
        <w:t>（供应商）二次报价或澄清页面有倒计时提示，</w:t>
      </w:r>
      <w:r>
        <w:rPr>
          <w:rFonts w:hint="eastAsia" w:cs="宋体"/>
          <w:b/>
          <w:bCs w:val="0"/>
          <w:i w:val="0"/>
          <w:caps w:val="0"/>
          <w:color w:val="auto"/>
          <w:spacing w:val="0"/>
          <w:sz w:val="21"/>
          <w:szCs w:val="21"/>
          <w:shd w:val="clear" w:color="auto" w:fill="FFFFFF"/>
          <w:lang w:eastAsia="zh-CN"/>
        </w:rPr>
        <w:t>供应商</w:t>
      </w:r>
      <w:r>
        <w:rPr>
          <w:rFonts w:hint="eastAsia" w:ascii="宋体" w:hAnsi="宋体" w:eastAsia="宋体" w:cs="宋体"/>
          <w:b/>
          <w:bCs w:val="0"/>
          <w:i w:val="0"/>
          <w:caps w:val="0"/>
          <w:color w:val="auto"/>
          <w:spacing w:val="0"/>
          <w:sz w:val="21"/>
          <w:szCs w:val="21"/>
          <w:shd w:val="clear" w:color="auto" w:fill="FFFFFF"/>
        </w:rPr>
        <w:t>（供应商）应在评标（评审）专家规定时间内完成所有操作。</w:t>
      </w:r>
    </w:p>
    <w:p w14:paraId="7016D847">
      <w:pPr>
        <w:pStyle w:val="21"/>
        <w:numPr>
          <w:ilvl w:val="0"/>
          <w:numId w:val="0"/>
        </w:numPr>
        <w:snapToGrid w:val="0"/>
        <w:spacing w:line="360" w:lineRule="auto"/>
        <w:ind w:left="525" w:leftChars="0"/>
        <w:contextualSpacing/>
        <w:rPr>
          <w:rFonts w:hint="eastAsia" w:ascii="宋体" w:hAnsi="宋体"/>
          <w:b/>
          <w:szCs w:val="21"/>
          <w:lang w:eastAsia="zh-CN"/>
        </w:rPr>
      </w:pPr>
      <w:r>
        <w:rPr>
          <w:rFonts w:hint="eastAsia" w:ascii="宋体" w:hAnsi="宋体"/>
          <w:b/>
          <w:szCs w:val="21"/>
          <w:lang w:eastAsia="zh-CN"/>
        </w:rPr>
        <w:t>（</w:t>
      </w:r>
      <w:r>
        <w:rPr>
          <w:rFonts w:hint="eastAsia" w:ascii="宋体" w:hAnsi="宋体"/>
          <w:b/>
          <w:szCs w:val="21"/>
          <w:lang w:val="en-US" w:eastAsia="zh-CN"/>
        </w:rPr>
        <w:t>3</w:t>
      </w:r>
      <w:r>
        <w:rPr>
          <w:rFonts w:hint="eastAsia" w:ascii="宋体" w:hAnsi="宋体"/>
          <w:b/>
          <w:szCs w:val="21"/>
          <w:lang w:eastAsia="zh-CN"/>
        </w:rPr>
        <w:t>）</w:t>
      </w:r>
      <w:r>
        <w:rPr>
          <w:rFonts w:hint="eastAsia" w:ascii="宋体" w:hAnsi="宋体"/>
          <w:b/>
          <w:szCs w:val="21"/>
        </w:rPr>
        <w:t>编制依据：</w:t>
      </w:r>
    </w:p>
    <w:p w14:paraId="2107CE0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b/>
          <w:color w:val="auto"/>
          <w:sz w:val="21"/>
          <w:szCs w:val="21"/>
          <w:highlight w:val="none"/>
        </w:rPr>
      </w:pPr>
      <w:bookmarkStart w:id="268" w:name="_Toc4953"/>
      <w:bookmarkStart w:id="269" w:name="_Toc463011273"/>
      <w:bookmarkStart w:id="270" w:name="_Toc454788028"/>
      <w:bookmarkStart w:id="271" w:name="_Toc428351648"/>
      <w:bookmarkStart w:id="272" w:name="_Toc58"/>
      <w:bookmarkStart w:id="273" w:name="_Toc17969"/>
      <w:bookmarkStart w:id="274" w:name="_Toc9018"/>
      <w:bookmarkStart w:id="275" w:name="_Toc428276588"/>
      <w:bookmarkStart w:id="276" w:name="_Toc455678120"/>
      <w:bookmarkStart w:id="277" w:name="_Toc462934294"/>
      <w:r>
        <w:rPr>
          <w:rFonts w:hint="eastAsia" w:ascii="宋体" w:hAnsi="宋体"/>
          <w:b/>
          <w:color w:val="auto"/>
          <w:sz w:val="21"/>
          <w:szCs w:val="21"/>
          <w:highlight w:val="none"/>
          <w:lang w:val="en-US" w:eastAsia="zh-CN"/>
        </w:rPr>
        <w:t>相关标准、规范、图集、文件、解释等；</w:t>
      </w:r>
    </w:p>
    <w:p w14:paraId="16FCE76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b/>
          <w:color w:val="auto"/>
          <w:sz w:val="21"/>
          <w:szCs w:val="21"/>
          <w:highlight w:val="none"/>
        </w:rPr>
      </w:pPr>
      <w:r>
        <w:rPr>
          <w:rFonts w:hint="eastAsia" w:ascii="宋体" w:hAnsi="宋体"/>
          <w:b/>
          <w:color w:val="auto"/>
          <w:sz w:val="21"/>
          <w:szCs w:val="20"/>
          <w:highlight w:val="none"/>
          <w:lang w:eastAsia="zh-CN"/>
        </w:rPr>
        <w:t>《建设工程工程量清单计价规范》（</w:t>
      </w:r>
      <w:r>
        <w:rPr>
          <w:rFonts w:hint="eastAsia" w:ascii="宋体" w:hAnsi="宋体"/>
          <w:b/>
          <w:color w:val="auto"/>
          <w:sz w:val="21"/>
          <w:szCs w:val="20"/>
          <w:highlight w:val="none"/>
          <w:lang w:val="en-US" w:eastAsia="zh-CN"/>
        </w:rPr>
        <w:t>GB50500-2013</w:t>
      </w:r>
      <w:r>
        <w:rPr>
          <w:rFonts w:hint="eastAsia" w:ascii="宋体" w:hAnsi="宋体"/>
          <w:b/>
          <w:color w:val="auto"/>
          <w:sz w:val="21"/>
          <w:szCs w:val="20"/>
          <w:highlight w:val="none"/>
          <w:lang w:eastAsia="zh-CN"/>
        </w:rPr>
        <w:t>）</w:t>
      </w:r>
    </w:p>
    <w:p w14:paraId="2A56DE56">
      <w:pPr>
        <w:numPr>
          <w:ilvl w:val="0"/>
          <w:numId w:val="3"/>
        </w:numPr>
        <w:spacing w:line="360" w:lineRule="auto"/>
        <w:ind w:firstLine="420" w:firstLineChars="200"/>
        <w:jc w:val="left"/>
        <w:rPr>
          <w:rFonts w:hint="eastAsia" w:ascii="宋体" w:hAnsi="宋体"/>
          <w:b/>
          <w:color w:val="auto"/>
          <w:sz w:val="21"/>
          <w:szCs w:val="21"/>
          <w:highlight w:val="none"/>
        </w:rPr>
      </w:pPr>
      <w:r>
        <w:rPr>
          <w:rFonts w:hint="eastAsia" w:ascii="宋体" w:hAnsi="宋体"/>
          <w:b/>
          <w:color w:val="auto"/>
          <w:sz w:val="21"/>
          <w:szCs w:val="21"/>
          <w:highlight w:val="none"/>
        </w:rPr>
        <w:t>《河南省</w:t>
      </w:r>
      <w:r>
        <w:rPr>
          <w:rFonts w:hint="eastAsia" w:ascii="宋体" w:hAnsi="宋体"/>
          <w:b/>
          <w:color w:val="auto"/>
          <w:sz w:val="21"/>
          <w:szCs w:val="21"/>
          <w:highlight w:val="none"/>
          <w:lang w:eastAsia="zh-CN"/>
        </w:rPr>
        <w:t>房屋建筑与装饰工程预算定额</w:t>
      </w:r>
      <w:r>
        <w:rPr>
          <w:rFonts w:hint="eastAsia" w:ascii="宋体" w:hAnsi="宋体"/>
          <w:b/>
          <w:color w:val="auto"/>
          <w:sz w:val="21"/>
          <w:szCs w:val="20"/>
          <w:highlight w:val="none"/>
        </w:rPr>
        <w:t>》(</w:t>
      </w:r>
      <w:r>
        <w:rPr>
          <w:rFonts w:hint="eastAsia" w:ascii="宋体" w:hAnsi="宋体"/>
          <w:b/>
          <w:color w:val="auto"/>
          <w:sz w:val="21"/>
          <w:szCs w:val="20"/>
          <w:highlight w:val="none"/>
          <w:lang w:val="en-US" w:eastAsia="zh-CN"/>
        </w:rPr>
        <w:t>HA01-31-2016</w:t>
      </w:r>
      <w:r>
        <w:rPr>
          <w:rFonts w:hint="eastAsia" w:ascii="宋体" w:hAnsi="宋体"/>
          <w:b/>
          <w:color w:val="auto"/>
          <w:sz w:val="21"/>
          <w:szCs w:val="20"/>
          <w:highlight w:val="none"/>
        </w:rPr>
        <w:t>)</w:t>
      </w:r>
      <w:r>
        <w:rPr>
          <w:rFonts w:hint="eastAsia" w:ascii="宋体" w:hAnsi="宋体"/>
          <w:b/>
          <w:color w:val="auto"/>
          <w:sz w:val="21"/>
          <w:szCs w:val="20"/>
          <w:highlight w:val="none"/>
          <w:lang w:eastAsia="zh-CN"/>
        </w:rPr>
        <w:t>；</w:t>
      </w:r>
    </w:p>
    <w:p w14:paraId="24E7FDB7">
      <w:pPr>
        <w:spacing w:line="360" w:lineRule="auto"/>
        <w:jc w:val="left"/>
        <w:rPr>
          <w:rFonts w:hint="eastAsia" w:ascii="宋体" w:hAnsi="宋体" w:eastAsia="宋体"/>
          <w:b/>
          <w:color w:val="auto"/>
          <w:sz w:val="21"/>
          <w:szCs w:val="20"/>
          <w:highlight w:val="none"/>
          <w:lang w:eastAsia="zh-CN"/>
        </w:rPr>
      </w:pPr>
      <w:r>
        <w:rPr>
          <w:rFonts w:hint="eastAsia" w:ascii="宋体" w:hAnsi="宋体"/>
          <w:b/>
          <w:color w:val="auto"/>
          <w:sz w:val="21"/>
          <w:szCs w:val="21"/>
          <w:highlight w:val="none"/>
          <w:lang w:val="en-US" w:eastAsia="zh-CN"/>
        </w:rPr>
        <w:t xml:space="preserve">         《河南省通用安装工程预算定额》</w:t>
      </w:r>
      <w:r>
        <w:rPr>
          <w:rFonts w:hint="eastAsia" w:ascii="宋体" w:hAnsi="宋体"/>
          <w:b/>
          <w:color w:val="auto"/>
          <w:sz w:val="21"/>
          <w:szCs w:val="20"/>
          <w:highlight w:val="none"/>
        </w:rPr>
        <w:t>(</w:t>
      </w:r>
      <w:r>
        <w:rPr>
          <w:rFonts w:hint="eastAsia" w:ascii="宋体" w:hAnsi="宋体"/>
          <w:b/>
          <w:color w:val="auto"/>
          <w:sz w:val="21"/>
          <w:szCs w:val="20"/>
          <w:highlight w:val="none"/>
          <w:lang w:val="en-US" w:eastAsia="zh-CN"/>
        </w:rPr>
        <w:t>HA02-31-2016</w:t>
      </w:r>
      <w:r>
        <w:rPr>
          <w:rFonts w:hint="eastAsia" w:ascii="宋体" w:hAnsi="宋体"/>
          <w:b/>
          <w:color w:val="auto"/>
          <w:sz w:val="21"/>
          <w:szCs w:val="20"/>
          <w:highlight w:val="none"/>
        </w:rPr>
        <w:t>)</w:t>
      </w:r>
      <w:r>
        <w:rPr>
          <w:rFonts w:hint="eastAsia" w:ascii="宋体" w:hAnsi="宋体"/>
          <w:b/>
          <w:color w:val="auto"/>
          <w:sz w:val="21"/>
          <w:szCs w:val="20"/>
          <w:highlight w:val="none"/>
          <w:lang w:eastAsia="zh-CN"/>
        </w:rPr>
        <w:t>；</w:t>
      </w:r>
    </w:p>
    <w:p w14:paraId="400209C8">
      <w:pPr>
        <w:keepNext w:val="0"/>
        <w:keepLines w:val="0"/>
        <w:pageBreakBefore w:val="0"/>
        <w:widowControl w:val="0"/>
        <w:kinsoku/>
        <w:wordWrap/>
        <w:overflowPunct/>
        <w:topLinePunct w:val="0"/>
        <w:bidi w:val="0"/>
        <w:snapToGrid/>
        <w:spacing w:line="360" w:lineRule="auto"/>
        <w:ind w:firstLine="420" w:firstLineChars="200"/>
        <w:textAlignment w:val="auto"/>
        <w:outlineLvl w:val="3"/>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（4）信息价格采用《商丘市建设工程造价信息》</w:t>
      </w:r>
      <w:r>
        <w:rPr>
          <w:rFonts w:hint="eastAsia" w:ascii="宋体" w:hAnsi="宋体" w:cs="宋体"/>
          <w:b/>
          <w:bCs/>
          <w:color w:val="auto"/>
          <w:sz w:val="21"/>
          <w:szCs w:val="21"/>
          <w:lang w:val="en-US" w:eastAsia="zh-CN"/>
        </w:rPr>
        <w:t>最新一期民权</w:t>
      </w:r>
      <w:r>
        <w:rPr>
          <w:rFonts w:hint="eastAsia" w:ascii="宋体" w:hAnsi="宋体" w:eastAsia="宋体" w:cs="宋体"/>
          <w:b/>
          <w:bCs/>
          <w:color w:val="auto"/>
          <w:sz w:val="21"/>
          <w:szCs w:val="21"/>
          <w:lang w:val="en-US" w:eastAsia="zh-CN"/>
        </w:rPr>
        <w:t>价</w:t>
      </w:r>
      <w:r>
        <w:rPr>
          <w:rFonts w:hint="eastAsia" w:ascii="宋体" w:hAnsi="宋体" w:cs="宋体"/>
          <w:b/>
          <w:bCs/>
          <w:color w:val="auto"/>
          <w:sz w:val="21"/>
          <w:szCs w:val="21"/>
          <w:lang w:val="en-US" w:eastAsia="zh-CN"/>
        </w:rPr>
        <w:t>。</w:t>
      </w:r>
    </w:p>
    <w:p w14:paraId="401F8152">
      <w:pPr>
        <w:pStyle w:val="62"/>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r>
        <w:rPr>
          <w:rFonts w:hint="eastAsia" w:hAnsi="宋体" w:cs="黑体"/>
          <w:b/>
          <w:color w:val="auto"/>
          <w:sz w:val="21"/>
          <w:szCs w:val="21"/>
        </w:rPr>
        <w:t>磋商有效期</w:t>
      </w:r>
      <w:bookmarkEnd w:id="263"/>
      <w:bookmarkEnd w:id="264"/>
      <w:bookmarkEnd w:id="265"/>
      <w:bookmarkEnd w:id="266"/>
      <w:bookmarkEnd w:id="268"/>
      <w:bookmarkEnd w:id="269"/>
      <w:bookmarkEnd w:id="270"/>
      <w:bookmarkEnd w:id="271"/>
      <w:bookmarkEnd w:id="272"/>
      <w:bookmarkEnd w:id="273"/>
      <w:bookmarkEnd w:id="274"/>
      <w:bookmarkEnd w:id="275"/>
      <w:bookmarkEnd w:id="276"/>
      <w:bookmarkEnd w:id="277"/>
    </w:p>
    <w:p w14:paraId="3768AD12">
      <w:pPr>
        <w:snapToGrid w:val="0"/>
        <w:spacing w:line="360" w:lineRule="auto"/>
        <w:ind w:firstLine="420" w:firstLineChars="200"/>
        <w:contextualSpacing/>
        <w:rPr>
          <w:rFonts w:ascii="宋体" w:hAnsi="宋体"/>
          <w:szCs w:val="21"/>
        </w:rPr>
      </w:pPr>
      <w:r>
        <w:rPr>
          <w:rFonts w:hint="eastAsia" w:ascii="宋体" w:hAnsi="宋体"/>
          <w:szCs w:val="21"/>
        </w:rPr>
        <w:t>3.3.1  在&lt;供应商须知前附表&gt;规定的磋商有效期内，供应商不得要求撤销或修改其磋商响应文件。</w:t>
      </w:r>
    </w:p>
    <w:p w14:paraId="3AB2B9A5">
      <w:pPr>
        <w:snapToGrid w:val="0"/>
        <w:spacing w:line="360" w:lineRule="auto"/>
        <w:ind w:firstLine="420" w:firstLineChars="200"/>
        <w:contextualSpacing/>
        <w:rPr>
          <w:rFonts w:hint="eastAsia" w:ascii="宋体" w:hAnsi="宋体"/>
          <w:szCs w:val="21"/>
        </w:rPr>
      </w:pPr>
      <w:r>
        <w:rPr>
          <w:rFonts w:hint="eastAsia" w:ascii="宋体" w:hAnsi="宋体"/>
          <w:szCs w:val="21"/>
        </w:rPr>
        <w:t>3.3.2  出现特殊情况需要延长磋商有效期的，采购人以</w:t>
      </w:r>
      <w:r>
        <w:rPr>
          <w:rFonts w:hint="eastAsia" w:ascii="宋体" w:hAnsi="宋体"/>
          <w:szCs w:val="21"/>
          <w:lang w:eastAsia="zh-CN"/>
        </w:rPr>
        <w:t>电子版</w:t>
      </w:r>
      <w:r>
        <w:rPr>
          <w:rFonts w:hint="eastAsia" w:ascii="宋体" w:hAnsi="宋体"/>
          <w:szCs w:val="21"/>
        </w:rPr>
        <w:t>形式通知所有供应商延长磋商有效期。供应商同意延长的，不得要求或被允许修改或撤销其磋商响应文件；供应商拒绝延长的，其磋商响应文件失效。</w:t>
      </w:r>
    </w:p>
    <w:p w14:paraId="2C026FF0">
      <w:pPr>
        <w:pStyle w:val="62"/>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278" w:name="_Toc428351650"/>
      <w:bookmarkStart w:id="279" w:name="_Toc32308"/>
      <w:bookmarkStart w:id="280" w:name="_Toc428276590"/>
      <w:bookmarkStart w:id="281" w:name="_Toc277149385"/>
      <w:bookmarkStart w:id="282" w:name="_Toc270604596"/>
      <w:bookmarkStart w:id="283" w:name="_Toc5173"/>
      <w:bookmarkStart w:id="284" w:name="_Toc270604823"/>
      <w:bookmarkStart w:id="285" w:name="_Toc454788030"/>
      <w:bookmarkStart w:id="286" w:name="_Toc455678122"/>
      <w:bookmarkStart w:id="287" w:name="_Toc463011275"/>
      <w:bookmarkStart w:id="288" w:name="_Toc7919"/>
      <w:bookmarkStart w:id="289" w:name="_Toc269470318"/>
      <w:bookmarkStart w:id="290" w:name="_Toc462934296"/>
      <w:bookmarkStart w:id="291" w:name="_Toc13469"/>
      <w:r>
        <w:rPr>
          <w:rFonts w:hint="eastAsia" w:hAnsi="宋体" w:cs="黑体"/>
          <w:b/>
          <w:color w:val="auto"/>
          <w:sz w:val="21"/>
          <w:szCs w:val="21"/>
        </w:rPr>
        <w:t>磋商响应文件的编制</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732EA874">
      <w:pPr>
        <w:snapToGrid w:val="0"/>
        <w:spacing w:line="360" w:lineRule="auto"/>
        <w:ind w:firstLine="420" w:firstLineChars="200"/>
        <w:contextualSpacing/>
        <w:rPr>
          <w:rFonts w:ascii="宋体" w:hAnsi="宋体"/>
          <w:szCs w:val="21"/>
        </w:rPr>
      </w:pPr>
      <w:r>
        <w:rPr>
          <w:rFonts w:hint="eastAsia" w:ascii="宋体" w:hAnsi="宋体"/>
          <w:szCs w:val="21"/>
        </w:rPr>
        <w:t>3.</w:t>
      </w:r>
      <w:r>
        <w:rPr>
          <w:rFonts w:hint="eastAsia" w:ascii="宋体" w:hAnsi="宋体"/>
          <w:szCs w:val="21"/>
          <w:lang w:val="en-US" w:eastAsia="zh-CN"/>
        </w:rPr>
        <w:t>4</w:t>
      </w:r>
      <w:r>
        <w:rPr>
          <w:rFonts w:hint="eastAsia" w:ascii="宋体" w:hAnsi="宋体"/>
          <w:szCs w:val="21"/>
        </w:rPr>
        <w:t>.1  磋商响应文件应按 “磋商响应文件格式”进行编写，如有必要，可以增加附页，作为磋商响应文件的组成部分。其中</w:t>
      </w:r>
      <w:r>
        <w:rPr>
          <w:rFonts w:hint="eastAsia" w:ascii="宋体" w:hAnsi="宋体"/>
          <w:color w:val="auto"/>
          <w:szCs w:val="21"/>
        </w:rPr>
        <w:t>，报价函附录</w:t>
      </w:r>
      <w:r>
        <w:rPr>
          <w:rFonts w:hint="eastAsia" w:ascii="宋体" w:hAnsi="宋体"/>
          <w:szCs w:val="21"/>
        </w:rPr>
        <w:t>在满足竞争性磋商文件实质性要求的基础上，可以提出比竞争性磋商文件要求更有利于采购人的承诺。</w:t>
      </w:r>
    </w:p>
    <w:p w14:paraId="75FA2B6A">
      <w:pPr>
        <w:snapToGrid w:val="0"/>
        <w:spacing w:line="360" w:lineRule="auto"/>
        <w:ind w:firstLine="420" w:firstLineChars="200"/>
        <w:contextualSpacing/>
        <w:rPr>
          <w:rFonts w:ascii="宋体" w:hAnsi="宋体"/>
          <w:color w:val="auto"/>
          <w:szCs w:val="21"/>
          <w:highlight w:val="none"/>
        </w:rPr>
      </w:pPr>
      <w:r>
        <w:rPr>
          <w:rFonts w:hint="eastAsia" w:ascii="宋体" w:hAnsi="宋体"/>
          <w:szCs w:val="21"/>
        </w:rPr>
        <w:t>3.</w:t>
      </w:r>
      <w:r>
        <w:rPr>
          <w:rFonts w:hint="eastAsia" w:ascii="宋体" w:hAnsi="宋体"/>
          <w:szCs w:val="21"/>
          <w:lang w:val="en-US" w:eastAsia="zh-CN"/>
        </w:rPr>
        <w:t>4</w:t>
      </w:r>
      <w:r>
        <w:rPr>
          <w:rFonts w:hint="eastAsia" w:ascii="宋体" w:hAnsi="宋体"/>
          <w:szCs w:val="21"/>
        </w:rPr>
        <w:t>.2  磋商响应文件应当对竞争性磋商文件</w:t>
      </w:r>
      <w:r>
        <w:rPr>
          <w:rFonts w:hint="eastAsia" w:ascii="宋体" w:hAnsi="宋体"/>
          <w:color w:val="auto"/>
          <w:szCs w:val="21"/>
          <w:highlight w:val="none"/>
        </w:rPr>
        <w:t>有关磋商报价、工期、磋商有效期、质量要求等实质性内容作出响应。</w:t>
      </w:r>
    </w:p>
    <w:p w14:paraId="4C62C680">
      <w:pPr>
        <w:snapToGrid w:val="0"/>
        <w:spacing w:line="360" w:lineRule="auto"/>
        <w:ind w:firstLine="420" w:firstLineChars="200"/>
        <w:contextualSpacing/>
        <w:rPr>
          <w:rFonts w:hint="eastAsia" w:ascii="宋体" w:hAnsi="宋体"/>
          <w:szCs w:val="21"/>
        </w:rPr>
      </w:pPr>
      <w:r>
        <w:rPr>
          <w:rFonts w:hint="eastAsia" w:ascii="宋体" w:hAnsi="宋体"/>
          <w:szCs w:val="21"/>
        </w:rPr>
        <w:t>3.</w:t>
      </w:r>
      <w:r>
        <w:rPr>
          <w:rFonts w:hint="eastAsia" w:ascii="宋体" w:hAnsi="宋体"/>
          <w:szCs w:val="21"/>
          <w:lang w:val="en-US" w:eastAsia="zh-CN"/>
        </w:rPr>
        <w:t>4</w:t>
      </w:r>
      <w:r>
        <w:rPr>
          <w:rFonts w:hint="eastAsia" w:ascii="宋体" w:hAnsi="宋体"/>
          <w:szCs w:val="21"/>
        </w:rPr>
        <w:t>.3  磋商响应文件应由供应商的法定代表人或其委托代理人签</w:t>
      </w:r>
      <w:r>
        <w:rPr>
          <w:rFonts w:hint="eastAsia" w:ascii="宋体" w:hAnsi="宋体"/>
          <w:szCs w:val="21"/>
          <w:lang w:val="en-US" w:eastAsia="zh-CN"/>
        </w:rPr>
        <w:t>字或盖</w:t>
      </w:r>
      <w:r>
        <w:rPr>
          <w:rFonts w:hint="eastAsia" w:ascii="宋体" w:hAnsi="宋体"/>
          <w:szCs w:val="21"/>
        </w:rPr>
        <w:t>章。委托代理人签字的，磋商响应文件应附法定代表人签署的授权委托书。磋商响应文件应尽量避免涂改、行间插字或删除。如果出现上述情况，改动之处应加盖单位章或由供应商的法定代表人或其授权的代理人签字确认。</w:t>
      </w:r>
    </w:p>
    <w:p w14:paraId="60B95910">
      <w:pPr>
        <w:snapToGrid w:val="0"/>
        <w:spacing w:line="360" w:lineRule="auto"/>
        <w:ind w:firstLine="420" w:firstLineChars="200"/>
        <w:contextualSpacing/>
        <w:rPr>
          <w:rFonts w:ascii="宋体" w:hAnsi="宋体"/>
          <w:szCs w:val="21"/>
        </w:rPr>
      </w:pPr>
      <w:r>
        <w:rPr>
          <w:rFonts w:hint="eastAsia" w:ascii="宋体" w:hAnsi="宋体"/>
          <w:szCs w:val="21"/>
        </w:rPr>
        <w:t>签字或盖章的具体要求见&lt;供应商须知前附表&gt;。</w:t>
      </w:r>
    </w:p>
    <w:p w14:paraId="5D38E345">
      <w:pPr>
        <w:snapToGrid w:val="0"/>
        <w:spacing w:line="360" w:lineRule="auto"/>
        <w:ind w:firstLine="420" w:firstLineChars="200"/>
        <w:contextualSpacing/>
        <w:rPr>
          <w:rFonts w:hint="eastAsia" w:ascii="宋体" w:hAnsi="宋体"/>
          <w:color w:val="auto"/>
          <w:szCs w:val="21"/>
        </w:rPr>
      </w:pPr>
      <w:r>
        <w:rPr>
          <w:rFonts w:hint="eastAsia" w:ascii="宋体" w:hAnsi="宋体"/>
          <w:szCs w:val="21"/>
        </w:rPr>
        <w:t>3.</w:t>
      </w:r>
      <w:r>
        <w:rPr>
          <w:rFonts w:hint="eastAsia" w:ascii="宋体" w:hAnsi="宋体"/>
          <w:szCs w:val="21"/>
          <w:lang w:val="en-US" w:eastAsia="zh-CN"/>
        </w:rPr>
        <w:t>4</w:t>
      </w:r>
      <w:r>
        <w:rPr>
          <w:rFonts w:hint="eastAsia" w:ascii="宋体" w:hAnsi="宋体"/>
          <w:szCs w:val="21"/>
        </w:rPr>
        <w:t>.4  磋商响应文件电子</w:t>
      </w:r>
      <w:r>
        <w:rPr>
          <w:rFonts w:hint="eastAsia" w:ascii="宋体" w:hAnsi="宋体"/>
          <w:szCs w:val="21"/>
          <w:lang w:eastAsia="zh-CN"/>
        </w:rPr>
        <w:t>版</w:t>
      </w:r>
      <w:r>
        <w:rPr>
          <w:rFonts w:hint="eastAsia" w:ascii="宋体" w:hAnsi="宋体"/>
          <w:szCs w:val="21"/>
        </w:rPr>
        <w:t>文档格式</w:t>
      </w:r>
      <w:r>
        <w:rPr>
          <w:rFonts w:hint="eastAsia" w:ascii="宋体" w:hAnsi="宋体"/>
          <w:color w:val="auto"/>
          <w:szCs w:val="21"/>
        </w:rPr>
        <w:t>见&lt;供应商须知前附表&gt;。</w:t>
      </w:r>
    </w:p>
    <w:p w14:paraId="72D4FE04">
      <w:pPr>
        <w:pStyle w:val="62"/>
        <w:numPr>
          <w:ilvl w:val="0"/>
          <w:numId w:val="2"/>
        </w:numPr>
        <w:tabs>
          <w:tab w:val="left" w:pos="360"/>
          <w:tab w:val="clear" w:pos="425"/>
        </w:tabs>
        <w:snapToGrid w:val="0"/>
        <w:spacing w:line="360" w:lineRule="auto"/>
        <w:contextualSpacing/>
        <w:jc w:val="both"/>
        <w:outlineLvl w:val="1"/>
        <w:rPr>
          <w:rFonts w:hAnsi="宋体" w:cs="黑体"/>
          <w:b/>
          <w:color w:val="auto"/>
        </w:rPr>
      </w:pPr>
      <w:bookmarkStart w:id="292" w:name="_Toc402"/>
      <w:bookmarkStart w:id="293" w:name="_Toc6530"/>
      <w:bookmarkStart w:id="294" w:name="_Toc4534"/>
      <w:r>
        <w:rPr>
          <w:rFonts w:hint="eastAsia" w:hAnsi="宋体" w:cs="黑体"/>
          <w:b/>
          <w:color w:val="auto"/>
        </w:rPr>
        <w:t>响应文件的递交</w:t>
      </w:r>
      <w:bookmarkEnd w:id="292"/>
      <w:bookmarkEnd w:id="293"/>
      <w:bookmarkEnd w:id="294"/>
    </w:p>
    <w:p w14:paraId="3E74EA39">
      <w:pPr>
        <w:pStyle w:val="62"/>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295" w:name="_Toc3673"/>
      <w:bookmarkStart w:id="296" w:name="_Toc454788033"/>
      <w:bookmarkStart w:id="297" w:name="_Toc455678125"/>
      <w:bookmarkStart w:id="298" w:name="_Toc270604826"/>
      <w:bookmarkStart w:id="299" w:name="_Toc15152"/>
      <w:bookmarkStart w:id="300" w:name="_Toc462934299"/>
      <w:bookmarkStart w:id="301" w:name="_Toc20197"/>
      <w:bookmarkStart w:id="302" w:name="_Toc29167"/>
      <w:bookmarkStart w:id="303" w:name="_Toc270604599"/>
      <w:bookmarkStart w:id="304" w:name="_Toc428276593"/>
      <w:bookmarkStart w:id="305" w:name="_Toc269470321"/>
      <w:bookmarkStart w:id="306" w:name="_Toc463011278"/>
      <w:bookmarkStart w:id="307" w:name="_Toc277149388"/>
      <w:bookmarkStart w:id="308" w:name="_Toc428351653"/>
      <w:r>
        <w:rPr>
          <w:rFonts w:hint="eastAsia" w:hAnsi="宋体" w:cs="黑体"/>
          <w:b/>
          <w:color w:val="auto"/>
          <w:sz w:val="21"/>
          <w:szCs w:val="21"/>
        </w:rPr>
        <w:t>磋商响应文件的递交</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0838EDCE">
      <w:pPr>
        <w:snapToGrid w:val="0"/>
        <w:spacing w:line="360" w:lineRule="auto"/>
        <w:ind w:firstLine="420" w:firstLineChars="200"/>
        <w:contextualSpacing/>
        <w:rPr>
          <w:rFonts w:ascii="宋体" w:hAnsi="宋体"/>
          <w:szCs w:val="21"/>
        </w:rPr>
      </w:pPr>
      <w:r>
        <w:rPr>
          <w:rFonts w:hint="eastAsia" w:ascii="宋体" w:hAnsi="宋体"/>
          <w:szCs w:val="21"/>
        </w:rPr>
        <w:t>4.2.1  供应商</w:t>
      </w:r>
      <w:r>
        <w:rPr>
          <w:rFonts w:hint="eastAsia" w:ascii="宋体" w:hAnsi="宋体" w:cs="仿宋_GB2312"/>
          <w:kern w:val="0"/>
          <w:szCs w:val="21"/>
        </w:rPr>
        <w:t>首次</w:t>
      </w:r>
      <w:r>
        <w:rPr>
          <w:rFonts w:hint="eastAsia" w:ascii="宋体" w:hAnsi="宋体"/>
          <w:szCs w:val="21"/>
        </w:rPr>
        <w:t>递交磋商响应文件截止时间：见&lt;供应商须知前附表&gt;。</w:t>
      </w:r>
    </w:p>
    <w:p w14:paraId="387A589A">
      <w:pPr>
        <w:snapToGrid w:val="0"/>
        <w:spacing w:line="360" w:lineRule="auto"/>
        <w:ind w:firstLine="420" w:firstLineChars="200"/>
        <w:contextualSpacing/>
        <w:rPr>
          <w:rFonts w:ascii="宋体" w:hAnsi="宋体"/>
          <w:szCs w:val="21"/>
        </w:rPr>
      </w:pPr>
      <w:r>
        <w:rPr>
          <w:rFonts w:hint="eastAsia" w:ascii="宋体" w:hAnsi="宋体"/>
          <w:szCs w:val="21"/>
        </w:rPr>
        <w:t>4.2.2  供应商</w:t>
      </w:r>
      <w:r>
        <w:rPr>
          <w:rFonts w:hint="eastAsia" w:ascii="宋体" w:hAnsi="宋体" w:cs="仿宋_GB2312"/>
          <w:kern w:val="0"/>
          <w:szCs w:val="21"/>
        </w:rPr>
        <w:t>首次</w:t>
      </w:r>
      <w:r>
        <w:rPr>
          <w:rFonts w:hint="eastAsia" w:ascii="宋体" w:hAnsi="宋体"/>
          <w:szCs w:val="21"/>
        </w:rPr>
        <w:t>递交磋商响应文件的地点：见&lt;供应商须知前附表&gt;。</w:t>
      </w:r>
    </w:p>
    <w:p w14:paraId="7504E546">
      <w:pPr>
        <w:snapToGrid w:val="0"/>
        <w:spacing w:line="360" w:lineRule="auto"/>
        <w:ind w:firstLine="420" w:firstLineChars="200"/>
        <w:contextualSpacing/>
        <w:rPr>
          <w:rFonts w:hint="eastAsia" w:ascii="宋体" w:hAnsi="宋体"/>
          <w:szCs w:val="21"/>
        </w:rPr>
      </w:pPr>
      <w:r>
        <w:rPr>
          <w:rFonts w:hint="eastAsia" w:ascii="宋体" w:hAnsi="宋体"/>
          <w:szCs w:val="21"/>
        </w:rPr>
        <w:t>4.2.3  供应商应在本章第4</w:t>
      </w:r>
      <w:r>
        <w:rPr>
          <w:rFonts w:ascii="宋体" w:hAnsi="宋体"/>
          <w:szCs w:val="21"/>
        </w:rPr>
        <w:t>.2.</w:t>
      </w:r>
      <w:r>
        <w:rPr>
          <w:rFonts w:hint="eastAsia" w:ascii="宋体" w:hAnsi="宋体"/>
          <w:szCs w:val="21"/>
        </w:rPr>
        <w:t>1项规定的磋商截止时间前递交</w:t>
      </w:r>
      <w:r>
        <w:rPr>
          <w:rFonts w:hint="eastAsia" w:ascii="宋体" w:hAnsi="宋体" w:cs="仿宋_GB2312"/>
          <w:kern w:val="0"/>
          <w:szCs w:val="21"/>
        </w:rPr>
        <w:t>首次</w:t>
      </w:r>
      <w:r>
        <w:rPr>
          <w:rFonts w:hint="eastAsia" w:ascii="宋体" w:hAnsi="宋体"/>
          <w:szCs w:val="21"/>
        </w:rPr>
        <w:t>响应文件。</w:t>
      </w:r>
    </w:p>
    <w:p w14:paraId="54A79D18">
      <w:pPr>
        <w:snapToGrid w:val="0"/>
        <w:spacing w:line="360" w:lineRule="auto"/>
        <w:ind w:firstLine="420" w:firstLineChars="200"/>
        <w:contextualSpacing/>
        <w:rPr>
          <w:rFonts w:ascii="宋体" w:hAnsi="宋体"/>
          <w:szCs w:val="21"/>
        </w:rPr>
      </w:pPr>
      <w:r>
        <w:rPr>
          <w:rFonts w:hint="eastAsia" w:ascii="宋体" w:hAnsi="宋体"/>
          <w:szCs w:val="21"/>
        </w:rPr>
        <w:t>4.2.4  除&lt;供应商须知前附表&gt;另有规定外，</w:t>
      </w:r>
      <w:r>
        <w:rPr>
          <w:rFonts w:hint="eastAsia" w:ascii="宋体" w:hAnsi="宋体" w:cs="仿宋_GB2312"/>
          <w:kern w:val="0"/>
          <w:szCs w:val="21"/>
        </w:rPr>
        <w:t>首次</w:t>
      </w:r>
      <w:r>
        <w:rPr>
          <w:rFonts w:hint="eastAsia" w:ascii="宋体" w:hAnsi="宋体"/>
          <w:szCs w:val="21"/>
        </w:rPr>
        <w:t>磋商截止时间后供应商所递交的磋商响应文件不予退还。</w:t>
      </w:r>
    </w:p>
    <w:p w14:paraId="3A6AB0BA">
      <w:pPr>
        <w:snapToGrid w:val="0"/>
        <w:spacing w:line="360" w:lineRule="auto"/>
        <w:ind w:firstLine="420" w:firstLineChars="200"/>
        <w:contextualSpacing/>
        <w:rPr>
          <w:rFonts w:ascii="宋体" w:hAnsi="宋体"/>
          <w:szCs w:val="21"/>
        </w:rPr>
      </w:pPr>
      <w:r>
        <w:rPr>
          <w:rFonts w:hint="eastAsia" w:ascii="宋体" w:hAnsi="宋体"/>
          <w:szCs w:val="21"/>
        </w:rPr>
        <w:t>4.2.5  逾期送达的或者未送达指定地点的磋商响应文件，采购人或磋商小组不予受理。</w:t>
      </w:r>
    </w:p>
    <w:p w14:paraId="5F1FE844">
      <w:pPr>
        <w:pStyle w:val="62"/>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309" w:name="_Toc270604827"/>
      <w:bookmarkStart w:id="310" w:name="_Toc269470322"/>
      <w:bookmarkStart w:id="311" w:name="_Toc455678126"/>
      <w:bookmarkStart w:id="312" w:name="_Toc463011279"/>
      <w:bookmarkStart w:id="313" w:name="_Toc6081"/>
      <w:bookmarkStart w:id="314" w:name="_Toc428276594"/>
      <w:bookmarkStart w:id="315" w:name="_Toc12688"/>
      <w:bookmarkStart w:id="316" w:name="_Toc277149389"/>
      <w:bookmarkStart w:id="317" w:name="_Toc27108"/>
      <w:bookmarkStart w:id="318" w:name="_Toc462934300"/>
      <w:bookmarkStart w:id="319" w:name="_Toc428351654"/>
      <w:bookmarkStart w:id="320" w:name="_Toc270604600"/>
      <w:bookmarkStart w:id="321" w:name="_Toc454788034"/>
      <w:bookmarkStart w:id="322" w:name="_Toc26556"/>
      <w:r>
        <w:rPr>
          <w:rFonts w:hint="eastAsia" w:hAnsi="宋体" w:cs="黑体"/>
          <w:b/>
          <w:color w:val="auto"/>
          <w:sz w:val="21"/>
          <w:szCs w:val="21"/>
        </w:rPr>
        <w:t>磋商响应文件的修改与撤回</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203B7383">
      <w:pPr>
        <w:snapToGrid w:val="0"/>
        <w:spacing w:line="360" w:lineRule="auto"/>
        <w:ind w:firstLine="420" w:firstLineChars="200"/>
        <w:contextualSpacing/>
        <w:rPr>
          <w:rFonts w:ascii="宋体" w:hAnsi="宋体"/>
          <w:szCs w:val="21"/>
        </w:rPr>
      </w:pPr>
      <w:r>
        <w:rPr>
          <w:rFonts w:hint="eastAsia" w:ascii="宋体" w:hAnsi="宋体"/>
          <w:szCs w:val="21"/>
        </w:rPr>
        <w:t>4.3.1  在本章第</w:t>
      </w:r>
      <w:r>
        <w:rPr>
          <w:rFonts w:ascii="宋体" w:hAnsi="宋体"/>
          <w:szCs w:val="21"/>
        </w:rPr>
        <w:t>4.2.1</w:t>
      </w:r>
      <w:r>
        <w:rPr>
          <w:rFonts w:hint="eastAsia" w:ascii="宋体" w:hAnsi="宋体"/>
          <w:szCs w:val="21"/>
        </w:rPr>
        <w:t>项规定的</w:t>
      </w:r>
      <w:r>
        <w:rPr>
          <w:rFonts w:hint="eastAsia" w:ascii="宋体" w:hAnsi="宋体" w:cs="仿宋_GB2312"/>
          <w:kern w:val="0"/>
          <w:szCs w:val="21"/>
        </w:rPr>
        <w:t>首次</w:t>
      </w:r>
      <w:r>
        <w:rPr>
          <w:rFonts w:hint="eastAsia" w:ascii="宋体" w:hAnsi="宋体"/>
          <w:szCs w:val="21"/>
        </w:rPr>
        <w:t>递交磋商截止时间前，供应商可以修改或撤回已递交的磋商响应文件。</w:t>
      </w:r>
    </w:p>
    <w:p w14:paraId="4C294C65">
      <w:pPr>
        <w:snapToGrid w:val="0"/>
        <w:spacing w:line="360" w:lineRule="auto"/>
        <w:ind w:firstLine="420" w:firstLineChars="200"/>
        <w:contextualSpacing/>
        <w:rPr>
          <w:rFonts w:ascii="宋体" w:hAnsi="宋体"/>
          <w:szCs w:val="21"/>
        </w:rPr>
      </w:pPr>
      <w:r>
        <w:rPr>
          <w:rFonts w:hint="eastAsia" w:ascii="宋体" w:hAnsi="宋体"/>
          <w:szCs w:val="21"/>
        </w:rPr>
        <w:t>4.3.</w:t>
      </w:r>
      <w:r>
        <w:rPr>
          <w:rFonts w:hint="eastAsia" w:ascii="宋体" w:hAnsi="宋体"/>
          <w:szCs w:val="21"/>
          <w:lang w:val="en-US" w:eastAsia="zh-CN"/>
        </w:rPr>
        <w:t>2</w:t>
      </w:r>
      <w:r>
        <w:rPr>
          <w:rFonts w:hint="eastAsia" w:ascii="宋体" w:hAnsi="宋体"/>
          <w:szCs w:val="21"/>
        </w:rPr>
        <w:t xml:space="preserve">  修改的内容为磋商响应文件的组成部分。修改的磋商响应文件应按照本章规定进行编制、标记和递交，并标明“修改”字样。</w:t>
      </w:r>
    </w:p>
    <w:p w14:paraId="583D19A2">
      <w:pPr>
        <w:pStyle w:val="62"/>
        <w:numPr>
          <w:ilvl w:val="0"/>
          <w:numId w:val="2"/>
        </w:numPr>
        <w:tabs>
          <w:tab w:val="left" w:pos="360"/>
          <w:tab w:val="clear" w:pos="425"/>
        </w:tabs>
        <w:snapToGrid w:val="0"/>
        <w:spacing w:line="360" w:lineRule="auto"/>
        <w:contextualSpacing/>
        <w:jc w:val="both"/>
        <w:outlineLvl w:val="1"/>
        <w:rPr>
          <w:rFonts w:hAnsi="宋体" w:cs="黑体"/>
          <w:b/>
          <w:color w:val="auto"/>
        </w:rPr>
      </w:pPr>
      <w:bookmarkStart w:id="323" w:name="_Toc270604601"/>
      <w:bookmarkStart w:id="324" w:name="_Toc26713"/>
      <w:bookmarkStart w:id="325" w:name="_Toc10784"/>
      <w:bookmarkStart w:id="326" w:name="_Toc5513"/>
      <w:r>
        <w:rPr>
          <w:rFonts w:hint="eastAsia" w:hAnsi="宋体" w:cs="黑体"/>
          <w:b/>
          <w:color w:val="auto"/>
        </w:rPr>
        <w:t>竞争性</w:t>
      </w:r>
      <w:bookmarkEnd w:id="323"/>
      <w:r>
        <w:rPr>
          <w:rFonts w:hint="eastAsia" w:hAnsi="宋体" w:cs="黑体"/>
          <w:b/>
          <w:color w:val="auto"/>
        </w:rPr>
        <w:t>磋商</w:t>
      </w:r>
      <w:bookmarkEnd w:id="324"/>
      <w:bookmarkEnd w:id="325"/>
      <w:bookmarkEnd w:id="326"/>
    </w:p>
    <w:p w14:paraId="3134AE6C">
      <w:pPr>
        <w:pStyle w:val="62"/>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327" w:name="_Toc29475"/>
      <w:bookmarkStart w:id="328" w:name="_Toc463011281"/>
      <w:bookmarkStart w:id="329" w:name="_Toc455678128"/>
      <w:bookmarkStart w:id="330" w:name="_Toc26225"/>
      <w:bookmarkStart w:id="331" w:name="_Toc270604602"/>
      <w:bookmarkStart w:id="332" w:name="_Toc462934302"/>
      <w:bookmarkStart w:id="333" w:name="_Toc277149391"/>
      <w:bookmarkStart w:id="334" w:name="_Toc270604829"/>
      <w:bookmarkStart w:id="335" w:name="_Toc10079"/>
      <w:bookmarkStart w:id="336" w:name="_Toc428276596"/>
      <w:bookmarkStart w:id="337" w:name="_Toc17132"/>
      <w:bookmarkStart w:id="338" w:name="_Toc269470324"/>
      <w:bookmarkStart w:id="339" w:name="_Toc454788036"/>
      <w:bookmarkStart w:id="340" w:name="_Toc428351656"/>
      <w:r>
        <w:rPr>
          <w:rFonts w:hint="eastAsia" w:hAnsi="宋体" w:cs="黑体"/>
          <w:b/>
          <w:color w:val="auto"/>
          <w:sz w:val="21"/>
          <w:szCs w:val="21"/>
        </w:rPr>
        <w:t>磋商时间和地点</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6B2588EB">
      <w:pPr>
        <w:autoSpaceDE w:val="0"/>
        <w:autoSpaceDN w:val="0"/>
        <w:adjustRightInd w:val="0"/>
        <w:snapToGrid w:val="0"/>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采购人在本章第</w:t>
      </w:r>
      <w:r>
        <w:rPr>
          <w:rFonts w:ascii="宋体" w:hAnsi="宋体" w:cs="TimesNewRomanPSMT"/>
          <w:kern w:val="0"/>
          <w:szCs w:val="21"/>
        </w:rPr>
        <w:t>4.2.1</w:t>
      </w:r>
      <w:r>
        <w:rPr>
          <w:rFonts w:hint="eastAsia" w:ascii="宋体" w:hAnsi="宋体" w:cs="仿宋_GB2312"/>
          <w:kern w:val="0"/>
          <w:szCs w:val="21"/>
        </w:rPr>
        <w:t>项规定的磋商响应文件首次递交截止时间（磋商时间）和&lt;供应商须知前附表&gt;规定的地点进行竞争性磋商，并邀请所有供应商的法定代表人或其委托代理人准时参加。</w:t>
      </w:r>
    </w:p>
    <w:p w14:paraId="636F5B97">
      <w:pPr>
        <w:pStyle w:val="62"/>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341" w:name="_Toc428351657"/>
      <w:bookmarkStart w:id="342" w:name="_Toc428276597"/>
      <w:bookmarkStart w:id="343" w:name="_Toc21367"/>
      <w:bookmarkStart w:id="344" w:name="_Toc12033"/>
      <w:bookmarkStart w:id="345" w:name="_Toc270604603"/>
      <w:bookmarkStart w:id="346" w:name="_Toc463011282"/>
      <w:bookmarkStart w:id="347" w:name="_Toc462934303"/>
      <w:bookmarkStart w:id="348" w:name="_Toc270604830"/>
      <w:bookmarkStart w:id="349" w:name="_Toc4187"/>
      <w:bookmarkStart w:id="350" w:name="_Toc269470325"/>
      <w:bookmarkStart w:id="351" w:name="_Toc455678129"/>
      <w:bookmarkStart w:id="352" w:name="_Toc6564"/>
      <w:bookmarkStart w:id="353" w:name="_Toc277149392"/>
      <w:bookmarkStart w:id="354" w:name="_Toc454788037"/>
      <w:r>
        <w:rPr>
          <w:rFonts w:hint="eastAsia" w:hAnsi="宋体" w:cs="黑体"/>
          <w:b/>
          <w:color w:val="auto"/>
          <w:sz w:val="21"/>
          <w:szCs w:val="21"/>
        </w:rPr>
        <w:t>磋商程序</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7A52CA58">
      <w:pPr>
        <w:snapToGrid w:val="0"/>
        <w:spacing w:line="360" w:lineRule="auto"/>
        <w:ind w:firstLine="420" w:firstLineChars="200"/>
        <w:contextualSpacing/>
        <w:rPr>
          <w:rFonts w:hint="eastAsia" w:ascii="宋体" w:hAnsi="宋体"/>
          <w:szCs w:val="21"/>
        </w:rPr>
      </w:pPr>
      <w:bookmarkStart w:id="355" w:name="_Toc269470330"/>
      <w:r>
        <w:rPr>
          <w:rFonts w:hint="eastAsia" w:ascii="宋体" w:hAnsi="宋体"/>
          <w:szCs w:val="21"/>
        </w:rPr>
        <w:t>5.2.1  递交首次响应文件截止，宣布磋商会议开始；</w:t>
      </w:r>
    </w:p>
    <w:p w14:paraId="350E78C3">
      <w:pPr>
        <w:snapToGrid w:val="0"/>
        <w:spacing w:line="360" w:lineRule="auto"/>
        <w:ind w:firstLine="420" w:firstLineChars="200"/>
        <w:contextualSpacing/>
        <w:rPr>
          <w:rFonts w:hint="eastAsia" w:ascii="宋体" w:hAnsi="宋体"/>
          <w:szCs w:val="21"/>
        </w:rPr>
      </w:pPr>
      <w:r>
        <w:rPr>
          <w:rFonts w:hint="eastAsia" w:ascii="宋体" w:hAnsi="宋体"/>
          <w:szCs w:val="21"/>
        </w:rPr>
        <w:t>5.2.2  宣布磋商会议纪律；</w:t>
      </w:r>
    </w:p>
    <w:p w14:paraId="3E36F8DF">
      <w:pPr>
        <w:snapToGrid w:val="0"/>
        <w:spacing w:line="360" w:lineRule="auto"/>
        <w:ind w:firstLine="420" w:firstLineChars="200"/>
        <w:contextualSpacing/>
        <w:rPr>
          <w:rFonts w:hint="eastAsia" w:ascii="宋体" w:hAnsi="宋体"/>
          <w:szCs w:val="21"/>
        </w:rPr>
      </w:pPr>
      <w:r>
        <w:rPr>
          <w:rFonts w:hint="eastAsia" w:ascii="宋体" w:hAnsi="宋体"/>
          <w:szCs w:val="21"/>
        </w:rPr>
        <w:t>5.2.</w:t>
      </w:r>
      <w:r>
        <w:rPr>
          <w:rFonts w:hint="eastAsia" w:ascii="宋体" w:hAnsi="宋体"/>
          <w:szCs w:val="21"/>
          <w:lang w:val="en-US" w:eastAsia="zh-CN"/>
        </w:rPr>
        <w:t>3</w:t>
      </w:r>
      <w:r>
        <w:rPr>
          <w:rFonts w:hint="eastAsia" w:ascii="宋体" w:hAnsi="宋体"/>
          <w:szCs w:val="21"/>
        </w:rPr>
        <w:t xml:space="preserve">  磋商（采购人将对磋商过程进行记录，以存档备查）。</w:t>
      </w:r>
    </w:p>
    <w:p w14:paraId="5B1FA711">
      <w:pPr>
        <w:pStyle w:val="62"/>
        <w:numPr>
          <w:ilvl w:val="1"/>
          <w:numId w:val="2"/>
        </w:numPr>
        <w:tabs>
          <w:tab w:val="left" w:pos="540"/>
          <w:tab w:val="clear" w:pos="992"/>
        </w:tabs>
        <w:snapToGrid w:val="0"/>
        <w:spacing w:line="360" w:lineRule="auto"/>
        <w:ind w:left="540" w:hanging="540"/>
        <w:contextualSpacing/>
        <w:jc w:val="both"/>
        <w:outlineLvl w:val="2"/>
        <w:rPr>
          <w:rFonts w:hint="eastAsia" w:hAnsi="宋体" w:cs="黑体"/>
          <w:b/>
          <w:color w:val="auto"/>
          <w:sz w:val="21"/>
          <w:szCs w:val="21"/>
        </w:rPr>
      </w:pPr>
      <w:bookmarkStart w:id="356" w:name="_Toc2705"/>
      <w:bookmarkStart w:id="357" w:name="_Toc17098"/>
      <w:bookmarkStart w:id="358" w:name="_Toc462934304"/>
      <w:bookmarkStart w:id="359" w:name="_Toc463011283"/>
      <w:bookmarkStart w:id="360" w:name="_Toc455678130"/>
      <w:bookmarkStart w:id="361" w:name="_Toc16456"/>
      <w:bookmarkStart w:id="362" w:name="_Toc8282"/>
      <w:r>
        <w:rPr>
          <w:rFonts w:hint="eastAsia" w:hAnsi="宋体" w:cs="黑体"/>
          <w:b/>
          <w:color w:val="auto"/>
          <w:sz w:val="21"/>
          <w:szCs w:val="21"/>
        </w:rPr>
        <w:t>磋商及评审成交标准</w:t>
      </w:r>
      <w:bookmarkEnd w:id="356"/>
      <w:bookmarkEnd w:id="357"/>
      <w:bookmarkEnd w:id="358"/>
      <w:bookmarkEnd w:id="359"/>
      <w:bookmarkEnd w:id="360"/>
      <w:bookmarkEnd w:id="361"/>
      <w:bookmarkEnd w:id="362"/>
    </w:p>
    <w:p w14:paraId="42E69CA1">
      <w:pPr>
        <w:snapToGrid w:val="0"/>
        <w:spacing w:line="360" w:lineRule="auto"/>
        <w:ind w:firstLine="420" w:firstLineChars="200"/>
        <w:contextualSpacing/>
        <w:rPr>
          <w:rFonts w:hint="eastAsia" w:ascii="宋体" w:hAnsi="宋体"/>
          <w:szCs w:val="21"/>
        </w:rPr>
      </w:pPr>
      <w:r>
        <w:rPr>
          <w:rFonts w:hint="eastAsia" w:ascii="宋体" w:hAnsi="宋体"/>
          <w:szCs w:val="21"/>
        </w:rPr>
        <w:t>5.3.1  磋商组织：磋商工作由磋商小组独立进行，磋商小组按照国家相关规定组建，由评审专家共3人以上单数组成，其中评审专家人数不得少于磋商小组成员总数的2/3。</w:t>
      </w:r>
    </w:p>
    <w:p w14:paraId="5BBBF4CD">
      <w:pPr>
        <w:snapToGrid w:val="0"/>
        <w:spacing w:line="360" w:lineRule="auto"/>
        <w:ind w:firstLine="420" w:firstLineChars="200"/>
        <w:contextualSpacing/>
        <w:rPr>
          <w:rFonts w:hint="eastAsia" w:ascii="宋体" w:hAnsi="宋体"/>
          <w:szCs w:val="21"/>
        </w:rPr>
      </w:pPr>
      <w:r>
        <w:rPr>
          <w:rFonts w:hint="eastAsia" w:ascii="宋体" w:hAnsi="宋体"/>
          <w:szCs w:val="21"/>
        </w:rPr>
        <w:t>5.3.2  磋商小组制定磋商文件或确认磋商文件符合政府采购政策规定，没有歧视性、排他性条款和其他违反法律法规的情况。</w:t>
      </w:r>
    </w:p>
    <w:p w14:paraId="273DDF75">
      <w:pPr>
        <w:snapToGrid w:val="0"/>
        <w:spacing w:line="360" w:lineRule="auto"/>
        <w:ind w:firstLine="420" w:firstLineChars="200"/>
        <w:contextualSpacing/>
        <w:outlineLvl w:val="3"/>
        <w:rPr>
          <w:rFonts w:hint="eastAsia" w:ascii="宋体" w:hAnsi="宋体"/>
          <w:szCs w:val="21"/>
        </w:rPr>
      </w:pPr>
      <w:r>
        <w:rPr>
          <w:rFonts w:hint="eastAsia" w:ascii="宋体" w:hAnsi="宋体"/>
          <w:szCs w:val="21"/>
        </w:rPr>
        <w:t>5.3.3  确定供应商名单。</w:t>
      </w:r>
    </w:p>
    <w:p w14:paraId="79D1C6CC">
      <w:pPr>
        <w:snapToGrid w:val="0"/>
        <w:spacing w:line="360" w:lineRule="auto"/>
        <w:ind w:firstLine="420" w:firstLineChars="200"/>
        <w:contextualSpacing/>
        <w:rPr>
          <w:rFonts w:hint="eastAsia" w:ascii="宋体" w:hAnsi="宋体"/>
          <w:szCs w:val="21"/>
        </w:rPr>
      </w:pPr>
      <w:r>
        <w:rPr>
          <w:rFonts w:hint="eastAsia" w:ascii="宋体" w:hAnsi="宋体"/>
          <w:szCs w:val="21"/>
        </w:rPr>
        <w:t>5.3.4  审查供应商的响应文件并作出评价。磋商小组按先初审、后磋商的程序对响应文件进行评审。</w:t>
      </w:r>
    </w:p>
    <w:p w14:paraId="266AA7C5">
      <w:pPr>
        <w:snapToGrid w:val="0"/>
        <w:spacing w:line="360" w:lineRule="auto"/>
        <w:ind w:firstLine="420" w:firstLineChars="200"/>
        <w:contextualSpacing/>
        <w:outlineLvl w:val="3"/>
        <w:rPr>
          <w:rFonts w:hint="eastAsia" w:ascii="宋体" w:hAnsi="宋体" w:eastAsia="宋体"/>
          <w:b w:val="0"/>
          <w:bCs w:val="0"/>
          <w:szCs w:val="21"/>
          <w:lang w:eastAsia="zh-CN"/>
        </w:rPr>
      </w:pPr>
      <w:r>
        <w:rPr>
          <w:rFonts w:hint="eastAsia" w:ascii="宋体" w:hAnsi="宋体"/>
          <w:b w:val="0"/>
          <w:bCs w:val="0"/>
          <w:szCs w:val="21"/>
        </w:rPr>
        <w:t>5.3.5</w:t>
      </w:r>
      <w:r>
        <w:rPr>
          <w:rFonts w:hint="eastAsia" w:ascii="宋体" w:hAnsi="宋体"/>
          <w:b w:val="0"/>
          <w:bCs w:val="0"/>
          <w:szCs w:val="21"/>
          <w:lang w:val="en-US" w:eastAsia="zh-CN"/>
        </w:rPr>
        <w:t xml:space="preserve"> </w:t>
      </w:r>
      <w:r>
        <w:rPr>
          <w:rFonts w:hint="eastAsia" w:ascii="宋体" w:hAnsi="宋体"/>
          <w:b w:val="0"/>
          <w:bCs w:val="0"/>
          <w:szCs w:val="21"/>
        </w:rPr>
        <w:t>磋商小组对响应性文件进行资格审查</w:t>
      </w:r>
      <w:r>
        <w:rPr>
          <w:rFonts w:hint="eastAsia" w:ascii="宋体" w:hAnsi="宋体"/>
          <w:b w:val="0"/>
          <w:bCs w:val="0"/>
          <w:szCs w:val="21"/>
          <w:lang w:eastAsia="zh-CN"/>
        </w:rPr>
        <w:t>：</w:t>
      </w:r>
    </w:p>
    <w:p w14:paraId="7EDC928A">
      <w:pPr>
        <w:snapToGrid w:val="0"/>
        <w:spacing w:line="360" w:lineRule="auto"/>
        <w:ind w:firstLine="420" w:firstLineChars="200"/>
        <w:contextualSpacing/>
        <w:rPr>
          <w:rFonts w:hint="eastAsia" w:ascii="宋体" w:hAnsi="宋体"/>
          <w:b w:val="0"/>
          <w:bCs w:val="0"/>
          <w:szCs w:val="21"/>
        </w:rPr>
      </w:pPr>
      <w:r>
        <w:rPr>
          <w:rFonts w:hint="eastAsia" w:ascii="宋体" w:hAnsi="宋体"/>
          <w:b w:val="0"/>
          <w:bCs w:val="0"/>
          <w:szCs w:val="21"/>
          <w:lang w:val="en-US" w:eastAsia="zh-CN"/>
        </w:rPr>
        <w:t>资格评审、形式评审、响应评审通过的响应人才能进入程序</w:t>
      </w:r>
      <w:r>
        <w:rPr>
          <w:rFonts w:hint="eastAsia" w:ascii="宋体" w:hAnsi="宋体"/>
          <w:b w:val="0"/>
          <w:bCs w:val="0"/>
          <w:szCs w:val="21"/>
        </w:rPr>
        <w:t>；</w:t>
      </w:r>
    </w:p>
    <w:p w14:paraId="02D4AB8C">
      <w:pPr>
        <w:snapToGrid w:val="0"/>
        <w:spacing w:line="360" w:lineRule="auto"/>
        <w:ind w:firstLine="420" w:firstLineChars="200"/>
        <w:contextualSpacing/>
        <w:rPr>
          <w:rFonts w:hint="eastAsia" w:ascii="宋体" w:hAnsi="宋体"/>
          <w:b/>
          <w:bCs/>
          <w:szCs w:val="21"/>
        </w:rPr>
      </w:pPr>
      <w:r>
        <w:rPr>
          <w:rFonts w:hint="eastAsia" w:ascii="宋体" w:hAnsi="宋体"/>
          <w:b/>
          <w:bCs/>
          <w:szCs w:val="21"/>
        </w:rPr>
        <w:t>5.3.6  在初审阶段，属于下列情况的响应文件将不得进入磋商阶段：作废标处理；</w:t>
      </w:r>
    </w:p>
    <w:p w14:paraId="03707501">
      <w:pPr>
        <w:pStyle w:val="17"/>
        <w:snapToGrid w:val="0"/>
        <w:spacing w:line="360" w:lineRule="auto"/>
        <w:ind w:firstLine="367" w:firstLineChars="175"/>
        <w:contextualSpacing/>
        <w:rPr>
          <w:rFonts w:hint="eastAsia" w:ascii="宋体" w:hAnsi="宋体"/>
          <w:b/>
          <w:bCs/>
          <w:szCs w:val="21"/>
        </w:rPr>
      </w:pPr>
      <w:r>
        <w:rPr>
          <w:rFonts w:hint="eastAsia" w:ascii="宋体" w:hAnsi="宋体"/>
          <w:b/>
          <w:bCs/>
          <w:szCs w:val="21"/>
        </w:rPr>
        <w:t>（1）磋商响应文件未按要求经法定代表人或其授权代表签字或盖章的；</w:t>
      </w:r>
    </w:p>
    <w:p w14:paraId="3F5C6F01">
      <w:pPr>
        <w:pStyle w:val="17"/>
        <w:snapToGrid w:val="0"/>
        <w:spacing w:line="360" w:lineRule="auto"/>
        <w:ind w:firstLine="367" w:firstLineChars="175"/>
        <w:contextualSpacing/>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2</w:t>
      </w:r>
      <w:r>
        <w:rPr>
          <w:rFonts w:hint="eastAsia" w:ascii="宋体" w:hAnsi="宋体"/>
          <w:b/>
          <w:bCs/>
          <w:szCs w:val="21"/>
        </w:rPr>
        <w:t>）磋商响应文件中有采购人不能接受的其它条件；</w:t>
      </w:r>
    </w:p>
    <w:p w14:paraId="344FE979">
      <w:pPr>
        <w:pStyle w:val="17"/>
        <w:snapToGrid w:val="0"/>
        <w:spacing w:line="360" w:lineRule="auto"/>
        <w:ind w:firstLine="367" w:firstLineChars="175"/>
        <w:contextualSpacing/>
        <w:rPr>
          <w:rFonts w:hint="eastAsia" w:ascii="宋体" w:hAnsi="宋体" w:eastAsia="宋体"/>
          <w:b/>
          <w:bCs/>
          <w:szCs w:val="21"/>
          <w:lang w:eastAsia="zh-CN"/>
        </w:rPr>
      </w:pPr>
      <w:r>
        <w:rPr>
          <w:rFonts w:hint="eastAsia" w:ascii="宋体" w:hAnsi="宋体"/>
          <w:b/>
          <w:bCs/>
          <w:szCs w:val="21"/>
        </w:rPr>
        <w:t>（</w:t>
      </w:r>
      <w:r>
        <w:rPr>
          <w:rFonts w:hint="eastAsia" w:ascii="宋体" w:hAnsi="宋体"/>
          <w:b/>
          <w:bCs/>
          <w:szCs w:val="21"/>
          <w:lang w:val="en-US" w:eastAsia="zh-CN"/>
        </w:rPr>
        <w:t>3</w:t>
      </w:r>
      <w:r>
        <w:rPr>
          <w:rFonts w:hint="eastAsia" w:ascii="宋体" w:hAnsi="宋体"/>
          <w:b/>
          <w:bCs/>
          <w:szCs w:val="21"/>
        </w:rPr>
        <w:t>）磋商资格不合格的供应商</w:t>
      </w:r>
      <w:r>
        <w:rPr>
          <w:rFonts w:hint="eastAsia" w:ascii="宋体" w:hAnsi="宋体"/>
          <w:b/>
          <w:bCs/>
          <w:szCs w:val="21"/>
          <w:lang w:eastAsia="zh-CN"/>
        </w:rPr>
        <w:t>；</w:t>
      </w:r>
    </w:p>
    <w:p w14:paraId="086C7394">
      <w:pPr>
        <w:pStyle w:val="17"/>
        <w:snapToGrid w:val="0"/>
        <w:spacing w:line="360" w:lineRule="auto"/>
        <w:ind w:firstLine="367" w:firstLineChars="175"/>
        <w:contextualSpacing/>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4</w:t>
      </w:r>
      <w:r>
        <w:rPr>
          <w:rFonts w:hint="eastAsia" w:ascii="宋体" w:hAnsi="宋体"/>
          <w:b/>
          <w:bCs/>
          <w:szCs w:val="21"/>
        </w:rPr>
        <w:t>）磋商响应文件未按照磋商文件规定要求签</w:t>
      </w:r>
      <w:r>
        <w:rPr>
          <w:rFonts w:hint="eastAsia" w:ascii="宋体" w:hAnsi="宋体"/>
          <w:b/>
          <w:bCs/>
          <w:szCs w:val="21"/>
          <w:lang w:val="en-US" w:eastAsia="zh-CN"/>
        </w:rPr>
        <w:t>字</w:t>
      </w:r>
      <w:r>
        <w:rPr>
          <w:rFonts w:hint="eastAsia" w:ascii="宋体" w:hAnsi="宋体"/>
          <w:b/>
          <w:bCs/>
          <w:szCs w:val="21"/>
        </w:rPr>
        <w:t>、盖章的；</w:t>
      </w:r>
    </w:p>
    <w:p w14:paraId="3B891B80">
      <w:pPr>
        <w:pStyle w:val="17"/>
        <w:snapToGrid w:val="0"/>
        <w:spacing w:line="360" w:lineRule="auto"/>
        <w:ind w:firstLine="367" w:firstLineChars="175"/>
        <w:contextualSpacing/>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5</w:t>
      </w:r>
      <w:r>
        <w:rPr>
          <w:rFonts w:hint="eastAsia" w:ascii="宋体" w:hAnsi="宋体"/>
          <w:b/>
          <w:bCs/>
          <w:szCs w:val="21"/>
        </w:rPr>
        <w:t>）磋商响应文件未按规定的格式填写、内容不全或字迹模糊辨认不清；</w:t>
      </w:r>
    </w:p>
    <w:p w14:paraId="04B2B5D6">
      <w:pPr>
        <w:pStyle w:val="17"/>
        <w:snapToGrid w:val="0"/>
        <w:spacing w:line="360" w:lineRule="auto"/>
        <w:contextualSpacing/>
        <w:rPr>
          <w:rFonts w:hint="eastAsia" w:ascii="宋体" w:hAnsi="宋体"/>
          <w:szCs w:val="21"/>
        </w:rPr>
      </w:pPr>
      <w:r>
        <w:rPr>
          <w:rFonts w:hint="eastAsia" w:ascii="宋体" w:hAnsi="宋体"/>
          <w:szCs w:val="21"/>
        </w:rPr>
        <w:t>5.3.</w:t>
      </w:r>
      <w:r>
        <w:rPr>
          <w:rFonts w:hint="eastAsia" w:ascii="宋体" w:hAnsi="宋体"/>
          <w:szCs w:val="21"/>
          <w:lang w:val="en-US" w:eastAsia="zh-CN"/>
        </w:rPr>
        <w:t>7</w:t>
      </w:r>
      <w:r>
        <w:rPr>
          <w:rFonts w:hint="eastAsia" w:ascii="宋体" w:hAnsi="宋体"/>
          <w:szCs w:val="21"/>
        </w:rPr>
        <w:t xml:space="preserve">  在初审阶段,磋商小组还需对供应商的磋商报价进行审核，看其是否有计算或打印上的错误。修正错误的原则如下:</w:t>
      </w:r>
    </w:p>
    <w:p w14:paraId="60C5A847">
      <w:pPr>
        <w:snapToGrid w:val="0"/>
        <w:spacing w:line="360" w:lineRule="auto"/>
        <w:ind w:left="425"/>
        <w:contextualSpacing/>
        <w:rPr>
          <w:rFonts w:hint="eastAsia" w:ascii="宋体" w:hAnsi="宋体"/>
          <w:szCs w:val="21"/>
        </w:rPr>
      </w:pPr>
      <w:bookmarkStart w:id="363" w:name="_Toc90713357"/>
      <w:bookmarkStart w:id="364" w:name="_Toc109550798"/>
      <w:bookmarkStart w:id="365" w:name="_Toc90712538"/>
      <w:bookmarkStart w:id="366" w:name="_Toc109537522"/>
      <w:r>
        <w:rPr>
          <w:rFonts w:hint="eastAsia" w:ascii="宋体" w:hAnsi="宋体"/>
          <w:szCs w:val="21"/>
          <w:lang w:eastAsia="zh-CN"/>
        </w:rPr>
        <w:t>（</w:t>
      </w:r>
      <w:r>
        <w:rPr>
          <w:rFonts w:hint="eastAsia" w:ascii="宋体" w:hAnsi="宋体"/>
          <w:szCs w:val="21"/>
        </w:rPr>
        <w:t>1）响应文件中的大写金额与小写金额不一致的，以大写金额为准；</w:t>
      </w:r>
    </w:p>
    <w:p w14:paraId="0BE15319">
      <w:pPr>
        <w:snapToGrid w:val="0"/>
        <w:spacing w:line="360" w:lineRule="auto"/>
        <w:ind w:firstLine="420" w:firstLineChars="200"/>
        <w:contextualSpacing/>
        <w:outlineLvl w:val="3"/>
        <w:rPr>
          <w:rFonts w:hint="eastAsia" w:hAnsi="宋体" w:eastAsia="宋体" w:cs="黑体"/>
          <w:color w:val="auto"/>
          <w:sz w:val="21"/>
          <w:szCs w:val="21"/>
          <w:lang w:eastAsia="zh-CN"/>
        </w:rPr>
      </w:pPr>
      <w:r>
        <w:rPr>
          <w:rFonts w:hint="eastAsia" w:ascii="宋体" w:hAnsi="宋体"/>
          <w:kern w:val="2"/>
          <w:sz w:val="21"/>
          <w:szCs w:val="21"/>
          <w:lang w:val="en-US" w:eastAsia="zh-CN" w:bidi="ar-SA"/>
        </w:rPr>
        <w:t xml:space="preserve">5.3.8  </w:t>
      </w:r>
      <w:r>
        <w:rPr>
          <w:rFonts w:hint="eastAsia" w:hAnsi="宋体" w:cs="黑体"/>
          <w:color w:val="auto"/>
          <w:sz w:val="21"/>
          <w:szCs w:val="21"/>
        </w:rPr>
        <w:t>详细磋商</w:t>
      </w:r>
      <w:r>
        <w:rPr>
          <w:rFonts w:hint="eastAsia" w:hAnsi="宋体" w:cs="黑体"/>
          <w:color w:val="auto"/>
          <w:sz w:val="21"/>
          <w:szCs w:val="21"/>
          <w:lang w:val="en-US" w:eastAsia="zh-CN"/>
        </w:rPr>
        <w:t>:</w:t>
      </w:r>
    </w:p>
    <w:p w14:paraId="4AB8F001">
      <w:pPr>
        <w:pStyle w:val="17"/>
        <w:snapToGrid w:val="0"/>
        <w:spacing w:line="360" w:lineRule="auto"/>
        <w:contextualSpacing/>
        <w:rPr>
          <w:rFonts w:hint="eastAsia" w:ascii="宋体" w:hAnsi="宋体"/>
          <w:szCs w:val="21"/>
        </w:rPr>
      </w:pPr>
      <w:r>
        <w:rPr>
          <w:rFonts w:hint="eastAsia" w:ascii="宋体" w:hAnsi="宋体"/>
          <w:szCs w:val="21"/>
        </w:rPr>
        <w:t>（1）磋商小组集中与单一供应商分别进行磋商。磋商顺序为签到逆顺序，在磋商中，磋商双方可以就磋商项目所涉及的价格、技术、服务等进行实质性磋商，但磋商的任何一方不得透露与磋商有关的其他供应商的商业秘密、技术资料、价格和其他信息，不得变动磋商文件中的其他内容。</w:t>
      </w:r>
    </w:p>
    <w:p w14:paraId="0E8940E6">
      <w:pPr>
        <w:pStyle w:val="17"/>
        <w:snapToGrid w:val="0"/>
        <w:spacing w:line="360" w:lineRule="auto"/>
        <w:contextualSpacing/>
        <w:rPr>
          <w:rFonts w:hint="eastAsia" w:ascii="宋体" w:hAnsi="宋体"/>
          <w:szCs w:val="21"/>
        </w:rPr>
      </w:pPr>
      <w:r>
        <w:rPr>
          <w:rFonts w:hint="eastAsia" w:ascii="宋体" w:hAnsi="宋体"/>
          <w:szCs w:val="21"/>
        </w:rPr>
        <w:t>（2）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24CFFCE">
      <w:pPr>
        <w:pStyle w:val="17"/>
        <w:snapToGrid w:val="0"/>
        <w:spacing w:line="360" w:lineRule="auto"/>
        <w:contextualSpacing/>
        <w:rPr>
          <w:rFonts w:hint="eastAsia" w:ascii="宋体" w:hAnsi="宋体"/>
          <w:szCs w:val="21"/>
        </w:rPr>
      </w:pPr>
      <w:r>
        <w:rPr>
          <w:rFonts w:hint="eastAsia" w:ascii="宋体" w:hAnsi="宋体"/>
          <w:szCs w:val="21"/>
        </w:rPr>
        <w:t>（3）磋商小组要求供应商澄清、说明或者更正响应文件应当以</w:t>
      </w:r>
      <w:r>
        <w:rPr>
          <w:rFonts w:hint="eastAsia" w:ascii="宋体" w:hAnsi="宋体"/>
          <w:szCs w:val="21"/>
          <w:lang w:eastAsia="zh-CN"/>
        </w:rPr>
        <w:t>电子版</w:t>
      </w:r>
      <w:r>
        <w:rPr>
          <w:rFonts w:hint="eastAsia" w:ascii="宋体" w:hAnsi="宋体"/>
          <w:szCs w:val="21"/>
        </w:rPr>
        <w:t>形式作出。供应商的澄清、说明或者更正应当由法定代表人或其授权代表签字或者加盖公章。由授权代表签字的，应当附法定代表人授权书。</w:t>
      </w:r>
    </w:p>
    <w:p w14:paraId="20CCB9E2">
      <w:pPr>
        <w:pStyle w:val="17"/>
        <w:snapToGrid w:val="0"/>
        <w:spacing w:line="360" w:lineRule="auto"/>
        <w:contextualSpacing/>
        <w:rPr>
          <w:rFonts w:hint="eastAsia" w:ascii="宋体" w:hAnsi="宋体"/>
          <w:szCs w:val="21"/>
        </w:rPr>
      </w:pPr>
      <w:r>
        <w:rPr>
          <w:rFonts w:hint="eastAsia" w:ascii="宋体" w:hAnsi="宋体"/>
          <w:szCs w:val="21"/>
        </w:rPr>
        <w:t>（4）在磋商过程中，磋商小组可以根据磋商文件和磋商情况实质性变动采购需求中的技术、服务要求以及合同草案条款，但不得变动磋商文件中的其他内容。实质性变动的内容，须经采购人代表确认。</w:t>
      </w:r>
    </w:p>
    <w:p w14:paraId="15EB0B76">
      <w:pPr>
        <w:pStyle w:val="17"/>
        <w:snapToGrid w:val="0"/>
        <w:spacing w:line="360" w:lineRule="auto"/>
        <w:contextualSpacing/>
        <w:rPr>
          <w:rFonts w:hint="eastAsia" w:ascii="宋体" w:hAnsi="宋体"/>
          <w:szCs w:val="21"/>
        </w:rPr>
      </w:pPr>
      <w:r>
        <w:rPr>
          <w:rFonts w:hint="eastAsia" w:ascii="宋体" w:hAnsi="宋体"/>
          <w:szCs w:val="21"/>
        </w:rPr>
        <w:t>对磋商文件作出的实质性变动是磋商文件的有效组成部分，磋商小组应当以</w:t>
      </w:r>
      <w:r>
        <w:rPr>
          <w:rFonts w:hint="eastAsia" w:ascii="宋体" w:hAnsi="宋体"/>
          <w:szCs w:val="21"/>
          <w:lang w:eastAsia="zh-CN"/>
        </w:rPr>
        <w:t>电子版</w:t>
      </w:r>
      <w:r>
        <w:rPr>
          <w:rFonts w:hint="eastAsia" w:ascii="宋体" w:hAnsi="宋体"/>
          <w:szCs w:val="21"/>
        </w:rPr>
        <w:t>形式同时通知所有参加磋商的供应商。</w:t>
      </w:r>
    </w:p>
    <w:p w14:paraId="1A4C02BE">
      <w:pPr>
        <w:pStyle w:val="17"/>
        <w:snapToGrid w:val="0"/>
        <w:spacing w:line="360" w:lineRule="auto"/>
        <w:contextualSpacing/>
        <w:rPr>
          <w:rFonts w:hint="eastAsia" w:ascii="宋体" w:hAnsi="宋体"/>
          <w:szCs w:val="21"/>
        </w:rPr>
      </w:pPr>
      <w:r>
        <w:rPr>
          <w:rFonts w:hint="eastAsia" w:ascii="宋体" w:hAnsi="宋体"/>
          <w:szCs w:val="21"/>
        </w:rPr>
        <w:t>（5）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254799E">
      <w:pPr>
        <w:pStyle w:val="17"/>
        <w:snapToGrid w:val="0"/>
        <w:spacing w:line="360" w:lineRule="auto"/>
        <w:contextualSpacing/>
        <w:rPr>
          <w:rFonts w:hint="eastAsia" w:ascii="宋体" w:hAnsi="宋体"/>
          <w:szCs w:val="21"/>
        </w:rPr>
      </w:pPr>
      <w:r>
        <w:rPr>
          <w:rFonts w:hint="eastAsia" w:ascii="宋体" w:hAnsi="宋体"/>
          <w:szCs w:val="21"/>
        </w:rPr>
        <w:t>（6）磋商文件能够详细列明采购标的的技术、服务要求的，磋商结束后，磋商小组应当要求所有实质性响应的供应商提交最后报价，提交最后报价的供应商可以为2家。</w:t>
      </w:r>
    </w:p>
    <w:p w14:paraId="57312128">
      <w:pPr>
        <w:pStyle w:val="17"/>
        <w:snapToGrid w:val="0"/>
        <w:spacing w:line="360" w:lineRule="auto"/>
        <w:contextualSpacing/>
        <w:rPr>
          <w:rFonts w:hint="eastAsia" w:ascii="宋体" w:hAnsi="宋体" w:eastAsia="宋体" w:cs="宋体"/>
          <w:sz w:val="21"/>
          <w:szCs w:val="21"/>
        </w:rPr>
      </w:pPr>
      <w:r>
        <w:rPr>
          <w:rFonts w:hint="eastAsia" w:ascii="宋体" w:hAnsi="宋体"/>
          <w:szCs w:val="21"/>
        </w:rPr>
        <w:t>（7）最后报价（二轮报价）【注：最后报价明显低于成本价的，供应商需做出合理说明，否则将承</w:t>
      </w:r>
      <w:r>
        <w:rPr>
          <w:rFonts w:hint="eastAsia" w:ascii="宋体" w:hAnsi="宋体" w:eastAsia="宋体" w:cs="宋体"/>
          <w:sz w:val="21"/>
          <w:szCs w:val="21"/>
        </w:rPr>
        <w:t>担不被接受的风险】。最后报价是供应商响应文件的有效组成部分。</w:t>
      </w:r>
    </w:p>
    <w:p w14:paraId="3CDA8125">
      <w:pPr>
        <w:pStyle w:val="17"/>
        <w:snapToGrid w:val="0"/>
        <w:spacing w:line="360" w:lineRule="auto"/>
        <w:contextualSpacing/>
        <w:rPr>
          <w:rFonts w:hint="eastAsia" w:ascii="宋体" w:hAnsi="宋体" w:eastAsia="宋体" w:cs="宋体"/>
          <w:sz w:val="21"/>
          <w:szCs w:val="21"/>
        </w:rPr>
      </w:pPr>
      <w:r>
        <w:rPr>
          <w:rFonts w:hint="eastAsia" w:ascii="宋体" w:hAnsi="宋体" w:eastAsia="宋体" w:cs="宋体"/>
          <w:sz w:val="21"/>
          <w:szCs w:val="21"/>
        </w:rPr>
        <w:t>情况特殊,经磋商小组根据磋商现场情况，可以要求供应商适当进行多轮报价。</w:t>
      </w:r>
    </w:p>
    <w:p w14:paraId="742505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46D22E63">
      <w:pPr>
        <w:snapToGrid w:val="0"/>
        <w:spacing w:line="360" w:lineRule="auto"/>
        <w:ind w:firstLine="411" w:firstLineChars="196"/>
        <w:contextualSpacing/>
        <w:rPr>
          <w:rFonts w:hint="eastAsia" w:ascii="宋体" w:hAnsi="宋体" w:eastAsia="宋体" w:cs="宋体"/>
          <w:b/>
          <w:color w:val="auto"/>
          <w:sz w:val="21"/>
          <w:szCs w:val="21"/>
        </w:rPr>
      </w:pPr>
      <w:r>
        <w:rPr>
          <w:rFonts w:hint="eastAsia" w:ascii="宋体" w:hAnsi="宋体" w:eastAsia="宋体" w:cs="宋体"/>
          <w:color w:val="auto"/>
          <w:sz w:val="21"/>
          <w:szCs w:val="21"/>
          <w:highlight w:val="none"/>
        </w:rPr>
        <w:t>对小型和微型企业、监狱企业、残疾人福利性单位的投标报价给予</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的扣除，用扣除后的价格参与评审。参加本项目的中小企业应当提供《中小企业声明函》（格式详见《政府采购促进中小企业发展暂行办法》）并同时提供证明材料（相关行业主管部门开具的认定意见或按照“工信部联企业[2011]300号”文件规定提供的人员、营业收入、资产总额等材料）（详见《政府采购促进中小企业发展暂行办法》）。没有提供证明材料的供应商将被视为不接受评标报价的扣除，用原投标报价参与评审。</w:t>
      </w:r>
    </w:p>
    <w:p w14:paraId="2310D420">
      <w:pPr>
        <w:snapToGrid w:val="0"/>
        <w:spacing w:line="360" w:lineRule="auto"/>
        <w:ind w:firstLine="411" w:firstLineChars="196"/>
        <w:contextualSpacing/>
        <w:outlineLvl w:val="3"/>
        <w:rPr>
          <w:rFonts w:hint="eastAsia" w:ascii="宋体" w:hAnsi="宋体" w:eastAsia="宋体"/>
          <w:color w:val="auto"/>
          <w:szCs w:val="21"/>
          <w:lang w:eastAsia="zh-CN"/>
        </w:rPr>
      </w:pPr>
      <w:r>
        <w:rPr>
          <w:rFonts w:hint="eastAsia" w:ascii="宋体" w:hAnsi="宋体"/>
          <w:b/>
          <w:color w:val="auto"/>
          <w:szCs w:val="21"/>
        </w:rPr>
        <w:t>5.3.9  成交原则</w:t>
      </w:r>
      <w:r>
        <w:rPr>
          <w:rFonts w:hint="eastAsia" w:ascii="宋体" w:hAnsi="宋体"/>
          <w:color w:val="auto"/>
          <w:szCs w:val="21"/>
          <w:lang w:val="en-US" w:eastAsia="zh-CN"/>
        </w:rPr>
        <w:t xml:space="preserve"> </w:t>
      </w:r>
    </w:p>
    <w:p w14:paraId="3E782F42">
      <w:pPr>
        <w:snapToGrid w:val="0"/>
        <w:spacing w:line="360" w:lineRule="auto"/>
        <w:ind w:firstLine="411" w:firstLineChars="196"/>
        <w:contextualSpacing/>
        <w:rPr>
          <w:rFonts w:hint="eastAsia" w:ascii="宋体" w:hAnsi="宋体"/>
          <w:bCs/>
          <w:color w:val="auto"/>
          <w:szCs w:val="21"/>
        </w:rPr>
      </w:pPr>
      <w:r>
        <w:rPr>
          <w:rFonts w:hint="eastAsia" w:ascii="宋体" w:hAnsi="宋体"/>
          <w:bCs/>
          <w:color w:val="auto"/>
          <w:szCs w:val="21"/>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6B2363A5">
      <w:pPr>
        <w:snapToGrid w:val="0"/>
        <w:spacing w:line="360" w:lineRule="auto"/>
        <w:ind w:firstLine="411" w:firstLineChars="196"/>
        <w:contextualSpacing/>
        <w:rPr>
          <w:rFonts w:hint="eastAsia" w:ascii="宋体" w:hAnsi="宋体"/>
          <w:bCs/>
          <w:color w:val="auto"/>
          <w:szCs w:val="21"/>
        </w:rPr>
      </w:pPr>
      <w:r>
        <w:rPr>
          <w:rFonts w:hint="eastAsia" w:ascii="宋体" w:hAnsi="宋体"/>
          <w:bCs/>
          <w:color w:val="auto"/>
          <w:szCs w:val="21"/>
        </w:rPr>
        <w:t>综合评分法评审标准中的分值设置应当与评审因素的量化指标相对应。磋商文件中没有规定的评审标准不得作为评审依据。评审时，磋商小组各成员应当独立对每个有效响应的文件进行评价、打分，然后汇总每个供应商每项评分因素的得分。综合评分法中的价格分统一采用低价优先法计算，即满足磋商文件要求且最后报价最低的供应商的价格为磋商基准价，其价格分为满分。其他供应商的价格分统一按照下列公式计算:</w:t>
      </w:r>
    </w:p>
    <w:p w14:paraId="5346C092">
      <w:pPr>
        <w:snapToGrid w:val="0"/>
        <w:spacing w:line="360" w:lineRule="auto"/>
        <w:ind w:firstLine="411" w:firstLineChars="196"/>
        <w:contextualSpacing/>
        <w:rPr>
          <w:rFonts w:hint="eastAsia" w:ascii="宋体" w:hAnsi="宋体"/>
          <w:bCs/>
          <w:color w:val="auto"/>
          <w:szCs w:val="21"/>
        </w:rPr>
      </w:pPr>
      <w:r>
        <w:rPr>
          <w:rFonts w:hint="eastAsia" w:ascii="宋体" w:hAnsi="宋体"/>
          <w:bCs/>
          <w:color w:val="auto"/>
          <w:szCs w:val="21"/>
        </w:rPr>
        <w:t>磋商报价得分=(磋商基准价/最后磋商报价)×价格权值×100</w:t>
      </w:r>
    </w:p>
    <w:p w14:paraId="56007867">
      <w:pPr>
        <w:snapToGrid w:val="0"/>
        <w:spacing w:line="360" w:lineRule="auto"/>
        <w:ind w:firstLine="411" w:firstLineChars="196"/>
        <w:contextualSpacing/>
        <w:rPr>
          <w:rFonts w:hint="eastAsia" w:ascii="宋体" w:hAnsi="宋体"/>
          <w:bCs/>
          <w:color w:val="auto"/>
          <w:szCs w:val="21"/>
        </w:rPr>
      </w:pPr>
      <w:r>
        <w:rPr>
          <w:rFonts w:hint="eastAsia" w:ascii="宋体" w:hAnsi="宋体"/>
          <w:bCs/>
          <w:color w:val="auto"/>
          <w:szCs w:val="21"/>
        </w:rPr>
        <w:t>综合评分法附后。</w:t>
      </w:r>
    </w:p>
    <w:p w14:paraId="494383FD">
      <w:pPr>
        <w:snapToGrid w:val="0"/>
        <w:spacing w:line="360" w:lineRule="auto"/>
        <w:ind w:firstLine="411" w:firstLineChars="196"/>
        <w:contextualSpacing/>
        <w:outlineLvl w:val="3"/>
        <w:rPr>
          <w:rFonts w:hint="eastAsia" w:ascii="宋体" w:hAnsi="宋体"/>
          <w:b/>
          <w:szCs w:val="21"/>
        </w:rPr>
      </w:pPr>
      <w:r>
        <w:rPr>
          <w:rFonts w:hint="eastAsia" w:ascii="宋体" w:hAnsi="宋体"/>
          <w:b/>
          <w:szCs w:val="21"/>
        </w:rPr>
        <w:t>5.3.10  评审报告</w:t>
      </w:r>
    </w:p>
    <w:p w14:paraId="7DEA349E">
      <w:pPr>
        <w:snapToGrid w:val="0"/>
        <w:spacing w:line="360" w:lineRule="auto"/>
        <w:ind w:firstLine="420" w:firstLineChars="200"/>
        <w:contextualSpacing/>
        <w:rPr>
          <w:rFonts w:hint="eastAsia" w:ascii="宋体" w:hAnsi="宋体"/>
          <w:szCs w:val="21"/>
        </w:rPr>
      </w:pPr>
      <w:r>
        <w:rPr>
          <w:rFonts w:hint="eastAsia" w:ascii="宋体" w:hAnsi="宋体"/>
          <w:szCs w:val="21"/>
        </w:rPr>
        <w:t>磋商</w:t>
      </w:r>
      <w:r>
        <w:rPr>
          <w:rFonts w:ascii="宋体" w:hAnsi="宋体"/>
          <w:szCs w:val="21"/>
        </w:rPr>
        <w:t>小组组应当根据评审记录和评审结果编写评审报告，其主要内容包括：</w:t>
      </w:r>
    </w:p>
    <w:p w14:paraId="5522EEB5">
      <w:pPr>
        <w:snapToGrid w:val="0"/>
        <w:spacing w:line="360" w:lineRule="auto"/>
        <w:ind w:firstLine="420" w:firstLineChars="200"/>
        <w:contextualSpacing/>
        <w:rPr>
          <w:rFonts w:ascii="宋体" w:hAnsi="宋体"/>
          <w:szCs w:val="21"/>
        </w:rPr>
      </w:pPr>
      <w:r>
        <w:rPr>
          <w:rFonts w:ascii="宋体" w:hAnsi="宋体"/>
          <w:szCs w:val="21"/>
        </w:rPr>
        <w:t>(一)邀请供应商参加采购活动的具体方式和相关情况</w:t>
      </w:r>
      <w:r>
        <w:rPr>
          <w:rFonts w:hint="eastAsia" w:ascii="宋体" w:hAnsi="宋体"/>
          <w:szCs w:val="21"/>
        </w:rPr>
        <w:t>；</w:t>
      </w:r>
    </w:p>
    <w:p w14:paraId="75D6641F">
      <w:pPr>
        <w:snapToGrid w:val="0"/>
        <w:spacing w:line="360" w:lineRule="auto"/>
        <w:ind w:firstLine="420" w:firstLineChars="200"/>
        <w:contextualSpacing/>
        <w:rPr>
          <w:rFonts w:ascii="宋体" w:hAnsi="宋体"/>
          <w:szCs w:val="21"/>
        </w:rPr>
      </w:pPr>
      <w:r>
        <w:rPr>
          <w:rFonts w:ascii="宋体" w:hAnsi="宋体"/>
          <w:szCs w:val="21"/>
        </w:rPr>
        <w:t>(二)响应文件开启日期和地点</w:t>
      </w:r>
      <w:r>
        <w:rPr>
          <w:rFonts w:hint="eastAsia" w:ascii="宋体" w:hAnsi="宋体"/>
          <w:szCs w:val="21"/>
        </w:rPr>
        <w:t>；</w:t>
      </w:r>
    </w:p>
    <w:p w14:paraId="48AA07A9">
      <w:pPr>
        <w:snapToGrid w:val="0"/>
        <w:spacing w:line="360" w:lineRule="auto"/>
        <w:ind w:firstLine="420" w:firstLineChars="200"/>
        <w:contextualSpacing/>
        <w:rPr>
          <w:rFonts w:ascii="宋体" w:hAnsi="宋体"/>
          <w:szCs w:val="21"/>
        </w:rPr>
      </w:pPr>
      <w:r>
        <w:rPr>
          <w:rFonts w:ascii="宋体" w:hAnsi="宋体"/>
          <w:szCs w:val="21"/>
        </w:rPr>
        <w:t>(三)获取磋商文件的供应商名单和磋商小组成员名单</w:t>
      </w:r>
      <w:r>
        <w:rPr>
          <w:rFonts w:hint="eastAsia" w:ascii="宋体" w:hAnsi="宋体"/>
          <w:szCs w:val="21"/>
        </w:rPr>
        <w:t>；</w:t>
      </w:r>
    </w:p>
    <w:p w14:paraId="25D6E527">
      <w:pPr>
        <w:snapToGrid w:val="0"/>
        <w:spacing w:line="360" w:lineRule="auto"/>
        <w:ind w:firstLine="420" w:firstLineChars="200"/>
        <w:contextualSpacing/>
        <w:rPr>
          <w:rFonts w:ascii="宋体" w:hAnsi="宋体"/>
          <w:szCs w:val="21"/>
        </w:rPr>
      </w:pPr>
      <w:r>
        <w:rPr>
          <w:rFonts w:ascii="宋体" w:hAnsi="宋体"/>
          <w:szCs w:val="21"/>
        </w:rPr>
        <w:t>(四)评审情况记录和说明，包括对供应商的资格审查情况、供应商响应文件评审情况、磋商情况、报价情况等</w:t>
      </w:r>
      <w:r>
        <w:rPr>
          <w:rFonts w:hint="eastAsia" w:ascii="宋体" w:hAnsi="宋体"/>
          <w:szCs w:val="21"/>
        </w:rPr>
        <w:t>；</w:t>
      </w:r>
    </w:p>
    <w:p w14:paraId="6EE90507">
      <w:pPr>
        <w:snapToGrid w:val="0"/>
        <w:spacing w:line="360" w:lineRule="auto"/>
        <w:ind w:firstLine="420" w:firstLineChars="200"/>
        <w:contextualSpacing/>
        <w:outlineLvl w:val="4"/>
        <w:rPr>
          <w:rFonts w:ascii="宋体" w:hAnsi="宋体"/>
          <w:szCs w:val="21"/>
        </w:rPr>
      </w:pPr>
      <w:r>
        <w:rPr>
          <w:rFonts w:ascii="宋体" w:hAnsi="宋体"/>
          <w:szCs w:val="21"/>
        </w:rPr>
        <w:t>(五)提出的成交候选供应商的排序名单及理由。</w:t>
      </w:r>
    </w:p>
    <w:p w14:paraId="1755DF56">
      <w:pPr>
        <w:snapToGrid w:val="0"/>
        <w:spacing w:line="360" w:lineRule="auto"/>
        <w:ind w:firstLine="420" w:firstLineChars="200"/>
        <w:contextualSpacing/>
        <w:rPr>
          <w:rFonts w:hint="eastAsia" w:ascii="宋体" w:hAnsi="宋体"/>
          <w:szCs w:val="21"/>
        </w:rPr>
      </w:pPr>
      <w:r>
        <w:rPr>
          <w:rFonts w:ascii="宋体" w:hAnsi="宋体"/>
          <w:szCs w:val="21"/>
        </w:rPr>
        <w:t>评审报告应当由</w:t>
      </w:r>
      <w:r>
        <w:rPr>
          <w:rFonts w:hint="eastAsia" w:ascii="宋体" w:hAnsi="宋体"/>
          <w:szCs w:val="21"/>
        </w:rPr>
        <w:t>磋商</w:t>
      </w:r>
      <w:r>
        <w:rPr>
          <w:rFonts w:ascii="宋体" w:hAnsi="宋体"/>
          <w:szCs w:val="21"/>
        </w:rPr>
        <w:t>小组全体人员签字认可。</w:t>
      </w:r>
      <w:r>
        <w:rPr>
          <w:rFonts w:hint="eastAsia" w:ascii="宋体" w:hAnsi="宋体"/>
          <w:szCs w:val="21"/>
        </w:rPr>
        <w:t>磋商</w:t>
      </w:r>
      <w:r>
        <w:rPr>
          <w:rFonts w:ascii="宋体" w:hAnsi="宋体"/>
          <w:szCs w:val="21"/>
        </w:rPr>
        <w:t>小组成员对评审报告有异议的，</w:t>
      </w:r>
      <w:r>
        <w:rPr>
          <w:rFonts w:hint="eastAsia" w:ascii="宋体" w:hAnsi="宋体"/>
          <w:szCs w:val="21"/>
        </w:rPr>
        <w:t>磋商</w:t>
      </w:r>
      <w:r>
        <w:rPr>
          <w:rFonts w:ascii="宋体" w:hAnsi="宋体"/>
          <w:szCs w:val="21"/>
        </w:rPr>
        <w:t>小组按照少数服从多数的原则推荐成交候选人，采购程序继续进行。对评审报告有异议的</w:t>
      </w:r>
      <w:r>
        <w:rPr>
          <w:rFonts w:hint="eastAsia" w:ascii="宋体" w:hAnsi="宋体"/>
          <w:szCs w:val="21"/>
        </w:rPr>
        <w:t>磋商</w:t>
      </w:r>
      <w:r>
        <w:rPr>
          <w:rFonts w:ascii="宋体" w:hAnsi="宋体"/>
          <w:szCs w:val="21"/>
        </w:rPr>
        <w:t>小组成员，应当在报告上签署不同意见并说明理由，由</w:t>
      </w:r>
      <w:r>
        <w:rPr>
          <w:rFonts w:hint="eastAsia" w:ascii="宋体" w:hAnsi="宋体"/>
          <w:szCs w:val="21"/>
        </w:rPr>
        <w:t>磋商</w:t>
      </w:r>
      <w:r>
        <w:rPr>
          <w:rFonts w:ascii="宋体" w:hAnsi="宋体"/>
          <w:szCs w:val="21"/>
        </w:rPr>
        <w:t>小组</w:t>
      </w:r>
      <w:r>
        <w:rPr>
          <w:rFonts w:hint="eastAsia" w:ascii="宋体" w:hAnsi="宋体"/>
          <w:szCs w:val="21"/>
          <w:lang w:eastAsia="zh-CN"/>
        </w:rPr>
        <w:t>电子版</w:t>
      </w:r>
      <w:r>
        <w:rPr>
          <w:rFonts w:ascii="宋体" w:hAnsi="宋体"/>
          <w:szCs w:val="21"/>
        </w:rPr>
        <w:t>记录相关情况。</w:t>
      </w:r>
      <w:r>
        <w:rPr>
          <w:rFonts w:hint="eastAsia" w:ascii="宋体" w:hAnsi="宋体"/>
          <w:szCs w:val="21"/>
        </w:rPr>
        <w:t>磋商</w:t>
      </w:r>
      <w:r>
        <w:rPr>
          <w:rFonts w:ascii="宋体" w:hAnsi="宋体"/>
          <w:szCs w:val="21"/>
        </w:rPr>
        <w:t>小组成员拒绝在报告上签字又不书面说明其不同意见和理由的，视为同意评审报告。</w:t>
      </w:r>
    </w:p>
    <w:p w14:paraId="06B59FE4">
      <w:pPr>
        <w:pStyle w:val="62"/>
        <w:numPr>
          <w:ilvl w:val="1"/>
          <w:numId w:val="2"/>
        </w:numPr>
        <w:tabs>
          <w:tab w:val="left" w:pos="540"/>
          <w:tab w:val="clear" w:pos="992"/>
        </w:tabs>
        <w:snapToGrid w:val="0"/>
        <w:spacing w:line="360" w:lineRule="auto"/>
        <w:ind w:left="540" w:hanging="540"/>
        <w:contextualSpacing/>
        <w:jc w:val="both"/>
        <w:outlineLvl w:val="2"/>
        <w:rPr>
          <w:rFonts w:hint="eastAsia" w:hAnsi="宋体" w:cs="黑体"/>
          <w:b/>
          <w:color w:val="auto"/>
          <w:sz w:val="21"/>
          <w:szCs w:val="21"/>
        </w:rPr>
      </w:pPr>
      <w:bookmarkStart w:id="367" w:name="_Toc463011284"/>
      <w:bookmarkStart w:id="368" w:name="_Toc428351659"/>
      <w:bookmarkStart w:id="369" w:name="_Toc455678131"/>
      <w:bookmarkStart w:id="370" w:name="_Toc24983"/>
      <w:bookmarkStart w:id="371" w:name="_Toc428276599"/>
      <w:bookmarkStart w:id="372" w:name="_Toc462934305"/>
      <w:bookmarkStart w:id="373" w:name="_Toc454788039"/>
      <w:bookmarkStart w:id="374" w:name="_Toc1210"/>
      <w:bookmarkStart w:id="375" w:name="_Toc26984"/>
      <w:bookmarkStart w:id="376" w:name="_Toc422126473"/>
      <w:bookmarkStart w:id="377" w:name="_Toc21137"/>
      <w:r>
        <w:rPr>
          <w:rFonts w:hint="eastAsia" w:hAnsi="宋体" w:cs="黑体"/>
          <w:b/>
          <w:color w:val="auto"/>
          <w:sz w:val="21"/>
          <w:szCs w:val="21"/>
        </w:rPr>
        <w:t>磋商过程的保密性</w:t>
      </w:r>
      <w:bookmarkEnd w:id="367"/>
      <w:bookmarkEnd w:id="368"/>
      <w:bookmarkEnd w:id="369"/>
      <w:bookmarkEnd w:id="370"/>
      <w:bookmarkEnd w:id="371"/>
      <w:bookmarkEnd w:id="372"/>
      <w:bookmarkEnd w:id="373"/>
      <w:bookmarkEnd w:id="374"/>
      <w:bookmarkEnd w:id="375"/>
      <w:bookmarkEnd w:id="376"/>
      <w:bookmarkEnd w:id="377"/>
    </w:p>
    <w:p w14:paraId="273414E0">
      <w:pPr>
        <w:snapToGrid w:val="0"/>
        <w:spacing w:line="360" w:lineRule="auto"/>
        <w:ind w:firstLine="420" w:firstLineChars="200"/>
        <w:contextualSpacing/>
        <w:rPr>
          <w:rFonts w:hint="eastAsia" w:ascii="宋体" w:hAnsi="宋体"/>
          <w:szCs w:val="21"/>
        </w:rPr>
      </w:pPr>
      <w:r>
        <w:rPr>
          <w:rFonts w:hint="eastAsia" w:ascii="宋体" w:hAnsi="宋体"/>
          <w:szCs w:val="21"/>
        </w:rPr>
        <w:t>5.4.1  磋商期间，直到授予成交人合同止，凡是与磋商响应文件审查、澄清、评价、比较以及推荐成交人等方面的情况，均不得向供应商或其他无关的人员透露。</w:t>
      </w:r>
    </w:p>
    <w:p w14:paraId="432572D7">
      <w:pPr>
        <w:snapToGrid w:val="0"/>
        <w:spacing w:line="360" w:lineRule="auto"/>
        <w:ind w:firstLine="420" w:firstLineChars="200"/>
        <w:contextualSpacing/>
        <w:rPr>
          <w:rFonts w:hint="eastAsia" w:ascii="宋体" w:hAnsi="宋体"/>
          <w:szCs w:val="21"/>
        </w:rPr>
      </w:pPr>
      <w:r>
        <w:rPr>
          <w:rFonts w:hint="eastAsia" w:ascii="宋体" w:hAnsi="宋体"/>
          <w:szCs w:val="21"/>
        </w:rPr>
        <w:t>5.4.2  在磋商过程中，供应商如向磋商小组成员施加任何影响，都将会导致其磋商被拒绝，政府采购监管部门将记录其不良行为。</w:t>
      </w:r>
    </w:p>
    <w:p w14:paraId="17CE2A60">
      <w:pPr>
        <w:pStyle w:val="62"/>
        <w:numPr>
          <w:ilvl w:val="1"/>
          <w:numId w:val="2"/>
        </w:numPr>
        <w:tabs>
          <w:tab w:val="left" w:pos="540"/>
          <w:tab w:val="clear" w:pos="992"/>
        </w:tabs>
        <w:snapToGrid w:val="0"/>
        <w:spacing w:line="360" w:lineRule="auto"/>
        <w:ind w:left="540" w:hanging="540"/>
        <w:contextualSpacing/>
        <w:jc w:val="both"/>
        <w:outlineLvl w:val="2"/>
        <w:rPr>
          <w:rFonts w:hint="eastAsia" w:hAnsi="宋体" w:cs="黑体"/>
          <w:b/>
          <w:color w:val="auto"/>
          <w:sz w:val="21"/>
          <w:szCs w:val="21"/>
        </w:rPr>
      </w:pPr>
      <w:bookmarkStart w:id="378" w:name="_Toc5212"/>
      <w:bookmarkStart w:id="379" w:name="_Toc463011285"/>
      <w:bookmarkStart w:id="380" w:name="_Toc455678132"/>
      <w:bookmarkStart w:id="381" w:name="_Toc30434"/>
      <w:bookmarkStart w:id="382" w:name="_Toc21281"/>
      <w:bookmarkStart w:id="383" w:name="_Toc31788"/>
      <w:bookmarkStart w:id="384" w:name="_Toc462934306"/>
      <w:r>
        <w:rPr>
          <w:rFonts w:hint="eastAsia" w:ascii="Times New Roman" w:hAnsi="宋体" w:cs="黑体"/>
          <w:b/>
          <w:color w:val="auto"/>
          <w:kern w:val="2"/>
          <w:sz w:val="21"/>
          <w:szCs w:val="21"/>
        </w:rPr>
        <w:t>终止竞争性磋商采购活动</w:t>
      </w:r>
      <w:bookmarkEnd w:id="378"/>
      <w:bookmarkEnd w:id="379"/>
      <w:bookmarkEnd w:id="380"/>
      <w:bookmarkEnd w:id="381"/>
      <w:bookmarkEnd w:id="382"/>
      <w:bookmarkEnd w:id="383"/>
      <w:bookmarkEnd w:id="384"/>
    </w:p>
    <w:p w14:paraId="791CC71F">
      <w:pPr>
        <w:pStyle w:val="17"/>
        <w:snapToGrid w:val="0"/>
        <w:spacing w:line="360" w:lineRule="auto"/>
        <w:contextualSpacing/>
        <w:rPr>
          <w:rFonts w:hint="eastAsia" w:ascii="宋体" w:hAnsi="宋体" w:eastAsia="宋体" w:cs="黑体"/>
          <w:szCs w:val="21"/>
          <w:lang w:eastAsia="zh-CN"/>
        </w:rPr>
      </w:pPr>
      <w:r>
        <w:rPr>
          <w:rFonts w:hint="eastAsia" w:ascii="宋体" w:hAnsi="宋体" w:cs="黑体"/>
          <w:szCs w:val="21"/>
        </w:rPr>
        <w:t>出现下列情形之一的，采购人或者采购代理机构应当终止竞争性磋商采购活动，发布项目终止公告并说明原因，重新开展采购活动：</w:t>
      </w:r>
    </w:p>
    <w:p w14:paraId="6D7C01B7">
      <w:pPr>
        <w:pStyle w:val="17"/>
        <w:snapToGrid w:val="0"/>
        <w:spacing w:line="360" w:lineRule="auto"/>
        <w:contextualSpacing/>
        <w:rPr>
          <w:rFonts w:hint="eastAsia" w:ascii="宋体" w:hAnsi="宋体" w:eastAsia="宋体" w:cs="黑体"/>
          <w:szCs w:val="21"/>
          <w:lang w:eastAsia="zh-CN"/>
        </w:rPr>
      </w:pPr>
      <w:r>
        <w:rPr>
          <w:rFonts w:hint="eastAsia" w:ascii="宋体" w:hAnsi="宋体" w:cs="黑体"/>
          <w:szCs w:val="21"/>
        </w:rPr>
        <w:t>　　（1）因情况变化，不再符合规定的竞争性磋商采购方式适用情形的；</w:t>
      </w:r>
    </w:p>
    <w:p w14:paraId="5FF49F09">
      <w:pPr>
        <w:pStyle w:val="17"/>
        <w:snapToGrid w:val="0"/>
        <w:spacing w:line="360" w:lineRule="auto"/>
        <w:contextualSpacing/>
        <w:outlineLvl w:val="3"/>
        <w:rPr>
          <w:rFonts w:hint="eastAsia" w:ascii="宋体" w:hAnsi="宋体" w:cs="黑体"/>
          <w:szCs w:val="21"/>
        </w:rPr>
      </w:pPr>
      <w:r>
        <w:rPr>
          <w:rFonts w:hint="eastAsia" w:ascii="宋体" w:hAnsi="宋体" w:cs="黑体"/>
          <w:szCs w:val="21"/>
        </w:rPr>
        <w:t>　　（2）出现影响采购公正的违法、违规行为的；</w:t>
      </w:r>
    </w:p>
    <w:bookmarkEnd w:id="363"/>
    <w:bookmarkEnd w:id="364"/>
    <w:bookmarkEnd w:id="365"/>
    <w:bookmarkEnd w:id="366"/>
    <w:p w14:paraId="664A01AA">
      <w:pPr>
        <w:pStyle w:val="62"/>
        <w:numPr>
          <w:ilvl w:val="1"/>
          <w:numId w:val="2"/>
        </w:numPr>
        <w:tabs>
          <w:tab w:val="left" w:pos="540"/>
          <w:tab w:val="clear" w:pos="992"/>
        </w:tabs>
        <w:snapToGrid w:val="0"/>
        <w:spacing w:line="360" w:lineRule="auto"/>
        <w:ind w:left="540" w:hanging="540"/>
        <w:contextualSpacing/>
        <w:jc w:val="both"/>
        <w:outlineLvl w:val="2"/>
        <w:rPr>
          <w:rFonts w:hint="eastAsia" w:ascii="Times New Roman" w:hAnsi="宋体" w:cs="黑体"/>
          <w:b/>
          <w:color w:val="auto"/>
          <w:kern w:val="2"/>
          <w:sz w:val="21"/>
          <w:szCs w:val="21"/>
        </w:rPr>
      </w:pPr>
      <w:bookmarkStart w:id="385" w:name="_Toc28018"/>
      <w:bookmarkStart w:id="386" w:name="_Toc7308"/>
      <w:bookmarkStart w:id="387" w:name="_Toc12985"/>
      <w:bookmarkStart w:id="388" w:name="_Toc463011286"/>
      <w:bookmarkStart w:id="389" w:name="_Toc454788040"/>
      <w:bookmarkStart w:id="390" w:name="_Toc428276600"/>
      <w:bookmarkStart w:id="391" w:name="_Toc462934307"/>
      <w:bookmarkStart w:id="392" w:name="_Toc13909"/>
      <w:bookmarkStart w:id="393" w:name="_Toc428351660"/>
      <w:bookmarkStart w:id="394" w:name="_Toc455678133"/>
      <w:r>
        <w:rPr>
          <w:rFonts w:hint="eastAsia" w:ascii="Times New Roman" w:hAnsi="宋体" w:cs="黑体"/>
          <w:b/>
          <w:color w:val="auto"/>
          <w:kern w:val="2"/>
          <w:sz w:val="21"/>
          <w:szCs w:val="21"/>
        </w:rPr>
        <w:t>确定成交人</w:t>
      </w:r>
      <w:bookmarkEnd w:id="385"/>
      <w:bookmarkEnd w:id="386"/>
      <w:bookmarkEnd w:id="387"/>
      <w:bookmarkEnd w:id="388"/>
      <w:bookmarkEnd w:id="389"/>
      <w:bookmarkEnd w:id="390"/>
      <w:bookmarkEnd w:id="391"/>
      <w:bookmarkEnd w:id="392"/>
      <w:bookmarkEnd w:id="393"/>
      <w:bookmarkEnd w:id="394"/>
    </w:p>
    <w:p w14:paraId="280D2E5F">
      <w:pPr>
        <w:snapToGrid w:val="0"/>
        <w:spacing w:line="360" w:lineRule="auto"/>
        <w:ind w:firstLine="411" w:firstLineChars="196"/>
        <w:contextualSpacing/>
        <w:rPr>
          <w:rFonts w:hint="eastAsia" w:ascii="宋体" w:hAnsi="宋体"/>
          <w:szCs w:val="21"/>
        </w:rPr>
      </w:pPr>
      <w:r>
        <w:rPr>
          <w:rFonts w:hint="eastAsia" w:ascii="宋体" w:hAnsi="宋体"/>
          <w:szCs w:val="21"/>
        </w:rPr>
        <w:t>5.6.1  采购代理机构应当在磋商结束后2个工作日内将评审报告送采购人。采购人应当在收到评审报告后5个工作日内，按照磋商评审报告中推荐的成交候选人顺序确定成交人，并将结果通知未成交供应商。</w:t>
      </w:r>
    </w:p>
    <w:p w14:paraId="1D6D214A">
      <w:pPr>
        <w:snapToGrid w:val="0"/>
        <w:spacing w:line="360" w:lineRule="auto"/>
        <w:ind w:firstLine="420" w:firstLineChars="200"/>
        <w:contextualSpacing/>
        <w:rPr>
          <w:rFonts w:hint="eastAsia" w:ascii="宋体" w:hAnsi="宋体"/>
          <w:szCs w:val="21"/>
        </w:rPr>
      </w:pPr>
      <w:r>
        <w:rPr>
          <w:rFonts w:hint="eastAsia" w:ascii="宋体" w:hAnsi="宋体"/>
          <w:szCs w:val="21"/>
        </w:rPr>
        <w:t>5.6.2  采购人也可以书面授权磋商小组直接确定成交供应商。磋商小组直接确定成交供应商的应在磋商文件中写明。</w:t>
      </w:r>
    </w:p>
    <w:p w14:paraId="5A683F81">
      <w:pPr>
        <w:pStyle w:val="62"/>
        <w:numPr>
          <w:ilvl w:val="1"/>
          <w:numId w:val="2"/>
        </w:numPr>
        <w:tabs>
          <w:tab w:val="left" w:pos="540"/>
          <w:tab w:val="clear" w:pos="992"/>
        </w:tabs>
        <w:snapToGrid w:val="0"/>
        <w:spacing w:line="360" w:lineRule="auto"/>
        <w:ind w:left="540" w:hanging="540"/>
        <w:contextualSpacing/>
        <w:jc w:val="both"/>
        <w:outlineLvl w:val="2"/>
        <w:rPr>
          <w:rFonts w:hint="eastAsia" w:ascii="Times New Roman" w:hAnsi="宋体" w:cs="黑体"/>
          <w:b/>
          <w:color w:val="auto"/>
          <w:kern w:val="2"/>
          <w:sz w:val="21"/>
          <w:szCs w:val="21"/>
        </w:rPr>
      </w:pPr>
      <w:bookmarkStart w:id="395" w:name="_Toc428276601"/>
      <w:bookmarkStart w:id="396" w:name="_Toc454788041"/>
      <w:bookmarkStart w:id="397" w:name="_Toc422126474"/>
      <w:bookmarkStart w:id="398" w:name="_Toc428351661"/>
      <w:bookmarkStart w:id="399" w:name="_Toc455678134"/>
      <w:bookmarkStart w:id="400" w:name="_Toc15190"/>
      <w:bookmarkStart w:id="401" w:name="_Toc991"/>
      <w:bookmarkStart w:id="402" w:name="_Toc462934308"/>
      <w:bookmarkStart w:id="403" w:name="_Toc463011287"/>
      <w:bookmarkStart w:id="404" w:name="_Toc6610"/>
      <w:bookmarkStart w:id="405" w:name="_Toc2677"/>
      <w:r>
        <w:rPr>
          <w:rFonts w:hint="eastAsia" w:ascii="Times New Roman" w:hAnsi="宋体" w:cs="黑体"/>
          <w:b/>
          <w:color w:val="auto"/>
          <w:kern w:val="2"/>
          <w:sz w:val="21"/>
          <w:szCs w:val="21"/>
        </w:rPr>
        <w:t>成交结果</w:t>
      </w:r>
      <w:bookmarkEnd w:id="395"/>
      <w:bookmarkEnd w:id="396"/>
      <w:bookmarkEnd w:id="397"/>
      <w:bookmarkEnd w:id="398"/>
      <w:bookmarkEnd w:id="399"/>
      <w:r>
        <w:rPr>
          <w:rFonts w:hint="eastAsia" w:ascii="Times New Roman" w:hAnsi="宋体" w:cs="黑体"/>
          <w:b/>
          <w:color w:val="auto"/>
          <w:kern w:val="2"/>
          <w:sz w:val="21"/>
          <w:szCs w:val="21"/>
        </w:rPr>
        <w:t>公告</w:t>
      </w:r>
      <w:bookmarkEnd w:id="400"/>
      <w:bookmarkEnd w:id="401"/>
      <w:bookmarkEnd w:id="402"/>
      <w:bookmarkEnd w:id="403"/>
      <w:bookmarkEnd w:id="404"/>
      <w:bookmarkEnd w:id="405"/>
    </w:p>
    <w:p w14:paraId="0224D4A0">
      <w:pPr>
        <w:snapToGrid w:val="0"/>
        <w:spacing w:line="360" w:lineRule="auto"/>
        <w:ind w:firstLine="411" w:firstLineChars="196"/>
        <w:contextualSpacing/>
        <w:rPr>
          <w:rFonts w:hint="eastAsia" w:ascii="宋体" w:hAnsi="宋体"/>
          <w:szCs w:val="21"/>
        </w:rPr>
      </w:pPr>
      <w:r>
        <w:rPr>
          <w:rFonts w:hint="eastAsia" w:ascii="宋体" w:hAnsi="宋体"/>
          <w:szCs w:val="21"/>
        </w:rPr>
        <w:t>5.7.1  采购人应当在成交人确定后2个工作日内，在</w:t>
      </w:r>
      <w:r>
        <w:rPr>
          <w:rFonts w:hint="eastAsia" w:ascii="宋体" w:hAnsi="宋体"/>
        </w:rPr>
        <w:t>公告发布的同一媒介</w:t>
      </w:r>
      <w:r>
        <w:rPr>
          <w:rFonts w:hint="eastAsia" w:ascii="宋体" w:hAnsi="宋体"/>
          <w:szCs w:val="21"/>
        </w:rPr>
        <w:t>上公告成交结果，同时向成交供应商发出成交通知书，并将磋商文件随成交结果同时公告。</w:t>
      </w:r>
    </w:p>
    <w:p w14:paraId="29936EBC">
      <w:pPr>
        <w:snapToGrid w:val="0"/>
        <w:spacing w:line="360" w:lineRule="auto"/>
        <w:ind w:firstLine="420" w:firstLineChars="200"/>
        <w:contextualSpacing/>
        <w:rPr>
          <w:sz w:val="18"/>
          <w:szCs w:val="18"/>
        </w:rPr>
      </w:pPr>
      <w:bookmarkStart w:id="406" w:name="_Toc270604607"/>
      <w:r>
        <w:rPr>
          <w:rFonts w:hint="eastAsia" w:ascii="宋体" w:hAnsi="宋体"/>
          <w:szCs w:val="21"/>
        </w:rPr>
        <w:t>5.7.2  成交结果公告内容应当包括采购人和采购代理机构的名称、地址、联系方式，项目名称和项目编号，成交供应商名称、地址和成交金额，主要成交标的的名称、数量、单价、服务要求或标的的基本概况以及磋商小组名单</w:t>
      </w:r>
      <w:bookmarkEnd w:id="355"/>
      <w:bookmarkEnd w:id="406"/>
      <w:r>
        <w:rPr>
          <w:rFonts w:hint="eastAsia" w:hAnsi="宋体" w:cs="黑体"/>
          <w:szCs w:val="21"/>
        </w:rPr>
        <w:t>。</w:t>
      </w:r>
    </w:p>
    <w:p w14:paraId="1B6311D8">
      <w:pPr>
        <w:pStyle w:val="62"/>
        <w:numPr>
          <w:ilvl w:val="0"/>
          <w:numId w:val="2"/>
        </w:numPr>
        <w:tabs>
          <w:tab w:val="left" w:pos="360"/>
          <w:tab w:val="clear" w:pos="425"/>
        </w:tabs>
        <w:snapToGrid w:val="0"/>
        <w:spacing w:line="360" w:lineRule="auto"/>
        <w:contextualSpacing/>
        <w:jc w:val="both"/>
        <w:outlineLvl w:val="1"/>
        <w:rPr>
          <w:rFonts w:hint="eastAsia" w:hAnsi="宋体" w:cs="黑体"/>
          <w:b/>
          <w:color w:val="auto"/>
        </w:rPr>
      </w:pPr>
      <w:bookmarkStart w:id="407" w:name="_Toc269470334"/>
      <w:bookmarkStart w:id="408" w:name="_Toc8124"/>
      <w:bookmarkStart w:id="409" w:name="_Toc428351664"/>
      <w:bookmarkStart w:id="410" w:name="_Toc277149397"/>
      <w:bookmarkStart w:id="411" w:name="_Toc270604836"/>
      <w:bookmarkStart w:id="412" w:name="_Toc428276604"/>
      <w:bookmarkStart w:id="413" w:name="_Toc28338"/>
      <w:bookmarkStart w:id="414" w:name="_Toc454788044"/>
      <w:bookmarkStart w:id="415" w:name="_Toc27236"/>
      <w:bookmarkStart w:id="416" w:name="_Toc270604609"/>
      <w:r>
        <w:rPr>
          <w:rFonts w:hint="eastAsia" w:hAnsi="宋体" w:cs="黑体"/>
          <w:b/>
          <w:color w:val="auto"/>
        </w:rPr>
        <w:t>合同授予</w:t>
      </w:r>
      <w:bookmarkEnd w:id="407"/>
      <w:bookmarkEnd w:id="408"/>
      <w:bookmarkEnd w:id="409"/>
      <w:bookmarkEnd w:id="410"/>
      <w:bookmarkEnd w:id="411"/>
      <w:bookmarkEnd w:id="412"/>
      <w:bookmarkEnd w:id="413"/>
      <w:bookmarkEnd w:id="414"/>
      <w:bookmarkEnd w:id="415"/>
      <w:bookmarkEnd w:id="416"/>
    </w:p>
    <w:p w14:paraId="1E617B0E">
      <w:pPr>
        <w:pStyle w:val="62"/>
        <w:numPr>
          <w:ilvl w:val="1"/>
          <w:numId w:val="2"/>
        </w:numPr>
        <w:tabs>
          <w:tab w:val="left" w:pos="540"/>
          <w:tab w:val="clear" w:pos="992"/>
        </w:tabs>
        <w:snapToGrid w:val="0"/>
        <w:spacing w:line="360" w:lineRule="auto"/>
        <w:ind w:left="540" w:hanging="540"/>
        <w:contextualSpacing/>
        <w:jc w:val="both"/>
        <w:outlineLvl w:val="2"/>
        <w:rPr>
          <w:rFonts w:hint="eastAsia" w:hAnsi="宋体" w:cs="黑体"/>
          <w:b/>
          <w:color w:val="auto"/>
        </w:rPr>
      </w:pPr>
      <w:bookmarkStart w:id="417" w:name="_Toc3734"/>
      <w:bookmarkStart w:id="418" w:name="_Toc462934310"/>
      <w:bookmarkStart w:id="419" w:name="_Toc13505"/>
      <w:bookmarkStart w:id="420" w:name="_Toc11152"/>
      <w:bookmarkStart w:id="421" w:name="_Toc455678136"/>
      <w:bookmarkStart w:id="422" w:name="_Toc463011289"/>
      <w:bookmarkStart w:id="423" w:name="_Toc18026"/>
      <w:r>
        <w:rPr>
          <w:rFonts w:hint="eastAsia" w:ascii="Times New Roman" w:hAnsi="宋体" w:cs="黑体"/>
          <w:b/>
          <w:color w:val="auto"/>
          <w:kern w:val="2"/>
          <w:sz w:val="21"/>
          <w:szCs w:val="21"/>
        </w:rPr>
        <w:t>成交通知</w:t>
      </w:r>
      <w:bookmarkEnd w:id="417"/>
      <w:bookmarkEnd w:id="418"/>
      <w:bookmarkEnd w:id="419"/>
      <w:bookmarkEnd w:id="420"/>
      <w:bookmarkEnd w:id="421"/>
      <w:bookmarkEnd w:id="422"/>
      <w:bookmarkEnd w:id="423"/>
    </w:p>
    <w:p w14:paraId="0376EEC4">
      <w:pPr>
        <w:snapToGrid w:val="0"/>
        <w:spacing w:line="360" w:lineRule="auto"/>
        <w:ind w:firstLine="420" w:firstLineChars="200"/>
        <w:contextualSpacing/>
        <w:rPr>
          <w:rFonts w:ascii="宋体" w:hAnsi="宋体"/>
          <w:szCs w:val="21"/>
        </w:rPr>
      </w:pPr>
      <w:r>
        <w:rPr>
          <w:rFonts w:hint="eastAsia" w:ascii="宋体" w:hAnsi="宋体"/>
          <w:szCs w:val="21"/>
        </w:rPr>
        <w:t>成交结果公示的同时，采购人以</w:t>
      </w:r>
      <w:r>
        <w:rPr>
          <w:rFonts w:hint="eastAsia" w:ascii="宋体" w:hAnsi="宋体"/>
          <w:szCs w:val="21"/>
          <w:lang w:eastAsia="zh-CN"/>
        </w:rPr>
        <w:t>电子版</w:t>
      </w:r>
      <w:r>
        <w:rPr>
          <w:rFonts w:hint="eastAsia" w:ascii="宋体" w:hAnsi="宋体"/>
          <w:szCs w:val="21"/>
        </w:rPr>
        <w:t xml:space="preserve">形式向供应商发出成交通知书，同时将成交结果通知未成交的供应商。 </w:t>
      </w:r>
    </w:p>
    <w:p w14:paraId="6E44B7E8">
      <w:pPr>
        <w:pStyle w:val="62"/>
        <w:numPr>
          <w:ilvl w:val="1"/>
          <w:numId w:val="2"/>
        </w:numPr>
        <w:tabs>
          <w:tab w:val="left" w:pos="540"/>
          <w:tab w:val="clear" w:pos="992"/>
        </w:tabs>
        <w:snapToGrid w:val="0"/>
        <w:spacing w:line="360" w:lineRule="auto"/>
        <w:ind w:left="540" w:hanging="540"/>
        <w:contextualSpacing/>
        <w:jc w:val="both"/>
        <w:outlineLvl w:val="2"/>
        <w:rPr>
          <w:rFonts w:hint="eastAsia" w:ascii="Times New Roman" w:hAnsi="宋体" w:cs="黑体"/>
          <w:color w:val="auto"/>
          <w:kern w:val="2"/>
          <w:sz w:val="21"/>
          <w:szCs w:val="21"/>
        </w:rPr>
      </w:pPr>
      <w:bookmarkStart w:id="424" w:name="_Toc463011290"/>
      <w:bookmarkStart w:id="425" w:name="_Toc23006"/>
      <w:bookmarkStart w:id="426" w:name="_Toc462934311"/>
      <w:bookmarkStart w:id="427" w:name="_Toc23963"/>
      <w:bookmarkStart w:id="428" w:name="_Toc11018"/>
      <w:bookmarkStart w:id="429" w:name="_Toc455678137"/>
      <w:bookmarkStart w:id="430" w:name="_Toc3516"/>
      <w:bookmarkStart w:id="431" w:name="_Toc269470335"/>
      <w:r>
        <w:rPr>
          <w:rFonts w:hint="eastAsia" w:ascii="Times New Roman" w:hAnsi="宋体" w:cs="黑体"/>
          <w:color w:val="auto"/>
          <w:kern w:val="2"/>
          <w:sz w:val="21"/>
          <w:szCs w:val="21"/>
        </w:rPr>
        <w:t>供应商的最后一轮报价为成交价，成交价即为合同价。</w:t>
      </w:r>
      <w:bookmarkEnd w:id="424"/>
      <w:bookmarkEnd w:id="425"/>
      <w:bookmarkEnd w:id="426"/>
      <w:bookmarkEnd w:id="427"/>
      <w:bookmarkEnd w:id="428"/>
      <w:bookmarkEnd w:id="429"/>
      <w:bookmarkEnd w:id="430"/>
    </w:p>
    <w:p w14:paraId="799C6263">
      <w:pPr>
        <w:pStyle w:val="62"/>
        <w:numPr>
          <w:ilvl w:val="1"/>
          <w:numId w:val="2"/>
        </w:numPr>
        <w:tabs>
          <w:tab w:val="left" w:pos="540"/>
          <w:tab w:val="clear" w:pos="992"/>
        </w:tabs>
        <w:snapToGrid w:val="0"/>
        <w:spacing w:line="360" w:lineRule="auto"/>
        <w:ind w:left="540" w:hanging="540"/>
        <w:contextualSpacing/>
        <w:jc w:val="both"/>
        <w:outlineLvl w:val="1"/>
        <w:rPr>
          <w:rFonts w:hint="eastAsia" w:hAnsi="宋体"/>
          <w:color w:val="auto"/>
          <w:kern w:val="2"/>
          <w:sz w:val="21"/>
          <w:szCs w:val="21"/>
        </w:rPr>
      </w:pPr>
      <w:bookmarkStart w:id="432" w:name="_Toc13315"/>
      <w:bookmarkStart w:id="433" w:name="_Toc29162"/>
      <w:bookmarkStart w:id="434" w:name="_Toc8636"/>
      <w:bookmarkStart w:id="435" w:name="_Toc29847"/>
      <w:bookmarkStart w:id="436" w:name="_Toc455678138"/>
      <w:bookmarkStart w:id="437" w:name="_Toc463011291"/>
      <w:bookmarkStart w:id="438" w:name="_Toc462934312"/>
      <w:r>
        <w:rPr>
          <w:rFonts w:hint="eastAsia" w:hAnsi="宋体"/>
          <w:color w:val="auto"/>
          <w:kern w:val="2"/>
          <w:sz w:val="21"/>
          <w:szCs w:val="21"/>
        </w:rPr>
        <w:t>采购人和供应商应当自成交通知书发出之日起30天内，根据竞争性磋商文件、供应商的磋商响应文件及在磋商过程中对磋商响应文件作出的澄清、解释订立书面合同。供应商无正当理由拒签合同的，采购人取消其成交资格，并追究其违约责任。</w:t>
      </w:r>
      <w:bookmarkEnd w:id="432"/>
      <w:bookmarkEnd w:id="433"/>
      <w:bookmarkEnd w:id="434"/>
      <w:bookmarkEnd w:id="435"/>
      <w:bookmarkEnd w:id="436"/>
      <w:bookmarkEnd w:id="437"/>
      <w:bookmarkEnd w:id="438"/>
    </w:p>
    <w:p w14:paraId="06DB4F92">
      <w:pPr>
        <w:pStyle w:val="62"/>
        <w:numPr>
          <w:ilvl w:val="1"/>
          <w:numId w:val="2"/>
        </w:numPr>
        <w:tabs>
          <w:tab w:val="left" w:pos="540"/>
          <w:tab w:val="clear" w:pos="992"/>
        </w:tabs>
        <w:snapToGrid w:val="0"/>
        <w:spacing w:line="360" w:lineRule="auto"/>
        <w:ind w:left="540" w:hanging="540"/>
        <w:contextualSpacing/>
        <w:jc w:val="both"/>
        <w:outlineLvl w:val="2"/>
        <w:rPr>
          <w:rFonts w:hint="eastAsia" w:ascii="Times New Roman" w:hAnsi="宋体" w:cs="黑体"/>
          <w:b/>
          <w:color w:val="auto"/>
          <w:kern w:val="2"/>
          <w:sz w:val="21"/>
          <w:szCs w:val="21"/>
        </w:rPr>
      </w:pPr>
      <w:bookmarkStart w:id="439" w:name="_Toc455678139"/>
      <w:bookmarkStart w:id="440" w:name="_Toc561"/>
      <w:bookmarkStart w:id="441" w:name="_Toc720"/>
      <w:bookmarkStart w:id="442" w:name="_Toc10798"/>
      <w:bookmarkStart w:id="443" w:name="_Toc463011292"/>
      <w:bookmarkStart w:id="444" w:name="_Toc21875"/>
      <w:bookmarkStart w:id="445" w:name="_Toc462934313"/>
      <w:r>
        <w:rPr>
          <w:rFonts w:hint="eastAsia" w:ascii="Times New Roman" w:hAnsi="宋体" w:cs="黑体"/>
          <w:b/>
          <w:color w:val="auto"/>
          <w:kern w:val="2"/>
          <w:sz w:val="21"/>
          <w:szCs w:val="21"/>
        </w:rPr>
        <w:t>履约保证金</w:t>
      </w:r>
      <w:bookmarkEnd w:id="439"/>
      <w:bookmarkEnd w:id="440"/>
      <w:bookmarkEnd w:id="441"/>
      <w:bookmarkEnd w:id="442"/>
      <w:bookmarkEnd w:id="443"/>
      <w:bookmarkEnd w:id="444"/>
      <w:bookmarkEnd w:id="445"/>
      <w:r>
        <w:rPr>
          <w:rFonts w:hint="eastAsia" w:ascii="Times New Roman" w:hAnsi="宋体" w:cs="黑体"/>
          <w:b/>
          <w:color w:val="auto"/>
          <w:kern w:val="2"/>
          <w:sz w:val="21"/>
          <w:szCs w:val="21"/>
          <w:lang w:eastAsia="zh-CN"/>
        </w:rPr>
        <w:t>和预付款</w:t>
      </w:r>
    </w:p>
    <w:bookmarkEnd w:id="431"/>
    <w:p w14:paraId="09C3E9E0">
      <w:pPr>
        <w:pStyle w:val="62"/>
        <w:numPr>
          <w:ilvl w:val="0"/>
          <w:numId w:val="0"/>
        </w:numPr>
        <w:tabs>
          <w:tab w:val="left" w:pos="360"/>
        </w:tabs>
        <w:snapToGrid w:val="0"/>
        <w:spacing w:line="360" w:lineRule="auto"/>
        <w:ind w:leftChars="0"/>
        <w:contextualSpacing/>
        <w:jc w:val="both"/>
        <w:outlineLvl w:val="3"/>
        <w:rPr>
          <w:rFonts w:hint="eastAsia" w:hAnsi="宋体" w:cs="黑体"/>
          <w:b w:val="0"/>
          <w:bCs/>
          <w:color w:val="auto"/>
          <w:sz w:val="21"/>
          <w:szCs w:val="21"/>
          <w:lang w:val="en-US" w:eastAsia="zh-CN"/>
        </w:rPr>
      </w:pPr>
      <w:bookmarkStart w:id="446" w:name="_Toc270604610"/>
      <w:bookmarkStart w:id="447" w:name="_Toc269470338"/>
      <w:bookmarkStart w:id="448" w:name="_Toc5752"/>
      <w:bookmarkStart w:id="449" w:name="_Toc25425"/>
      <w:bookmarkStart w:id="450" w:name="_Toc29799"/>
      <w:r>
        <w:rPr>
          <w:rFonts w:hint="eastAsia" w:hAnsi="宋体" w:cs="黑体"/>
          <w:b w:val="0"/>
          <w:bCs/>
          <w:color w:val="auto"/>
          <w:sz w:val="21"/>
          <w:szCs w:val="21"/>
          <w:lang w:val="en-US" w:eastAsia="zh-CN"/>
        </w:rPr>
        <w:t>6.4.1履约保证金</w:t>
      </w:r>
    </w:p>
    <w:p w14:paraId="31413637">
      <w:pPr>
        <w:pStyle w:val="62"/>
        <w:numPr>
          <w:ilvl w:val="0"/>
          <w:numId w:val="0"/>
        </w:numPr>
        <w:tabs>
          <w:tab w:val="left" w:pos="360"/>
        </w:tabs>
        <w:snapToGrid w:val="0"/>
        <w:spacing w:line="360" w:lineRule="auto"/>
        <w:ind w:leftChars="0"/>
        <w:contextualSpacing/>
        <w:jc w:val="both"/>
        <w:outlineLvl w:val="4"/>
        <w:rPr>
          <w:rFonts w:hint="eastAsia" w:hAnsi="宋体" w:cs="黑体"/>
          <w:b w:val="0"/>
          <w:bCs/>
          <w:color w:val="auto"/>
          <w:sz w:val="21"/>
          <w:szCs w:val="21"/>
        </w:rPr>
      </w:pPr>
      <w:r>
        <w:rPr>
          <w:rFonts w:hint="eastAsia" w:hAnsi="宋体" w:cs="黑体"/>
          <w:b w:val="0"/>
          <w:bCs/>
          <w:color w:val="auto"/>
          <w:sz w:val="21"/>
          <w:szCs w:val="21"/>
          <w:lang w:val="en-US" w:eastAsia="zh-CN"/>
        </w:rPr>
        <w:t>6</w:t>
      </w:r>
      <w:r>
        <w:rPr>
          <w:rFonts w:hint="eastAsia" w:hAnsi="宋体" w:cs="黑体"/>
          <w:b w:val="0"/>
          <w:bCs/>
          <w:color w:val="auto"/>
          <w:sz w:val="21"/>
          <w:szCs w:val="21"/>
        </w:rPr>
        <w:t>.</w:t>
      </w:r>
      <w:r>
        <w:rPr>
          <w:rFonts w:hint="eastAsia" w:hAnsi="宋体" w:cs="黑体"/>
          <w:b w:val="0"/>
          <w:bCs/>
          <w:color w:val="auto"/>
          <w:sz w:val="21"/>
          <w:szCs w:val="21"/>
          <w:lang w:val="en-US" w:eastAsia="zh-CN"/>
        </w:rPr>
        <w:t>4</w:t>
      </w:r>
      <w:r>
        <w:rPr>
          <w:rFonts w:hint="eastAsia" w:hAnsi="宋体" w:cs="黑体"/>
          <w:b w:val="0"/>
          <w:bCs/>
          <w:color w:val="auto"/>
          <w:sz w:val="21"/>
          <w:szCs w:val="21"/>
        </w:rPr>
        <w:t>.1</w:t>
      </w:r>
      <w:r>
        <w:rPr>
          <w:rFonts w:hint="eastAsia" w:hAnsi="宋体" w:cs="黑体"/>
          <w:b w:val="0"/>
          <w:bCs/>
          <w:color w:val="auto"/>
          <w:sz w:val="21"/>
          <w:szCs w:val="21"/>
          <w:lang w:val="en-US" w:eastAsia="zh-CN"/>
        </w:rPr>
        <w:t>.1</w:t>
      </w:r>
      <w:r>
        <w:rPr>
          <w:rFonts w:hint="eastAsia" w:hAnsi="宋体" w:cs="黑体"/>
          <w:b w:val="0"/>
          <w:bCs/>
          <w:color w:val="auto"/>
          <w:sz w:val="21"/>
          <w:szCs w:val="21"/>
        </w:rPr>
        <w:t>中标人应按照供应商须知资料表规定向采购人缴纳履约保证金。</w:t>
      </w:r>
    </w:p>
    <w:p w14:paraId="26C97A56">
      <w:pPr>
        <w:pStyle w:val="62"/>
        <w:numPr>
          <w:ilvl w:val="0"/>
          <w:numId w:val="0"/>
        </w:numPr>
        <w:tabs>
          <w:tab w:val="left" w:pos="360"/>
        </w:tabs>
        <w:snapToGrid w:val="0"/>
        <w:spacing w:line="360" w:lineRule="auto"/>
        <w:ind w:leftChars="0"/>
        <w:contextualSpacing/>
        <w:jc w:val="both"/>
        <w:outlineLvl w:val="1"/>
        <w:rPr>
          <w:rFonts w:hint="eastAsia" w:hAnsi="宋体" w:cs="黑体"/>
          <w:b w:val="0"/>
          <w:bCs/>
          <w:color w:val="auto"/>
          <w:sz w:val="21"/>
          <w:szCs w:val="21"/>
        </w:rPr>
      </w:pPr>
      <w:r>
        <w:rPr>
          <w:rFonts w:hint="eastAsia" w:hAnsi="宋体" w:cs="黑体"/>
          <w:b w:val="0"/>
          <w:bCs/>
          <w:color w:val="auto"/>
          <w:sz w:val="21"/>
          <w:szCs w:val="21"/>
          <w:lang w:val="en-US" w:eastAsia="zh-CN"/>
        </w:rPr>
        <w:t>6.4</w:t>
      </w:r>
      <w:r>
        <w:rPr>
          <w:rFonts w:hint="eastAsia" w:hAnsi="宋体" w:cs="黑体"/>
          <w:b w:val="0"/>
          <w:bCs/>
          <w:color w:val="auto"/>
          <w:sz w:val="21"/>
          <w:szCs w:val="21"/>
        </w:rPr>
        <w:t>.</w:t>
      </w:r>
      <w:r>
        <w:rPr>
          <w:rFonts w:hint="eastAsia" w:hAnsi="宋体" w:cs="黑体"/>
          <w:b w:val="0"/>
          <w:bCs/>
          <w:color w:val="auto"/>
          <w:sz w:val="21"/>
          <w:szCs w:val="21"/>
          <w:lang w:val="en-US" w:eastAsia="zh-CN"/>
        </w:rPr>
        <w:t>1.2</w:t>
      </w:r>
      <w:r>
        <w:rPr>
          <w:rFonts w:hint="eastAsia" w:hAnsi="宋体" w:cs="黑体"/>
          <w:b w:val="0"/>
          <w:bCs/>
          <w:color w:val="auto"/>
          <w:sz w:val="21"/>
          <w:szCs w:val="21"/>
        </w:rPr>
        <w:t>政府采购利用担保试点范围内的项目，除</w:t>
      </w:r>
      <w:r>
        <w:rPr>
          <w:rFonts w:hint="eastAsia" w:hAnsi="宋体" w:cs="黑体"/>
          <w:b w:val="0"/>
          <w:bCs/>
          <w:color w:val="auto"/>
          <w:sz w:val="21"/>
          <w:szCs w:val="21"/>
          <w:lang w:val="en-US" w:eastAsia="zh-CN"/>
        </w:rPr>
        <w:t>6.4.1</w:t>
      </w:r>
      <w:r>
        <w:rPr>
          <w:rFonts w:hint="eastAsia" w:hAnsi="宋体" w:cs="黑体"/>
          <w:b w:val="0"/>
          <w:bCs/>
          <w:color w:val="auto"/>
          <w:sz w:val="21"/>
          <w:szCs w:val="21"/>
        </w:rPr>
        <w:t>规定的情形外，中标人也可以按照财政部门的规定，向采购人提供合格的履约担保函。</w:t>
      </w:r>
    </w:p>
    <w:p w14:paraId="18A8C669">
      <w:pPr>
        <w:pStyle w:val="62"/>
        <w:numPr>
          <w:ilvl w:val="0"/>
          <w:numId w:val="0"/>
        </w:numPr>
        <w:tabs>
          <w:tab w:val="left" w:pos="360"/>
        </w:tabs>
        <w:snapToGrid w:val="0"/>
        <w:spacing w:line="360" w:lineRule="auto"/>
        <w:ind w:leftChars="0"/>
        <w:contextualSpacing/>
        <w:jc w:val="both"/>
        <w:outlineLvl w:val="1"/>
        <w:rPr>
          <w:rFonts w:hint="eastAsia" w:hAnsi="宋体" w:cs="黑体"/>
          <w:b w:val="0"/>
          <w:bCs/>
          <w:color w:val="auto"/>
          <w:sz w:val="21"/>
          <w:szCs w:val="21"/>
        </w:rPr>
      </w:pPr>
      <w:r>
        <w:rPr>
          <w:rFonts w:hint="eastAsia" w:hAnsi="宋体" w:cs="黑体"/>
          <w:b w:val="0"/>
          <w:bCs/>
          <w:color w:val="auto"/>
          <w:sz w:val="21"/>
          <w:szCs w:val="21"/>
          <w:lang w:val="en-US" w:eastAsia="zh-CN"/>
        </w:rPr>
        <w:t>6.4</w:t>
      </w:r>
      <w:r>
        <w:rPr>
          <w:rFonts w:hint="eastAsia" w:hAnsi="宋体" w:cs="黑体"/>
          <w:b w:val="0"/>
          <w:bCs/>
          <w:color w:val="auto"/>
          <w:sz w:val="21"/>
          <w:szCs w:val="21"/>
        </w:rPr>
        <w:t>.</w:t>
      </w:r>
      <w:r>
        <w:rPr>
          <w:rFonts w:hint="eastAsia" w:hAnsi="宋体" w:cs="黑体"/>
          <w:b w:val="0"/>
          <w:bCs/>
          <w:color w:val="auto"/>
          <w:sz w:val="21"/>
          <w:szCs w:val="21"/>
          <w:lang w:val="en-US" w:eastAsia="zh-CN"/>
        </w:rPr>
        <w:t>1.</w:t>
      </w:r>
      <w:r>
        <w:rPr>
          <w:rFonts w:hint="eastAsia" w:hAnsi="宋体" w:cs="黑体"/>
          <w:b w:val="0"/>
          <w:bCs/>
          <w:color w:val="auto"/>
          <w:sz w:val="21"/>
          <w:szCs w:val="21"/>
        </w:rPr>
        <w:t>3如果中标人没有按照上述履约保证金的规定执行，将视为放弃中标资格，中标人的投标保证金将不予退还。在此情况下，采购人可确定下一候选人为中标人，也可以重新开展采购活动。</w:t>
      </w:r>
    </w:p>
    <w:p w14:paraId="4074C162">
      <w:pPr>
        <w:pStyle w:val="62"/>
        <w:numPr>
          <w:ilvl w:val="0"/>
          <w:numId w:val="0"/>
        </w:numPr>
        <w:tabs>
          <w:tab w:val="left" w:pos="360"/>
        </w:tabs>
        <w:snapToGrid w:val="0"/>
        <w:spacing w:line="360" w:lineRule="auto"/>
        <w:ind w:leftChars="0"/>
        <w:contextualSpacing/>
        <w:jc w:val="both"/>
        <w:outlineLvl w:val="3"/>
        <w:rPr>
          <w:rFonts w:hint="eastAsia" w:hAnsi="宋体" w:cs="黑体"/>
          <w:b w:val="0"/>
          <w:bCs/>
          <w:color w:val="auto"/>
          <w:sz w:val="21"/>
          <w:szCs w:val="21"/>
        </w:rPr>
      </w:pPr>
      <w:r>
        <w:rPr>
          <w:rFonts w:hint="eastAsia" w:hAnsi="宋体" w:cs="黑体"/>
          <w:b w:val="0"/>
          <w:bCs/>
          <w:color w:val="auto"/>
          <w:sz w:val="21"/>
          <w:szCs w:val="21"/>
          <w:lang w:val="en-US" w:eastAsia="zh-CN"/>
        </w:rPr>
        <w:t>6.4.</w:t>
      </w:r>
      <w:r>
        <w:rPr>
          <w:rFonts w:hint="eastAsia" w:hAnsi="宋体" w:cs="黑体"/>
          <w:b w:val="0"/>
          <w:bCs/>
          <w:color w:val="auto"/>
          <w:sz w:val="21"/>
          <w:szCs w:val="21"/>
        </w:rPr>
        <w:t>2预付款</w:t>
      </w:r>
    </w:p>
    <w:p w14:paraId="2FDACFC0">
      <w:pPr>
        <w:pStyle w:val="62"/>
        <w:numPr>
          <w:ilvl w:val="0"/>
          <w:numId w:val="0"/>
        </w:numPr>
        <w:tabs>
          <w:tab w:val="left" w:pos="360"/>
        </w:tabs>
        <w:snapToGrid w:val="0"/>
        <w:spacing w:line="360" w:lineRule="auto"/>
        <w:ind w:leftChars="0"/>
        <w:contextualSpacing/>
        <w:jc w:val="both"/>
        <w:outlineLvl w:val="4"/>
        <w:rPr>
          <w:rFonts w:hint="eastAsia" w:hAnsi="宋体" w:cs="黑体"/>
          <w:b w:val="0"/>
          <w:bCs/>
          <w:color w:val="auto"/>
          <w:sz w:val="21"/>
          <w:szCs w:val="21"/>
        </w:rPr>
      </w:pPr>
      <w:r>
        <w:rPr>
          <w:rFonts w:hint="eastAsia" w:hAnsi="宋体" w:cs="黑体"/>
          <w:b w:val="0"/>
          <w:bCs/>
          <w:color w:val="auto"/>
          <w:sz w:val="21"/>
          <w:szCs w:val="21"/>
          <w:lang w:val="en-US" w:eastAsia="zh-CN"/>
        </w:rPr>
        <w:t>6.4.2.1</w:t>
      </w:r>
      <w:r>
        <w:rPr>
          <w:rFonts w:hint="eastAsia" w:hAnsi="宋体" w:cs="黑体"/>
          <w:b w:val="0"/>
          <w:bCs/>
          <w:color w:val="auto"/>
          <w:sz w:val="21"/>
          <w:szCs w:val="21"/>
        </w:rPr>
        <w:t>各采购单位应按照供应商须知资料表规定向中标人支付预付款。</w:t>
      </w:r>
    </w:p>
    <w:p w14:paraId="606731C4">
      <w:pPr>
        <w:pStyle w:val="62"/>
        <w:numPr>
          <w:ilvl w:val="0"/>
          <w:numId w:val="0"/>
        </w:numPr>
        <w:tabs>
          <w:tab w:val="left" w:pos="360"/>
        </w:tabs>
        <w:snapToGrid w:val="0"/>
        <w:spacing w:line="360" w:lineRule="auto"/>
        <w:ind w:leftChars="0"/>
        <w:contextualSpacing/>
        <w:jc w:val="both"/>
        <w:outlineLvl w:val="1"/>
        <w:rPr>
          <w:rFonts w:hint="eastAsia" w:hAnsi="宋体" w:cs="黑体"/>
          <w:b w:val="0"/>
          <w:bCs/>
          <w:color w:val="auto"/>
          <w:sz w:val="21"/>
          <w:szCs w:val="21"/>
        </w:rPr>
      </w:pPr>
      <w:r>
        <w:rPr>
          <w:rFonts w:hint="eastAsia" w:hAnsi="宋体" w:cs="黑体"/>
          <w:b w:val="0"/>
          <w:bCs/>
          <w:color w:val="auto"/>
          <w:sz w:val="21"/>
          <w:szCs w:val="21"/>
          <w:lang w:val="en-US" w:eastAsia="zh-CN"/>
        </w:rPr>
        <w:t>6.4.2.2</w:t>
      </w:r>
      <w:r>
        <w:rPr>
          <w:rFonts w:hint="eastAsia" w:hAnsi="宋体" w:cs="黑体"/>
          <w:b w:val="0"/>
          <w:bCs/>
          <w:color w:val="auto"/>
          <w:sz w:val="21"/>
          <w:szCs w:val="21"/>
        </w:rPr>
        <w:t>预付款比例原则上不低于合同金额的30％，与疫情防控有关采购合同最高预付款比例可达100％。</w:t>
      </w:r>
    </w:p>
    <w:p w14:paraId="63AA7B1E">
      <w:pPr>
        <w:pStyle w:val="62"/>
        <w:numPr>
          <w:ilvl w:val="0"/>
          <w:numId w:val="0"/>
        </w:numPr>
        <w:tabs>
          <w:tab w:val="left" w:pos="360"/>
        </w:tabs>
        <w:snapToGrid w:val="0"/>
        <w:spacing w:line="360" w:lineRule="auto"/>
        <w:ind w:leftChars="0"/>
        <w:contextualSpacing/>
        <w:jc w:val="both"/>
        <w:outlineLvl w:val="1"/>
        <w:rPr>
          <w:rFonts w:hint="eastAsia" w:hAnsi="宋体" w:cs="黑体"/>
          <w:b w:val="0"/>
          <w:bCs/>
          <w:color w:val="auto"/>
          <w:sz w:val="21"/>
          <w:szCs w:val="21"/>
        </w:rPr>
      </w:pPr>
      <w:r>
        <w:rPr>
          <w:rFonts w:hint="eastAsia" w:hAnsi="宋体" w:cs="黑体"/>
          <w:b w:val="0"/>
          <w:bCs/>
          <w:color w:val="auto"/>
          <w:sz w:val="21"/>
          <w:szCs w:val="21"/>
          <w:lang w:val="en-US" w:eastAsia="zh-CN"/>
        </w:rPr>
        <w:t>6.4.2.3</w:t>
      </w:r>
      <w:r>
        <w:rPr>
          <w:rFonts w:hint="eastAsia" w:hAnsi="宋体" w:cs="黑体"/>
          <w:b w:val="0"/>
          <w:bCs/>
          <w:color w:val="auto"/>
          <w:sz w:val="21"/>
          <w:szCs w:val="21"/>
        </w:rPr>
        <w:t>各采购单位可根据项目特点、供应商信用等情况，决定是否要求供应商提交电子预付款保函。疫情期间，对受疫情疫情影响严重的中小微企业应当取消预付款担保。</w:t>
      </w:r>
    </w:p>
    <w:p w14:paraId="4B20EF7B">
      <w:pPr>
        <w:pStyle w:val="62"/>
        <w:numPr>
          <w:ilvl w:val="0"/>
          <w:numId w:val="0"/>
        </w:numPr>
        <w:tabs>
          <w:tab w:val="left" w:pos="360"/>
        </w:tabs>
        <w:snapToGrid w:val="0"/>
        <w:spacing w:line="360" w:lineRule="auto"/>
        <w:ind w:leftChars="0"/>
        <w:contextualSpacing/>
        <w:jc w:val="both"/>
        <w:outlineLvl w:val="1"/>
        <w:rPr>
          <w:rFonts w:hint="eastAsia" w:hAnsi="宋体" w:cs="黑体"/>
          <w:b w:val="0"/>
          <w:bCs/>
          <w:color w:val="auto"/>
          <w:sz w:val="21"/>
          <w:szCs w:val="21"/>
        </w:rPr>
      </w:pPr>
      <w:r>
        <w:rPr>
          <w:rFonts w:hint="eastAsia" w:hAnsi="宋体" w:cs="黑体"/>
          <w:b w:val="0"/>
          <w:bCs/>
          <w:color w:val="auto"/>
          <w:sz w:val="21"/>
          <w:szCs w:val="21"/>
          <w:lang w:val="en-US" w:eastAsia="zh-CN"/>
        </w:rPr>
        <w:t>6.4.2.4</w:t>
      </w:r>
      <w:r>
        <w:rPr>
          <w:rFonts w:hint="eastAsia" w:hAnsi="宋体" w:cs="黑体"/>
          <w:b w:val="0"/>
          <w:bCs/>
          <w:color w:val="auto"/>
          <w:sz w:val="21"/>
          <w:szCs w:val="21"/>
        </w:rPr>
        <w:t>如需提供电子预付款保函，中标单位应通过商丘市公共资源交易中心电子保函平台全程网上办理，实现项目信息与保函信息的关联绑定，自动验真。</w:t>
      </w:r>
    </w:p>
    <w:p w14:paraId="76FE21A5">
      <w:pPr>
        <w:pStyle w:val="62"/>
        <w:numPr>
          <w:ilvl w:val="0"/>
          <w:numId w:val="2"/>
        </w:numPr>
        <w:tabs>
          <w:tab w:val="left" w:pos="360"/>
          <w:tab w:val="clear" w:pos="425"/>
        </w:tabs>
        <w:snapToGrid w:val="0"/>
        <w:spacing w:line="360" w:lineRule="auto"/>
        <w:contextualSpacing/>
        <w:jc w:val="both"/>
        <w:outlineLvl w:val="1"/>
        <w:rPr>
          <w:rFonts w:hAnsi="宋体" w:cs="黑体"/>
          <w:b/>
          <w:color w:val="auto"/>
        </w:rPr>
      </w:pPr>
      <w:r>
        <w:rPr>
          <w:rFonts w:hint="eastAsia" w:hAnsi="宋体" w:cs="黑体"/>
          <w:b/>
          <w:color w:val="auto"/>
        </w:rPr>
        <w:t>纪律和监督</w:t>
      </w:r>
      <w:bookmarkEnd w:id="446"/>
      <w:bookmarkEnd w:id="447"/>
      <w:bookmarkEnd w:id="448"/>
      <w:bookmarkEnd w:id="449"/>
      <w:bookmarkEnd w:id="450"/>
    </w:p>
    <w:p w14:paraId="4B13B29C">
      <w:pPr>
        <w:pStyle w:val="62"/>
        <w:numPr>
          <w:ilvl w:val="1"/>
          <w:numId w:val="2"/>
        </w:numPr>
        <w:tabs>
          <w:tab w:val="left" w:pos="540"/>
          <w:tab w:val="clear" w:pos="992"/>
        </w:tabs>
        <w:snapToGrid w:val="0"/>
        <w:spacing w:line="360" w:lineRule="auto"/>
        <w:ind w:left="540" w:hanging="540"/>
        <w:contextualSpacing/>
        <w:jc w:val="both"/>
        <w:outlineLvl w:val="2"/>
        <w:rPr>
          <w:rFonts w:ascii="Times New Roman" w:hAnsi="宋体" w:cs="黑体"/>
          <w:b/>
          <w:color w:val="auto"/>
          <w:kern w:val="2"/>
          <w:sz w:val="21"/>
          <w:szCs w:val="21"/>
        </w:rPr>
      </w:pPr>
      <w:bookmarkStart w:id="451" w:name="_Toc270604838"/>
      <w:bookmarkStart w:id="452" w:name="_Toc270604611"/>
      <w:bookmarkStart w:id="453" w:name="_Toc455678149"/>
      <w:bookmarkStart w:id="454" w:name="_Toc462934323"/>
      <w:bookmarkStart w:id="455" w:name="_Toc2717"/>
      <w:bookmarkStart w:id="456" w:name="_Toc428351666"/>
      <w:bookmarkStart w:id="457" w:name="_Toc26444"/>
      <w:bookmarkStart w:id="458" w:name="_Toc454788046"/>
      <w:bookmarkStart w:id="459" w:name="_Toc277149399"/>
      <w:bookmarkStart w:id="460" w:name="_Toc428276606"/>
      <w:bookmarkStart w:id="461" w:name="_Toc463011302"/>
      <w:bookmarkStart w:id="462" w:name="_Toc5679"/>
      <w:bookmarkStart w:id="463" w:name="_Toc269470339"/>
      <w:bookmarkStart w:id="464" w:name="_Toc13152"/>
      <w:r>
        <w:rPr>
          <w:rFonts w:hint="eastAsia" w:ascii="Times New Roman" w:hAnsi="宋体" w:cs="黑体"/>
          <w:b/>
          <w:color w:val="auto"/>
          <w:kern w:val="2"/>
          <w:sz w:val="21"/>
          <w:szCs w:val="21"/>
        </w:rPr>
        <w:t>对采购人的纪律要求</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476197BC">
      <w:pPr>
        <w:autoSpaceDE w:val="0"/>
        <w:autoSpaceDN w:val="0"/>
        <w:adjustRightInd w:val="0"/>
        <w:snapToGrid w:val="0"/>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采购人不得泄漏竞争性磋商中应当保密的情况和资料，不得与供应商串通损害国家利益、社会公共利益或者他人合法权益。</w:t>
      </w:r>
    </w:p>
    <w:p w14:paraId="110AD48C">
      <w:pPr>
        <w:pStyle w:val="62"/>
        <w:numPr>
          <w:ilvl w:val="1"/>
          <w:numId w:val="2"/>
        </w:numPr>
        <w:tabs>
          <w:tab w:val="left" w:pos="540"/>
          <w:tab w:val="clear" w:pos="992"/>
        </w:tabs>
        <w:snapToGrid w:val="0"/>
        <w:spacing w:line="360" w:lineRule="auto"/>
        <w:ind w:left="540" w:hanging="540"/>
        <w:contextualSpacing/>
        <w:jc w:val="both"/>
        <w:outlineLvl w:val="2"/>
        <w:rPr>
          <w:rFonts w:ascii="Times New Roman" w:hAnsi="宋体" w:cs="黑体"/>
          <w:b/>
          <w:color w:val="auto"/>
          <w:kern w:val="2"/>
          <w:sz w:val="21"/>
          <w:szCs w:val="21"/>
        </w:rPr>
      </w:pPr>
      <w:bookmarkStart w:id="465" w:name="_Toc1136"/>
      <w:bookmarkStart w:id="466" w:name="_Toc454788047"/>
      <w:bookmarkStart w:id="467" w:name="_Toc270604612"/>
      <w:bookmarkStart w:id="468" w:name="_Toc463011303"/>
      <w:bookmarkStart w:id="469" w:name="_Toc29716"/>
      <w:bookmarkStart w:id="470" w:name="_Toc428276607"/>
      <w:bookmarkStart w:id="471" w:name="_Toc31492"/>
      <w:bookmarkStart w:id="472" w:name="_Toc455678150"/>
      <w:bookmarkStart w:id="473" w:name="_Toc270604839"/>
      <w:bookmarkStart w:id="474" w:name="_Toc462934324"/>
      <w:bookmarkStart w:id="475" w:name="_Toc269470340"/>
      <w:bookmarkStart w:id="476" w:name="_Toc428351667"/>
      <w:bookmarkStart w:id="477" w:name="_Toc10123"/>
      <w:bookmarkStart w:id="478" w:name="_Toc277149400"/>
      <w:r>
        <w:rPr>
          <w:rFonts w:hint="eastAsia" w:ascii="Times New Roman" w:hAnsi="宋体" w:cs="黑体"/>
          <w:b/>
          <w:color w:val="auto"/>
          <w:kern w:val="2"/>
          <w:sz w:val="21"/>
          <w:szCs w:val="21"/>
        </w:rPr>
        <w:t>对供应商的纪律要求</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4A9B9617">
      <w:pPr>
        <w:autoSpaceDE w:val="0"/>
        <w:autoSpaceDN w:val="0"/>
        <w:adjustRightInd w:val="0"/>
        <w:snapToGrid w:val="0"/>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供应商不得相互串通或者与采购人串通，不得向采购人或者磋商小组成员行贿谋取成交，不得以他人名义磋商或者以其他方式弄虚作假骗取成交；供应商不得以任何方式干扰、影响磋商工作。</w:t>
      </w:r>
    </w:p>
    <w:p w14:paraId="0FB624DD">
      <w:pPr>
        <w:pStyle w:val="62"/>
        <w:numPr>
          <w:ilvl w:val="1"/>
          <w:numId w:val="2"/>
        </w:numPr>
        <w:tabs>
          <w:tab w:val="left" w:pos="540"/>
          <w:tab w:val="clear" w:pos="992"/>
        </w:tabs>
        <w:snapToGrid w:val="0"/>
        <w:spacing w:line="360" w:lineRule="auto"/>
        <w:ind w:left="540" w:hanging="540"/>
        <w:contextualSpacing/>
        <w:jc w:val="both"/>
        <w:outlineLvl w:val="2"/>
        <w:rPr>
          <w:rFonts w:ascii="Times New Roman" w:hAnsi="宋体" w:cs="黑体"/>
          <w:b/>
          <w:color w:val="auto"/>
          <w:kern w:val="2"/>
          <w:sz w:val="21"/>
          <w:szCs w:val="21"/>
        </w:rPr>
      </w:pPr>
      <w:bookmarkStart w:id="479" w:name="_Toc463011304"/>
      <w:bookmarkStart w:id="480" w:name="_Toc26052"/>
      <w:bookmarkStart w:id="481" w:name="_Toc428276608"/>
      <w:bookmarkStart w:id="482" w:name="_Toc455678151"/>
      <w:bookmarkStart w:id="483" w:name="_Toc26184"/>
      <w:bookmarkStart w:id="484" w:name="_Toc23588"/>
      <w:bookmarkStart w:id="485" w:name="_Toc270604840"/>
      <w:bookmarkStart w:id="486" w:name="_Toc7559"/>
      <w:bookmarkStart w:id="487" w:name="_Toc270604613"/>
      <w:bookmarkStart w:id="488" w:name="_Toc428351668"/>
      <w:bookmarkStart w:id="489" w:name="_Toc277149401"/>
      <w:bookmarkStart w:id="490" w:name="_Toc454788048"/>
      <w:bookmarkStart w:id="491" w:name="_Toc462934325"/>
      <w:bookmarkStart w:id="492" w:name="_Toc269470341"/>
      <w:r>
        <w:rPr>
          <w:rFonts w:hint="eastAsia" w:ascii="Times New Roman" w:hAnsi="宋体" w:cs="黑体"/>
          <w:b/>
          <w:color w:val="auto"/>
          <w:kern w:val="2"/>
          <w:sz w:val="21"/>
          <w:szCs w:val="21"/>
        </w:rPr>
        <w:t>对磋商小组成员的纪律要求</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3DE302E2">
      <w:pPr>
        <w:autoSpaceDE w:val="0"/>
        <w:autoSpaceDN w:val="0"/>
        <w:adjustRightInd w:val="0"/>
        <w:snapToGrid w:val="0"/>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磋商小组成员不得收受他人的财物或者其他好处，不得向他人透漏对磋商响应文件的评审和比较、成交候选人的推荐情况以及与磋商有关的其他情况。在磋商活动中，磋商小组成员不得擅离职守，影响磋商程序正常进行。</w:t>
      </w:r>
    </w:p>
    <w:p w14:paraId="295EE20F">
      <w:pPr>
        <w:pStyle w:val="62"/>
        <w:numPr>
          <w:ilvl w:val="1"/>
          <w:numId w:val="2"/>
        </w:numPr>
        <w:tabs>
          <w:tab w:val="left" w:pos="540"/>
          <w:tab w:val="clear" w:pos="992"/>
        </w:tabs>
        <w:snapToGrid w:val="0"/>
        <w:spacing w:line="360" w:lineRule="auto"/>
        <w:ind w:left="540" w:hanging="540"/>
        <w:contextualSpacing/>
        <w:jc w:val="both"/>
        <w:outlineLvl w:val="2"/>
        <w:rPr>
          <w:rFonts w:ascii="Times New Roman" w:hAnsi="宋体" w:cs="黑体"/>
          <w:b/>
          <w:color w:val="auto"/>
          <w:kern w:val="2"/>
          <w:sz w:val="21"/>
          <w:szCs w:val="21"/>
        </w:rPr>
      </w:pPr>
      <w:bookmarkStart w:id="493" w:name="_Toc12103"/>
      <w:bookmarkStart w:id="494" w:name="_Toc463011305"/>
      <w:bookmarkStart w:id="495" w:name="_Toc428276609"/>
      <w:bookmarkStart w:id="496" w:name="_Toc3115"/>
      <w:bookmarkStart w:id="497" w:name="_Toc428351669"/>
      <w:bookmarkStart w:id="498" w:name="_Toc277149402"/>
      <w:bookmarkStart w:id="499" w:name="_Toc14202"/>
      <w:bookmarkStart w:id="500" w:name="_Toc270604614"/>
      <w:bookmarkStart w:id="501" w:name="_Toc462934326"/>
      <w:bookmarkStart w:id="502" w:name="_Toc4673"/>
      <w:bookmarkStart w:id="503" w:name="_Toc455678152"/>
      <w:bookmarkStart w:id="504" w:name="_Toc269470342"/>
      <w:bookmarkStart w:id="505" w:name="_Toc270604841"/>
      <w:bookmarkStart w:id="506" w:name="_Toc454788049"/>
      <w:r>
        <w:rPr>
          <w:rFonts w:hint="eastAsia" w:ascii="Times New Roman" w:hAnsi="宋体" w:cs="黑体"/>
          <w:b/>
          <w:color w:val="auto"/>
          <w:kern w:val="2"/>
          <w:sz w:val="21"/>
          <w:szCs w:val="21"/>
        </w:rPr>
        <w:t>对与磋商活动有关的工作人员的纪律要求</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0FBE31FD">
      <w:pPr>
        <w:autoSpaceDE w:val="0"/>
        <w:autoSpaceDN w:val="0"/>
        <w:adjustRightInd w:val="0"/>
        <w:snapToGrid w:val="0"/>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与磋商活动有关的工作人员不得收受他人的财物或者其他好处，不得向他人透漏对磋商响应文件的评审和比较、成交候选人的推荐情况以及与磋商有关的其他情况。在磋商活动中，与磋商活动有关的工作人员不得擅离职守，影响磋商程序正常进行。</w:t>
      </w:r>
    </w:p>
    <w:p w14:paraId="21DD170E">
      <w:pPr>
        <w:pStyle w:val="62"/>
        <w:numPr>
          <w:ilvl w:val="0"/>
          <w:numId w:val="2"/>
        </w:numPr>
        <w:tabs>
          <w:tab w:val="left" w:pos="360"/>
          <w:tab w:val="clear" w:pos="425"/>
        </w:tabs>
        <w:snapToGrid w:val="0"/>
        <w:spacing w:line="360" w:lineRule="auto"/>
        <w:contextualSpacing/>
        <w:jc w:val="both"/>
        <w:outlineLvl w:val="1"/>
        <w:rPr>
          <w:rFonts w:hAnsi="宋体" w:cs="黑体"/>
          <w:b/>
          <w:color w:val="auto"/>
        </w:rPr>
      </w:pPr>
      <w:bookmarkStart w:id="507" w:name="_Toc29089"/>
      <w:bookmarkStart w:id="508" w:name="_Toc270604842"/>
      <w:bookmarkStart w:id="509" w:name="_Toc428351670"/>
      <w:bookmarkStart w:id="510" w:name="_Toc269470343"/>
      <w:bookmarkStart w:id="511" w:name="_Toc428276610"/>
      <w:bookmarkStart w:id="512" w:name="_Toc8741"/>
      <w:bookmarkStart w:id="513" w:name="_Toc277149403"/>
      <w:bookmarkStart w:id="514" w:name="_Toc270604615"/>
      <w:bookmarkStart w:id="515" w:name="_Toc759"/>
      <w:bookmarkStart w:id="516" w:name="_Toc454788050"/>
      <w:r>
        <w:rPr>
          <w:rFonts w:hint="eastAsia" w:hAnsi="宋体" w:cs="黑体"/>
          <w:b/>
          <w:color w:val="auto"/>
        </w:rPr>
        <w:t>询问、质疑和投诉</w:t>
      </w:r>
      <w:bookmarkEnd w:id="507"/>
      <w:bookmarkEnd w:id="508"/>
      <w:bookmarkEnd w:id="509"/>
      <w:bookmarkEnd w:id="510"/>
      <w:bookmarkEnd w:id="511"/>
      <w:bookmarkEnd w:id="512"/>
      <w:bookmarkEnd w:id="513"/>
      <w:bookmarkEnd w:id="514"/>
      <w:bookmarkEnd w:id="515"/>
      <w:bookmarkEnd w:id="516"/>
    </w:p>
    <w:p w14:paraId="10BA4C82">
      <w:pPr>
        <w:pStyle w:val="62"/>
        <w:numPr>
          <w:ilvl w:val="1"/>
          <w:numId w:val="2"/>
        </w:numPr>
        <w:tabs>
          <w:tab w:val="left" w:pos="540"/>
          <w:tab w:val="clear" w:pos="992"/>
        </w:tabs>
        <w:snapToGrid w:val="0"/>
        <w:spacing w:line="360" w:lineRule="auto"/>
        <w:ind w:left="0" w:firstLine="0"/>
        <w:contextualSpacing/>
        <w:jc w:val="both"/>
        <w:outlineLvl w:val="1"/>
        <w:rPr>
          <w:rFonts w:hint="eastAsia" w:ascii="Times New Roman" w:hAnsi="宋体" w:cs="黑体"/>
          <w:color w:val="auto"/>
          <w:kern w:val="2"/>
          <w:sz w:val="21"/>
          <w:szCs w:val="21"/>
        </w:rPr>
      </w:pPr>
      <w:bookmarkStart w:id="517" w:name="_Toc4972"/>
      <w:bookmarkStart w:id="518" w:name="_Toc462934328"/>
      <w:bookmarkStart w:id="519" w:name="_Toc463011307"/>
      <w:bookmarkStart w:id="520" w:name="_Toc455678154"/>
      <w:bookmarkStart w:id="521" w:name="_Toc17445"/>
      <w:bookmarkStart w:id="522" w:name="_Toc11785"/>
      <w:bookmarkStart w:id="523" w:name="_Toc19767"/>
      <w:r>
        <w:rPr>
          <w:rFonts w:hint="eastAsia" w:ascii="Times New Roman" w:hAnsi="宋体" w:cs="黑体"/>
          <w:color w:val="auto"/>
          <w:kern w:val="2"/>
          <w:sz w:val="21"/>
          <w:szCs w:val="21"/>
        </w:rPr>
        <w:t>供应商或有关当事人对磋商过程、成交结果有异议的，可以向采购人或者采购代理机构提出询问。</w:t>
      </w:r>
      <w:bookmarkEnd w:id="517"/>
      <w:bookmarkEnd w:id="518"/>
      <w:bookmarkEnd w:id="519"/>
      <w:bookmarkEnd w:id="520"/>
      <w:bookmarkEnd w:id="521"/>
      <w:bookmarkEnd w:id="522"/>
      <w:bookmarkEnd w:id="523"/>
    </w:p>
    <w:p w14:paraId="341510CA">
      <w:pPr>
        <w:pStyle w:val="62"/>
        <w:numPr>
          <w:ilvl w:val="1"/>
          <w:numId w:val="2"/>
        </w:numPr>
        <w:tabs>
          <w:tab w:val="left" w:pos="540"/>
          <w:tab w:val="clear" w:pos="992"/>
        </w:tabs>
        <w:snapToGrid w:val="0"/>
        <w:spacing w:line="360" w:lineRule="auto"/>
        <w:ind w:left="0" w:firstLine="0"/>
        <w:contextualSpacing/>
        <w:jc w:val="both"/>
        <w:outlineLvl w:val="2"/>
        <w:rPr>
          <w:rFonts w:hint="eastAsia" w:ascii="Times New Roman" w:hAnsi="宋体" w:cs="黑体"/>
          <w:color w:val="auto"/>
          <w:kern w:val="2"/>
          <w:sz w:val="21"/>
          <w:szCs w:val="21"/>
        </w:rPr>
      </w:pPr>
      <w:bookmarkStart w:id="524" w:name="_Toc27421"/>
      <w:bookmarkStart w:id="525" w:name="_Toc10991"/>
      <w:bookmarkStart w:id="526" w:name="_Toc24621"/>
      <w:bookmarkStart w:id="527" w:name="_Toc463011308"/>
      <w:bookmarkStart w:id="528" w:name="_Toc3310"/>
      <w:bookmarkStart w:id="529" w:name="_Toc455678155"/>
      <w:bookmarkStart w:id="530" w:name="_Toc462934329"/>
      <w:r>
        <w:rPr>
          <w:rFonts w:hint="eastAsia" w:ascii="Times New Roman" w:hAnsi="宋体" w:cs="黑体"/>
          <w:color w:val="auto"/>
          <w:kern w:val="2"/>
          <w:sz w:val="21"/>
          <w:szCs w:val="21"/>
        </w:rPr>
        <w:t>采购人或者采购代理机构应当在三个工作日内对供应商依法提出的询问作出答复。</w:t>
      </w:r>
      <w:bookmarkEnd w:id="524"/>
      <w:bookmarkEnd w:id="525"/>
      <w:bookmarkEnd w:id="526"/>
      <w:bookmarkEnd w:id="527"/>
      <w:bookmarkEnd w:id="528"/>
      <w:bookmarkEnd w:id="529"/>
      <w:bookmarkEnd w:id="530"/>
    </w:p>
    <w:p w14:paraId="2270BB0A">
      <w:pPr>
        <w:pStyle w:val="62"/>
        <w:numPr>
          <w:ilvl w:val="1"/>
          <w:numId w:val="2"/>
        </w:numPr>
        <w:tabs>
          <w:tab w:val="left" w:pos="540"/>
          <w:tab w:val="clear" w:pos="992"/>
        </w:tabs>
        <w:snapToGrid w:val="0"/>
        <w:spacing w:line="360" w:lineRule="auto"/>
        <w:ind w:left="0" w:firstLine="0"/>
        <w:contextualSpacing/>
        <w:jc w:val="both"/>
        <w:outlineLvl w:val="1"/>
        <w:rPr>
          <w:rFonts w:hint="eastAsia" w:ascii="Times New Roman" w:hAnsi="宋体" w:cs="黑体"/>
          <w:color w:val="auto"/>
          <w:kern w:val="2"/>
          <w:sz w:val="21"/>
          <w:szCs w:val="21"/>
        </w:rPr>
      </w:pPr>
      <w:bookmarkStart w:id="531" w:name="_Toc28381"/>
      <w:bookmarkStart w:id="532" w:name="_Toc463011309"/>
      <w:bookmarkStart w:id="533" w:name="_Toc462934330"/>
      <w:bookmarkStart w:id="534" w:name="_Toc455678156"/>
      <w:bookmarkStart w:id="535" w:name="_Toc30298"/>
      <w:bookmarkStart w:id="536" w:name="_Toc1900"/>
      <w:bookmarkStart w:id="537" w:name="_Toc13109"/>
      <w:r>
        <w:rPr>
          <w:rFonts w:ascii="Times New Roman" w:hAnsi="宋体" w:cs="黑体"/>
          <w:color w:val="auto"/>
          <w:kern w:val="2"/>
          <w:sz w:val="21"/>
          <w:szCs w:val="21"/>
        </w:rPr>
        <w:t>供应商认为</w:t>
      </w:r>
      <w:r>
        <w:rPr>
          <w:rFonts w:hint="eastAsia" w:ascii="Times New Roman" w:hAnsi="宋体" w:cs="黑体"/>
          <w:color w:val="auto"/>
          <w:kern w:val="2"/>
          <w:sz w:val="21"/>
          <w:szCs w:val="21"/>
        </w:rPr>
        <w:t>磋商</w:t>
      </w:r>
      <w:r>
        <w:rPr>
          <w:rFonts w:ascii="Times New Roman" w:hAnsi="宋体" w:cs="黑体"/>
          <w:color w:val="auto"/>
          <w:kern w:val="2"/>
          <w:sz w:val="21"/>
          <w:szCs w:val="21"/>
        </w:rPr>
        <w:t>文件、采购过程使自己的权益受到损害的，可以在知道或者应知其权益受到损害之日起七个工作日内，以书面形式向采购人提出质疑。</w:t>
      </w:r>
      <w:bookmarkEnd w:id="531"/>
      <w:bookmarkEnd w:id="532"/>
      <w:bookmarkEnd w:id="533"/>
      <w:bookmarkEnd w:id="534"/>
      <w:bookmarkEnd w:id="535"/>
      <w:bookmarkEnd w:id="536"/>
      <w:bookmarkEnd w:id="537"/>
    </w:p>
    <w:p w14:paraId="1E861F0B">
      <w:pPr>
        <w:pStyle w:val="62"/>
        <w:numPr>
          <w:ilvl w:val="1"/>
          <w:numId w:val="2"/>
        </w:numPr>
        <w:tabs>
          <w:tab w:val="left" w:pos="540"/>
          <w:tab w:val="clear" w:pos="992"/>
        </w:tabs>
        <w:snapToGrid w:val="0"/>
        <w:spacing w:line="360" w:lineRule="auto"/>
        <w:ind w:left="0" w:firstLine="0"/>
        <w:contextualSpacing/>
        <w:jc w:val="both"/>
        <w:outlineLvl w:val="1"/>
        <w:rPr>
          <w:rFonts w:hint="eastAsia" w:ascii="Times New Roman" w:hAnsi="宋体" w:cs="黑体"/>
          <w:color w:val="auto"/>
          <w:kern w:val="2"/>
          <w:sz w:val="21"/>
          <w:szCs w:val="21"/>
        </w:rPr>
      </w:pPr>
      <w:bookmarkStart w:id="538" w:name="_Toc288"/>
      <w:bookmarkStart w:id="539" w:name="_Toc462934331"/>
      <w:bookmarkStart w:id="540" w:name="_Toc463011310"/>
      <w:bookmarkStart w:id="541" w:name="_Toc20438"/>
      <w:bookmarkStart w:id="542" w:name="_Toc16614"/>
      <w:bookmarkStart w:id="543" w:name="_Toc22415"/>
      <w:r>
        <w:rPr>
          <w:rFonts w:ascii="Times New Roman" w:hAnsi="宋体" w:cs="黑体"/>
          <w:color w:val="auto"/>
          <w:kern w:val="2"/>
          <w:sz w:val="21"/>
          <w:szCs w:val="21"/>
        </w:rPr>
        <w:t>供应商认为成交结果使自己的权益受到损害的，可以在成交结果</w:t>
      </w:r>
      <w:r>
        <w:rPr>
          <w:rFonts w:hint="eastAsia" w:ascii="Times New Roman" w:hAnsi="宋体" w:cs="黑体"/>
          <w:color w:val="auto"/>
          <w:kern w:val="2"/>
          <w:sz w:val="21"/>
          <w:szCs w:val="21"/>
        </w:rPr>
        <w:t>公告期限届满之日，</w:t>
      </w:r>
      <w:r>
        <w:rPr>
          <w:rFonts w:ascii="Times New Roman" w:hAnsi="宋体" w:cs="黑体"/>
          <w:color w:val="auto"/>
          <w:kern w:val="2"/>
          <w:sz w:val="21"/>
          <w:szCs w:val="21"/>
        </w:rPr>
        <w:t>七个工作日内，以书面形式向采购人提出质疑。</w:t>
      </w:r>
      <w:bookmarkEnd w:id="538"/>
      <w:bookmarkEnd w:id="539"/>
      <w:bookmarkEnd w:id="540"/>
      <w:bookmarkEnd w:id="541"/>
      <w:bookmarkEnd w:id="542"/>
      <w:bookmarkEnd w:id="543"/>
    </w:p>
    <w:p w14:paraId="0FEED9F4">
      <w:pPr>
        <w:pStyle w:val="62"/>
        <w:numPr>
          <w:ilvl w:val="1"/>
          <w:numId w:val="2"/>
        </w:numPr>
        <w:tabs>
          <w:tab w:val="left" w:pos="540"/>
          <w:tab w:val="clear" w:pos="992"/>
        </w:tabs>
        <w:snapToGrid w:val="0"/>
        <w:spacing w:line="360" w:lineRule="auto"/>
        <w:ind w:left="0" w:firstLine="0"/>
        <w:contextualSpacing/>
        <w:jc w:val="both"/>
        <w:outlineLvl w:val="1"/>
        <w:rPr>
          <w:rFonts w:hint="eastAsia" w:ascii="Times New Roman" w:hAnsi="宋体" w:cs="黑体"/>
          <w:color w:val="auto"/>
          <w:kern w:val="2"/>
          <w:sz w:val="21"/>
          <w:szCs w:val="21"/>
        </w:rPr>
      </w:pPr>
      <w:bookmarkStart w:id="544" w:name="_Toc463011311"/>
      <w:bookmarkStart w:id="545" w:name="_Toc18469"/>
      <w:bookmarkStart w:id="546" w:name="_Toc3748"/>
      <w:bookmarkStart w:id="547" w:name="_Toc455678157"/>
      <w:bookmarkStart w:id="548" w:name="_Toc18478"/>
      <w:bookmarkStart w:id="549" w:name="_Toc462934332"/>
      <w:bookmarkStart w:id="550" w:name="_Toc5258"/>
      <w:r>
        <w:rPr>
          <w:rFonts w:ascii="Times New Roman" w:hAnsi="宋体" w:cs="黑体"/>
          <w:color w:val="auto"/>
          <w:kern w:val="2"/>
          <w:sz w:val="21"/>
          <w:szCs w:val="21"/>
        </w:rPr>
        <w:t>采购人</w:t>
      </w:r>
      <w:r>
        <w:rPr>
          <w:rFonts w:hint="eastAsia" w:ascii="Times New Roman" w:hAnsi="宋体" w:cs="黑体"/>
          <w:color w:val="auto"/>
          <w:kern w:val="2"/>
          <w:sz w:val="21"/>
          <w:szCs w:val="21"/>
        </w:rPr>
        <w:t>或者采购代理机构</w:t>
      </w:r>
      <w:r>
        <w:rPr>
          <w:rFonts w:ascii="Times New Roman" w:hAnsi="宋体" w:cs="黑体"/>
          <w:color w:val="auto"/>
          <w:kern w:val="2"/>
          <w:sz w:val="21"/>
          <w:szCs w:val="21"/>
        </w:rPr>
        <w:t>应当在收到供应商的书面质疑后七个工作日内作出答复，并以书面形式通知质疑供应商和其他有关供应商，但答复的内容不得涉及商业秘密。</w:t>
      </w:r>
      <w:bookmarkEnd w:id="544"/>
      <w:bookmarkEnd w:id="545"/>
      <w:bookmarkEnd w:id="546"/>
      <w:bookmarkEnd w:id="547"/>
      <w:bookmarkEnd w:id="548"/>
      <w:bookmarkEnd w:id="549"/>
      <w:bookmarkEnd w:id="550"/>
    </w:p>
    <w:p w14:paraId="60780040">
      <w:pPr>
        <w:pStyle w:val="62"/>
        <w:numPr>
          <w:ilvl w:val="1"/>
          <w:numId w:val="2"/>
        </w:numPr>
        <w:tabs>
          <w:tab w:val="left" w:pos="540"/>
          <w:tab w:val="clear" w:pos="992"/>
        </w:tabs>
        <w:snapToGrid w:val="0"/>
        <w:spacing w:line="360" w:lineRule="auto"/>
        <w:ind w:left="0" w:firstLine="0"/>
        <w:contextualSpacing/>
        <w:jc w:val="both"/>
        <w:outlineLvl w:val="1"/>
        <w:rPr>
          <w:rFonts w:hint="eastAsia" w:ascii="Times New Roman" w:hAnsi="宋体" w:cs="黑体"/>
          <w:color w:val="auto"/>
          <w:kern w:val="2"/>
          <w:sz w:val="21"/>
          <w:szCs w:val="21"/>
        </w:rPr>
      </w:pPr>
      <w:bookmarkStart w:id="551" w:name="_Toc26881"/>
      <w:bookmarkStart w:id="552" w:name="_Toc32745"/>
      <w:bookmarkStart w:id="553" w:name="_Toc4898"/>
      <w:bookmarkStart w:id="554" w:name="_Toc21390"/>
      <w:bookmarkStart w:id="555" w:name="_Toc463011312"/>
      <w:bookmarkStart w:id="556" w:name="_Toc455678158"/>
      <w:bookmarkStart w:id="557" w:name="_Toc462934333"/>
      <w:r>
        <w:rPr>
          <w:rFonts w:ascii="Times New Roman" w:hAnsi="宋体" w:cs="黑体"/>
          <w:color w:val="auto"/>
          <w:kern w:val="2"/>
          <w:sz w:val="21"/>
          <w:szCs w:val="21"/>
        </w:rPr>
        <w:t>质疑供应商对采购人、采购代理机构的答复不满意或者采购人、采购代理机构未在规定的时间内作出答复的，可以在答复期满后十五个工作日内向同级政府采购监督管理部门投诉。</w:t>
      </w:r>
      <w:bookmarkEnd w:id="551"/>
      <w:bookmarkEnd w:id="552"/>
      <w:bookmarkEnd w:id="553"/>
      <w:bookmarkEnd w:id="554"/>
      <w:bookmarkEnd w:id="555"/>
      <w:bookmarkEnd w:id="556"/>
      <w:bookmarkEnd w:id="557"/>
    </w:p>
    <w:p w14:paraId="5A29287D">
      <w:pPr>
        <w:pStyle w:val="62"/>
        <w:numPr>
          <w:ilvl w:val="1"/>
          <w:numId w:val="2"/>
        </w:numPr>
        <w:tabs>
          <w:tab w:val="left" w:pos="540"/>
          <w:tab w:val="clear" w:pos="992"/>
        </w:tabs>
        <w:snapToGrid w:val="0"/>
        <w:spacing w:line="360" w:lineRule="auto"/>
        <w:ind w:left="0" w:firstLine="0"/>
        <w:contextualSpacing/>
        <w:jc w:val="both"/>
        <w:outlineLvl w:val="1"/>
        <w:rPr>
          <w:rFonts w:ascii="Times New Roman" w:hAnsi="宋体" w:cs="黑体"/>
          <w:color w:val="auto"/>
          <w:kern w:val="2"/>
          <w:sz w:val="21"/>
          <w:szCs w:val="21"/>
        </w:rPr>
      </w:pPr>
      <w:bookmarkStart w:id="558" w:name="_Toc11631"/>
      <w:bookmarkStart w:id="559" w:name="_Toc11713"/>
      <w:bookmarkStart w:id="560" w:name="_Toc17682"/>
      <w:bookmarkStart w:id="561" w:name="_Toc455678159"/>
      <w:bookmarkStart w:id="562" w:name="_Toc462934334"/>
      <w:bookmarkStart w:id="563" w:name="_Toc463011313"/>
      <w:bookmarkStart w:id="564" w:name="_Toc8125"/>
      <w:r>
        <w:rPr>
          <w:rFonts w:hint="eastAsia" w:ascii="Times New Roman" w:hAnsi="宋体" w:cs="黑体"/>
          <w:color w:val="auto"/>
          <w:kern w:val="2"/>
          <w:sz w:val="21"/>
          <w:szCs w:val="21"/>
        </w:rPr>
        <w:t>供应商质疑、投诉应当有明确的请求和必要的证明材料。供应商投诉的事项不得超出已质疑事项的范围。</w:t>
      </w:r>
      <w:bookmarkEnd w:id="558"/>
      <w:bookmarkEnd w:id="559"/>
      <w:bookmarkEnd w:id="560"/>
      <w:bookmarkEnd w:id="561"/>
      <w:bookmarkEnd w:id="562"/>
      <w:bookmarkEnd w:id="563"/>
      <w:bookmarkEnd w:id="564"/>
    </w:p>
    <w:p w14:paraId="52C827FC">
      <w:pPr>
        <w:pStyle w:val="62"/>
        <w:tabs>
          <w:tab w:val="left" w:pos="360"/>
        </w:tabs>
        <w:snapToGrid w:val="0"/>
        <w:spacing w:line="420" w:lineRule="exact"/>
        <w:contextualSpacing/>
        <w:jc w:val="both"/>
        <w:outlineLvl w:val="1"/>
        <w:rPr>
          <w:rFonts w:hAnsi="宋体" w:cs="黑体"/>
          <w:b/>
          <w:color w:val="auto"/>
        </w:rPr>
      </w:pPr>
      <w:bookmarkStart w:id="565" w:name="_Toc32711"/>
      <w:bookmarkStart w:id="566" w:name="_Toc23414"/>
      <w:r>
        <w:rPr>
          <w:rFonts w:hint="eastAsia" w:hAnsi="宋体"/>
          <w:b/>
          <w:bCs/>
          <w:color w:val="auto"/>
        </w:rPr>
        <w:t xml:space="preserve">9 </w:t>
      </w:r>
      <w:r>
        <w:rPr>
          <w:rFonts w:hint="eastAsia" w:hAnsi="宋体" w:cs="黑体"/>
          <w:b/>
          <w:color w:val="auto"/>
        </w:rPr>
        <w:t>需要补充的其他内容</w:t>
      </w:r>
      <w:bookmarkEnd w:id="565"/>
      <w:bookmarkEnd w:id="566"/>
    </w:p>
    <w:p w14:paraId="610AECFE">
      <w:pPr>
        <w:autoSpaceDE w:val="0"/>
        <w:autoSpaceDN w:val="0"/>
        <w:adjustRightInd w:val="0"/>
        <w:snapToGrid w:val="0"/>
        <w:spacing w:line="420" w:lineRule="exact"/>
        <w:ind w:firstLine="420" w:firstLineChars="200"/>
        <w:contextualSpacing/>
        <w:jc w:val="left"/>
        <w:rPr>
          <w:rFonts w:hint="eastAsia" w:ascii="宋体" w:hAnsi="宋体" w:cs="仿宋_GB2312"/>
          <w:kern w:val="0"/>
          <w:szCs w:val="21"/>
        </w:rPr>
      </w:pPr>
      <w:r>
        <w:rPr>
          <w:rFonts w:hint="eastAsia" w:ascii="宋体" w:hAnsi="宋体" w:cs="仿宋_GB2312"/>
          <w:kern w:val="0"/>
          <w:szCs w:val="21"/>
        </w:rPr>
        <w:t>需要补充的其他内容：见&lt;供应商须知前附表&gt;。</w:t>
      </w:r>
      <w:bookmarkStart w:id="567" w:name="_Toc369077052"/>
      <w:bookmarkStart w:id="568" w:name="_Toc502334463"/>
      <w:bookmarkStart w:id="569" w:name="_Toc270604617"/>
    </w:p>
    <w:p w14:paraId="13C80F10">
      <w:pPr>
        <w:autoSpaceDE w:val="0"/>
        <w:autoSpaceDN w:val="0"/>
        <w:adjustRightInd w:val="0"/>
        <w:snapToGrid w:val="0"/>
        <w:spacing w:line="420" w:lineRule="exact"/>
        <w:contextualSpacing/>
        <w:jc w:val="left"/>
        <w:outlineLvl w:val="1"/>
        <w:rPr>
          <w:rFonts w:hint="eastAsia" w:ascii="宋体" w:hAnsi="宋体" w:cs="仿宋_GB2312"/>
          <w:b/>
          <w:bCs/>
          <w:kern w:val="0"/>
          <w:szCs w:val="21"/>
        </w:rPr>
      </w:pPr>
      <w:r>
        <w:rPr>
          <w:rFonts w:hint="eastAsia" w:ascii="宋体" w:hAnsi="宋体" w:cs="仿宋_GB2312"/>
          <w:b/>
          <w:bCs/>
          <w:kern w:val="0"/>
          <w:szCs w:val="21"/>
        </w:rPr>
        <w:t>31</w:t>
      </w:r>
      <w:r>
        <w:rPr>
          <w:rFonts w:hint="eastAsia" w:ascii="宋体" w:hAnsi="宋体" w:cs="仿宋_GB2312"/>
          <w:b/>
          <w:bCs/>
          <w:kern w:val="0"/>
          <w:szCs w:val="21"/>
          <w:lang w:val="en-US" w:eastAsia="zh-CN"/>
        </w:rPr>
        <w:t xml:space="preserve">  </w:t>
      </w:r>
      <w:r>
        <w:rPr>
          <w:rFonts w:hint="eastAsia" w:ascii="宋体" w:hAnsi="宋体" w:cs="仿宋_GB2312"/>
          <w:b/>
          <w:bCs/>
          <w:kern w:val="0"/>
          <w:szCs w:val="21"/>
        </w:rPr>
        <w:t>履约保证金和预付款</w:t>
      </w:r>
    </w:p>
    <w:p w14:paraId="38E5B8D4">
      <w:pPr>
        <w:autoSpaceDE w:val="0"/>
        <w:autoSpaceDN w:val="0"/>
        <w:adjustRightInd w:val="0"/>
        <w:snapToGrid w:val="0"/>
        <w:spacing w:line="420" w:lineRule="exact"/>
        <w:contextualSpacing/>
        <w:jc w:val="left"/>
        <w:outlineLvl w:val="2"/>
        <w:rPr>
          <w:rFonts w:hint="eastAsia" w:ascii="宋体" w:hAnsi="宋体" w:cs="仿宋_GB2312"/>
          <w:kern w:val="0"/>
          <w:szCs w:val="21"/>
        </w:rPr>
      </w:pPr>
      <w:r>
        <w:rPr>
          <w:rFonts w:hint="eastAsia" w:ascii="宋体" w:hAnsi="宋体" w:cs="仿宋_GB2312"/>
          <w:kern w:val="0"/>
          <w:szCs w:val="21"/>
        </w:rPr>
        <w:t>31.1履约保证金</w:t>
      </w:r>
    </w:p>
    <w:p w14:paraId="255710EA">
      <w:pPr>
        <w:autoSpaceDE w:val="0"/>
        <w:autoSpaceDN w:val="0"/>
        <w:adjustRightInd w:val="0"/>
        <w:snapToGrid w:val="0"/>
        <w:spacing w:line="420" w:lineRule="exact"/>
        <w:contextualSpacing/>
        <w:jc w:val="left"/>
        <w:rPr>
          <w:rFonts w:hint="eastAsia" w:ascii="宋体" w:hAnsi="宋体" w:cs="仿宋_GB2312"/>
          <w:kern w:val="0"/>
          <w:szCs w:val="21"/>
        </w:rPr>
      </w:pPr>
      <w:r>
        <w:rPr>
          <w:rFonts w:hint="eastAsia" w:ascii="宋体" w:hAnsi="宋体" w:cs="仿宋_GB2312"/>
          <w:kern w:val="0"/>
          <w:szCs w:val="21"/>
        </w:rPr>
        <w:t>31.1.1中标人应按照供应商须知资料表规定向采购人缴纳履约保证金。</w:t>
      </w:r>
    </w:p>
    <w:p w14:paraId="45F50E26">
      <w:pPr>
        <w:autoSpaceDE w:val="0"/>
        <w:autoSpaceDN w:val="0"/>
        <w:adjustRightInd w:val="0"/>
        <w:snapToGrid w:val="0"/>
        <w:spacing w:line="420" w:lineRule="exact"/>
        <w:contextualSpacing/>
        <w:jc w:val="left"/>
        <w:rPr>
          <w:rFonts w:hint="eastAsia" w:ascii="宋体" w:hAnsi="宋体" w:cs="仿宋_GB2312"/>
          <w:kern w:val="0"/>
          <w:szCs w:val="21"/>
        </w:rPr>
      </w:pPr>
      <w:r>
        <w:rPr>
          <w:rFonts w:hint="eastAsia" w:ascii="宋体" w:hAnsi="宋体" w:cs="仿宋_GB2312"/>
          <w:kern w:val="0"/>
          <w:szCs w:val="21"/>
        </w:rPr>
        <w:t>31.1.2政府采购利用担保试点范围内的项目，除31.1.1规定的情形外，中标人也可以按照财政部门的规定，向采购人提供合格的履约担保函。</w:t>
      </w:r>
    </w:p>
    <w:p w14:paraId="469E73E0">
      <w:pPr>
        <w:autoSpaceDE w:val="0"/>
        <w:autoSpaceDN w:val="0"/>
        <w:adjustRightInd w:val="0"/>
        <w:snapToGrid w:val="0"/>
        <w:spacing w:line="420" w:lineRule="exact"/>
        <w:contextualSpacing/>
        <w:jc w:val="left"/>
        <w:rPr>
          <w:rFonts w:hint="eastAsia" w:ascii="宋体" w:hAnsi="宋体" w:cs="仿宋_GB2312"/>
          <w:kern w:val="0"/>
          <w:szCs w:val="21"/>
        </w:rPr>
      </w:pPr>
      <w:r>
        <w:rPr>
          <w:rFonts w:hint="eastAsia" w:ascii="宋体" w:hAnsi="宋体" w:cs="仿宋_GB2312"/>
          <w:kern w:val="0"/>
          <w:szCs w:val="21"/>
        </w:rPr>
        <w:t>31.1.3如果中标人没有按照上述履约保证金的规定执行，将视为放弃中标资格，中标人的投标保证金将不予退还。在此情况下，采购人可确定下一候选人为中标人，也可以重新开展采购活动。</w:t>
      </w:r>
    </w:p>
    <w:p w14:paraId="0D4E44A2">
      <w:pPr>
        <w:autoSpaceDE w:val="0"/>
        <w:autoSpaceDN w:val="0"/>
        <w:adjustRightInd w:val="0"/>
        <w:snapToGrid w:val="0"/>
        <w:spacing w:line="420" w:lineRule="exact"/>
        <w:contextualSpacing/>
        <w:jc w:val="left"/>
        <w:outlineLvl w:val="2"/>
        <w:rPr>
          <w:rFonts w:hint="eastAsia" w:ascii="宋体" w:hAnsi="宋体" w:cs="仿宋_GB2312"/>
          <w:kern w:val="0"/>
          <w:szCs w:val="21"/>
        </w:rPr>
      </w:pPr>
      <w:r>
        <w:rPr>
          <w:rFonts w:hint="eastAsia" w:ascii="宋体" w:hAnsi="宋体" w:cs="仿宋_GB2312"/>
          <w:kern w:val="0"/>
          <w:szCs w:val="21"/>
        </w:rPr>
        <w:t>31.2预付款</w:t>
      </w:r>
    </w:p>
    <w:p w14:paraId="7159BAAB">
      <w:pPr>
        <w:autoSpaceDE w:val="0"/>
        <w:autoSpaceDN w:val="0"/>
        <w:adjustRightInd w:val="0"/>
        <w:snapToGrid w:val="0"/>
        <w:spacing w:line="420" w:lineRule="exact"/>
        <w:contextualSpacing/>
        <w:jc w:val="left"/>
        <w:rPr>
          <w:rFonts w:hint="eastAsia" w:ascii="宋体" w:hAnsi="宋体" w:cs="仿宋_GB2312"/>
          <w:kern w:val="0"/>
          <w:szCs w:val="21"/>
        </w:rPr>
      </w:pPr>
      <w:r>
        <w:rPr>
          <w:rFonts w:hint="eastAsia" w:ascii="宋体" w:hAnsi="宋体" w:cs="仿宋_GB2312"/>
          <w:kern w:val="0"/>
          <w:szCs w:val="21"/>
        </w:rPr>
        <w:t>31.2.1各采购单位应按照供应商须知资料表规定向中标人支付预付款。</w:t>
      </w:r>
    </w:p>
    <w:p w14:paraId="7BC8ED9D">
      <w:pPr>
        <w:autoSpaceDE w:val="0"/>
        <w:autoSpaceDN w:val="0"/>
        <w:adjustRightInd w:val="0"/>
        <w:snapToGrid w:val="0"/>
        <w:spacing w:line="420" w:lineRule="exact"/>
        <w:contextualSpacing/>
        <w:jc w:val="left"/>
        <w:rPr>
          <w:rFonts w:hint="eastAsia" w:ascii="宋体" w:hAnsi="宋体" w:cs="仿宋_GB2312"/>
          <w:kern w:val="0"/>
          <w:szCs w:val="21"/>
        </w:rPr>
      </w:pPr>
      <w:r>
        <w:rPr>
          <w:rFonts w:hint="eastAsia" w:ascii="宋体" w:hAnsi="宋体" w:cs="仿宋_GB2312"/>
          <w:kern w:val="0"/>
          <w:szCs w:val="21"/>
        </w:rPr>
        <w:t>31.2.2预付款比例原则上不低于合同金额的</w:t>
      </w:r>
      <w:r>
        <w:rPr>
          <w:rFonts w:hint="eastAsia" w:ascii="宋体" w:hAnsi="宋体" w:cs="仿宋_GB2312"/>
          <w:kern w:val="0"/>
          <w:szCs w:val="21"/>
          <w:lang w:val="en-US" w:eastAsia="zh-CN"/>
        </w:rPr>
        <w:t>60</w:t>
      </w:r>
      <w:r>
        <w:rPr>
          <w:rFonts w:hint="eastAsia" w:ascii="宋体" w:hAnsi="宋体" w:cs="仿宋_GB2312"/>
          <w:kern w:val="0"/>
          <w:szCs w:val="21"/>
        </w:rPr>
        <w:t>％，与疫情防控有关采购合同最高预付款比例可达100％。</w:t>
      </w:r>
    </w:p>
    <w:p w14:paraId="1482EBAF">
      <w:pPr>
        <w:autoSpaceDE w:val="0"/>
        <w:autoSpaceDN w:val="0"/>
        <w:adjustRightInd w:val="0"/>
        <w:snapToGrid w:val="0"/>
        <w:spacing w:line="420" w:lineRule="exact"/>
        <w:contextualSpacing/>
        <w:jc w:val="left"/>
        <w:rPr>
          <w:rFonts w:hint="eastAsia" w:ascii="宋体" w:hAnsi="宋体" w:cs="仿宋_GB2312"/>
          <w:kern w:val="0"/>
          <w:szCs w:val="21"/>
        </w:rPr>
      </w:pPr>
      <w:r>
        <w:rPr>
          <w:rFonts w:hint="eastAsia" w:ascii="宋体" w:hAnsi="宋体" w:cs="仿宋_GB2312"/>
          <w:kern w:val="0"/>
          <w:szCs w:val="21"/>
        </w:rPr>
        <w:t>31.2.3各采购单位可根据项目特点、供应商信用等情况，决定是否要求供应商提交电子预付款保函。疫情期间，对受疫情疫情影响严重的中小微企业应当取消预付款担保。</w:t>
      </w:r>
    </w:p>
    <w:p w14:paraId="0B515F29">
      <w:pPr>
        <w:rPr>
          <w:rFonts w:hint="eastAsia" w:ascii="宋体" w:hAnsi="宋体" w:cs="仿宋_GB2312"/>
          <w:kern w:val="0"/>
          <w:szCs w:val="21"/>
        </w:rPr>
      </w:pPr>
      <w:r>
        <w:rPr>
          <w:rFonts w:hint="eastAsia" w:ascii="宋体" w:hAnsi="宋体" w:cs="仿宋_GB2312"/>
          <w:kern w:val="0"/>
          <w:szCs w:val="21"/>
        </w:rPr>
        <w:t>31.2.4如需提供电子预付款保函，中标单位请通过商丘市公共资源交易中心电子保函平台全程网上办理，实现项目信息与保函信息的关联绑定，自动验真。</w:t>
      </w:r>
    </w:p>
    <w:p w14:paraId="4B1AC487">
      <w:pPr>
        <w:rPr>
          <w:rFonts w:hint="eastAsia"/>
          <w:b/>
          <w:bCs/>
          <w:kern w:val="0"/>
          <w:sz w:val="32"/>
          <w:szCs w:val="32"/>
          <w:lang w:val="en-US" w:eastAsia="zh-CN"/>
        </w:rPr>
      </w:pPr>
      <w:r>
        <w:rPr>
          <w:rFonts w:hint="eastAsia"/>
          <w:b/>
          <w:bCs/>
          <w:kern w:val="0"/>
          <w:sz w:val="32"/>
          <w:szCs w:val="32"/>
          <w:lang w:val="en-US" w:eastAsia="zh-CN"/>
        </w:rPr>
        <w:br w:type="page"/>
      </w:r>
    </w:p>
    <w:p w14:paraId="4B012F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rightChars="0"/>
        <w:jc w:val="center"/>
        <w:textAlignment w:val="auto"/>
        <w:outlineLvl w:val="0"/>
        <w:rPr>
          <w:rFonts w:hint="eastAsia"/>
          <w:b/>
          <w:bCs/>
          <w:sz w:val="32"/>
          <w:szCs w:val="32"/>
          <w:lang w:val="en-US" w:eastAsia="zh-CN"/>
        </w:rPr>
      </w:pPr>
      <w:bookmarkStart w:id="570" w:name="_Toc15280"/>
      <w:r>
        <w:rPr>
          <w:rFonts w:hint="eastAsia"/>
          <w:b/>
          <w:bCs/>
          <w:sz w:val="32"/>
          <w:szCs w:val="32"/>
          <w:lang w:val="en-US" w:eastAsia="zh-CN"/>
        </w:rPr>
        <w:t xml:space="preserve">第三章 </w:t>
      </w:r>
      <w:bookmarkEnd w:id="567"/>
      <w:bookmarkEnd w:id="568"/>
      <w:r>
        <w:rPr>
          <w:rFonts w:hint="eastAsia"/>
          <w:b/>
          <w:bCs/>
          <w:sz w:val="32"/>
          <w:szCs w:val="32"/>
          <w:lang w:val="en-US" w:eastAsia="zh-CN"/>
        </w:rPr>
        <w:t>工程量清单、图纸（另附）</w:t>
      </w:r>
      <w:bookmarkEnd w:id="570"/>
    </w:p>
    <w:p w14:paraId="5E75B630">
      <w:pPr>
        <w:rPr>
          <w:rFonts w:hint="eastAsia"/>
          <w:b/>
          <w:bCs/>
          <w:sz w:val="32"/>
          <w:szCs w:val="32"/>
          <w:lang w:val="en-US" w:eastAsia="zh-CN"/>
        </w:rPr>
      </w:pPr>
      <w:bookmarkStart w:id="571" w:name="_Toc8075"/>
      <w:bookmarkStart w:id="572" w:name="_Toc13127"/>
      <w:r>
        <w:rPr>
          <w:rFonts w:hint="eastAsia"/>
          <w:b/>
          <w:bCs/>
          <w:sz w:val="32"/>
          <w:szCs w:val="32"/>
          <w:lang w:val="en-US" w:eastAsia="zh-CN"/>
        </w:rPr>
        <w:br w:type="page"/>
      </w:r>
    </w:p>
    <w:p w14:paraId="5EBE9D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rightChars="0"/>
        <w:jc w:val="center"/>
        <w:textAlignment w:val="auto"/>
        <w:outlineLvl w:val="0"/>
        <w:rPr>
          <w:rFonts w:hint="eastAsia"/>
          <w:b/>
          <w:bCs/>
          <w:sz w:val="32"/>
          <w:szCs w:val="32"/>
          <w:lang w:val="en-US" w:eastAsia="zh-CN"/>
        </w:rPr>
      </w:pPr>
      <w:bookmarkStart w:id="573" w:name="_Toc10615"/>
      <w:r>
        <w:rPr>
          <w:rFonts w:hint="eastAsia"/>
          <w:b/>
          <w:bCs/>
          <w:sz w:val="32"/>
          <w:szCs w:val="32"/>
          <w:lang w:val="en-US" w:eastAsia="zh-CN"/>
        </w:rPr>
        <w:t>第四章 合同条款及格式</w:t>
      </w:r>
      <w:bookmarkEnd w:id="571"/>
      <w:bookmarkEnd w:id="572"/>
      <w:bookmarkEnd w:id="573"/>
    </w:p>
    <w:p w14:paraId="67B3CAB9">
      <w:pPr>
        <w:pStyle w:val="28"/>
        <w:numPr>
          <w:ilvl w:val="0"/>
          <w:numId w:val="0"/>
        </w:numPr>
        <w:spacing w:before="312" w:beforeLines="100" w:after="312" w:afterLines="100" w:line="600" w:lineRule="exact"/>
        <w:ind w:leftChars="0"/>
        <w:jc w:val="center"/>
        <w:outlineLvl w:val="1"/>
        <w:rPr>
          <w:rFonts w:hint="eastAsia" w:ascii="宋体" w:hAnsi="宋体" w:eastAsia="宋体" w:cs="宋体"/>
          <w:b w:val="0"/>
          <w:sz w:val="24"/>
          <w:szCs w:val="24"/>
          <w:shd w:val="clear" w:color="auto" w:fill="FFFFFF"/>
          <w:lang w:eastAsia="zh-CN"/>
        </w:rPr>
      </w:pPr>
      <w:bookmarkStart w:id="574" w:name="_Toc1705"/>
      <w:r>
        <w:rPr>
          <w:rFonts w:hint="eastAsia" w:ascii="宋体" w:hAnsi="宋体" w:eastAsia="宋体" w:cs="宋体"/>
          <w:b w:val="0"/>
          <w:sz w:val="24"/>
          <w:szCs w:val="24"/>
          <w:shd w:val="clear" w:color="auto" w:fill="FFFFFF"/>
        </w:rPr>
        <w:t>按照《建设工程施工合同（示范文本）》（GF-2017-0201）执行</w:t>
      </w:r>
      <w:r>
        <w:rPr>
          <w:rFonts w:hint="eastAsia" w:ascii="宋体" w:hAnsi="宋体" w:eastAsia="宋体" w:cs="宋体"/>
          <w:b w:val="0"/>
          <w:sz w:val="24"/>
          <w:szCs w:val="24"/>
          <w:shd w:val="clear" w:color="auto" w:fill="FFFFFF"/>
          <w:lang w:eastAsia="zh-CN"/>
        </w:rPr>
        <w:t>。</w:t>
      </w:r>
      <w:bookmarkEnd w:id="574"/>
      <w:bookmarkStart w:id="575" w:name="_Toc15978"/>
      <w:bookmarkStart w:id="576" w:name="_Toc31524"/>
    </w:p>
    <w:p w14:paraId="32934038">
      <w:pPr>
        <w:rPr>
          <w:rFonts w:hint="eastAsia" w:ascii="宋体" w:hAnsi="宋体" w:eastAsia="宋体" w:cs="宋体"/>
          <w:b w:val="0"/>
          <w:sz w:val="24"/>
          <w:szCs w:val="24"/>
          <w:shd w:val="clear" w:color="auto" w:fill="FFFFFF"/>
          <w:lang w:eastAsia="zh-CN"/>
        </w:rPr>
      </w:pPr>
      <w:r>
        <w:rPr>
          <w:rFonts w:hint="eastAsia" w:ascii="宋体" w:hAnsi="宋体" w:eastAsia="宋体" w:cs="宋体"/>
          <w:b w:val="0"/>
          <w:sz w:val="24"/>
          <w:szCs w:val="24"/>
          <w:shd w:val="clear" w:color="auto" w:fill="FFFFFF"/>
          <w:lang w:eastAsia="zh-CN"/>
        </w:rPr>
        <w:br w:type="page"/>
      </w:r>
    </w:p>
    <w:p w14:paraId="5A3EF0C5">
      <w:pPr>
        <w:pStyle w:val="28"/>
        <w:numPr>
          <w:ilvl w:val="0"/>
          <w:numId w:val="0"/>
        </w:numPr>
        <w:spacing w:before="312" w:beforeLines="100" w:after="312" w:afterLines="100" w:line="600" w:lineRule="exact"/>
        <w:ind w:leftChars="0"/>
        <w:jc w:val="center"/>
        <w:outlineLvl w:val="0"/>
        <w:rPr>
          <w:b/>
          <w:bCs/>
          <w:sz w:val="32"/>
          <w:szCs w:val="32"/>
        </w:rPr>
      </w:pPr>
      <w:bookmarkStart w:id="577" w:name="_Toc11474"/>
      <w:bookmarkStart w:id="578" w:name="_Toc26798"/>
      <w:r>
        <w:rPr>
          <w:rFonts w:hint="eastAsia"/>
          <w:b/>
          <w:bCs/>
          <w:sz w:val="32"/>
          <w:szCs w:val="32"/>
          <w:lang w:val="en-US" w:eastAsia="zh-CN"/>
        </w:rPr>
        <w:t xml:space="preserve">第五章 </w:t>
      </w:r>
      <w:r>
        <w:rPr>
          <w:rFonts w:hint="eastAsia"/>
          <w:b/>
          <w:bCs/>
          <w:sz w:val="32"/>
          <w:szCs w:val="32"/>
        </w:rPr>
        <w:t>磋商响应文件格式</w:t>
      </w:r>
      <w:bookmarkEnd w:id="569"/>
      <w:bookmarkEnd w:id="575"/>
      <w:bookmarkEnd w:id="576"/>
      <w:bookmarkEnd w:id="577"/>
      <w:bookmarkEnd w:id="578"/>
    </w:p>
    <w:p w14:paraId="42A39108">
      <w:pPr>
        <w:pStyle w:val="28"/>
        <w:wordWrap w:val="0"/>
        <w:spacing w:before="312" w:beforeLines="100" w:after="312" w:afterLines="100" w:line="600" w:lineRule="exact"/>
        <w:jc w:val="right"/>
        <w:rPr>
          <w:rFonts w:hint="eastAsia"/>
          <w:b/>
          <w:sz w:val="52"/>
          <w:szCs w:val="52"/>
        </w:rPr>
        <w:sectPr>
          <w:footerReference r:id="rId4" w:type="default"/>
          <w:pgSz w:w="11907" w:h="16840"/>
          <w:pgMar w:top="1417" w:right="1417" w:bottom="1417" w:left="1417" w:header="624" w:footer="641" w:gutter="0"/>
          <w:pgNumType w:fmt="decimal" w:start="1"/>
          <w:cols w:space="720" w:num="1"/>
          <w:docGrid w:type="linesAndChars" w:linePitch="312" w:charSpace="0"/>
        </w:sectPr>
      </w:pPr>
      <w:r>
        <w:rPr>
          <w:rFonts w:hint="eastAsia"/>
          <w:b/>
          <w:sz w:val="52"/>
          <w:szCs w:val="52"/>
        </w:rPr>
        <w:t xml:space="preserve"> </w:t>
      </w:r>
    </w:p>
    <w:p w14:paraId="562B756D">
      <w:pPr>
        <w:pStyle w:val="28"/>
        <w:spacing w:before="312" w:beforeLines="100" w:after="312" w:afterLines="100" w:line="600" w:lineRule="exact"/>
        <w:jc w:val="center"/>
        <w:rPr>
          <w:rFonts w:hint="eastAsia"/>
          <w:b/>
          <w:sz w:val="52"/>
          <w:szCs w:val="52"/>
        </w:rPr>
      </w:pPr>
    </w:p>
    <w:p w14:paraId="1EAFF3DF">
      <w:pPr>
        <w:pStyle w:val="28"/>
        <w:spacing w:before="312" w:beforeLines="100" w:after="312" w:afterLines="100" w:line="600" w:lineRule="exact"/>
        <w:jc w:val="center"/>
        <w:outlineLvl w:val="1"/>
        <w:rPr>
          <w:rFonts w:hint="default" w:eastAsia="宋体"/>
          <w:b/>
          <w:sz w:val="44"/>
          <w:szCs w:val="44"/>
          <w:lang w:val="en-US" w:eastAsia="zh-CN"/>
        </w:rPr>
      </w:pPr>
      <w:r>
        <w:rPr>
          <w:rFonts w:hint="eastAsia"/>
          <w:b/>
          <w:sz w:val="44"/>
          <w:szCs w:val="44"/>
          <w:u w:val="single"/>
        </w:rPr>
        <w:t xml:space="preserve">             </w:t>
      </w:r>
      <w:r>
        <w:rPr>
          <w:rFonts w:hint="eastAsia"/>
          <w:b/>
          <w:sz w:val="44"/>
          <w:szCs w:val="44"/>
          <w:u w:val="single"/>
          <w:lang w:val="en-US" w:eastAsia="zh-CN"/>
        </w:rPr>
        <w:t xml:space="preserve">     </w:t>
      </w:r>
      <w:r>
        <w:rPr>
          <w:rFonts w:hint="eastAsia"/>
          <w:b/>
          <w:sz w:val="44"/>
          <w:szCs w:val="44"/>
          <w:u w:val="single"/>
        </w:rPr>
        <w:t xml:space="preserve">    </w:t>
      </w:r>
      <w:r>
        <w:rPr>
          <w:rFonts w:hint="eastAsia"/>
          <w:b/>
          <w:sz w:val="44"/>
          <w:szCs w:val="44"/>
          <w:lang w:eastAsia="zh-CN"/>
        </w:rPr>
        <w:t>（项目名称）</w:t>
      </w:r>
    </w:p>
    <w:p w14:paraId="035EE6C6">
      <w:pPr>
        <w:pStyle w:val="28"/>
        <w:spacing w:before="312" w:beforeLines="100" w:after="312" w:afterLines="100" w:line="600" w:lineRule="exact"/>
        <w:jc w:val="center"/>
        <w:rPr>
          <w:rFonts w:hint="eastAsia"/>
          <w:b/>
          <w:bCs/>
          <w:sz w:val="32"/>
          <w:u w:val="single"/>
        </w:rPr>
      </w:pPr>
    </w:p>
    <w:p w14:paraId="1C0D2CC2">
      <w:pPr>
        <w:pStyle w:val="28"/>
        <w:spacing w:before="312" w:beforeLines="100" w:after="312" w:afterLines="100"/>
        <w:jc w:val="center"/>
        <w:rPr>
          <w:rFonts w:hint="eastAsia"/>
          <w:b/>
          <w:bCs/>
          <w:sz w:val="72"/>
          <w:szCs w:val="72"/>
        </w:rPr>
      </w:pPr>
      <w:r>
        <w:rPr>
          <w:rFonts w:hint="eastAsia"/>
          <w:b/>
          <w:bCs/>
          <w:sz w:val="58"/>
          <w:szCs w:val="58"/>
        </w:rPr>
        <w:t>响应性文件</w:t>
      </w:r>
    </w:p>
    <w:p w14:paraId="557BB42E">
      <w:pPr>
        <w:widowControl/>
        <w:wordWrap w:val="0"/>
        <w:spacing w:line="600" w:lineRule="auto"/>
        <w:ind w:left="2940" w:leftChars="1400"/>
        <w:rPr>
          <w:rFonts w:hint="eastAsia" w:ascii="黑体" w:hAnsi="黑体" w:eastAsia="黑体" w:cs="黑体"/>
          <w:b/>
          <w:bCs/>
          <w:kern w:val="0"/>
          <w:sz w:val="24"/>
          <w:szCs w:val="24"/>
          <w:lang w:eastAsia="zh-CN"/>
        </w:rPr>
      </w:pPr>
      <w:r>
        <w:rPr>
          <w:rFonts w:hint="eastAsia" w:ascii="黑体" w:hAnsi="黑体" w:eastAsia="黑体" w:cs="黑体"/>
          <w:b/>
          <w:bCs/>
          <w:kern w:val="0"/>
          <w:sz w:val="24"/>
          <w:szCs w:val="24"/>
        </w:rPr>
        <w:t>采购编号：</w:t>
      </w:r>
      <w:r>
        <w:rPr>
          <w:rFonts w:hint="eastAsia" w:ascii="黑体" w:hAnsi="黑体" w:eastAsia="黑体" w:cs="黑体"/>
          <w:b/>
          <w:bCs/>
          <w:kern w:val="0"/>
          <w:sz w:val="24"/>
          <w:szCs w:val="24"/>
          <w:lang w:val="en-US" w:eastAsia="zh-CN"/>
        </w:rPr>
        <w:t xml:space="preserve"> </w:t>
      </w:r>
    </w:p>
    <w:p w14:paraId="1381990B">
      <w:pPr>
        <w:widowControl/>
        <w:wordWrap w:val="0"/>
        <w:spacing w:line="600" w:lineRule="auto"/>
        <w:ind w:left="2940" w:leftChars="1400"/>
        <w:rPr>
          <w:rFonts w:hint="eastAsia" w:ascii="黑体" w:hAnsi="黑体" w:eastAsia="黑体" w:cs="黑体"/>
          <w:b/>
          <w:bCs/>
          <w:kern w:val="0"/>
          <w:sz w:val="24"/>
          <w:szCs w:val="24"/>
          <w:lang w:val="en-US" w:eastAsia="zh-CN"/>
        </w:rPr>
      </w:pPr>
      <w:r>
        <w:rPr>
          <w:rFonts w:hint="eastAsia" w:ascii="黑体" w:hAnsi="黑体" w:eastAsia="黑体" w:cs="黑体"/>
          <w:b/>
          <w:bCs/>
          <w:kern w:val="0"/>
          <w:sz w:val="24"/>
          <w:szCs w:val="24"/>
          <w:lang w:val="en-US" w:eastAsia="zh-CN"/>
        </w:rPr>
        <w:t xml:space="preserve">招标编号： </w:t>
      </w:r>
    </w:p>
    <w:p w14:paraId="201B18BF">
      <w:pPr>
        <w:pStyle w:val="28"/>
        <w:spacing w:before="312" w:beforeLines="100" w:after="312" w:afterLines="100" w:line="360" w:lineRule="exact"/>
        <w:ind w:firstLine="2520" w:firstLineChars="900"/>
        <w:rPr>
          <w:rFonts w:hint="eastAsia" w:hAnsi="宋体" w:cs="宋体"/>
          <w:sz w:val="28"/>
          <w:szCs w:val="28"/>
        </w:rPr>
      </w:pPr>
    </w:p>
    <w:p w14:paraId="46AC3D45">
      <w:pPr>
        <w:pStyle w:val="28"/>
        <w:spacing w:before="312" w:beforeLines="100" w:after="312" w:afterLines="100" w:line="600" w:lineRule="exact"/>
        <w:jc w:val="center"/>
        <w:rPr>
          <w:rFonts w:hint="eastAsia"/>
          <w:b/>
          <w:bCs/>
          <w:sz w:val="32"/>
          <w:u w:val="single"/>
        </w:rPr>
      </w:pPr>
    </w:p>
    <w:p w14:paraId="1FAF05F5">
      <w:pPr>
        <w:pStyle w:val="28"/>
        <w:spacing w:before="312" w:beforeLines="100" w:after="312" w:afterLines="100" w:line="600" w:lineRule="exact"/>
        <w:jc w:val="center"/>
        <w:rPr>
          <w:rFonts w:hint="eastAsia"/>
          <w:b/>
          <w:bCs/>
          <w:sz w:val="32"/>
          <w:u w:val="single"/>
        </w:rPr>
      </w:pPr>
    </w:p>
    <w:p w14:paraId="79EA01C2">
      <w:pPr>
        <w:pStyle w:val="28"/>
        <w:spacing w:before="312" w:beforeLines="100" w:after="312" w:afterLines="100" w:line="600" w:lineRule="exact"/>
        <w:jc w:val="center"/>
        <w:rPr>
          <w:rFonts w:hint="eastAsia"/>
          <w:b/>
          <w:bCs/>
          <w:sz w:val="32"/>
          <w:u w:val="single"/>
        </w:rPr>
      </w:pPr>
    </w:p>
    <w:p w14:paraId="518DD10D">
      <w:pPr>
        <w:pStyle w:val="28"/>
        <w:spacing w:before="312" w:beforeLines="100" w:after="312" w:afterLines="100" w:line="600" w:lineRule="exact"/>
        <w:jc w:val="both"/>
        <w:rPr>
          <w:rFonts w:hint="eastAsia"/>
          <w:b/>
          <w:bCs/>
          <w:sz w:val="28"/>
          <w:szCs w:val="20"/>
          <w:u w:val="single"/>
        </w:rPr>
      </w:pPr>
    </w:p>
    <w:p w14:paraId="43AECC16">
      <w:pPr>
        <w:pStyle w:val="28"/>
        <w:spacing w:before="312" w:beforeLines="100" w:after="312" w:afterLines="100" w:line="600" w:lineRule="exact"/>
        <w:ind w:left="840" w:leftChars="400" w:firstLine="712" w:firstLineChars="297"/>
        <w:rPr>
          <w:rFonts w:hint="eastAsia"/>
          <w:b/>
          <w:bCs/>
          <w:sz w:val="24"/>
          <w:szCs w:val="18"/>
          <w:u w:val="single"/>
        </w:rPr>
      </w:pPr>
      <w:r>
        <w:rPr>
          <w:rFonts w:hint="eastAsia"/>
          <w:b/>
          <w:bCs/>
          <w:sz w:val="24"/>
          <w:szCs w:val="18"/>
        </w:rPr>
        <w:t>供  应  商：</w:t>
      </w:r>
      <w:r>
        <w:rPr>
          <w:rFonts w:hint="eastAsia"/>
          <w:b/>
          <w:bCs/>
          <w:sz w:val="24"/>
          <w:szCs w:val="18"/>
          <w:u w:val="single"/>
        </w:rPr>
        <w:t xml:space="preserve">                     </w:t>
      </w:r>
      <w:r>
        <w:rPr>
          <w:rFonts w:hint="eastAsia"/>
          <w:b/>
          <w:bCs/>
          <w:sz w:val="24"/>
          <w:szCs w:val="18"/>
        </w:rPr>
        <w:t>（盖单位章）</w:t>
      </w:r>
    </w:p>
    <w:p w14:paraId="3DB2C99F">
      <w:pPr>
        <w:pStyle w:val="28"/>
        <w:spacing w:before="312" w:beforeLines="100" w:after="312" w:afterLines="100" w:line="600" w:lineRule="exact"/>
        <w:ind w:left="840" w:leftChars="400" w:firstLine="712" w:firstLineChars="297"/>
        <w:rPr>
          <w:rFonts w:hint="eastAsia"/>
          <w:b/>
          <w:bCs/>
          <w:sz w:val="24"/>
          <w:szCs w:val="24"/>
        </w:rPr>
      </w:pPr>
      <w:r>
        <w:rPr>
          <w:rFonts w:hint="eastAsia"/>
          <w:b/>
          <w:bCs/>
          <w:sz w:val="24"/>
          <w:szCs w:val="24"/>
        </w:rPr>
        <w:t>法定代表人或其委托代理人：</w:t>
      </w:r>
      <w:r>
        <w:rPr>
          <w:rFonts w:hint="eastAsia"/>
          <w:b/>
          <w:bCs/>
          <w:sz w:val="24"/>
          <w:szCs w:val="24"/>
          <w:u w:val="single"/>
        </w:rPr>
        <w:t xml:space="preserve">              </w:t>
      </w:r>
      <w:r>
        <w:rPr>
          <w:rFonts w:hint="eastAsia"/>
          <w:b/>
          <w:bCs/>
          <w:sz w:val="24"/>
          <w:szCs w:val="24"/>
        </w:rPr>
        <w:t>（签字或盖章）</w:t>
      </w:r>
    </w:p>
    <w:p w14:paraId="2FC27AEB">
      <w:pPr>
        <w:pStyle w:val="23"/>
        <w:spacing w:line="500" w:lineRule="exact"/>
        <w:ind w:left="1528" w:leftChars="728" w:firstLine="0" w:firstLineChars="0"/>
        <w:rPr>
          <w:rFonts w:hint="eastAsia"/>
          <w:b/>
          <w:bCs/>
          <w:sz w:val="24"/>
          <w:szCs w:val="24"/>
        </w:rPr>
      </w:pPr>
      <w:r>
        <w:rPr>
          <w:rFonts w:hint="eastAsia"/>
          <w:b/>
          <w:bCs/>
          <w:sz w:val="24"/>
          <w:szCs w:val="24"/>
        </w:rPr>
        <w:t>日       期：       年    月    日</w:t>
      </w:r>
    </w:p>
    <w:p w14:paraId="4AD21AFF">
      <w:pPr>
        <w:pStyle w:val="23"/>
        <w:spacing w:line="500" w:lineRule="exact"/>
        <w:ind w:left="840" w:leftChars="400" w:firstLine="1979" w:firstLineChars="707"/>
        <w:rPr>
          <w:rFonts w:hint="eastAsia"/>
          <w:b/>
          <w:bCs/>
          <w:sz w:val="28"/>
          <w:szCs w:val="28"/>
        </w:rPr>
      </w:pPr>
    </w:p>
    <w:p w14:paraId="0F499621">
      <w:pPr>
        <w:pStyle w:val="23"/>
        <w:spacing w:line="500" w:lineRule="exact"/>
        <w:ind w:left="0" w:leftChars="0" w:firstLine="2121" w:firstLineChars="707"/>
        <w:rPr>
          <w:rFonts w:hint="eastAsia"/>
          <w:b/>
          <w:bCs/>
          <w:sz w:val="30"/>
          <w:szCs w:val="30"/>
        </w:rPr>
      </w:pPr>
    </w:p>
    <w:p w14:paraId="6E7B2724">
      <w:pPr>
        <w:pStyle w:val="23"/>
        <w:spacing w:line="500" w:lineRule="exact"/>
        <w:ind w:left="0" w:leftChars="0" w:firstLine="2121" w:firstLineChars="707"/>
        <w:rPr>
          <w:rFonts w:hint="eastAsia"/>
          <w:b/>
          <w:bCs/>
          <w:sz w:val="30"/>
          <w:szCs w:val="30"/>
        </w:rPr>
      </w:pPr>
    </w:p>
    <w:p w14:paraId="4C4DE522">
      <w:pPr>
        <w:autoSpaceDE w:val="0"/>
        <w:autoSpaceDN w:val="0"/>
        <w:adjustRightInd w:val="0"/>
        <w:snapToGrid w:val="0"/>
        <w:spacing w:line="360" w:lineRule="auto"/>
        <w:ind w:firstLine="540" w:firstLineChars="225"/>
        <w:contextualSpacing/>
        <w:jc w:val="center"/>
        <w:rPr>
          <w:rFonts w:hint="eastAsia" w:ascii="宋体" w:hAnsi="宋体" w:cs="仿宋_GB2312"/>
          <w:kern w:val="0"/>
          <w:sz w:val="24"/>
        </w:rPr>
      </w:pPr>
      <w:r>
        <w:rPr>
          <w:rFonts w:hint="eastAsia" w:ascii="宋体" w:hAnsi="宋体" w:cs="仿宋_GB2312"/>
          <w:kern w:val="0"/>
          <w:sz w:val="24"/>
        </w:rPr>
        <w:br w:type="page"/>
      </w:r>
      <w:r>
        <w:rPr>
          <w:rFonts w:hint="eastAsia" w:ascii="宋体" w:hAnsi="宋体" w:cs="仿宋_GB2312"/>
          <w:kern w:val="0"/>
          <w:sz w:val="24"/>
        </w:rPr>
        <w:t>目  录</w:t>
      </w:r>
    </w:p>
    <w:p w14:paraId="203551D6">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p>
    <w:p w14:paraId="632E7C31">
      <w:pPr>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lang w:eastAsia="zh-CN"/>
        </w:rPr>
        <w:t>（</w:t>
      </w:r>
      <w:r>
        <w:rPr>
          <w:rFonts w:ascii="宋体" w:hAnsi="宋体" w:cs="仿宋_GB2312"/>
          <w:kern w:val="0"/>
          <w:szCs w:val="21"/>
        </w:rPr>
        <w:t>1</w:t>
      </w:r>
      <w:r>
        <w:rPr>
          <w:rFonts w:hint="eastAsia" w:ascii="宋体" w:hAnsi="宋体" w:cs="仿宋_GB2312"/>
          <w:kern w:val="0"/>
          <w:szCs w:val="21"/>
        </w:rPr>
        <w:t>）报价函</w:t>
      </w:r>
    </w:p>
    <w:p w14:paraId="1BFBED4B">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（2）报价函附录（第一轮报价）</w:t>
      </w:r>
    </w:p>
    <w:p w14:paraId="462B2794">
      <w:pPr>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（3）法定代表人身份证明</w:t>
      </w:r>
    </w:p>
    <w:p w14:paraId="2A6E369E">
      <w:pPr>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（4）</w:t>
      </w:r>
      <w:r>
        <w:rPr>
          <w:rFonts w:hint="eastAsia" w:ascii="宋体" w:hAnsi="宋体"/>
          <w:szCs w:val="21"/>
        </w:rPr>
        <w:t>授权委托书</w:t>
      </w:r>
    </w:p>
    <w:p w14:paraId="20D3DAF9">
      <w:pPr>
        <w:autoSpaceDE w:val="0"/>
        <w:autoSpaceDN w:val="0"/>
        <w:adjustRightInd w:val="0"/>
        <w:snapToGrid w:val="0"/>
        <w:spacing w:line="360" w:lineRule="auto"/>
        <w:ind w:firstLine="472" w:firstLineChars="225"/>
        <w:contextualSpacing/>
        <w:jc w:val="left"/>
        <w:rPr>
          <w:rFonts w:hint="eastAsia" w:ascii="宋体" w:hAnsi="宋体" w:eastAsia="Times New Roman" w:cs="仿宋_GB2312"/>
          <w:kern w:val="0"/>
          <w:szCs w:val="21"/>
        </w:rPr>
      </w:pPr>
      <w:r>
        <w:rPr>
          <w:rFonts w:hint="eastAsia" w:ascii="宋体" w:hAnsi="宋体" w:cs="仿宋_GB2312"/>
          <w:kern w:val="0"/>
          <w:szCs w:val="21"/>
        </w:rPr>
        <w:t>（5）已标价工程量清单</w:t>
      </w:r>
    </w:p>
    <w:p w14:paraId="327E648E">
      <w:pPr>
        <w:autoSpaceDE w:val="0"/>
        <w:autoSpaceDN w:val="0"/>
        <w:adjustRightInd w:val="0"/>
        <w:snapToGrid w:val="0"/>
        <w:spacing w:line="360" w:lineRule="auto"/>
        <w:ind w:firstLine="472" w:firstLineChars="225"/>
        <w:contextualSpacing/>
        <w:jc w:val="left"/>
        <w:rPr>
          <w:rFonts w:hint="eastAsia" w:ascii="宋体" w:hAnsi="宋体"/>
          <w:szCs w:val="21"/>
        </w:rPr>
      </w:pPr>
      <w:r>
        <w:rPr>
          <w:rFonts w:hint="eastAsia" w:ascii="宋体" w:hAnsi="宋体" w:cs="仿宋_GB2312"/>
          <w:kern w:val="0"/>
          <w:szCs w:val="21"/>
        </w:rPr>
        <w:t>（6）</w:t>
      </w:r>
      <w:r>
        <w:rPr>
          <w:rFonts w:hint="eastAsia" w:ascii="宋体" w:hAnsi="宋体"/>
          <w:szCs w:val="21"/>
        </w:rPr>
        <w:t>供应商的资格及证明文件</w:t>
      </w:r>
    </w:p>
    <w:p w14:paraId="05FCE570">
      <w:pPr>
        <w:tabs>
          <w:tab w:val="left" w:pos="6090"/>
        </w:tabs>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w:t>
      </w:r>
      <w:r>
        <w:rPr>
          <w:rFonts w:hint="eastAsia" w:ascii="宋体" w:hAnsi="宋体" w:cs="仿宋_GB2312"/>
          <w:kern w:val="0"/>
          <w:szCs w:val="21"/>
          <w:lang w:val="en-US" w:eastAsia="zh-CN"/>
        </w:rPr>
        <w:t>7</w:t>
      </w:r>
      <w:r>
        <w:rPr>
          <w:rFonts w:hint="eastAsia" w:ascii="宋体" w:hAnsi="宋体" w:cs="仿宋_GB2312"/>
          <w:kern w:val="0"/>
          <w:szCs w:val="21"/>
        </w:rPr>
        <w:t>）供应商类似的项目业绩清单</w:t>
      </w:r>
      <w:r>
        <w:rPr>
          <w:rFonts w:ascii="宋体" w:hAnsi="宋体" w:cs="仿宋_GB2312"/>
          <w:kern w:val="0"/>
          <w:szCs w:val="21"/>
        </w:rPr>
        <w:tab/>
      </w:r>
    </w:p>
    <w:p w14:paraId="386E4C10">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w:t>
      </w:r>
      <w:r>
        <w:rPr>
          <w:rFonts w:hint="eastAsia" w:ascii="宋体" w:hAnsi="宋体" w:cs="仿宋_GB2312"/>
          <w:kern w:val="0"/>
          <w:szCs w:val="21"/>
          <w:lang w:val="en-US" w:eastAsia="zh-CN"/>
        </w:rPr>
        <w:t>8</w:t>
      </w:r>
      <w:r>
        <w:rPr>
          <w:rFonts w:hint="eastAsia" w:ascii="宋体" w:hAnsi="宋体" w:cs="仿宋_GB2312"/>
          <w:kern w:val="0"/>
          <w:szCs w:val="21"/>
        </w:rPr>
        <w:t>）施工组织设计内容</w:t>
      </w:r>
    </w:p>
    <w:p w14:paraId="6BAFF1E5">
      <w:pPr>
        <w:autoSpaceDE w:val="0"/>
        <w:autoSpaceDN w:val="0"/>
        <w:adjustRightInd w:val="0"/>
        <w:snapToGrid w:val="0"/>
        <w:spacing w:line="360" w:lineRule="auto"/>
        <w:ind w:firstLine="472" w:firstLineChars="225"/>
        <w:contextualSpacing/>
        <w:jc w:val="left"/>
        <w:rPr>
          <w:rFonts w:hint="eastAsia"/>
        </w:rPr>
      </w:pPr>
      <w:r>
        <w:rPr>
          <w:rFonts w:hint="eastAsia"/>
          <w:lang w:val="en-US" w:eastAsia="zh-CN"/>
        </w:rPr>
        <w:t>（9）</w:t>
      </w:r>
      <w:r>
        <w:rPr>
          <w:rFonts w:hint="eastAsia"/>
        </w:rPr>
        <w:t>项目管理机构表</w:t>
      </w:r>
    </w:p>
    <w:p w14:paraId="3538322D">
      <w:pPr>
        <w:autoSpaceDE w:val="0"/>
        <w:autoSpaceDN w:val="0"/>
        <w:adjustRightInd w:val="0"/>
        <w:snapToGrid w:val="0"/>
        <w:spacing w:line="360" w:lineRule="auto"/>
        <w:ind w:firstLine="472" w:firstLineChars="225"/>
        <w:contextualSpacing/>
        <w:jc w:val="left"/>
        <w:rPr>
          <w:rFonts w:hint="eastAsia"/>
        </w:rPr>
      </w:pPr>
      <w:r>
        <w:rPr>
          <w:rFonts w:hint="eastAsia" w:ascii="宋体" w:hAnsi="宋体" w:cs="仿宋_GB2312"/>
          <w:kern w:val="0"/>
          <w:szCs w:val="21"/>
        </w:rPr>
        <w:t>（1</w:t>
      </w:r>
      <w:r>
        <w:rPr>
          <w:rFonts w:hint="eastAsia" w:ascii="宋体" w:hAnsi="宋体" w:cs="仿宋_GB2312"/>
          <w:kern w:val="0"/>
          <w:szCs w:val="21"/>
          <w:lang w:val="en-US" w:eastAsia="zh-CN"/>
        </w:rPr>
        <w:t>0</w:t>
      </w:r>
      <w:r>
        <w:rPr>
          <w:rFonts w:hint="eastAsia" w:ascii="宋体" w:hAnsi="宋体" w:cs="仿宋_GB2312"/>
          <w:kern w:val="0"/>
          <w:szCs w:val="21"/>
        </w:rPr>
        <w:t>）反商业贿赂承诺书</w:t>
      </w:r>
    </w:p>
    <w:p w14:paraId="10C6B3EC">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（1</w:t>
      </w:r>
      <w:r>
        <w:rPr>
          <w:rFonts w:hint="eastAsia" w:ascii="宋体" w:hAnsi="宋体" w:cs="仿宋_GB2312"/>
          <w:kern w:val="0"/>
          <w:szCs w:val="21"/>
          <w:lang w:val="en-US" w:eastAsia="zh-CN"/>
        </w:rPr>
        <w:t>1</w:t>
      </w:r>
      <w:r>
        <w:rPr>
          <w:rFonts w:hint="eastAsia" w:ascii="宋体" w:hAnsi="宋体" w:cs="仿宋_GB2312"/>
          <w:kern w:val="0"/>
          <w:szCs w:val="21"/>
        </w:rPr>
        <w:t>）其它资料</w:t>
      </w:r>
    </w:p>
    <w:p w14:paraId="181ADCE2">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lang w:val="en-US" w:eastAsia="zh-CN"/>
        </w:rPr>
      </w:pPr>
      <w:r>
        <w:rPr>
          <w:rFonts w:hint="eastAsia" w:ascii="宋体" w:hAnsi="宋体" w:cs="仿宋_GB2312"/>
          <w:kern w:val="0"/>
          <w:szCs w:val="21"/>
          <w:lang w:eastAsia="zh-CN"/>
        </w:rPr>
        <w:t>（</w:t>
      </w:r>
      <w:r>
        <w:rPr>
          <w:rFonts w:hint="eastAsia" w:ascii="宋体" w:hAnsi="宋体" w:cs="仿宋_GB2312"/>
          <w:kern w:val="0"/>
          <w:szCs w:val="21"/>
          <w:lang w:val="en-US" w:eastAsia="zh-CN"/>
        </w:rPr>
        <w:t>12）中小企业声明函</w:t>
      </w:r>
    </w:p>
    <w:p w14:paraId="289F0DA5">
      <w:pPr>
        <w:autoSpaceDE w:val="0"/>
        <w:autoSpaceDN w:val="0"/>
        <w:adjustRightInd w:val="0"/>
        <w:snapToGrid w:val="0"/>
        <w:spacing w:line="360" w:lineRule="auto"/>
        <w:ind w:firstLine="472" w:firstLineChars="225"/>
        <w:contextualSpacing/>
        <w:jc w:val="left"/>
        <w:rPr>
          <w:rFonts w:hint="eastAsia"/>
        </w:rPr>
      </w:pPr>
      <w:r>
        <w:rPr>
          <w:rFonts w:hint="eastAsia"/>
          <w:lang w:val="en-US" w:eastAsia="zh-CN"/>
        </w:rPr>
        <w:t>（13）残疾人福利性单位声明函</w:t>
      </w:r>
    </w:p>
    <w:p w14:paraId="2678EA37">
      <w:pPr>
        <w:pStyle w:val="62"/>
        <w:numPr>
          <w:ilvl w:val="0"/>
          <w:numId w:val="4"/>
        </w:numPr>
        <w:spacing w:line="420" w:lineRule="exact"/>
        <w:jc w:val="center"/>
        <w:outlineLvl w:val="1"/>
        <w:rPr>
          <w:rFonts w:hint="eastAsia" w:hAnsi="宋体"/>
          <w:b/>
          <w:color w:val="auto"/>
          <w:sz w:val="28"/>
          <w:szCs w:val="28"/>
        </w:rPr>
      </w:pPr>
      <w:r>
        <w:rPr>
          <w:bCs/>
          <w:color w:val="auto"/>
          <w:sz w:val="28"/>
          <w:szCs w:val="28"/>
        </w:rPr>
        <w:br w:type="page"/>
      </w:r>
      <w:bookmarkStart w:id="579" w:name="_Toc21644"/>
      <w:bookmarkStart w:id="580" w:name="_Toc11175"/>
      <w:r>
        <w:rPr>
          <w:rFonts w:hint="eastAsia" w:hAnsi="宋体"/>
          <w:b/>
          <w:color w:val="auto"/>
          <w:sz w:val="28"/>
          <w:lang w:val="zh-CN"/>
        </w:rPr>
        <w:t>报价函</w:t>
      </w:r>
      <w:bookmarkEnd w:id="579"/>
      <w:bookmarkEnd w:id="580"/>
    </w:p>
    <w:p w14:paraId="28E742A1">
      <w:pPr>
        <w:pStyle w:val="23"/>
        <w:spacing w:line="420" w:lineRule="exact"/>
        <w:ind w:left="98" w:leftChars="0" w:hanging="98" w:hangingChars="47"/>
        <w:rPr>
          <w:rFonts w:hint="eastAsia" w:ascii="宋体" w:hAnsi="宋体"/>
          <w:szCs w:val="21"/>
        </w:rPr>
      </w:pPr>
      <w:r>
        <w:rPr>
          <w:rFonts w:hint="eastAsia" w:ascii="宋体" w:hAnsi="宋体"/>
          <w:szCs w:val="21"/>
        </w:rPr>
        <w:t>致：</w:t>
      </w:r>
      <w:r>
        <w:rPr>
          <w:rFonts w:hint="eastAsia" w:ascii="宋体" w:hAnsi="宋体"/>
          <w:szCs w:val="21"/>
          <w:u w:val="single"/>
        </w:rPr>
        <w:t>（采购人）</w:t>
      </w:r>
    </w:p>
    <w:p w14:paraId="52E4C6C6">
      <w:pPr>
        <w:pStyle w:val="23"/>
        <w:numPr>
          <w:ilvl w:val="0"/>
          <w:numId w:val="5"/>
        </w:numPr>
        <w:spacing w:line="420" w:lineRule="exact"/>
        <w:ind w:left="1" w:leftChars="0" w:firstLine="420" w:firstLineChars="200"/>
        <w:rPr>
          <w:rFonts w:hint="eastAsia" w:ascii="宋体" w:hAnsi="宋体"/>
          <w:szCs w:val="21"/>
        </w:rPr>
      </w:pPr>
      <w:r>
        <w:rPr>
          <w:rFonts w:hint="eastAsia" w:ascii="宋体" w:hAnsi="宋体"/>
          <w:szCs w:val="21"/>
        </w:rPr>
        <w:t>根据已收到的</w:t>
      </w:r>
      <w:r>
        <w:rPr>
          <w:rFonts w:hint="eastAsia" w:ascii="宋体" w:hAnsi="宋体"/>
          <w:szCs w:val="21"/>
          <w:u w:val="single"/>
        </w:rPr>
        <w:t xml:space="preserve">       （项目名称</w:t>
      </w:r>
      <w:r>
        <w:rPr>
          <w:rFonts w:ascii="宋体" w:hAnsi="宋体"/>
          <w:szCs w:val="21"/>
          <w:u w:val="single"/>
        </w:rPr>
        <w:t>）</w:t>
      </w:r>
      <w:r>
        <w:rPr>
          <w:rFonts w:hint="eastAsia" w:ascii="宋体" w:hAnsi="宋体"/>
          <w:szCs w:val="21"/>
          <w:u w:val="single"/>
        </w:rPr>
        <w:t xml:space="preserve">     </w:t>
      </w:r>
      <w:r>
        <w:rPr>
          <w:rFonts w:hint="eastAsia" w:ascii="宋体" w:hAnsi="宋体"/>
          <w:szCs w:val="21"/>
        </w:rPr>
        <w:t>的竞争性磋商文件，遵照《中华人民共和国政府采购法》等有关规定，经考察和认真研究本项目竞争性磋商文件及其它有关文件后，我方愿意遵守竞争性磋商文件中的各项规定，严格按照“技术标准和要求”实施本项</w:t>
      </w:r>
      <w:r>
        <w:rPr>
          <w:rFonts w:hint="eastAsia" w:ascii="宋体" w:hAnsi="宋体"/>
          <w:color w:val="auto"/>
          <w:szCs w:val="21"/>
        </w:rPr>
        <w:t>目，</w:t>
      </w:r>
      <w:r>
        <w:rPr>
          <w:rFonts w:hint="eastAsia" w:ascii="宋体" w:hAnsi="宋体" w:eastAsia="宋体" w:cs="宋体"/>
          <w:color w:val="auto"/>
          <w:sz w:val="21"/>
        </w:rPr>
        <w:t>首次总报价</w:t>
      </w:r>
      <w:r>
        <w:rPr>
          <w:rFonts w:hint="eastAsia" w:ascii="宋体" w:hAnsi="宋体"/>
          <w:color w:val="auto"/>
          <w:szCs w:val="21"/>
        </w:rPr>
        <w:t>为（</w:t>
      </w:r>
      <w:r>
        <w:rPr>
          <w:rFonts w:hint="eastAsia" w:ascii="宋体" w:hAnsi="宋体"/>
          <w:szCs w:val="21"/>
        </w:rPr>
        <w:t>大写）</w:t>
      </w:r>
    </w:p>
    <w:p w14:paraId="2B5A2E9D">
      <w:pPr>
        <w:pStyle w:val="23"/>
        <w:numPr>
          <w:ilvl w:val="0"/>
          <w:numId w:val="0"/>
        </w:numPr>
        <w:spacing w:line="420" w:lineRule="exact"/>
        <w:rPr>
          <w:rFonts w:hint="eastAsia" w:ascii="宋体" w:hAnsi="宋体"/>
          <w:szCs w:val="21"/>
        </w:rPr>
      </w:pP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），并承担其任何质量缺陷等问题所造成的任何损失。</w:t>
      </w:r>
    </w:p>
    <w:p w14:paraId="4A516300">
      <w:pPr>
        <w:pStyle w:val="23"/>
        <w:spacing w:line="420" w:lineRule="exact"/>
        <w:ind w:left="1" w:leftChars="0" w:firstLine="420" w:firstLineChars="200"/>
        <w:rPr>
          <w:rFonts w:hint="eastAsia" w:ascii="宋体" w:hAnsi="宋体"/>
          <w:szCs w:val="21"/>
        </w:rPr>
      </w:pPr>
      <w:r>
        <w:rPr>
          <w:rFonts w:ascii="宋体" w:hAnsi="宋体"/>
          <w:szCs w:val="21"/>
        </w:rPr>
        <w:t>2</w:t>
      </w:r>
      <w:r>
        <w:rPr>
          <w:rFonts w:hint="eastAsia" w:ascii="宋体" w:hAnsi="宋体"/>
          <w:szCs w:val="21"/>
        </w:rPr>
        <w:t>．我方已详细检查全部竞争性磋商文件包括澄清文件、补充通知（如有的话）及有关附件，并完全理解我方必须放弃提出含糊不清或误解的权力，愿按照磋商文件中的条款和要求按最后一次的报价做为最后报价。</w:t>
      </w:r>
    </w:p>
    <w:p w14:paraId="2B9CF8DC">
      <w:pPr>
        <w:pStyle w:val="23"/>
        <w:spacing w:line="420" w:lineRule="exact"/>
        <w:ind w:left="1" w:leftChars="0" w:firstLine="420" w:firstLineChars="200"/>
        <w:rPr>
          <w:rFonts w:hint="eastAsia" w:ascii="宋体" w:hAnsi="宋体"/>
          <w:szCs w:val="21"/>
        </w:rPr>
      </w:pPr>
      <w:r>
        <w:rPr>
          <w:rFonts w:ascii="宋体" w:hAnsi="宋体"/>
          <w:szCs w:val="21"/>
        </w:rPr>
        <w:t>3</w:t>
      </w:r>
      <w:r>
        <w:rPr>
          <w:rFonts w:hint="eastAsia" w:ascii="宋体" w:hAnsi="宋体"/>
          <w:szCs w:val="21"/>
        </w:rPr>
        <w:t>．我方在此承诺，我方若能成交，</w:t>
      </w:r>
      <w:r>
        <w:rPr>
          <w:rFonts w:hint="eastAsia" w:ascii="宋体" w:hAnsi="宋体"/>
          <w:szCs w:val="21"/>
          <w:lang w:val="en-US" w:eastAsia="zh-CN"/>
        </w:rPr>
        <w:t>自合同签订后</w:t>
      </w:r>
      <w:r>
        <w:rPr>
          <w:rFonts w:hint="eastAsia" w:ascii="宋体" w:hAnsi="宋体"/>
          <w:szCs w:val="21"/>
          <w:u w:val="single"/>
          <w:lang w:val="en-US" w:eastAsia="zh-CN"/>
        </w:rPr>
        <w:t xml:space="preserve">      </w:t>
      </w:r>
      <w:r>
        <w:rPr>
          <w:rFonts w:hint="eastAsia" w:ascii="宋体" w:hAnsi="宋体"/>
          <w:szCs w:val="21"/>
          <w:lang w:val="en-US" w:eastAsia="zh-CN"/>
        </w:rPr>
        <w:t>日历天内</w:t>
      </w:r>
      <w:r>
        <w:rPr>
          <w:rFonts w:hint="eastAsia" w:ascii="宋体" w:hAnsi="宋体"/>
          <w:szCs w:val="21"/>
        </w:rPr>
        <w:t>（工期），全面履行竞争性磋商文件中规定的职责和义务。</w:t>
      </w:r>
    </w:p>
    <w:p w14:paraId="5ADE99E7">
      <w:pPr>
        <w:pStyle w:val="23"/>
        <w:spacing w:line="420" w:lineRule="exact"/>
        <w:ind w:left="1" w:leftChars="0" w:firstLine="420" w:firstLineChars="200"/>
        <w:rPr>
          <w:rFonts w:hint="eastAsia" w:ascii="宋体" w:hAnsi="宋体"/>
          <w:szCs w:val="21"/>
        </w:rPr>
      </w:pPr>
      <w:r>
        <w:rPr>
          <w:rFonts w:hint="eastAsia" w:ascii="宋体" w:hAnsi="宋体"/>
          <w:szCs w:val="21"/>
        </w:rPr>
        <w:t>4．如果我方成交，我方保证按合同条款中规定的内容执行；我方保证质量达到合格要求，并按竞争性磋商文件和有关规定提交一切资料。</w:t>
      </w:r>
    </w:p>
    <w:p w14:paraId="52D4CF00">
      <w:pPr>
        <w:pStyle w:val="23"/>
        <w:spacing w:line="420" w:lineRule="exact"/>
        <w:ind w:left="1" w:leftChars="0" w:firstLine="420" w:firstLineChars="200"/>
        <w:outlineLvl w:val="1"/>
        <w:rPr>
          <w:rFonts w:hint="eastAsia" w:ascii="宋体" w:hAnsi="宋体"/>
          <w:szCs w:val="21"/>
        </w:rPr>
      </w:pPr>
      <w:r>
        <w:rPr>
          <w:rFonts w:hint="eastAsia" w:ascii="宋体" w:hAnsi="宋体"/>
          <w:szCs w:val="21"/>
        </w:rPr>
        <w:t>5．如果我方成交，我方将按照采购人规定提交履约保证金。</w:t>
      </w:r>
    </w:p>
    <w:p w14:paraId="24333A53">
      <w:pPr>
        <w:pStyle w:val="23"/>
        <w:spacing w:line="420" w:lineRule="exact"/>
        <w:ind w:left="1" w:leftChars="0" w:firstLine="420" w:firstLineChars="200"/>
        <w:rPr>
          <w:rFonts w:hint="eastAsia" w:ascii="宋体" w:hAnsi="宋体"/>
          <w:szCs w:val="21"/>
        </w:rPr>
      </w:pPr>
      <w:r>
        <w:rPr>
          <w:rFonts w:hint="eastAsia" w:ascii="宋体" w:hAnsi="宋体"/>
          <w:szCs w:val="21"/>
        </w:rPr>
        <w:t>6．我方同意从响应文件递交截止日期起</w:t>
      </w:r>
      <w:r>
        <w:rPr>
          <w:rFonts w:hint="eastAsia" w:ascii="宋体" w:hAnsi="宋体"/>
          <w:szCs w:val="21"/>
          <w:u w:val="single"/>
        </w:rPr>
        <w:t xml:space="preserve">    </w:t>
      </w:r>
      <w:r>
        <w:rPr>
          <w:rFonts w:hint="eastAsia" w:ascii="宋体" w:hAnsi="宋体"/>
          <w:szCs w:val="21"/>
        </w:rPr>
        <w:t>天内保持磋商响应文件有效，在此有效期内，我方将严格遵守磋商响应文件的承诺，本磋商响应文件对我方具有约束力，并可随时被接受成交。</w:t>
      </w:r>
    </w:p>
    <w:p w14:paraId="36F7B268">
      <w:pPr>
        <w:pStyle w:val="23"/>
        <w:spacing w:line="420" w:lineRule="exact"/>
        <w:ind w:left="1" w:leftChars="0" w:firstLine="420" w:firstLineChars="200"/>
        <w:rPr>
          <w:rFonts w:hint="eastAsia" w:ascii="宋体" w:hAnsi="宋体"/>
          <w:szCs w:val="21"/>
        </w:rPr>
      </w:pPr>
      <w:r>
        <w:rPr>
          <w:rFonts w:hint="eastAsia" w:ascii="宋体" w:hAnsi="宋体"/>
          <w:szCs w:val="21"/>
        </w:rPr>
        <w:t>7．除磋商响应文件所提交的资料外，我方同意随时接受贵方的检查、询问，并根据磋商需要补充贵方要求提交的资料。</w:t>
      </w:r>
    </w:p>
    <w:p w14:paraId="7172DE04">
      <w:pPr>
        <w:pStyle w:val="23"/>
        <w:spacing w:line="420" w:lineRule="exact"/>
        <w:ind w:left="1" w:leftChars="0" w:firstLine="420" w:firstLineChars="200"/>
        <w:rPr>
          <w:rFonts w:hint="eastAsia" w:ascii="宋体" w:hAnsi="宋体"/>
          <w:szCs w:val="21"/>
        </w:rPr>
      </w:pPr>
      <w:r>
        <w:rPr>
          <w:rFonts w:hint="eastAsia" w:ascii="宋体" w:hAnsi="宋体"/>
          <w:szCs w:val="21"/>
        </w:rPr>
        <w:t>8．如果我方成交后，我方没有任何正当理由而拒签合同，同时我方愿意补偿该项工作因我方延误所造成的经济损失。</w:t>
      </w:r>
    </w:p>
    <w:p w14:paraId="27C629FA">
      <w:pPr>
        <w:pStyle w:val="23"/>
        <w:spacing w:line="420" w:lineRule="exact"/>
        <w:ind w:left="1" w:leftChars="0" w:firstLine="420" w:firstLineChars="200"/>
        <w:outlineLvl w:val="1"/>
        <w:rPr>
          <w:rFonts w:hint="eastAsia" w:ascii="宋体" w:hAnsi="宋体"/>
          <w:szCs w:val="21"/>
        </w:rPr>
      </w:pPr>
      <w:r>
        <w:rPr>
          <w:rFonts w:hint="eastAsia" w:ascii="宋体" w:hAnsi="宋体"/>
          <w:szCs w:val="21"/>
        </w:rPr>
        <w:t>9．我方愿接受合同条款中规定的合同价款计算和调整方式。</w:t>
      </w:r>
    </w:p>
    <w:p w14:paraId="436D8E1A">
      <w:pPr>
        <w:pStyle w:val="23"/>
        <w:spacing w:line="420" w:lineRule="exact"/>
        <w:ind w:left="1" w:leftChars="0" w:firstLine="420" w:firstLineChars="200"/>
        <w:rPr>
          <w:rFonts w:hint="eastAsia" w:ascii="宋体" w:hAnsi="宋体"/>
          <w:szCs w:val="21"/>
        </w:rPr>
      </w:pPr>
      <w:r>
        <w:rPr>
          <w:rFonts w:hint="eastAsia" w:ascii="宋体" w:hAnsi="宋体"/>
          <w:szCs w:val="21"/>
        </w:rPr>
        <w:t>10．除非另外达成协议并生效，贵方的成交通知书和本磋商响应文件将成为约束我方的合同文件组成部分。</w:t>
      </w:r>
    </w:p>
    <w:p w14:paraId="2E70C5A9">
      <w:pPr>
        <w:pStyle w:val="23"/>
        <w:spacing w:line="420" w:lineRule="exact"/>
        <w:ind w:left="1" w:leftChars="0" w:firstLine="420" w:firstLineChars="200"/>
        <w:rPr>
          <w:rFonts w:hint="eastAsia" w:ascii="宋体" w:hAnsi="宋体"/>
          <w:szCs w:val="21"/>
        </w:rPr>
      </w:pPr>
    </w:p>
    <w:p w14:paraId="0CC5084B">
      <w:pPr>
        <w:pStyle w:val="23"/>
        <w:spacing w:line="420" w:lineRule="exact"/>
        <w:ind w:left="1" w:leftChars="0" w:firstLine="420" w:firstLineChars="200"/>
        <w:rPr>
          <w:rFonts w:hint="eastAsia" w:ascii="宋体" w:hAnsi="宋体"/>
          <w:szCs w:val="21"/>
        </w:rPr>
      </w:pPr>
    </w:p>
    <w:p w14:paraId="36EFD340">
      <w:pPr>
        <w:pStyle w:val="23"/>
        <w:spacing w:line="420" w:lineRule="exact"/>
        <w:ind w:left="1" w:leftChars="0" w:firstLine="420" w:firstLineChars="200"/>
        <w:rPr>
          <w:rFonts w:hint="eastAsia" w:ascii="宋体" w:hAnsi="宋体"/>
          <w:szCs w:val="21"/>
        </w:rPr>
      </w:pPr>
    </w:p>
    <w:p w14:paraId="423099B1">
      <w:pPr>
        <w:pStyle w:val="23"/>
        <w:spacing w:line="420" w:lineRule="exact"/>
        <w:ind w:left="1" w:leftChars="0" w:firstLine="420" w:firstLineChars="200"/>
        <w:rPr>
          <w:rFonts w:hint="eastAsia" w:ascii="宋体" w:hAnsi="宋体"/>
          <w:szCs w:val="21"/>
        </w:rPr>
      </w:pPr>
      <w:r>
        <w:rPr>
          <w:rFonts w:hint="eastAsia" w:ascii="宋体" w:hAnsi="宋体"/>
          <w:szCs w:val="21"/>
        </w:rPr>
        <w:t>供应商：（盖章）</w:t>
      </w:r>
    </w:p>
    <w:p w14:paraId="7131D195">
      <w:pPr>
        <w:pStyle w:val="23"/>
        <w:spacing w:line="420" w:lineRule="exact"/>
        <w:ind w:left="1" w:leftChars="0" w:firstLine="420" w:firstLineChars="200"/>
        <w:rPr>
          <w:rFonts w:hint="eastAsia" w:ascii="宋体" w:hAnsi="宋体"/>
          <w:szCs w:val="21"/>
        </w:rPr>
      </w:pPr>
      <w:r>
        <w:rPr>
          <w:rFonts w:hint="eastAsia" w:ascii="宋体" w:hAnsi="宋体"/>
          <w:szCs w:val="21"/>
        </w:rPr>
        <w:t>法定代表人：（签字或盖章）</w:t>
      </w:r>
    </w:p>
    <w:p w14:paraId="41A65AF0">
      <w:pPr>
        <w:pStyle w:val="23"/>
        <w:spacing w:line="420" w:lineRule="exact"/>
        <w:ind w:left="1" w:leftChars="0" w:firstLine="420" w:firstLineChars="200"/>
        <w:rPr>
          <w:rFonts w:hint="eastAsia" w:ascii="宋体" w:hAnsi="宋体"/>
          <w:szCs w:val="21"/>
        </w:rPr>
      </w:pPr>
      <w:r>
        <w:rPr>
          <w:rFonts w:hint="eastAsia" w:ascii="宋体" w:hAnsi="宋体"/>
          <w:szCs w:val="21"/>
        </w:rPr>
        <w:t>委托代理人：（签字或盖章）</w:t>
      </w:r>
    </w:p>
    <w:p w14:paraId="04AEB746">
      <w:pPr>
        <w:pStyle w:val="23"/>
        <w:spacing w:line="420" w:lineRule="exact"/>
        <w:ind w:left="1" w:leftChars="0" w:firstLine="420" w:firstLineChars="200"/>
        <w:rPr>
          <w:rFonts w:hint="eastAsia" w:ascii="宋体" w:hAnsi="宋体"/>
          <w:szCs w:val="21"/>
        </w:rPr>
      </w:pPr>
      <w:r>
        <w:rPr>
          <w:rFonts w:hint="eastAsia" w:ascii="宋体" w:hAnsi="宋体"/>
          <w:szCs w:val="21"/>
        </w:rPr>
        <w:t>日期：     年    月    日</w:t>
      </w:r>
    </w:p>
    <w:p w14:paraId="235270AE">
      <w:pPr>
        <w:spacing w:line="240" w:lineRule="atLeast"/>
        <w:rPr>
          <w:rFonts w:hint="eastAsia"/>
          <w:szCs w:val="21"/>
        </w:rPr>
      </w:pPr>
    </w:p>
    <w:p w14:paraId="1045FC16">
      <w:pPr>
        <w:pStyle w:val="62"/>
        <w:numPr>
          <w:ilvl w:val="0"/>
          <w:numId w:val="4"/>
        </w:numPr>
        <w:spacing w:line="480" w:lineRule="exact"/>
        <w:jc w:val="center"/>
        <w:outlineLvl w:val="1"/>
        <w:rPr>
          <w:rFonts w:hint="eastAsia" w:hAnsi="宋体"/>
          <w:b/>
          <w:color w:val="auto"/>
          <w:sz w:val="28"/>
          <w:szCs w:val="28"/>
        </w:rPr>
      </w:pPr>
      <w:r>
        <w:rPr>
          <w:rFonts w:hAnsi="宋体"/>
          <w:b/>
          <w:bCs/>
          <w:color w:val="auto"/>
          <w:sz w:val="36"/>
          <w:szCs w:val="36"/>
        </w:rPr>
        <w:br w:type="page"/>
      </w:r>
      <w:bookmarkStart w:id="581" w:name="_Toc7399"/>
      <w:bookmarkStart w:id="582" w:name="_Toc24495"/>
      <w:r>
        <w:rPr>
          <w:rFonts w:hint="eastAsia" w:hAnsi="宋体"/>
          <w:b/>
          <w:color w:val="auto"/>
          <w:sz w:val="28"/>
        </w:rPr>
        <w:t>报价函附录（第一轮报价）</w:t>
      </w:r>
      <w:bookmarkEnd w:id="581"/>
      <w:bookmarkEnd w:id="582"/>
    </w:p>
    <w:p w14:paraId="40A74F58">
      <w:pPr>
        <w:pStyle w:val="23"/>
        <w:spacing w:line="500" w:lineRule="exact"/>
        <w:ind w:left="0" w:leftChars="0" w:firstLine="0" w:firstLineChars="0"/>
        <w:jc w:val="center"/>
        <w:rPr>
          <w:rFonts w:hint="eastAsia" w:ascii="宋体" w:hAnsi="宋体"/>
          <w:b/>
          <w:sz w:val="24"/>
        </w:rPr>
      </w:pPr>
    </w:p>
    <w:p w14:paraId="6FFE95FA">
      <w:pPr>
        <w:rPr>
          <w:rFonts w:hint="eastAsia"/>
        </w:rPr>
      </w:pPr>
    </w:p>
    <w:tbl>
      <w:tblPr>
        <w:tblStyle w:val="46"/>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1473"/>
        <w:gridCol w:w="704"/>
        <w:gridCol w:w="1529"/>
        <w:gridCol w:w="643"/>
        <w:gridCol w:w="1663"/>
      </w:tblGrid>
      <w:tr w14:paraId="653B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388" w:type="dxa"/>
            <w:tcBorders>
              <w:top w:val="single" w:color="auto" w:sz="4" w:space="0"/>
              <w:left w:val="single" w:color="auto" w:sz="4" w:space="0"/>
              <w:bottom w:val="single" w:color="auto" w:sz="4" w:space="0"/>
              <w:right w:val="single" w:color="auto" w:sz="4" w:space="0"/>
            </w:tcBorders>
            <w:noWrap w:val="0"/>
            <w:vAlign w:val="center"/>
          </w:tcPr>
          <w:p w14:paraId="7A7E5160">
            <w:pPr>
              <w:widowControl/>
              <w:spacing w:line="360" w:lineRule="auto"/>
              <w:jc w:val="center"/>
              <w:rPr>
                <w:rFonts w:ascii="宋体" w:hAnsi="宋体" w:cs="宋体"/>
                <w:szCs w:val="21"/>
              </w:rPr>
            </w:pPr>
            <w:r>
              <w:rPr>
                <w:rFonts w:hint="eastAsia" w:ascii="宋体" w:hAnsi="宋体" w:cs="宋体"/>
                <w:szCs w:val="21"/>
              </w:rPr>
              <w:t>项目名称</w:t>
            </w:r>
          </w:p>
        </w:tc>
        <w:tc>
          <w:tcPr>
            <w:tcW w:w="6012" w:type="dxa"/>
            <w:gridSpan w:val="5"/>
            <w:tcBorders>
              <w:top w:val="single" w:color="auto" w:sz="4" w:space="0"/>
              <w:left w:val="single" w:color="auto" w:sz="4" w:space="0"/>
              <w:bottom w:val="single" w:color="auto" w:sz="4" w:space="0"/>
              <w:right w:val="single" w:color="auto" w:sz="4" w:space="0"/>
            </w:tcBorders>
            <w:noWrap w:val="0"/>
            <w:vAlign w:val="center"/>
          </w:tcPr>
          <w:p w14:paraId="133E1554">
            <w:pPr>
              <w:widowControl/>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 xml:space="preserve"> </w:t>
            </w:r>
          </w:p>
        </w:tc>
      </w:tr>
      <w:tr w14:paraId="2381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388" w:type="dxa"/>
            <w:tcBorders>
              <w:top w:val="single" w:color="auto" w:sz="4" w:space="0"/>
              <w:left w:val="single" w:color="auto" w:sz="4" w:space="0"/>
              <w:bottom w:val="single" w:color="auto" w:sz="4" w:space="0"/>
              <w:right w:val="single" w:color="auto" w:sz="4" w:space="0"/>
            </w:tcBorders>
            <w:noWrap w:val="0"/>
            <w:vAlign w:val="center"/>
          </w:tcPr>
          <w:p w14:paraId="423FC705">
            <w:pPr>
              <w:widowControl/>
              <w:spacing w:line="360" w:lineRule="auto"/>
              <w:jc w:val="center"/>
              <w:rPr>
                <w:rFonts w:ascii="宋体" w:hAnsi="宋体" w:cs="宋体"/>
                <w:szCs w:val="21"/>
              </w:rPr>
            </w:pPr>
            <w:r>
              <w:rPr>
                <w:rFonts w:hint="eastAsia" w:ascii="宋体" w:hAnsi="宋体" w:cs="宋体"/>
                <w:szCs w:val="21"/>
              </w:rPr>
              <w:t>供应商名称</w:t>
            </w:r>
          </w:p>
        </w:tc>
        <w:tc>
          <w:tcPr>
            <w:tcW w:w="6012" w:type="dxa"/>
            <w:gridSpan w:val="5"/>
            <w:tcBorders>
              <w:top w:val="single" w:color="auto" w:sz="4" w:space="0"/>
              <w:left w:val="single" w:color="auto" w:sz="4" w:space="0"/>
              <w:bottom w:val="single" w:color="auto" w:sz="4" w:space="0"/>
              <w:right w:val="single" w:color="auto" w:sz="4" w:space="0"/>
            </w:tcBorders>
            <w:noWrap w:val="0"/>
            <w:vAlign w:val="center"/>
          </w:tcPr>
          <w:p w14:paraId="3D821D83">
            <w:pPr>
              <w:widowControl/>
              <w:spacing w:line="360" w:lineRule="auto"/>
              <w:jc w:val="center"/>
              <w:rPr>
                <w:rFonts w:ascii="宋体" w:hAnsi="宋体" w:cs="宋体"/>
                <w:szCs w:val="21"/>
              </w:rPr>
            </w:pPr>
          </w:p>
        </w:tc>
      </w:tr>
      <w:tr w14:paraId="1A65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88" w:type="dxa"/>
            <w:tcBorders>
              <w:top w:val="single" w:color="auto" w:sz="4" w:space="0"/>
              <w:left w:val="single" w:color="auto" w:sz="4" w:space="0"/>
              <w:bottom w:val="single" w:color="auto" w:sz="4" w:space="0"/>
              <w:right w:val="single" w:color="auto" w:sz="4" w:space="0"/>
            </w:tcBorders>
            <w:noWrap w:val="0"/>
            <w:vAlign w:val="center"/>
          </w:tcPr>
          <w:p w14:paraId="5FC9EC12">
            <w:pPr>
              <w:widowControl/>
              <w:jc w:val="center"/>
              <w:rPr>
                <w:rFonts w:ascii="宋体" w:hAnsi="宋体" w:cs="宋体"/>
                <w:szCs w:val="21"/>
              </w:rPr>
            </w:pPr>
            <w:r>
              <w:rPr>
                <w:rFonts w:hint="eastAsia" w:ascii="宋体" w:hAnsi="宋体" w:cs="宋体"/>
                <w:szCs w:val="21"/>
                <w:lang w:val="en-US" w:eastAsia="zh-CN"/>
              </w:rPr>
              <w:t>投标范围</w:t>
            </w:r>
          </w:p>
        </w:tc>
        <w:tc>
          <w:tcPr>
            <w:tcW w:w="6012" w:type="dxa"/>
            <w:gridSpan w:val="5"/>
            <w:tcBorders>
              <w:top w:val="single" w:color="auto" w:sz="4" w:space="0"/>
              <w:left w:val="single" w:color="auto" w:sz="4" w:space="0"/>
              <w:bottom w:val="single" w:color="auto" w:sz="4" w:space="0"/>
              <w:right w:val="single" w:color="auto" w:sz="4" w:space="0"/>
            </w:tcBorders>
            <w:noWrap w:val="0"/>
            <w:vAlign w:val="center"/>
          </w:tcPr>
          <w:p w14:paraId="6F3B9AFC">
            <w:pPr>
              <w:widowControl/>
              <w:jc w:val="center"/>
              <w:rPr>
                <w:rFonts w:ascii="宋体" w:hAnsi="宋体" w:cs="宋体"/>
                <w:szCs w:val="21"/>
              </w:rPr>
            </w:pPr>
            <w:r>
              <w:rPr>
                <w:rFonts w:hint="eastAsia" w:ascii="宋体" w:hAnsi="宋体" w:cs="宋体"/>
                <w:szCs w:val="21"/>
              </w:rPr>
              <w:t>招标文件、图纸、清单全部内容</w:t>
            </w:r>
          </w:p>
        </w:tc>
      </w:tr>
      <w:tr w14:paraId="7AE1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2388" w:type="dxa"/>
            <w:tcBorders>
              <w:top w:val="single" w:color="auto" w:sz="4" w:space="0"/>
              <w:left w:val="single" w:color="auto" w:sz="4" w:space="0"/>
              <w:right w:val="single" w:color="auto" w:sz="4" w:space="0"/>
            </w:tcBorders>
            <w:noWrap w:val="0"/>
            <w:vAlign w:val="center"/>
          </w:tcPr>
          <w:p w14:paraId="11FDCAD3">
            <w:pPr>
              <w:widowControl/>
              <w:jc w:val="center"/>
              <w:rPr>
                <w:rFonts w:ascii="宋体" w:hAnsi="宋体" w:cs="宋体"/>
                <w:szCs w:val="21"/>
              </w:rPr>
            </w:pPr>
            <w:r>
              <w:rPr>
                <w:rFonts w:hint="eastAsia" w:ascii="宋体" w:hAnsi="宋体" w:cs="宋体"/>
                <w:szCs w:val="21"/>
              </w:rPr>
              <w:t>磋商报价</w:t>
            </w:r>
          </w:p>
        </w:tc>
        <w:tc>
          <w:tcPr>
            <w:tcW w:w="6012" w:type="dxa"/>
            <w:gridSpan w:val="5"/>
            <w:tcBorders>
              <w:top w:val="single" w:color="auto" w:sz="4" w:space="0"/>
              <w:left w:val="single" w:color="auto" w:sz="4" w:space="0"/>
              <w:right w:val="single" w:color="auto" w:sz="4" w:space="0"/>
            </w:tcBorders>
            <w:noWrap w:val="0"/>
            <w:vAlign w:val="center"/>
          </w:tcPr>
          <w:p w14:paraId="2A3B87DC">
            <w:pPr>
              <w:rPr>
                <w:rFonts w:ascii="宋体" w:hAnsi="宋体" w:cs="宋体"/>
                <w:szCs w:val="21"/>
                <w:u w:val="single"/>
              </w:rPr>
            </w:pPr>
            <w:r>
              <w:rPr>
                <w:rFonts w:hint="eastAsia" w:ascii="宋体" w:hAnsi="宋体" w:cs="宋体"/>
                <w:szCs w:val="21"/>
              </w:rPr>
              <w:t>大写：</w:t>
            </w:r>
            <w:r>
              <w:rPr>
                <w:rFonts w:hint="eastAsia" w:ascii="宋体" w:hAnsi="宋体" w:cs="宋体"/>
                <w:szCs w:val="21"/>
                <w:u w:val="single"/>
              </w:rPr>
              <w:t xml:space="preserve">               </w:t>
            </w:r>
          </w:p>
          <w:p w14:paraId="1E3A479C">
            <w:pPr>
              <w:rPr>
                <w:rFonts w:ascii="宋体" w:hAnsi="宋体" w:cs="宋体"/>
                <w:szCs w:val="21"/>
                <w:u w:val="single"/>
              </w:rPr>
            </w:pPr>
            <w:r>
              <w:rPr>
                <w:rFonts w:hint="eastAsia" w:ascii="宋体" w:hAnsi="宋体" w:cs="宋体"/>
                <w:szCs w:val="21"/>
              </w:rPr>
              <w:t>小写：</w:t>
            </w:r>
            <w:r>
              <w:rPr>
                <w:rFonts w:hint="eastAsia" w:ascii="宋体" w:hAnsi="宋体" w:cs="宋体"/>
                <w:kern w:val="0"/>
                <w:szCs w:val="21"/>
                <w:u w:val="single"/>
              </w:rPr>
              <w:t xml:space="preserve">               </w:t>
            </w:r>
            <w:r>
              <w:rPr>
                <w:rFonts w:hint="eastAsia" w:ascii="宋体" w:hAnsi="宋体" w:cs="宋体"/>
                <w:szCs w:val="21"/>
                <w:u w:val="single"/>
              </w:rPr>
              <w:t xml:space="preserve">                </w:t>
            </w:r>
          </w:p>
          <w:p w14:paraId="4B151970">
            <w:pPr>
              <w:widowControl/>
              <w:jc w:val="left"/>
              <w:rPr>
                <w:rFonts w:ascii="宋体" w:hAnsi="宋体" w:cs="宋体"/>
                <w:b/>
                <w:bCs/>
                <w:szCs w:val="21"/>
              </w:rPr>
            </w:pPr>
            <w:r>
              <w:rPr>
                <w:rFonts w:hint="eastAsia" w:ascii="宋体" w:hAnsi="宋体" w:cs="宋体"/>
                <w:b/>
                <w:bCs/>
                <w:szCs w:val="21"/>
              </w:rPr>
              <w:t>（供应商应在此填列第一次报价，但以供应商最后一次的磋商报价为成交价）</w:t>
            </w:r>
          </w:p>
        </w:tc>
      </w:tr>
      <w:tr w14:paraId="1C36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2388" w:type="dxa"/>
            <w:tcBorders>
              <w:top w:val="single" w:color="auto" w:sz="4" w:space="0"/>
              <w:left w:val="single" w:color="auto" w:sz="4" w:space="0"/>
              <w:right w:val="single" w:color="auto" w:sz="4" w:space="0"/>
            </w:tcBorders>
            <w:noWrap w:val="0"/>
            <w:vAlign w:val="center"/>
          </w:tcPr>
          <w:p w14:paraId="3A8D5109">
            <w:pPr>
              <w:jc w:val="center"/>
              <w:rPr>
                <w:rFonts w:ascii="宋体" w:hAnsi="宋体" w:cs="宋体"/>
                <w:szCs w:val="21"/>
              </w:rPr>
            </w:pPr>
            <w:r>
              <w:rPr>
                <w:rFonts w:hint="eastAsia" w:ascii="宋体" w:hAnsi="宋体" w:cs="宋体"/>
                <w:szCs w:val="21"/>
              </w:rPr>
              <w:t>项目经理</w:t>
            </w:r>
          </w:p>
        </w:tc>
        <w:tc>
          <w:tcPr>
            <w:tcW w:w="1473" w:type="dxa"/>
            <w:tcBorders>
              <w:top w:val="single" w:color="auto" w:sz="4" w:space="0"/>
              <w:left w:val="single" w:color="auto" w:sz="4" w:space="0"/>
              <w:right w:val="single" w:color="auto" w:sz="4" w:space="0"/>
            </w:tcBorders>
            <w:noWrap w:val="0"/>
            <w:vAlign w:val="center"/>
          </w:tcPr>
          <w:p w14:paraId="399FBE9E">
            <w:pPr>
              <w:ind w:firstLine="210" w:firstLineChars="100"/>
              <w:rPr>
                <w:rFonts w:ascii="宋体" w:hAnsi="宋体" w:cs="宋体"/>
                <w:b/>
                <w:bCs/>
                <w:szCs w:val="21"/>
              </w:rPr>
            </w:pPr>
          </w:p>
        </w:tc>
        <w:tc>
          <w:tcPr>
            <w:tcW w:w="704" w:type="dxa"/>
            <w:tcBorders>
              <w:top w:val="single" w:color="auto" w:sz="4" w:space="0"/>
              <w:left w:val="single" w:color="auto" w:sz="4" w:space="0"/>
              <w:right w:val="single" w:color="auto" w:sz="4" w:space="0"/>
            </w:tcBorders>
            <w:noWrap w:val="0"/>
            <w:vAlign w:val="center"/>
          </w:tcPr>
          <w:p w14:paraId="1170E38B">
            <w:pPr>
              <w:rPr>
                <w:rFonts w:ascii="宋体" w:hAnsi="宋体" w:cs="宋体"/>
                <w:b/>
                <w:bCs/>
                <w:szCs w:val="21"/>
              </w:rPr>
            </w:pPr>
            <w:r>
              <w:rPr>
                <w:rFonts w:hint="eastAsia" w:ascii="宋体" w:hAnsi="宋体" w:cs="宋体"/>
                <w:szCs w:val="21"/>
              </w:rPr>
              <w:t>级别</w:t>
            </w:r>
          </w:p>
        </w:tc>
        <w:tc>
          <w:tcPr>
            <w:tcW w:w="1529" w:type="dxa"/>
            <w:tcBorders>
              <w:top w:val="single" w:color="auto" w:sz="4" w:space="0"/>
              <w:left w:val="single" w:color="auto" w:sz="4" w:space="0"/>
              <w:right w:val="single" w:color="auto" w:sz="4" w:space="0"/>
            </w:tcBorders>
            <w:noWrap w:val="0"/>
            <w:vAlign w:val="center"/>
          </w:tcPr>
          <w:p w14:paraId="7107B574">
            <w:pPr>
              <w:ind w:firstLine="210" w:firstLineChars="100"/>
              <w:rPr>
                <w:rFonts w:ascii="宋体" w:hAnsi="宋体" w:cs="宋体"/>
                <w:b/>
                <w:bCs/>
                <w:szCs w:val="21"/>
              </w:rPr>
            </w:pPr>
          </w:p>
        </w:tc>
        <w:tc>
          <w:tcPr>
            <w:tcW w:w="643" w:type="dxa"/>
            <w:tcBorders>
              <w:top w:val="single" w:color="auto" w:sz="4" w:space="0"/>
              <w:left w:val="single" w:color="auto" w:sz="4" w:space="0"/>
              <w:right w:val="single" w:color="auto" w:sz="4" w:space="0"/>
            </w:tcBorders>
            <w:noWrap w:val="0"/>
            <w:vAlign w:val="center"/>
          </w:tcPr>
          <w:p w14:paraId="680B7001">
            <w:pPr>
              <w:rPr>
                <w:rFonts w:ascii="宋体" w:hAnsi="宋体" w:cs="宋体"/>
                <w:b/>
                <w:bCs/>
                <w:szCs w:val="21"/>
              </w:rPr>
            </w:pPr>
            <w:r>
              <w:rPr>
                <w:rFonts w:hint="eastAsia" w:ascii="宋体" w:hAnsi="宋体" w:cs="宋体"/>
                <w:szCs w:val="21"/>
              </w:rPr>
              <w:t>注册编号</w:t>
            </w:r>
          </w:p>
        </w:tc>
        <w:tc>
          <w:tcPr>
            <w:tcW w:w="1663" w:type="dxa"/>
            <w:tcBorders>
              <w:top w:val="single" w:color="auto" w:sz="4" w:space="0"/>
              <w:left w:val="single" w:color="auto" w:sz="4" w:space="0"/>
              <w:right w:val="single" w:color="auto" w:sz="4" w:space="0"/>
            </w:tcBorders>
            <w:noWrap w:val="0"/>
            <w:vAlign w:val="center"/>
          </w:tcPr>
          <w:p w14:paraId="64EA187B">
            <w:pPr>
              <w:ind w:firstLine="210" w:firstLineChars="100"/>
              <w:rPr>
                <w:rFonts w:ascii="宋体" w:hAnsi="宋体" w:cs="宋体"/>
                <w:b/>
                <w:bCs/>
                <w:szCs w:val="21"/>
              </w:rPr>
            </w:pPr>
          </w:p>
        </w:tc>
      </w:tr>
      <w:tr w14:paraId="4EC6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388" w:type="dxa"/>
            <w:tcBorders>
              <w:top w:val="single" w:color="auto" w:sz="4" w:space="0"/>
              <w:left w:val="single" w:color="auto" w:sz="4" w:space="0"/>
              <w:right w:val="single" w:color="auto" w:sz="4" w:space="0"/>
            </w:tcBorders>
            <w:noWrap w:val="0"/>
            <w:vAlign w:val="center"/>
          </w:tcPr>
          <w:p w14:paraId="7C34EC0C">
            <w:pPr>
              <w:widowControl/>
              <w:jc w:val="center"/>
              <w:rPr>
                <w:rFonts w:ascii="宋体" w:hAnsi="宋体" w:cs="宋体"/>
                <w:szCs w:val="21"/>
              </w:rPr>
            </w:pPr>
            <w:r>
              <w:rPr>
                <w:rFonts w:hint="eastAsia" w:ascii="宋体" w:hAnsi="宋体" w:cs="宋体"/>
                <w:szCs w:val="21"/>
              </w:rPr>
              <w:t>工期</w:t>
            </w:r>
          </w:p>
        </w:tc>
        <w:tc>
          <w:tcPr>
            <w:tcW w:w="6012" w:type="dxa"/>
            <w:gridSpan w:val="5"/>
            <w:tcBorders>
              <w:top w:val="single" w:color="auto" w:sz="4" w:space="0"/>
              <w:left w:val="single" w:color="auto" w:sz="4" w:space="0"/>
              <w:right w:val="single" w:color="auto" w:sz="4" w:space="0"/>
            </w:tcBorders>
            <w:noWrap w:val="0"/>
            <w:vAlign w:val="center"/>
          </w:tcPr>
          <w:p w14:paraId="0001D8BA">
            <w:pPr>
              <w:widowControl/>
              <w:spacing w:line="500" w:lineRule="exact"/>
              <w:jc w:val="center"/>
              <w:rPr>
                <w:rFonts w:ascii="宋体" w:hAnsi="宋体" w:cs="宋体"/>
                <w:b/>
                <w:bCs/>
                <w:szCs w:val="21"/>
              </w:rPr>
            </w:pPr>
          </w:p>
        </w:tc>
      </w:tr>
      <w:tr w14:paraId="2D66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388" w:type="dxa"/>
            <w:tcBorders>
              <w:top w:val="single" w:color="auto" w:sz="4" w:space="0"/>
              <w:left w:val="single" w:color="auto" w:sz="4" w:space="0"/>
              <w:bottom w:val="single" w:color="auto" w:sz="4" w:space="0"/>
              <w:right w:val="single" w:color="auto" w:sz="4" w:space="0"/>
            </w:tcBorders>
            <w:noWrap w:val="0"/>
            <w:vAlign w:val="center"/>
          </w:tcPr>
          <w:p w14:paraId="7422D988">
            <w:pPr>
              <w:widowControl/>
              <w:spacing w:line="360" w:lineRule="auto"/>
              <w:jc w:val="center"/>
              <w:rPr>
                <w:rFonts w:ascii="宋体" w:hAnsi="宋体" w:cs="宋体"/>
                <w:szCs w:val="21"/>
              </w:rPr>
            </w:pPr>
            <w:r>
              <w:rPr>
                <w:rFonts w:hint="eastAsia" w:ascii="宋体" w:hAnsi="宋体" w:cs="宋体"/>
                <w:szCs w:val="21"/>
              </w:rPr>
              <w:t>质量要求</w:t>
            </w:r>
          </w:p>
        </w:tc>
        <w:tc>
          <w:tcPr>
            <w:tcW w:w="6012" w:type="dxa"/>
            <w:gridSpan w:val="5"/>
            <w:tcBorders>
              <w:top w:val="single" w:color="auto" w:sz="4" w:space="0"/>
              <w:left w:val="single" w:color="auto" w:sz="4" w:space="0"/>
              <w:bottom w:val="single" w:color="auto" w:sz="4" w:space="0"/>
              <w:right w:val="single" w:color="auto" w:sz="4" w:space="0"/>
            </w:tcBorders>
            <w:noWrap w:val="0"/>
            <w:vAlign w:val="center"/>
          </w:tcPr>
          <w:p w14:paraId="06E3586C">
            <w:pPr>
              <w:widowControl/>
              <w:spacing w:line="360" w:lineRule="auto"/>
              <w:jc w:val="center"/>
              <w:rPr>
                <w:rFonts w:hint="eastAsia" w:ascii="宋体" w:hAnsi="宋体" w:eastAsia="宋体" w:cs="宋体"/>
                <w:szCs w:val="21"/>
                <w:lang w:eastAsia="zh-CN"/>
              </w:rPr>
            </w:pPr>
            <w:r>
              <w:rPr>
                <w:rFonts w:hint="eastAsia" w:ascii="宋体" w:hAnsi="宋体" w:cs="宋体"/>
                <w:szCs w:val="21"/>
                <w:lang w:eastAsia="zh-CN"/>
              </w:rPr>
              <w:t>合格</w:t>
            </w:r>
          </w:p>
        </w:tc>
      </w:tr>
      <w:tr w14:paraId="72F0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388" w:type="dxa"/>
            <w:tcBorders>
              <w:top w:val="single" w:color="auto" w:sz="4" w:space="0"/>
              <w:left w:val="single" w:color="auto" w:sz="4" w:space="0"/>
              <w:bottom w:val="single" w:color="auto" w:sz="4" w:space="0"/>
              <w:right w:val="single" w:color="auto" w:sz="4" w:space="0"/>
            </w:tcBorders>
            <w:noWrap w:val="0"/>
            <w:vAlign w:val="center"/>
          </w:tcPr>
          <w:p w14:paraId="6788DEAC">
            <w:pPr>
              <w:widowControl/>
              <w:spacing w:line="360" w:lineRule="auto"/>
              <w:jc w:val="center"/>
              <w:rPr>
                <w:rFonts w:ascii="宋体" w:hAnsi="宋体" w:cs="宋体"/>
                <w:szCs w:val="21"/>
              </w:rPr>
            </w:pPr>
            <w:r>
              <w:rPr>
                <w:rFonts w:hint="eastAsia" w:ascii="宋体" w:hAnsi="宋体" w:cs="宋体"/>
                <w:szCs w:val="21"/>
              </w:rPr>
              <w:t>磋商有效期</w:t>
            </w:r>
          </w:p>
        </w:tc>
        <w:tc>
          <w:tcPr>
            <w:tcW w:w="6012" w:type="dxa"/>
            <w:gridSpan w:val="5"/>
            <w:tcBorders>
              <w:top w:val="single" w:color="auto" w:sz="4" w:space="0"/>
              <w:left w:val="single" w:color="auto" w:sz="4" w:space="0"/>
              <w:bottom w:val="single" w:color="auto" w:sz="4" w:space="0"/>
              <w:right w:val="single" w:color="auto" w:sz="4" w:space="0"/>
            </w:tcBorders>
            <w:noWrap w:val="0"/>
            <w:vAlign w:val="center"/>
          </w:tcPr>
          <w:p w14:paraId="640CEA5D">
            <w:pPr>
              <w:widowControl/>
              <w:spacing w:line="360" w:lineRule="auto"/>
              <w:jc w:val="center"/>
              <w:rPr>
                <w:rFonts w:ascii="宋体" w:hAnsi="宋体" w:cs="宋体"/>
                <w:szCs w:val="21"/>
              </w:rPr>
            </w:pPr>
            <w:r>
              <w:rPr>
                <w:rFonts w:hint="eastAsia" w:ascii="宋体" w:hAnsi="宋体" w:cs="宋体"/>
                <w:szCs w:val="21"/>
              </w:rPr>
              <w:t>磋商截止之日起60日历天</w:t>
            </w:r>
          </w:p>
        </w:tc>
      </w:tr>
      <w:tr w14:paraId="7349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2388" w:type="dxa"/>
            <w:tcBorders>
              <w:top w:val="single" w:color="auto" w:sz="4" w:space="0"/>
              <w:left w:val="single" w:color="auto" w:sz="4" w:space="0"/>
              <w:bottom w:val="single" w:color="auto" w:sz="4" w:space="0"/>
              <w:right w:val="single" w:color="auto" w:sz="4" w:space="0"/>
            </w:tcBorders>
            <w:noWrap w:val="0"/>
            <w:vAlign w:val="center"/>
          </w:tcPr>
          <w:p w14:paraId="2A7E6861">
            <w:pPr>
              <w:widowControl/>
              <w:spacing w:line="360" w:lineRule="exact"/>
              <w:jc w:val="center"/>
              <w:rPr>
                <w:rFonts w:ascii="宋体" w:hAnsi="宋体" w:cs="宋体"/>
                <w:szCs w:val="21"/>
              </w:rPr>
            </w:pPr>
            <w:r>
              <w:rPr>
                <w:rFonts w:hint="eastAsia" w:ascii="宋体" w:hAnsi="宋体" w:cs="宋体"/>
                <w:szCs w:val="21"/>
              </w:rPr>
              <w:t>优惠与</w:t>
            </w:r>
          </w:p>
          <w:p w14:paraId="1D1F1378">
            <w:pPr>
              <w:widowControl/>
              <w:spacing w:line="360" w:lineRule="exact"/>
              <w:jc w:val="center"/>
              <w:rPr>
                <w:rFonts w:ascii="宋体" w:hAnsi="宋体" w:cs="宋体"/>
                <w:szCs w:val="21"/>
              </w:rPr>
            </w:pPr>
            <w:r>
              <w:rPr>
                <w:rFonts w:hint="eastAsia" w:ascii="宋体" w:hAnsi="宋体" w:cs="宋体"/>
                <w:szCs w:val="21"/>
              </w:rPr>
              <w:t>服务承诺</w:t>
            </w:r>
          </w:p>
        </w:tc>
        <w:tc>
          <w:tcPr>
            <w:tcW w:w="6012" w:type="dxa"/>
            <w:gridSpan w:val="5"/>
            <w:tcBorders>
              <w:top w:val="single" w:color="auto" w:sz="4" w:space="0"/>
              <w:left w:val="single" w:color="auto" w:sz="4" w:space="0"/>
              <w:bottom w:val="single" w:color="auto" w:sz="4" w:space="0"/>
              <w:right w:val="single" w:color="auto" w:sz="4" w:space="0"/>
            </w:tcBorders>
            <w:noWrap w:val="0"/>
            <w:vAlign w:val="center"/>
          </w:tcPr>
          <w:p w14:paraId="73A5C2E9">
            <w:pPr>
              <w:widowControl/>
              <w:spacing w:line="360" w:lineRule="exact"/>
              <w:jc w:val="center"/>
              <w:rPr>
                <w:rFonts w:ascii="宋体" w:hAnsi="宋体" w:cs="宋体"/>
                <w:szCs w:val="21"/>
              </w:rPr>
            </w:pPr>
            <w:r>
              <w:rPr>
                <w:rFonts w:hint="eastAsia" w:ascii="宋体" w:hAnsi="宋体" w:cs="宋体"/>
                <w:szCs w:val="21"/>
              </w:rPr>
              <w:t>（可另附页）</w:t>
            </w:r>
          </w:p>
        </w:tc>
      </w:tr>
      <w:tr w14:paraId="06D8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388" w:type="dxa"/>
            <w:tcBorders>
              <w:top w:val="single" w:color="auto" w:sz="4" w:space="0"/>
              <w:left w:val="single" w:color="auto" w:sz="4" w:space="0"/>
              <w:bottom w:val="single" w:color="auto" w:sz="4" w:space="0"/>
              <w:right w:val="single" w:color="auto" w:sz="4" w:space="0"/>
            </w:tcBorders>
            <w:noWrap w:val="0"/>
            <w:vAlign w:val="center"/>
          </w:tcPr>
          <w:p w14:paraId="4BD82D8F">
            <w:pPr>
              <w:spacing w:line="360" w:lineRule="auto"/>
              <w:jc w:val="center"/>
              <w:rPr>
                <w:rFonts w:ascii="宋体" w:hAnsi="宋体" w:cs="宋体"/>
                <w:szCs w:val="21"/>
              </w:rPr>
            </w:pPr>
            <w:r>
              <w:rPr>
                <w:rFonts w:hint="eastAsia" w:ascii="宋体" w:hAnsi="宋体" w:cs="宋体"/>
                <w:szCs w:val="21"/>
              </w:rPr>
              <w:t>备  注</w:t>
            </w:r>
          </w:p>
        </w:tc>
        <w:tc>
          <w:tcPr>
            <w:tcW w:w="6012" w:type="dxa"/>
            <w:gridSpan w:val="5"/>
            <w:tcBorders>
              <w:top w:val="single" w:color="auto" w:sz="4" w:space="0"/>
              <w:left w:val="single" w:color="auto" w:sz="4" w:space="0"/>
              <w:bottom w:val="single" w:color="auto" w:sz="4" w:space="0"/>
              <w:right w:val="single" w:color="auto" w:sz="4" w:space="0"/>
            </w:tcBorders>
            <w:noWrap w:val="0"/>
            <w:vAlign w:val="center"/>
          </w:tcPr>
          <w:p w14:paraId="0D8774BE">
            <w:pPr>
              <w:widowControl/>
              <w:spacing w:line="360" w:lineRule="auto"/>
              <w:jc w:val="center"/>
              <w:rPr>
                <w:rFonts w:ascii="宋体" w:hAnsi="宋体" w:cs="宋体"/>
                <w:szCs w:val="21"/>
              </w:rPr>
            </w:pPr>
          </w:p>
        </w:tc>
      </w:tr>
    </w:tbl>
    <w:p w14:paraId="42802FBB">
      <w:pPr>
        <w:rPr>
          <w:rFonts w:hint="eastAsia"/>
        </w:rPr>
      </w:pPr>
    </w:p>
    <w:p w14:paraId="474C4575">
      <w:pPr>
        <w:spacing w:line="360" w:lineRule="auto"/>
        <w:ind w:firstLine="210" w:firstLineChars="100"/>
        <w:jc w:val="left"/>
        <w:rPr>
          <w:rFonts w:hint="eastAsia"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（盖单位章）</w:t>
      </w:r>
    </w:p>
    <w:p w14:paraId="61D0228A">
      <w:pPr>
        <w:spacing w:line="360" w:lineRule="auto"/>
        <w:ind w:firstLine="210" w:firstLineChars="100"/>
        <w:jc w:val="left"/>
        <w:rPr>
          <w:rFonts w:hint="eastAsia" w:ascii="宋体" w:hAnsi="宋体"/>
          <w:szCs w:val="21"/>
        </w:rPr>
      </w:pPr>
      <w:r>
        <w:rPr>
          <w:rFonts w:hint="eastAsia" w:ascii="宋体" w:hAnsi="宋体"/>
          <w:szCs w:val="21"/>
        </w:rPr>
        <w:t>响应单位授权代表：</w:t>
      </w:r>
      <w:r>
        <w:rPr>
          <w:rFonts w:hint="eastAsia" w:ascii="宋体" w:hAnsi="宋体"/>
          <w:szCs w:val="21"/>
          <w:u w:val="single"/>
        </w:rPr>
        <w:t xml:space="preserve">                     </w:t>
      </w:r>
      <w:r>
        <w:rPr>
          <w:rFonts w:hint="eastAsia" w:ascii="宋体" w:hAnsi="宋体"/>
          <w:szCs w:val="21"/>
        </w:rPr>
        <w:t>（签字或盖章）</w:t>
      </w:r>
    </w:p>
    <w:p w14:paraId="4B0510F3">
      <w:pPr>
        <w:spacing w:line="360" w:lineRule="auto"/>
        <w:ind w:firstLine="210" w:firstLineChars="100"/>
        <w:jc w:val="left"/>
        <w:rPr>
          <w:rFonts w:hint="eastAsia"/>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8785480">
      <w:pPr>
        <w:rPr>
          <w:rFonts w:hint="eastAsia"/>
        </w:rPr>
      </w:pPr>
    </w:p>
    <w:p w14:paraId="1AE9A567">
      <w:pPr>
        <w:rPr>
          <w:rFonts w:hint="eastAsia"/>
        </w:rPr>
      </w:pPr>
    </w:p>
    <w:p w14:paraId="12064385">
      <w:pPr>
        <w:rPr>
          <w:rFonts w:hint="eastAsia"/>
        </w:rPr>
      </w:pPr>
    </w:p>
    <w:p w14:paraId="44F980BE">
      <w:pPr>
        <w:rPr>
          <w:rFonts w:hint="eastAsia"/>
        </w:rPr>
      </w:pPr>
    </w:p>
    <w:p w14:paraId="5E637119">
      <w:pPr>
        <w:spacing w:after="156" w:afterLines="50" w:line="480" w:lineRule="exact"/>
        <w:rPr>
          <w:rFonts w:hint="eastAsia" w:ascii="宋体" w:hAnsi="宋体"/>
          <w:sz w:val="28"/>
          <w:szCs w:val="28"/>
        </w:rPr>
        <w:sectPr>
          <w:headerReference r:id="rId5" w:type="first"/>
          <w:footerReference r:id="rId7" w:type="first"/>
          <w:footerReference r:id="rId6" w:type="default"/>
          <w:pgSz w:w="11907" w:h="16840"/>
          <w:pgMar w:top="1400" w:right="1418" w:bottom="1089" w:left="1418" w:header="624" w:footer="747" w:gutter="0"/>
          <w:pgNumType w:fmt="decimal"/>
          <w:cols w:space="720" w:num="1"/>
          <w:titlePg/>
          <w:docGrid w:type="linesAndChars" w:linePitch="312" w:charSpace="0"/>
        </w:sectPr>
      </w:pPr>
    </w:p>
    <w:p w14:paraId="2B5FC958">
      <w:pPr>
        <w:pStyle w:val="62"/>
        <w:numPr>
          <w:ilvl w:val="0"/>
          <w:numId w:val="0"/>
        </w:numPr>
        <w:spacing w:line="480" w:lineRule="exact"/>
        <w:ind w:leftChars="200"/>
        <w:jc w:val="center"/>
        <w:outlineLvl w:val="1"/>
        <w:rPr>
          <w:rFonts w:hint="eastAsia" w:hAnsi="宋体"/>
          <w:b/>
          <w:color w:val="auto"/>
          <w:sz w:val="28"/>
        </w:rPr>
      </w:pPr>
      <w:bookmarkStart w:id="583" w:name="_Toc14992"/>
      <w:bookmarkStart w:id="584" w:name="_Toc6478"/>
      <w:r>
        <w:rPr>
          <w:rFonts w:hint="eastAsia" w:hAnsi="宋体"/>
          <w:b/>
          <w:color w:val="auto"/>
          <w:sz w:val="28"/>
          <w:lang w:val="en-US" w:eastAsia="zh-CN"/>
        </w:rPr>
        <w:t xml:space="preserve">3  </w:t>
      </w:r>
      <w:r>
        <w:rPr>
          <w:rFonts w:hint="eastAsia" w:hAnsi="宋体"/>
          <w:b/>
          <w:color w:val="auto"/>
          <w:sz w:val="28"/>
        </w:rPr>
        <w:t>法定代表人身份证明</w:t>
      </w:r>
      <w:bookmarkEnd w:id="583"/>
      <w:bookmarkEnd w:id="584"/>
    </w:p>
    <w:p w14:paraId="2DEDC50D">
      <w:pPr>
        <w:spacing w:line="500" w:lineRule="exact"/>
        <w:rPr>
          <w:rFonts w:hint="eastAsia" w:ascii="宋体" w:hAnsi="宋体"/>
          <w:szCs w:val="21"/>
        </w:rPr>
      </w:pPr>
      <w:r>
        <w:rPr>
          <w:rFonts w:hint="eastAsia" w:ascii="宋体" w:hAnsi="宋体"/>
          <w:szCs w:val="21"/>
        </w:rPr>
        <w:t>供 应 商：</w:t>
      </w:r>
      <w:r>
        <w:rPr>
          <w:rFonts w:hint="eastAsia" w:ascii="宋体" w:hAnsi="宋体"/>
          <w:szCs w:val="21"/>
          <w:u w:val="single"/>
        </w:rPr>
        <w:t xml:space="preserve">                                                        </w:t>
      </w:r>
    </w:p>
    <w:p w14:paraId="6656835E">
      <w:pPr>
        <w:spacing w:line="500" w:lineRule="exact"/>
        <w:rPr>
          <w:rFonts w:hint="eastAsia" w:ascii="宋体" w:hAnsi="宋体"/>
          <w:szCs w:val="21"/>
        </w:rPr>
      </w:pPr>
      <w:r>
        <w:rPr>
          <w:rFonts w:hint="eastAsia" w:ascii="宋体" w:hAnsi="宋体"/>
          <w:szCs w:val="21"/>
        </w:rPr>
        <w:t>单位性质：</w:t>
      </w:r>
      <w:r>
        <w:rPr>
          <w:rFonts w:hint="eastAsia" w:ascii="宋体" w:hAnsi="宋体"/>
          <w:szCs w:val="21"/>
          <w:u w:val="single"/>
        </w:rPr>
        <w:t xml:space="preserve">                                                        </w:t>
      </w:r>
    </w:p>
    <w:p w14:paraId="3D358A51">
      <w:pPr>
        <w:spacing w:line="500" w:lineRule="exact"/>
        <w:rPr>
          <w:rFonts w:hint="eastAsia" w:ascii="宋体" w:hAnsi="宋体"/>
          <w:szCs w:val="21"/>
        </w:rPr>
      </w:pPr>
      <w:r>
        <w:rPr>
          <w:rFonts w:hint="eastAsia" w:ascii="宋体" w:hAnsi="宋体"/>
          <w:szCs w:val="21"/>
        </w:rPr>
        <w:t>地    址：</w:t>
      </w:r>
      <w:r>
        <w:rPr>
          <w:rFonts w:hint="eastAsia" w:ascii="宋体" w:hAnsi="宋体"/>
          <w:szCs w:val="21"/>
          <w:u w:val="single"/>
        </w:rPr>
        <w:t xml:space="preserve">                                                        </w:t>
      </w:r>
    </w:p>
    <w:p w14:paraId="59E6A1EF">
      <w:pPr>
        <w:spacing w:line="500" w:lineRule="exact"/>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88854E9">
      <w:pPr>
        <w:spacing w:line="500" w:lineRule="exact"/>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p>
    <w:p w14:paraId="4F89D5E2">
      <w:pPr>
        <w:spacing w:line="500" w:lineRule="exact"/>
        <w:rPr>
          <w:rFonts w:hint="eastAsia" w:ascii="宋体" w:hAnsi="宋体"/>
          <w:szCs w:val="21"/>
        </w:rPr>
      </w:pPr>
      <w:r>
        <w:rPr>
          <w:rFonts w:hint="eastAsia" w:ascii="宋体" w:hAnsi="宋体"/>
          <w:szCs w:val="21"/>
        </w:rPr>
        <w:t>姓    名：</w:t>
      </w:r>
      <w:r>
        <w:rPr>
          <w:rFonts w:hint="eastAsia" w:ascii="宋体" w:hAnsi="宋体"/>
          <w:szCs w:val="21"/>
          <w:u w:val="single"/>
        </w:rPr>
        <w:t xml:space="preserve">                          </w:t>
      </w:r>
      <w:r>
        <w:rPr>
          <w:rFonts w:hint="eastAsia" w:ascii="宋体" w:hAnsi="宋体"/>
          <w:szCs w:val="21"/>
        </w:rPr>
        <w:t>性        别：</w:t>
      </w:r>
      <w:r>
        <w:rPr>
          <w:rFonts w:hint="eastAsia" w:ascii="宋体" w:hAnsi="宋体"/>
          <w:szCs w:val="21"/>
          <w:u w:val="single"/>
        </w:rPr>
        <w:t xml:space="preserve">                </w:t>
      </w:r>
    </w:p>
    <w:p w14:paraId="2029A81A">
      <w:pPr>
        <w:spacing w:line="500" w:lineRule="exact"/>
        <w:rPr>
          <w:rFonts w:hint="eastAsia" w:ascii="宋体" w:hAnsi="宋体"/>
          <w:szCs w:val="21"/>
        </w:rPr>
      </w:pPr>
      <w:r>
        <w:rPr>
          <w:rFonts w:hint="eastAsia" w:ascii="宋体" w:hAnsi="宋体"/>
          <w:szCs w:val="21"/>
        </w:rPr>
        <w:t>年    龄：</w:t>
      </w:r>
      <w:r>
        <w:rPr>
          <w:rFonts w:hint="eastAsia" w:ascii="宋体" w:hAnsi="宋体"/>
          <w:szCs w:val="21"/>
          <w:u w:val="single"/>
        </w:rPr>
        <w:t xml:space="preserve">                          </w:t>
      </w:r>
      <w:r>
        <w:rPr>
          <w:rFonts w:hint="eastAsia" w:ascii="宋体" w:hAnsi="宋体"/>
          <w:szCs w:val="21"/>
        </w:rPr>
        <w:t>职        务：</w:t>
      </w:r>
      <w:r>
        <w:rPr>
          <w:rFonts w:hint="eastAsia" w:ascii="宋体" w:hAnsi="宋体"/>
          <w:szCs w:val="21"/>
          <w:u w:val="single"/>
        </w:rPr>
        <w:t xml:space="preserve">                </w:t>
      </w:r>
    </w:p>
    <w:p w14:paraId="1E744117">
      <w:pPr>
        <w:spacing w:line="500" w:lineRule="exact"/>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（供应商名称）的法定代表人。</w:t>
      </w:r>
    </w:p>
    <w:p w14:paraId="4A1F1BC9">
      <w:pPr>
        <w:spacing w:line="500" w:lineRule="exact"/>
        <w:rPr>
          <w:rFonts w:hint="eastAsia" w:ascii="宋体" w:hAnsi="宋体"/>
          <w:szCs w:val="21"/>
        </w:rPr>
      </w:pPr>
      <w:r>
        <w:rPr>
          <w:rFonts w:hint="eastAsia" w:ascii="宋体" w:hAnsi="宋体"/>
          <w:szCs w:val="21"/>
        </w:rPr>
        <w:t>特此证明。</w:t>
      </w:r>
    </w:p>
    <w:p w14:paraId="302A48A5">
      <w:pPr>
        <w:spacing w:line="500" w:lineRule="exact"/>
        <w:rPr>
          <w:rFonts w:hint="eastAsia" w:ascii="宋体" w:hAnsi="宋体"/>
          <w:szCs w:val="21"/>
        </w:rPr>
      </w:pPr>
    </w:p>
    <w:p w14:paraId="5D72414F">
      <w:pPr>
        <w:spacing w:line="500" w:lineRule="exact"/>
        <w:rPr>
          <w:rFonts w:hint="eastAsia" w:ascii="宋体" w:hAnsi="宋体"/>
          <w:szCs w:val="21"/>
        </w:rPr>
      </w:pPr>
      <w:r>
        <w:rPr>
          <w:rFonts w:hint="eastAsia" w:ascii="宋体" w:hAnsi="宋体"/>
          <w:szCs w:val="21"/>
        </w:rPr>
        <w:t>附：法定代表人身份证</w:t>
      </w:r>
    </w:p>
    <w:p w14:paraId="092F31BC">
      <w:pPr>
        <w:wordWrap w:val="0"/>
        <w:spacing w:line="500" w:lineRule="exact"/>
        <w:jc w:val="right"/>
        <w:rPr>
          <w:rFonts w:hint="eastAsia"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（盖单位章）</w:t>
      </w:r>
    </w:p>
    <w:p w14:paraId="212527F8">
      <w:pPr>
        <w:wordWrap w:val="0"/>
        <w:spacing w:line="500"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6B4855C2">
      <w:pPr>
        <w:rPr>
          <w:rFonts w:hint="eastAsia"/>
        </w:rPr>
      </w:pPr>
    </w:p>
    <w:p w14:paraId="12FDD2B5">
      <w:pPr>
        <w:pStyle w:val="62"/>
        <w:numPr>
          <w:ilvl w:val="0"/>
          <w:numId w:val="0"/>
        </w:numPr>
        <w:spacing w:line="480" w:lineRule="exact"/>
        <w:ind w:leftChars="0"/>
        <w:jc w:val="center"/>
        <w:outlineLvl w:val="1"/>
        <w:rPr>
          <w:rFonts w:hint="eastAsia" w:hAnsi="宋体"/>
          <w:b/>
          <w:color w:val="auto"/>
          <w:sz w:val="28"/>
          <w:szCs w:val="28"/>
        </w:rPr>
      </w:pPr>
      <w:r>
        <w:rPr>
          <w:color w:val="auto"/>
        </w:rPr>
        <w:br w:type="page"/>
      </w:r>
      <w:bookmarkStart w:id="585" w:name="_Toc20602"/>
      <w:bookmarkStart w:id="586" w:name="_Toc24602"/>
      <w:r>
        <w:rPr>
          <w:rFonts w:hint="eastAsia" w:hAnsi="宋体" w:cs="黑体"/>
          <w:b/>
          <w:color w:val="auto"/>
          <w:sz w:val="28"/>
          <w:szCs w:val="28"/>
          <w:lang w:val="en-US" w:eastAsia="zh-CN"/>
        </w:rPr>
        <w:t xml:space="preserve">4  </w:t>
      </w:r>
      <w:r>
        <w:rPr>
          <w:rFonts w:hint="eastAsia" w:hAnsi="宋体" w:cs="黑体"/>
          <w:b/>
          <w:color w:val="auto"/>
          <w:sz w:val="28"/>
          <w:szCs w:val="28"/>
        </w:rPr>
        <w:t>授权委托书</w:t>
      </w:r>
      <w:bookmarkEnd w:id="585"/>
      <w:bookmarkEnd w:id="586"/>
    </w:p>
    <w:p w14:paraId="5ACA0C73">
      <w:pPr>
        <w:pStyle w:val="23"/>
        <w:ind w:left="0" w:leftChars="0" w:firstLine="480" w:firstLineChars="200"/>
        <w:rPr>
          <w:rFonts w:hint="eastAsia" w:ascii="宋体" w:hAnsi="宋体"/>
          <w:sz w:val="24"/>
        </w:rPr>
      </w:pPr>
    </w:p>
    <w:p w14:paraId="6E1819DD">
      <w:pPr>
        <w:spacing w:line="500" w:lineRule="exact"/>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（供应商名称）的法定代表人，现委托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（项目名称）</w:t>
      </w:r>
      <w:r>
        <w:rPr>
          <w:rFonts w:hint="eastAsia" w:ascii="宋体" w:hAnsi="宋体"/>
          <w:szCs w:val="21"/>
        </w:rPr>
        <w:t>磋商响应文件、签订合同和处理有关事宜，其法律后果由我方承担。</w:t>
      </w:r>
    </w:p>
    <w:p w14:paraId="60916453">
      <w:pPr>
        <w:spacing w:before="156" w:beforeLines="50" w:line="500" w:lineRule="exact"/>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14:paraId="069DE018">
      <w:pPr>
        <w:spacing w:before="312" w:beforeLines="100" w:after="312" w:afterLines="100" w:line="500" w:lineRule="exact"/>
        <w:ind w:firstLine="420" w:firstLineChars="200"/>
        <w:rPr>
          <w:rFonts w:hint="eastAsia" w:ascii="宋体" w:hAnsi="宋体"/>
          <w:szCs w:val="21"/>
        </w:rPr>
      </w:pPr>
      <w:r>
        <w:rPr>
          <w:rFonts w:hint="eastAsia" w:ascii="宋体" w:hAnsi="宋体"/>
          <w:szCs w:val="21"/>
        </w:rPr>
        <w:t>代理人无转委托权。</w:t>
      </w:r>
    </w:p>
    <w:p w14:paraId="33B0D64F">
      <w:pPr>
        <w:pStyle w:val="21"/>
        <w:ind w:firstLine="420" w:firstLineChars="200"/>
      </w:pPr>
      <w:r>
        <w:rPr>
          <w:rFonts w:hint="eastAsia" w:ascii="宋体" w:hAnsi="宋体"/>
          <w:szCs w:val="21"/>
        </w:rPr>
        <w:t>附：</w:t>
      </w:r>
      <w:r>
        <w:rPr>
          <w:rFonts w:hint="eastAsia"/>
        </w:rPr>
        <w:t>法定代表人、委托代理人身份</w:t>
      </w:r>
    </w:p>
    <w:p w14:paraId="3414EC00">
      <w:pPr>
        <w:spacing w:after="312" w:afterLines="100" w:line="500" w:lineRule="exact"/>
        <w:ind w:firstLine="420" w:firstLineChars="200"/>
        <w:rPr>
          <w:rFonts w:hint="eastAsia" w:ascii="宋体" w:hAnsi="宋体"/>
          <w:szCs w:val="21"/>
        </w:rPr>
      </w:pPr>
    </w:p>
    <w:p w14:paraId="15DA29EC">
      <w:pPr>
        <w:spacing w:line="500" w:lineRule="exact"/>
        <w:rPr>
          <w:rFonts w:hint="eastAsia" w:ascii="宋体" w:hAnsi="宋体"/>
          <w:szCs w:val="21"/>
        </w:rPr>
      </w:pPr>
    </w:p>
    <w:p w14:paraId="7575979A">
      <w:pPr>
        <w:spacing w:line="400" w:lineRule="exact"/>
        <w:ind w:firstLine="3570" w:firstLineChars="1700"/>
        <w:rPr>
          <w:rFonts w:hint="eastAsia" w:ascii="宋体" w:hAnsi="宋体"/>
          <w:szCs w:val="21"/>
        </w:rPr>
      </w:pPr>
      <w:r>
        <w:rPr>
          <w:rFonts w:hint="eastAsia" w:ascii="宋体" w:hAnsi="宋体"/>
          <w:szCs w:val="21"/>
        </w:rPr>
        <w:t>供  应  商：</w:t>
      </w:r>
      <w:r>
        <w:rPr>
          <w:rFonts w:hint="eastAsia" w:ascii="宋体" w:hAnsi="宋体"/>
          <w:szCs w:val="21"/>
          <w:u w:val="single"/>
        </w:rPr>
        <w:t xml:space="preserve">                        </w:t>
      </w:r>
      <w:r>
        <w:rPr>
          <w:rFonts w:hint="eastAsia" w:ascii="宋体" w:hAnsi="宋体"/>
          <w:szCs w:val="21"/>
        </w:rPr>
        <w:t>（盖单位章）</w:t>
      </w:r>
    </w:p>
    <w:p w14:paraId="42511F33">
      <w:pPr>
        <w:spacing w:line="400" w:lineRule="exact"/>
        <w:ind w:firstLine="3570" w:firstLineChars="1700"/>
        <w:rPr>
          <w:rFonts w:hint="eastAsia" w:ascii="宋体" w:hAnsi="宋体"/>
          <w:szCs w:val="21"/>
        </w:rPr>
      </w:pPr>
    </w:p>
    <w:p w14:paraId="0A482C24">
      <w:pPr>
        <w:spacing w:line="400" w:lineRule="exact"/>
        <w:ind w:firstLine="3570" w:firstLineChars="1700"/>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14:paraId="0D8FF4CB">
      <w:pPr>
        <w:spacing w:line="400" w:lineRule="exact"/>
        <w:ind w:firstLine="3570" w:firstLineChars="1700"/>
        <w:rPr>
          <w:rFonts w:hint="eastAsia" w:ascii="宋体" w:hAnsi="宋体"/>
          <w:szCs w:val="21"/>
        </w:rPr>
      </w:pPr>
    </w:p>
    <w:p w14:paraId="34B23B19">
      <w:pPr>
        <w:spacing w:line="400" w:lineRule="exact"/>
        <w:ind w:firstLine="3570" w:firstLineChars="1700"/>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59EC516D">
      <w:pPr>
        <w:spacing w:line="400" w:lineRule="exact"/>
        <w:ind w:firstLine="3570" w:firstLineChars="1700"/>
        <w:rPr>
          <w:rFonts w:hint="eastAsia" w:ascii="宋体" w:hAnsi="宋体"/>
          <w:szCs w:val="21"/>
          <w:u w:val="single"/>
        </w:rPr>
      </w:pPr>
    </w:p>
    <w:p w14:paraId="67A49FDF">
      <w:pPr>
        <w:spacing w:line="400" w:lineRule="exact"/>
        <w:ind w:firstLine="3570" w:firstLineChars="1700"/>
        <w:rPr>
          <w:rFonts w:hint="eastAsia"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（签字或盖章）</w:t>
      </w:r>
    </w:p>
    <w:p w14:paraId="3CD2E160">
      <w:pPr>
        <w:spacing w:line="400" w:lineRule="exact"/>
        <w:ind w:firstLine="3570" w:firstLineChars="1700"/>
        <w:rPr>
          <w:rFonts w:hint="eastAsia" w:ascii="宋体" w:hAnsi="宋体"/>
          <w:szCs w:val="21"/>
        </w:rPr>
      </w:pPr>
    </w:p>
    <w:p w14:paraId="06B51E93">
      <w:pPr>
        <w:spacing w:line="400" w:lineRule="exact"/>
        <w:ind w:firstLine="3570" w:firstLineChars="1700"/>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4057C0E9">
      <w:pPr>
        <w:spacing w:line="400" w:lineRule="exact"/>
        <w:ind w:firstLine="3570" w:firstLineChars="1700"/>
        <w:rPr>
          <w:rFonts w:hint="eastAsia" w:ascii="宋体" w:hAnsi="宋体"/>
          <w:szCs w:val="21"/>
        </w:rPr>
      </w:pPr>
    </w:p>
    <w:p w14:paraId="0D1EAE39">
      <w:pPr>
        <w:spacing w:line="400" w:lineRule="exact"/>
        <w:ind w:firstLine="4830" w:firstLineChars="23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C956CD2">
      <w:pPr>
        <w:pStyle w:val="62"/>
        <w:numPr>
          <w:ilvl w:val="0"/>
          <w:numId w:val="0"/>
        </w:numPr>
        <w:spacing w:line="480" w:lineRule="exact"/>
        <w:ind w:leftChars="0"/>
        <w:jc w:val="center"/>
        <w:outlineLvl w:val="1"/>
        <w:rPr>
          <w:rFonts w:hint="eastAsia" w:hAnsi="宋体"/>
          <w:b/>
          <w:color w:val="auto"/>
          <w:sz w:val="28"/>
          <w:szCs w:val="28"/>
        </w:rPr>
      </w:pPr>
      <w:r>
        <w:rPr>
          <w:rFonts w:hAnsi="宋体"/>
          <w:color w:val="auto"/>
          <w:szCs w:val="21"/>
        </w:rPr>
        <w:br w:type="page"/>
      </w:r>
      <w:bookmarkStart w:id="587" w:name="_Toc3916"/>
      <w:bookmarkStart w:id="588" w:name="_Toc3036"/>
      <w:r>
        <w:rPr>
          <w:rFonts w:hint="eastAsia" w:hAnsi="宋体"/>
          <w:b/>
          <w:bCs/>
          <w:color w:val="auto"/>
          <w:sz w:val="28"/>
          <w:szCs w:val="22"/>
          <w:lang w:val="en-US" w:eastAsia="zh-CN"/>
        </w:rPr>
        <w:t xml:space="preserve">5  </w:t>
      </w:r>
      <w:r>
        <w:rPr>
          <w:rFonts w:hint="eastAsia" w:hAnsi="宋体"/>
          <w:b/>
          <w:bCs/>
          <w:color w:val="auto"/>
          <w:sz w:val="28"/>
          <w:szCs w:val="22"/>
        </w:rPr>
        <w:t>已标价工程量清单</w:t>
      </w:r>
    </w:p>
    <w:p w14:paraId="3E88A3E4">
      <w:pPr>
        <w:pStyle w:val="62"/>
        <w:numPr>
          <w:ilvl w:val="0"/>
          <w:numId w:val="0"/>
        </w:numPr>
        <w:spacing w:line="480" w:lineRule="exact"/>
        <w:ind w:leftChars="0"/>
        <w:jc w:val="both"/>
        <w:outlineLvl w:val="9"/>
        <w:rPr>
          <w:rFonts w:hint="eastAsia" w:hAnsi="宋体"/>
          <w:b/>
          <w:color w:val="auto"/>
          <w:sz w:val="28"/>
          <w:szCs w:val="28"/>
        </w:rPr>
      </w:pPr>
    </w:p>
    <w:p w14:paraId="42AB85E9">
      <w:pPr>
        <w:pStyle w:val="62"/>
        <w:spacing w:line="480" w:lineRule="exact"/>
        <w:jc w:val="both"/>
        <w:outlineLvl w:val="9"/>
        <w:rPr>
          <w:rFonts w:hint="eastAsia" w:hAnsi="宋体"/>
          <w:b/>
          <w:color w:val="auto"/>
          <w:sz w:val="28"/>
          <w:szCs w:val="28"/>
        </w:rPr>
      </w:pPr>
    </w:p>
    <w:p w14:paraId="1BA319ED">
      <w:pPr>
        <w:pStyle w:val="62"/>
        <w:numPr>
          <w:ilvl w:val="0"/>
          <w:numId w:val="0"/>
        </w:numPr>
        <w:spacing w:line="480" w:lineRule="exact"/>
        <w:ind w:leftChars="0"/>
        <w:jc w:val="center"/>
        <w:outlineLvl w:val="1"/>
        <w:rPr>
          <w:rFonts w:hint="eastAsia" w:hAnsi="宋体"/>
          <w:b/>
          <w:color w:val="auto"/>
          <w:sz w:val="28"/>
          <w:szCs w:val="28"/>
        </w:rPr>
      </w:pPr>
      <w:r>
        <w:rPr>
          <w:rFonts w:hint="eastAsia" w:hAnsi="宋体" w:cs="黑体"/>
          <w:b/>
          <w:color w:val="auto"/>
          <w:sz w:val="28"/>
          <w:szCs w:val="28"/>
        </w:rPr>
        <w:br w:type="page"/>
      </w:r>
      <w:r>
        <w:rPr>
          <w:rFonts w:hint="eastAsia" w:hAnsi="宋体" w:cs="黑体"/>
          <w:b/>
          <w:color w:val="auto"/>
          <w:sz w:val="28"/>
          <w:szCs w:val="28"/>
          <w:lang w:val="en-US" w:eastAsia="zh-CN"/>
        </w:rPr>
        <w:t xml:space="preserve">6  </w:t>
      </w:r>
      <w:r>
        <w:rPr>
          <w:rFonts w:hint="eastAsia" w:hAnsi="宋体" w:cs="黑体"/>
          <w:b/>
          <w:color w:val="auto"/>
          <w:sz w:val="28"/>
          <w:szCs w:val="28"/>
        </w:rPr>
        <w:t>供应商的资格及证明文件</w:t>
      </w:r>
      <w:bookmarkEnd w:id="587"/>
      <w:bookmarkEnd w:id="588"/>
    </w:p>
    <w:p w14:paraId="348469A1">
      <w:pPr>
        <w:pStyle w:val="62"/>
        <w:spacing w:line="480" w:lineRule="exact"/>
        <w:outlineLvl w:val="9"/>
        <w:rPr>
          <w:rFonts w:hint="eastAsia" w:hAnsi="宋体"/>
          <w:b/>
          <w:color w:val="auto"/>
          <w:sz w:val="28"/>
          <w:szCs w:val="28"/>
        </w:rPr>
      </w:pPr>
    </w:p>
    <w:p w14:paraId="45842772">
      <w:pPr>
        <w:spacing w:line="360" w:lineRule="auto"/>
        <w:ind w:firstLine="420" w:firstLineChars="200"/>
        <w:rPr>
          <w:rFonts w:hint="eastAsia" w:ascii="宋体" w:hAnsi="宋体"/>
          <w:szCs w:val="21"/>
        </w:rPr>
      </w:pPr>
    </w:p>
    <w:p w14:paraId="392D6C58">
      <w:pPr>
        <w:pStyle w:val="3"/>
        <w:ind w:left="63" w:right="63"/>
        <w:rPr>
          <w:rFonts w:hint="eastAsia" w:ascii="宋体" w:hAnsi="宋体"/>
          <w:szCs w:val="21"/>
        </w:rPr>
      </w:pPr>
    </w:p>
    <w:p w14:paraId="55F92322">
      <w:pPr>
        <w:pStyle w:val="3"/>
        <w:ind w:left="63" w:right="63"/>
        <w:rPr>
          <w:rFonts w:hint="eastAsia" w:ascii="宋体" w:hAnsi="宋体"/>
          <w:szCs w:val="21"/>
        </w:rPr>
      </w:pPr>
    </w:p>
    <w:p w14:paraId="6EDDB673">
      <w:pPr>
        <w:pStyle w:val="3"/>
        <w:ind w:left="63" w:right="63"/>
        <w:rPr>
          <w:rFonts w:hint="eastAsia" w:ascii="宋体" w:hAnsi="宋体"/>
          <w:szCs w:val="21"/>
        </w:rPr>
      </w:pPr>
    </w:p>
    <w:p w14:paraId="3E187E58">
      <w:pPr>
        <w:pStyle w:val="3"/>
        <w:ind w:left="63" w:right="63"/>
        <w:rPr>
          <w:rFonts w:hint="eastAsia" w:ascii="宋体" w:hAnsi="宋体"/>
          <w:szCs w:val="21"/>
        </w:rPr>
      </w:pPr>
    </w:p>
    <w:p w14:paraId="78474AD7">
      <w:pPr>
        <w:pStyle w:val="3"/>
        <w:ind w:left="63" w:right="63"/>
        <w:rPr>
          <w:rFonts w:hint="eastAsia" w:ascii="宋体" w:hAnsi="宋体"/>
          <w:szCs w:val="21"/>
        </w:rPr>
      </w:pPr>
    </w:p>
    <w:p w14:paraId="7058D817">
      <w:pPr>
        <w:pStyle w:val="3"/>
        <w:ind w:left="63" w:right="63"/>
        <w:rPr>
          <w:rFonts w:hint="eastAsia" w:ascii="宋体" w:hAnsi="宋体"/>
          <w:szCs w:val="21"/>
        </w:rPr>
      </w:pPr>
    </w:p>
    <w:p w14:paraId="1E53E3C1">
      <w:pPr>
        <w:pStyle w:val="3"/>
        <w:ind w:left="63" w:right="63"/>
        <w:rPr>
          <w:rFonts w:hint="eastAsia" w:ascii="宋体" w:hAnsi="宋体"/>
          <w:szCs w:val="21"/>
        </w:rPr>
      </w:pPr>
    </w:p>
    <w:p w14:paraId="7EE37333">
      <w:pPr>
        <w:pStyle w:val="3"/>
        <w:ind w:left="63" w:right="63"/>
        <w:rPr>
          <w:rFonts w:hint="eastAsia" w:ascii="宋体" w:hAnsi="宋体"/>
          <w:szCs w:val="21"/>
        </w:rPr>
      </w:pPr>
    </w:p>
    <w:p w14:paraId="4BBCB0E7">
      <w:pPr>
        <w:pStyle w:val="3"/>
        <w:ind w:left="63" w:right="63"/>
        <w:rPr>
          <w:rFonts w:hint="eastAsia" w:ascii="宋体" w:hAnsi="宋体"/>
          <w:szCs w:val="21"/>
        </w:rPr>
      </w:pPr>
    </w:p>
    <w:p w14:paraId="1F01B9DD">
      <w:pPr>
        <w:pStyle w:val="3"/>
        <w:ind w:left="63" w:right="63"/>
        <w:rPr>
          <w:rFonts w:hint="eastAsia" w:ascii="宋体" w:hAnsi="宋体"/>
          <w:szCs w:val="21"/>
        </w:rPr>
      </w:pPr>
    </w:p>
    <w:p w14:paraId="61901D9A">
      <w:pPr>
        <w:pStyle w:val="3"/>
        <w:ind w:left="63" w:right="63"/>
        <w:rPr>
          <w:rFonts w:hint="eastAsia" w:ascii="宋体" w:hAnsi="宋体"/>
          <w:szCs w:val="21"/>
        </w:rPr>
      </w:pPr>
    </w:p>
    <w:p w14:paraId="5EA21F1B">
      <w:pPr>
        <w:autoSpaceDE w:val="0"/>
        <w:autoSpaceDN w:val="0"/>
        <w:spacing w:line="360" w:lineRule="auto"/>
        <w:ind w:firstLine="575" w:firstLineChars="250"/>
        <w:rPr>
          <w:rFonts w:hint="eastAsia" w:ascii="宋体" w:hAnsi="宋体"/>
          <w:bCs/>
          <w:spacing w:val="10"/>
          <w:szCs w:val="21"/>
        </w:rPr>
      </w:pPr>
    </w:p>
    <w:p w14:paraId="7E225B4E">
      <w:pPr>
        <w:pStyle w:val="3"/>
        <w:ind w:left="63" w:right="63"/>
        <w:rPr>
          <w:rFonts w:hint="eastAsia"/>
        </w:rPr>
      </w:pPr>
    </w:p>
    <w:p w14:paraId="682D34BD">
      <w:pPr>
        <w:pStyle w:val="3"/>
        <w:ind w:left="63" w:right="63"/>
        <w:rPr>
          <w:rFonts w:hint="eastAsia"/>
        </w:rPr>
      </w:pPr>
    </w:p>
    <w:p w14:paraId="1326E963">
      <w:pPr>
        <w:pStyle w:val="3"/>
        <w:ind w:left="63" w:right="63"/>
        <w:rPr>
          <w:rFonts w:hint="eastAsia"/>
        </w:rPr>
      </w:pPr>
    </w:p>
    <w:p w14:paraId="1BCF2657">
      <w:pPr>
        <w:pStyle w:val="3"/>
        <w:ind w:left="63" w:right="63"/>
        <w:rPr>
          <w:rFonts w:hint="eastAsia"/>
        </w:rPr>
      </w:pPr>
    </w:p>
    <w:p w14:paraId="12FF6C7E">
      <w:pPr>
        <w:pStyle w:val="3"/>
        <w:ind w:left="63" w:right="63"/>
        <w:rPr>
          <w:rFonts w:hint="eastAsia"/>
        </w:rPr>
      </w:pPr>
    </w:p>
    <w:p w14:paraId="48AEB13F">
      <w:pPr>
        <w:spacing w:line="360" w:lineRule="auto"/>
        <w:ind w:right="420" w:firstLine="2940" w:firstLineChars="1400"/>
        <w:rPr>
          <w:rFonts w:hint="eastAsia"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（盖单位章）</w:t>
      </w:r>
    </w:p>
    <w:p w14:paraId="74DC388E">
      <w:pPr>
        <w:spacing w:line="360" w:lineRule="auto"/>
        <w:ind w:firstLine="2940" w:firstLineChars="14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07BA33A">
      <w:pPr>
        <w:pStyle w:val="62"/>
        <w:spacing w:line="480" w:lineRule="exact"/>
        <w:jc w:val="center"/>
        <w:outlineLvl w:val="9"/>
        <w:rPr>
          <w:rFonts w:hint="eastAsia" w:hAnsi="宋体"/>
          <w:color w:val="auto"/>
        </w:rPr>
      </w:pPr>
    </w:p>
    <w:p w14:paraId="31B27AD6">
      <w:pPr>
        <w:pStyle w:val="62"/>
        <w:spacing w:line="480" w:lineRule="exact"/>
        <w:jc w:val="center"/>
        <w:outlineLvl w:val="9"/>
        <w:rPr>
          <w:rFonts w:hint="eastAsia" w:hAnsi="宋体"/>
          <w:color w:val="auto"/>
        </w:rPr>
      </w:pPr>
    </w:p>
    <w:p w14:paraId="1DEC1EB7">
      <w:pPr>
        <w:pStyle w:val="62"/>
        <w:spacing w:line="480" w:lineRule="exact"/>
        <w:jc w:val="center"/>
        <w:outlineLvl w:val="9"/>
        <w:rPr>
          <w:rFonts w:hint="eastAsia" w:hAnsi="宋体"/>
          <w:color w:val="auto"/>
        </w:rPr>
      </w:pPr>
    </w:p>
    <w:p w14:paraId="2E92392F">
      <w:pPr>
        <w:pStyle w:val="62"/>
        <w:spacing w:line="480" w:lineRule="exact"/>
        <w:jc w:val="center"/>
        <w:outlineLvl w:val="9"/>
        <w:rPr>
          <w:rFonts w:hint="eastAsia" w:hAnsi="宋体"/>
          <w:color w:val="auto"/>
        </w:rPr>
      </w:pPr>
    </w:p>
    <w:p w14:paraId="4B45AB1A">
      <w:pPr>
        <w:pStyle w:val="62"/>
        <w:spacing w:line="480" w:lineRule="exact"/>
        <w:jc w:val="center"/>
        <w:outlineLvl w:val="9"/>
        <w:rPr>
          <w:rFonts w:hint="eastAsia" w:hAnsi="宋体"/>
          <w:color w:val="auto"/>
        </w:rPr>
      </w:pPr>
    </w:p>
    <w:p w14:paraId="31827675">
      <w:pPr>
        <w:pStyle w:val="62"/>
        <w:spacing w:line="480" w:lineRule="exact"/>
        <w:jc w:val="center"/>
        <w:outlineLvl w:val="9"/>
        <w:rPr>
          <w:rFonts w:hint="eastAsia" w:hAnsi="宋体"/>
          <w:color w:val="auto"/>
        </w:rPr>
      </w:pPr>
    </w:p>
    <w:p w14:paraId="4A3BD4FB">
      <w:pPr>
        <w:pStyle w:val="62"/>
        <w:spacing w:line="480" w:lineRule="exact"/>
        <w:jc w:val="center"/>
        <w:outlineLvl w:val="9"/>
        <w:rPr>
          <w:rFonts w:hint="eastAsia" w:hAnsi="宋体"/>
          <w:color w:val="auto"/>
        </w:rPr>
      </w:pPr>
    </w:p>
    <w:p w14:paraId="1D4D4DE2">
      <w:pPr>
        <w:pStyle w:val="62"/>
        <w:spacing w:line="480" w:lineRule="exact"/>
        <w:jc w:val="center"/>
        <w:outlineLvl w:val="9"/>
        <w:rPr>
          <w:rFonts w:hint="eastAsia" w:hAnsi="宋体"/>
          <w:color w:val="auto"/>
        </w:rPr>
      </w:pPr>
    </w:p>
    <w:p w14:paraId="352D1CC5">
      <w:pPr>
        <w:pStyle w:val="62"/>
        <w:numPr>
          <w:ilvl w:val="0"/>
          <w:numId w:val="0"/>
        </w:numPr>
        <w:spacing w:line="480" w:lineRule="exact"/>
        <w:ind w:leftChars="0"/>
        <w:jc w:val="both"/>
        <w:outlineLvl w:val="9"/>
        <w:rPr>
          <w:rFonts w:hint="eastAsia" w:hAnsi="宋体"/>
          <w:b/>
          <w:color w:val="auto"/>
          <w:sz w:val="28"/>
          <w:szCs w:val="28"/>
        </w:rPr>
      </w:pPr>
    </w:p>
    <w:p w14:paraId="26EB5C7B">
      <w:pPr>
        <w:rPr>
          <w:rFonts w:hint="eastAsia"/>
          <w:sz w:val="24"/>
        </w:rPr>
      </w:pPr>
      <w:r>
        <w:rPr>
          <w:rFonts w:hAnsi="宋体"/>
        </w:rPr>
        <w:br w:type="page"/>
      </w:r>
      <w:bookmarkStart w:id="589" w:name="_Toc265572092"/>
    </w:p>
    <w:bookmarkEnd w:id="589"/>
    <w:p w14:paraId="692284CD">
      <w:pPr>
        <w:pStyle w:val="62"/>
        <w:numPr>
          <w:ilvl w:val="0"/>
          <w:numId w:val="0"/>
        </w:numPr>
        <w:spacing w:line="480" w:lineRule="exact"/>
        <w:ind w:leftChars="0"/>
        <w:jc w:val="center"/>
        <w:outlineLvl w:val="1"/>
        <w:rPr>
          <w:rFonts w:hint="eastAsia" w:hAnsi="宋体" w:cs="黑体"/>
          <w:b/>
          <w:color w:val="auto"/>
          <w:sz w:val="28"/>
          <w:szCs w:val="28"/>
        </w:rPr>
      </w:pPr>
      <w:bookmarkStart w:id="590" w:name="_Toc6490"/>
      <w:bookmarkStart w:id="591" w:name="_Toc25802"/>
      <w:bookmarkStart w:id="592" w:name="_Toc31166"/>
      <w:r>
        <w:rPr>
          <w:rFonts w:hint="eastAsia" w:hAnsi="宋体" w:cs="黑体"/>
          <w:b/>
          <w:color w:val="auto"/>
          <w:sz w:val="28"/>
          <w:szCs w:val="28"/>
          <w:lang w:val="en-US" w:eastAsia="zh-CN"/>
        </w:rPr>
        <w:t xml:space="preserve">7  </w:t>
      </w:r>
      <w:r>
        <w:rPr>
          <w:rFonts w:hint="eastAsia" w:hAnsi="宋体" w:cs="黑体"/>
          <w:b/>
          <w:color w:val="auto"/>
          <w:sz w:val="28"/>
          <w:szCs w:val="28"/>
        </w:rPr>
        <w:t>供应商类似的项目业绩清单</w:t>
      </w:r>
    </w:p>
    <w:p w14:paraId="7A7F3D25">
      <w:pPr>
        <w:pStyle w:val="3"/>
        <w:ind w:left="63" w:right="63"/>
        <w:rPr>
          <w:rFonts w:hint="eastAsia" w:ascii="宋体" w:hAnsi="宋体"/>
          <w:szCs w:val="21"/>
        </w:rPr>
      </w:pPr>
    </w:p>
    <w:p w14:paraId="0AD6CD0D">
      <w:pPr>
        <w:pStyle w:val="17"/>
        <w:spacing w:line="360" w:lineRule="auto"/>
        <w:rPr>
          <w:rFonts w:ascii="宋体" w:hAnsi="宋体" w:cs="hakuyoxingshu7000"/>
          <w:bCs/>
          <w:szCs w:val="21"/>
        </w:rPr>
      </w:pPr>
      <w:r>
        <w:rPr>
          <w:rFonts w:hint="eastAsia" w:ascii="宋体" w:hAnsi="宋体" w:cs="hakuyoxingshu7000"/>
          <w:bCs/>
          <w:szCs w:val="21"/>
        </w:rPr>
        <w:t>供应商：</w:t>
      </w:r>
      <w:r>
        <w:rPr>
          <w:rFonts w:hint="eastAsia" w:ascii="宋体" w:hAnsi="宋体" w:cs="hakuyoxingshu7000"/>
          <w:bCs/>
          <w:szCs w:val="21"/>
          <w:u w:val="single"/>
          <w:lang w:val="en-US" w:eastAsia="zh-CN"/>
        </w:rPr>
        <w:t xml:space="preserve">                          </w:t>
      </w:r>
      <w:r>
        <w:rPr>
          <w:rFonts w:hint="eastAsia" w:ascii="宋体" w:hAnsi="宋体" w:cs="hakuyoxingshu7000"/>
          <w:bCs/>
          <w:szCs w:val="21"/>
        </w:rPr>
        <w:t>（此处填供应商名称）</w:t>
      </w:r>
    </w:p>
    <w:p w14:paraId="049E2FBB">
      <w:pPr>
        <w:spacing w:line="360" w:lineRule="auto"/>
        <w:ind w:firstLine="420" w:firstLineChars="200"/>
        <w:rPr>
          <w:rFonts w:ascii="宋体" w:hAnsi="宋体" w:cs="hakuyoxingshu7000"/>
          <w:szCs w:val="21"/>
        </w:rPr>
      </w:pPr>
      <w:r>
        <w:rPr>
          <w:rFonts w:hint="eastAsia" w:ascii="宋体" w:hAnsi="宋体" w:cs="hakuyoxingshu7000"/>
          <w:szCs w:val="21"/>
        </w:rPr>
        <w:t>项目</w:t>
      </w:r>
      <w:r>
        <w:rPr>
          <w:rFonts w:hint="eastAsia" w:ascii="宋体" w:hAnsi="宋体" w:cs="hakuyoxingshu7000"/>
          <w:szCs w:val="21"/>
          <w:lang w:val="en-US" w:eastAsia="zh-CN"/>
        </w:rPr>
        <w:t>名称</w:t>
      </w:r>
      <w:r>
        <w:rPr>
          <w:rFonts w:hint="eastAsia" w:ascii="宋体" w:hAnsi="宋体" w:cs="hakuyoxingshu7000"/>
          <w:szCs w:val="21"/>
        </w:rPr>
        <w:t>：</w:t>
      </w:r>
      <w:r>
        <w:rPr>
          <w:rFonts w:hint="eastAsia" w:ascii="宋体" w:hAnsi="宋体" w:cs="hakuyoxingshu7000"/>
          <w:szCs w:val="21"/>
          <w:u w:val="single"/>
          <w:lang w:val="en-US" w:eastAsia="zh-CN"/>
        </w:rPr>
        <w:t xml:space="preserve">                           </w:t>
      </w:r>
      <w:r>
        <w:rPr>
          <w:rFonts w:hint="eastAsia" w:ascii="宋体" w:hAnsi="宋体" w:cs="hakuyoxingshu7000"/>
          <w:szCs w:val="21"/>
        </w:rPr>
        <w:t>（此处填项目名称）</w:t>
      </w:r>
    </w:p>
    <w:tbl>
      <w:tblPr>
        <w:tblStyle w:val="46"/>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969"/>
        <w:gridCol w:w="1782"/>
        <w:gridCol w:w="3063"/>
      </w:tblGrid>
      <w:tr w14:paraId="5AA2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5DB534D1">
            <w:pPr>
              <w:jc w:val="center"/>
              <w:rPr>
                <w:rFonts w:ascii="宋体" w:hAnsi="宋体" w:cs="hakuyoxingshu7000"/>
                <w:szCs w:val="21"/>
              </w:rPr>
            </w:pPr>
            <w:r>
              <w:rPr>
                <w:rFonts w:hint="eastAsia" w:ascii="宋体" w:hAnsi="宋体" w:cs="hakuyoxingshu7000"/>
                <w:szCs w:val="21"/>
              </w:rPr>
              <w:t>序号</w:t>
            </w:r>
          </w:p>
        </w:tc>
        <w:tc>
          <w:tcPr>
            <w:tcW w:w="2969" w:type="dxa"/>
            <w:noWrap w:val="0"/>
            <w:vAlign w:val="center"/>
          </w:tcPr>
          <w:p w14:paraId="74215525">
            <w:pPr>
              <w:jc w:val="center"/>
              <w:rPr>
                <w:rFonts w:ascii="宋体" w:hAnsi="宋体" w:cs="hakuyoxingshu7000"/>
                <w:szCs w:val="21"/>
              </w:rPr>
            </w:pPr>
            <w:r>
              <w:rPr>
                <w:rFonts w:hint="eastAsia" w:ascii="宋体" w:hAnsi="宋体" w:cs="hakuyoxingshu7000"/>
                <w:szCs w:val="21"/>
              </w:rPr>
              <w:t>项目名称</w:t>
            </w:r>
          </w:p>
        </w:tc>
        <w:tc>
          <w:tcPr>
            <w:tcW w:w="1782" w:type="dxa"/>
            <w:noWrap w:val="0"/>
            <w:vAlign w:val="center"/>
          </w:tcPr>
          <w:p w14:paraId="13A84DA5">
            <w:pPr>
              <w:jc w:val="center"/>
              <w:rPr>
                <w:rFonts w:ascii="宋体" w:hAnsi="宋体" w:cs="hakuyoxingshu7000"/>
                <w:szCs w:val="21"/>
              </w:rPr>
            </w:pPr>
            <w:r>
              <w:rPr>
                <w:rFonts w:hint="eastAsia" w:ascii="宋体" w:hAnsi="宋体" w:cs="hakuyoxingshu7000"/>
                <w:szCs w:val="21"/>
              </w:rPr>
              <w:t>实施时间</w:t>
            </w:r>
          </w:p>
        </w:tc>
        <w:tc>
          <w:tcPr>
            <w:tcW w:w="3063" w:type="dxa"/>
            <w:noWrap w:val="0"/>
            <w:vAlign w:val="center"/>
          </w:tcPr>
          <w:p w14:paraId="67C5A8D1">
            <w:pPr>
              <w:jc w:val="center"/>
              <w:rPr>
                <w:rFonts w:ascii="宋体" w:hAnsi="宋体" w:cs="hakuyoxingshu7000"/>
                <w:szCs w:val="21"/>
              </w:rPr>
            </w:pPr>
            <w:r>
              <w:rPr>
                <w:rFonts w:hint="eastAsia" w:ascii="宋体" w:hAnsi="宋体" w:cs="hakuyoxingshu7000"/>
                <w:szCs w:val="21"/>
              </w:rPr>
              <w:t>建设单位</w:t>
            </w:r>
          </w:p>
        </w:tc>
      </w:tr>
      <w:tr w14:paraId="6226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20BF6AC5">
            <w:pPr>
              <w:jc w:val="center"/>
              <w:rPr>
                <w:rFonts w:ascii="宋体" w:hAnsi="宋体" w:cs="hakuyoxingshu7000"/>
                <w:szCs w:val="21"/>
              </w:rPr>
            </w:pPr>
          </w:p>
        </w:tc>
        <w:tc>
          <w:tcPr>
            <w:tcW w:w="2969" w:type="dxa"/>
            <w:noWrap w:val="0"/>
            <w:vAlign w:val="center"/>
          </w:tcPr>
          <w:p w14:paraId="328F442B">
            <w:pPr>
              <w:jc w:val="center"/>
              <w:rPr>
                <w:rFonts w:ascii="宋体" w:hAnsi="宋体" w:cs="hakuyoxingshu7000"/>
                <w:szCs w:val="21"/>
              </w:rPr>
            </w:pPr>
          </w:p>
        </w:tc>
        <w:tc>
          <w:tcPr>
            <w:tcW w:w="1782" w:type="dxa"/>
            <w:noWrap w:val="0"/>
            <w:vAlign w:val="center"/>
          </w:tcPr>
          <w:p w14:paraId="6514C211">
            <w:pPr>
              <w:jc w:val="center"/>
              <w:rPr>
                <w:rFonts w:ascii="宋体" w:hAnsi="宋体" w:cs="hakuyoxingshu7000"/>
                <w:szCs w:val="21"/>
              </w:rPr>
            </w:pPr>
          </w:p>
        </w:tc>
        <w:tc>
          <w:tcPr>
            <w:tcW w:w="3063" w:type="dxa"/>
            <w:noWrap w:val="0"/>
            <w:vAlign w:val="center"/>
          </w:tcPr>
          <w:p w14:paraId="18344BDA">
            <w:pPr>
              <w:jc w:val="center"/>
              <w:rPr>
                <w:rFonts w:ascii="宋体" w:hAnsi="宋体" w:cs="hakuyoxingshu7000"/>
                <w:szCs w:val="21"/>
              </w:rPr>
            </w:pPr>
          </w:p>
        </w:tc>
      </w:tr>
      <w:tr w14:paraId="252F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6463BB2D">
            <w:pPr>
              <w:jc w:val="center"/>
              <w:rPr>
                <w:rFonts w:ascii="宋体" w:hAnsi="宋体" w:cs="hakuyoxingshu7000"/>
                <w:szCs w:val="21"/>
              </w:rPr>
            </w:pPr>
          </w:p>
        </w:tc>
        <w:tc>
          <w:tcPr>
            <w:tcW w:w="2969" w:type="dxa"/>
            <w:noWrap w:val="0"/>
            <w:vAlign w:val="center"/>
          </w:tcPr>
          <w:p w14:paraId="39D9DC57">
            <w:pPr>
              <w:jc w:val="center"/>
              <w:rPr>
                <w:rFonts w:ascii="宋体" w:hAnsi="宋体" w:cs="hakuyoxingshu7000"/>
                <w:szCs w:val="21"/>
              </w:rPr>
            </w:pPr>
          </w:p>
        </w:tc>
        <w:tc>
          <w:tcPr>
            <w:tcW w:w="1782" w:type="dxa"/>
            <w:noWrap w:val="0"/>
            <w:vAlign w:val="center"/>
          </w:tcPr>
          <w:p w14:paraId="667906F8">
            <w:pPr>
              <w:jc w:val="center"/>
              <w:rPr>
                <w:rFonts w:ascii="宋体" w:hAnsi="宋体" w:cs="hakuyoxingshu7000"/>
                <w:szCs w:val="21"/>
              </w:rPr>
            </w:pPr>
          </w:p>
        </w:tc>
        <w:tc>
          <w:tcPr>
            <w:tcW w:w="3063" w:type="dxa"/>
            <w:noWrap w:val="0"/>
            <w:vAlign w:val="center"/>
          </w:tcPr>
          <w:p w14:paraId="05DB6743">
            <w:pPr>
              <w:jc w:val="center"/>
              <w:rPr>
                <w:rFonts w:ascii="宋体" w:hAnsi="宋体" w:cs="hakuyoxingshu7000"/>
                <w:szCs w:val="21"/>
              </w:rPr>
            </w:pPr>
          </w:p>
        </w:tc>
      </w:tr>
      <w:tr w14:paraId="32B5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0BAA7907">
            <w:pPr>
              <w:jc w:val="center"/>
              <w:rPr>
                <w:rFonts w:ascii="宋体" w:hAnsi="宋体" w:cs="hakuyoxingshu7000"/>
                <w:szCs w:val="21"/>
              </w:rPr>
            </w:pPr>
          </w:p>
        </w:tc>
        <w:tc>
          <w:tcPr>
            <w:tcW w:w="2969" w:type="dxa"/>
            <w:noWrap w:val="0"/>
            <w:vAlign w:val="center"/>
          </w:tcPr>
          <w:p w14:paraId="1BDB9773">
            <w:pPr>
              <w:jc w:val="center"/>
              <w:rPr>
                <w:rFonts w:ascii="宋体" w:hAnsi="宋体" w:cs="hakuyoxingshu7000"/>
                <w:szCs w:val="21"/>
              </w:rPr>
            </w:pPr>
          </w:p>
        </w:tc>
        <w:tc>
          <w:tcPr>
            <w:tcW w:w="1782" w:type="dxa"/>
            <w:noWrap w:val="0"/>
            <w:vAlign w:val="center"/>
          </w:tcPr>
          <w:p w14:paraId="21ACE5E6">
            <w:pPr>
              <w:jc w:val="center"/>
              <w:rPr>
                <w:rFonts w:ascii="宋体" w:hAnsi="宋体" w:cs="hakuyoxingshu7000"/>
                <w:szCs w:val="21"/>
              </w:rPr>
            </w:pPr>
          </w:p>
        </w:tc>
        <w:tc>
          <w:tcPr>
            <w:tcW w:w="3063" w:type="dxa"/>
            <w:noWrap w:val="0"/>
            <w:vAlign w:val="center"/>
          </w:tcPr>
          <w:p w14:paraId="462D7D39">
            <w:pPr>
              <w:jc w:val="center"/>
              <w:rPr>
                <w:rFonts w:ascii="宋体" w:hAnsi="宋体" w:cs="hakuyoxingshu7000"/>
                <w:szCs w:val="21"/>
              </w:rPr>
            </w:pPr>
          </w:p>
        </w:tc>
      </w:tr>
      <w:tr w14:paraId="7E19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66ABC5FA">
            <w:pPr>
              <w:jc w:val="center"/>
              <w:rPr>
                <w:rFonts w:ascii="宋体" w:hAnsi="宋体" w:cs="hakuyoxingshu7000"/>
                <w:szCs w:val="21"/>
              </w:rPr>
            </w:pPr>
          </w:p>
        </w:tc>
        <w:tc>
          <w:tcPr>
            <w:tcW w:w="2969" w:type="dxa"/>
            <w:noWrap w:val="0"/>
            <w:vAlign w:val="center"/>
          </w:tcPr>
          <w:p w14:paraId="5121ACCC">
            <w:pPr>
              <w:jc w:val="center"/>
              <w:rPr>
                <w:rFonts w:ascii="宋体" w:hAnsi="宋体" w:cs="hakuyoxingshu7000"/>
                <w:szCs w:val="21"/>
              </w:rPr>
            </w:pPr>
          </w:p>
        </w:tc>
        <w:tc>
          <w:tcPr>
            <w:tcW w:w="1782" w:type="dxa"/>
            <w:noWrap w:val="0"/>
            <w:vAlign w:val="center"/>
          </w:tcPr>
          <w:p w14:paraId="326C95AF">
            <w:pPr>
              <w:jc w:val="center"/>
              <w:rPr>
                <w:rFonts w:ascii="宋体" w:hAnsi="宋体" w:cs="hakuyoxingshu7000"/>
                <w:szCs w:val="21"/>
              </w:rPr>
            </w:pPr>
          </w:p>
        </w:tc>
        <w:tc>
          <w:tcPr>
            <w:tcW w:w="3063" w:type="dxa"/>
            <w:noWrap w:val="0"/>
            <w:vAlign w:val="center"/>
          </w:tcPr>
          <w:p w14:paraId="3C1B4F6C">
            <w:pPr>
              <w:jc w:val="center"/>
              <w:rPr>
                <w:rFonts w:ascii="宋体" w:hAnsi="宋体" w:cs="hakuyoxingshu7000"/>
                <w:szCs w:val="21"/>
              </w:rPr>
            </w:pPr>
          </w:p>
        </w:tc>
      </w:tr>
      <w:tr w14:paraId="5AB9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1B44A99C">
            <w:pPr>
              <w:jc w:val="center"/>
              <w:rPr>
                <w:rFonts w:ascii="宋体" w:hAnsi="宋体" w:cs="hakuyoxingshu7000"/>
                <w:szCs w:val="21"/>
              </w:rPr>
            </w:pPr>
          </w:p>
        </w:tc>
        <w:tc>
          <w:tcPr>
            <w:tcW w:w="2969" w:type="dxa"/>
            <w:noWrap w:val="0"/>
            <w:vAlign w:val="center"/>
          </w:tcPr>
          <w:p w14:paraId="0B998787">
            <w:pPr>
              <w:jc w:val="center"/>
              <w:rPr>
                <w:rFonts w:ascii="宋体" w:hAnsi="宋体" w:cs="hakuyoxingshu7000"/>
                <w:szCs w:val="21"/>
              </w:rPr>
            </w:pPr>
          </w:p>
        </w:tc>
        <w:tc>
          <w:tcPr>
            <w:tcW w:w="1782" w:type="dxa"/>
            <w:noWrap w:val="0"/>
            <w:vAlign w:val="center"/>
          </w:tcPr>
          <w:p w14:paraId="789503CA">
            <w:pPr>
              <w:jc w:val="center"/>
              <w:rPr>
                <w:rFonts w:ascii="宋体" w:hAnsi="宋体" w:cs="hakuyoxingshu7000"/>
                <w:szCs w:val="21"/>
              </w:rPr>
            </w:pPr>
          </w:p>
        </w:tc>
        <w:tc>
          <w:tcPr>
            <w:tcW w:w="3063" w:type="dxa"/>
            <w:noWrap w:val="0"/>
            <w:vAlign w:val="center"/>
          </w:tcPr>
          <w:p w14:paraId="11263D3A">
            <w:pPr>
              <w:jc w:val="center"/>
              <w:rPr>
                <w:rFonts w:ascii="宋体" w:hAnsi="宋体" w:cs="hakuyoxingshu7000"/>
                <w:szCs w:val="21"/>
              </w:rPr>
            </w:pPr>
          </w:p>
        </w:tc>
      </w:tr>
      <w:tr w14:paraId="0F0E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78C08A12">
            <w:pPr>
              <w:jc w:val="center"/>
              <w:rPr>
                <w:rFonts w:ascii="宋体" w:hAnsi="宋体" w:cs="hakuyoxingshu7000"/>
                <w:szCs w:val="21"/>
              </w:rPr>
            </w:pPr>
          </w:p>
        </w:tc>
        <w:tc>
          <w:tcPr>
            <w:tcW w:w="2969" w:type="dxa"/>
            <w:noWrap w:val="0"/>
            <w:vAlign w:val="center"/>
          </w:tcPr>
          <w:p w14:paraId="1A8CEC06">
            <w:pPr>
              <w:jc w:val="center"/>
              <w:rPr>
                <w:rFonts w:ascii="宋体" w:hAnsi="宋体" w:cs="hakuyoxingshu7000"/>
                <w:szCs w:val="21"/>
              </w:rPr>
            </w:pPr>
          </w:p>
        </w:tc>
        <w:tc>
          <w:tcPr>
            <w:tcW w:w="1782" w:type="dxa"/>
            <w:noWrap w:val="0"/>
            <w:vAlign w:val="center"/>
          </w:tcPr>
          <w:p w14:paraId="5366B904">
            <w:pPr>
              <w:jc w:val="center"/>
              <w:rPr>
                <w:rFonts w:ascii="宋体" w:hAnsi="宋体" w:cs="hakuyoxingshu7000"/>
                <w:szCs w:val="21"/>
              </w:rPr>
            </w:pPr>
          </w:p>
        </w:tc>
        <w:tc>
          <w:tcPr>
            <w:tcW w:w="3063" w:type="dxa"/>
            <w:noWrap w:val="0"/>
            <w:vAlign w:val="center"/>
          </w:tcPr>
          <w:p w14:paraId="73B30ED5">
            <w:pPr>
              <w:jc w:val="center"/>
              <w:rPr>
                <w:rFonts w:ascii="宋体" w:hAnsi="宋体" w:cs="hakuyoxingshu7000"/>
                <w:szCs w:val="21"/>
              </w:rPr>
            </w:pPr>
          </w:p>
        </w:tc>
      </w:tr>
      <w:tr w14:paraId="6B4C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7D177F09">
            <w:pPr>
              <w:jc w:val="center"/>
              <w:rPr>
                <w:rFonts w:ascii="宋体" w:hAnsi="宋体" w:cs="hakuyoxingshu7000"/>
                <w:szCs w:val="21"/>
              </w:rPr>
            </w:pPr>
          </w:p>
        </w:tc>
        <w:tc>
          <w:tcPr>
            <w:tcW w:w="2969" w:type="dxa"/>
            <w:noWrap w:val="0"/>
            <w:vAlign w:val="center"/>
          </w:tcPr>
          <w:p w14:paraId="7DC455A6">
            <w:pPr>
              <w:jc w:val="center"/>
              <w:rPr>
                <w:rFonts w:ascii="宋体" w:hAnsi="宋体" w:cs="hakuyoxingshu7000"/>
                <w:szCs w:val="21"/>
              </w:rPr>
            </w:pPr>
          </w:p>
        </w:tc>
        <w:tc>
          <w:tcPr>
            <w:tcW w:w="1782" w:type="dxa"/>
            <w:noWrap w:val="0"/>
            <w:vAlign w:val="center"/>
          </w:tcPr>
          <w:p w14:paraId="1AABE445">
            <w:pPr>
              <w:jc w:val="center"/>
              <w:rPr>
                <w:rFonts w:ascii="宋体" w:hAnsi="宋体" w:cs="hakuyoxingshu7000"/>
                <w:szCs w:val="21"/>
              </w:rPr>
            </w:pPr>
          </w:p>
        </w:tc>
        <w:tc>
          <w:tcPr>
            <w:tcW w:w="3063" w:type="dxa"/>
            <w:noWrap w:val="0"/>
            <w:vAlign w:val="center"/>
          </w:tcPr>
          <w:p w14:paraId="2263AA88">
            <w:pPr>
              <w:jc w:val="center"/>
              <w:rPr>
                <w:rFonts w:ascii="宋体" w:hAnsi="宋体" w:cs="hakuyoxingshu7000"/>
                <w:szCs w:val="21"/>
              </w:rPr>
            </w:pPr>
          </w:p>
        </w:tc>
      </w:tr>
      <w:tr w14:paraId="1818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1D2D934C">
            <w:pPr>
              <w:jc w:val="center"/>
              <w:rPr>
                <w:rFonts w:ascii="宋体" w:hAnsi="宋体" w:cs="hakuyoxingshu7000"/>
                <w:szCs w:val="21"/>
              </w:rPr>
            </w:pPr>
          </w:p>
        </w:tc>
        <w:tc>
          <w:tcPr>
            <w:tcW w:w="2969" w:type="dxa"/>
            <w:noWrap w:val="0"/>
            <w:vAlign w:val="center"/>
          </w:tcPr>
          <w:p w14:paraId="45ED896E">
            <w:pPr>
              <w:jc w:val="center"/>
              <w:rPr>
                <w:rFonts w:ascii="宋体" w:hAnsi="宋体" w:cs="hakuyoxingshu7000"/>
                <w:szCs w:val="21"/>
              </w:rPr>
            </w:pPr>
          </w:p>
        </w:tc>
        <w:tc>
          <w:tcPr>
            <w:tcW w:w="1782" w:type="dxa"/>
            <w:noWrap w:val="0"/>
            <w:vAlign w:val="center"/>
          </w:tcPr>
          <w:p w14:paraId="40E3D91E">
            <w:pPr>
              <w:jc w:val="center"/>
              <w:rPr>
                <w:rFonts w:ascii="宋体" w:hAnsi="宋体" w:cs="hakuyoxingshu7000"/>
                <w:szCs w:val="21"/>
              </w:rPr>
            </w:pPr>
          </w:p>
        </w:tc>
        <w:tc>
          <w:tcPr>
            <w:tcW w:w="3063" w:type="dxa"/>
            <w:noWrap w:val="0"/>
            <w:vAlign w:val="center"/>
          </w:tcPr>
          <w:p w14:paraId="77A1084C">
            <w:pPr>
              <w:jc w:val="center"/>
              <w:rPr>
                <w:rFonts w:ascii="宋体" w:hAnsi="宋体" w:cs="hakuyoxingshu7000"/>
                <w:szCs w:val="21"/>
              </w:rPr>
            </w:pPr>
          </w:p>
        </w:tc>
      </w:tr>
      <w:tr w14:paraId="451C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66863F14">
            <w:pPr>
              <w:jc w:val="center"/>
              <w:rPr>
                <w:rFonts w:ascii="宋体" w:hAnsi="宋体" w:cs="hakuyoxingshu7000"/>
                <w:szCs w:val="21"/>
              </w:rPr>
            </w:pPr>
          </w:p>
        </w:tc>
        <w:tc>
          <w:tcPr>
            <w:tcW w:w="2969" w:type="dxa"/>
            <w:noWrap w:val="0"/>
            <w:vAlign w:val="center"/>
          </w:tcPr>
          <w:p w14:paraId="765B6B09">
            <w:pPr>
              <w:jc w:val="center"/>
              <w:rPr>
                <w:rFonts w:ascii="宋体" w:hAnsi="宋体" w:cs="hakuyoxingshu7000"/>
                <w:szCs w:val="21"/>
              </w:rPr>
            </w:pPr>
          </w:p>
        </w:tc>
        <w:tc>
          <w:tcPr>
            <w:tcW w:w="1782" w:type="dxa"/>
            <w:noWrap w:val="0"/>
            <w:vAlign w:val="center"/>
          </w:tcPr>
          <w:p w14:paraId="17FEC822">
            <w:pPr>
              <w:jc w:val="center"/>
              <w:rPr>
                <w:rFonts w:ascii="宋体" w:hAnsi="宋体" w:cs="hakuyoxingshu7000"/>
                <w:szCs w:val="21"/>
              </w:rPr>
            </w:pPr>
          </w:p>
        </w:tc>
        <w:tc>
          <w:tcPr>
            <w:tcW w:w="3063" w:type="dxa"/>
            <w:noWrap w:val="0"/>
            <w:vAlign w:val="center"/>
          </w:tcPr>
          <w:p w14:paraId="108AAEC6">
            <w:pPr>
              <w:jc w:val="center"/>
              <w:rPr>
                <w:rFonts w:ascii="宋体" w:hAnsi="宋体" w:cs="hakuyoxingshu7000"/>
                <w:szCs w:val="21"/>
              </w:rPr>
            </w:pPr>
          </w:p>
        </w:tc>
      </w:tr>
      <w:tr w14:paraId="5ABC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615D2682">
            <w:pPr>
              <w:jc w:val="center"/>
              <w:rPr>
                <w:rFonts w:ascii="宋体" w:hAnsi="宋体" w:cs="hakuyoxingshu7000"/>
                <w:szCs w:val="21"/>
              </w:rPr>
            </w:pPr>
          </w:p>
        </w:tc>
        <w:tc>
          <w:tcPr>
            <w:tcW w:w="2969" w:type="dxa"/>
            <w:noWrap w:val="0"/>
            <w:vAlign w:val="center"/>
          </w:tcPr>
          <w:p w14:paraId="15AA524D">
            <w:pPr>
              <w:jc w:val="center"/>
              <w:rPr>
                <w:rFonts w:ascii="宋体" w:hAnsi="宋体" w:cs="hakuyoxingshu7000"/>
                <w:szCs w:val="21"/>
              </w:rPr>
            </w:pPr>
          </w:p>
        </w:tc>
        <w:tc>
          <w:tcPr>
            <w:tcW w:w="1782" w:type="dxa"/>
            <w:noWrap w:val="0"/>
            <w:vAlign w:val="center"/>
          </w:tcPr>
          <w:p w14:paraId="1F25B646">
            <w:pPr>
              <w:jc w:val="center"/>
              <w:rPr>
                <w:rFonts w:ascii="宋体" w:hAnsi="宋体" w:cs="hakuyoxingshu7000"/>
                <w:szCs w:val="21"/>
              </w:rPr>
            </w:pPr>
          </w:p>
        </w:tc>
        <w:tc>
          <w:tcPr>
            <w:tcW w:w="3063" w:type="dxa"/>
            <w:noWrap w:val="0"/>
            <w:vAlign w:val="center"/>
          </w:tcPr>
          <w:p w14:paraId="44D6B519">
            <w:pPr>
              <w:jc w:val="center"/>
              <w:rPr>
                <w:rFonts w:ascii="宋体" w:hAnsi="宋体" w:cs="hakuyoxingshu7000"/>
                <w:szCs w:val="21"/>
              </w:rPr>
            </w:pPr>
          </w:p>
        </w:tc>
      </w:tr>
      <w:tr w14:paraId="7742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41549257">
            <w:pPr>
              <w:jc w:val="center"/>
              <w:rPr>
                <w:rFonts w:ascii="宋体" w:hAnsi="宋体" w:cs="hakuyoxingshu7000"/>
                <w:szCs w:val="21"/>
              </w:rPr>
            </w:pPr>
          </w:p>
        </w:tc>
        <w:tc>
          <w:tcPr>
            <w:tcW w:w="2969" w:type="dxa"/>
            <w:noWrap w:val="0"/>
            <w:vAlign w:val="center"/>
          </w:tcPr>
          <w:p w14:paraId="2CFB6CCA">
            <w:pPr>
              <w:jc w:val="center"/>
              <w:rPr>
                <w:rFonts w:ascii="宋体" w:hAnsi="宋体" w:cs="hakuyoxingshu7000"/>
                <w:szCs w:val="21"/>
              </w:rPr>
            </w:pPr>
          </w:p>
        </w:tc>
        <w:tc>
          <w:tcPr>
            <w:tcW w:w="1782" w:type="dxa"/>
            <w:noWrap w:val="0"/>
            <w:vAlign w:val="center"/>
          </w:tcPr>
          <w:p w14:paraId="7A665A46">
            <w:pPr>
              <w:jc w:val="center"/>
              <w:rPr>
                <w:rFonts w:ascii="宋体" w:hAnsi="宋体" w:cs="hakuyoxingshu7000"/>
                <w:szCs w:val="21"/>
              </w:rPr>
            </w:pPr>
          </w:p>
        </w:tc>
        <w:tc>
          <w:tcPr>
            <w:tcW w:w="3063" w:type="dxa"/>
            <w:noWrap w:val="0"/>
            <w:vAlign w:val="center"/>
          </w:tcPr>
          <w:p w14:paraId="7ADDD4C5">
            <w:pPr>
              <w:jc w:val="center"/>
              <w:rPr>
                <w:rFonts w:ascii="宋体" w:hAnsi="宋体" w:cs="hakuyoxingshu7000"/>
                <w:szCs w:val="21"/>
              </w:rPr>
            </w:pPr>
          </w:p>
        </w:tc>
      </w:tr>
      <w:tr w14:paraId="30A7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72D650A5">
            <w:pPr>
              <w:jc w:val="center"/>
              <w:rPr>
                <w:rFonts w:ascii="宋体" w:hAnsi="宋体" w:cs="hakuyoxingshu7000"/>
                <w:szCs w:val="21"/>
              </w:rPr>
            </w:pPr>
          </w:p>
        </w:tc>
        <w:tc>
          <w:tcPr>
            <w:tcW w:w="2969" w:type="dxa"/>
            <w:noWrap w:val="0"/>
            <w:vAlign w:val="center"/>
          </w:tcPr>
          <w:p w14:paraId="712A0EB3">
            <w:pPr>
              <w:jc w:val="center"/>
              <w:rPr>
                <w:rFonts w:ascii="宋体" w:hAnsi="宋体" w:cs="hakuyoxingshu7000"/>
                <w:szCs w:val="21"/>
              </w:rPr>
            </w:pPr>
          </w:p>
        </w:tc>
        <w:tc>
          <w:tcPr>
            <w:tcW w:w="1782" w:type="dxa"/>
            <w:noWrap w:val="0"/>
            <w:vAlign w:val="center"/>
          </w:tcPr>
          <w:p w14:paraId="72895720">
            <w:pPr>
              <w:jc w:val="center"/>
              <w:rPr>
                <w:rFonts w:ascii="宋体" w:hAnsi="宋体" w:cs="hakuyoxingshu7000"/>
                <w:szCs w:val="21"/>
              </w:rPr>
            </w:pPr>
          </w:p>
        </w:tc>
        <w:tc>
          <w:tcPr>
            <w:tcW w:w="3063" w:type="dxa"/>
            <w:noWrap w:val="0"/>
            <w:vAlign w:val="center"/>
          </w:tcPr>
          <w:p w14:paraId="24083C01">
            <w:pPr>
              <w:jc w:val="center"/>
              <w:rPr>
                <w:rFonts w:ascii="宋体" w:hAnsi="宋体" w:cs="hakuyoxingshu7000"/>
                <w:szCs w:val="21"/>
              </w:rPr>
            </w:pPr>
          </w:p>
        </w:tc>
      </w:tr>
    </w:tbl>
    <w:p w14:paraId="4A0F9A0E">
      <w:pPr>
        <w:pStyle w:val="8"/>
        <w:outlineLvl w:val="9"/>
      </w:pPr>
    </w:p>
    <w:p w14:paraId="56C96D80">
      <w:pPr>
        <w:spacing w:line="360" w:lineRule="auto"/>
        <w:ind w:firstLine="210" w:firstLineChars="100"/>
        <w:jc w:val="left"/>
        <w:rPr>
          <w:rFonts w:hint="eastAsia"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（盖单位章）</w:t>
      </w:r>
    </w:p>
    <w:p w14:paraId="235C9C76">
      <w:pPr>
        <w:spacing w:line="360" w:lineRule="auto"/>
        <w:ind w:firstLine="210" w:firstLineChars="100"/>
        <w:jc w:val="left"/>
        <w:rPr>
          <w:rFonts w:hint="eastAsia" w:ascii="宋体" w:hAnsi="宋体"/>
          <w:szCs w:val="21"/>
        </w:rPr>
      </w:pPr>
      <w:r>
        <w:rPr>
          <w:rFonts w:hint="eastAsia" w:ascii="宋体" w:hAnsi="宋体"/>
          <w:szCs w:val="21"/>
        </w:rPr>
        <w:t>响应单位授权代表：</w:t>
      </w:r>
      <w:r>
        <w:rPr>
          <w:rFonts w:hint="eastAsia" w:ascii="宋体" w:hAnsi="宋体"/>
          <w:szCs w:val="21"/>
          <w:u w:val="single"/>
        </w:rPr>
        <w:t xml:space="preserve">                     </w:t>
      </w:r>
      <w:r>
        <w:rPr>
          <w:rFonts w:hint="eastAsia" w:ascii="宋体" w:hAnsi="宋体"/>
          <w:szCs w:val="21"/>
        </w:rPr>
        <w:t>（签字或盖章）</w:t>
      </w:r>
    </w:p>
    <w:p w14:paraId="030A08E9">
      <w:pPr>
        <w:spacing w:line="360" w:lineRule="auto"/>
        <w:ind w:firstLine="210" w:firstLineChars="100"/>
        <w:jc w:val="left"/>
        <w:rPr>
          <w:rFonts w:hint="eastAsia"/>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37235C6">
      <w:pPr>
        <w:pStyle w:val="8"/>
        <w:outlineLvl w:val="9"/>
      </w:pPr>
    </w:p>
    <w:p w14:paraId="4DB8F8B4">
      <w:pPr>
        <w:spacing w:line="360" w:lineRule="auto"/>
        <w:ind w:firstLine="630" w:firstLineChars="300"/>
        <w:rPr>
          <w:rFonts w:hint="eastAsia" w:ascii="宋体" w:hAnsi="宋体"/>
          <w:szCs w:val="21"/>
        </w:rPr>
      </w:pPr>
      <w:r>
        <w:rPr>
          <w:rFonts w:hint="eastAsia" w:ascii="宋体" w:hAnsi="宋体"/>
          <w:szCs w:val="21"/>
        </w:rPr>
        <w:t>注：</w:t>
      </w:r>
      <w:r>
        <w:rPr>
          <w:rFonts w:hint="eastAsia" w:ascii="宋体" w:hAnsi="宋体"/>
          <w:szCs w:val="21"/>
          <w:lang w:val="en-US" w:eastAsia="zh-CN"/>
        </w:rPr>
        <w:t>业绩证明材料附后</w:t>
      </w:r>
      <w:r>
        <w:rPr>
          <w:rFonts w:hint="eastAsia" w:ascii="宋体" w:hAnsi="宋体"/>
          <w:szCs w:val="21"/>
        </w:rPr>
        <w:t>。</w:t>
      </w:r>
    </w:p>
    <w:p w14:paraId="04BE985F">
      <w:pPr>
        <w:pStyle w:val="3"/>
        <w:ind w:left="63" w:right="63"/>
        <w:rPr>
          <w:rFonts w:hint="eastAsia" w:ascii="宋体" w:hAnsi="宋体"/>
          <w:szCs w:val="21"/>
        </w:rPr>
      </w:pPr>
    </w:p>
    <w:p w14:paraId="022DD970">
      <w:pPr>
        <w:pStyle w:val="3"/>
        <w:ind w:left="0" w:leftChars="0" w:right="63" w:firstLine="0" w:firstLineChars="0"/>
        <w:jc w:val="both"/>
        <w:rPr>
          <w:rFonts w:hint="eastAsia"/>
        </w:rPr>
      </w:pPr>
    </w:p>
    <w:p w14:paraId="652CC9CC">
      <w:pPr>
        <w:widowControl/>
        <w:jc w:val="left"/>
        <w:rPr>
          <w:rFonts w:hint="eastAsia" w:ascii="宋体" w:hAnsi="宋体"/>
          <w:sz w:val="24"/>
        </w:rPr>
      </w:pPr>
    </w:p>
    <w:p w14:paraId="533D09B6">
      <w:pPr>
        <w:pStyle w:val="62"/>
        <w:numPr>
          <w:ilvl w:val="0"/>
          <w:numId w:val="0"/>
        </w:numPr>
        <w:spacing w:line="480" w:lineRule="exact"/>
        <w:ind w:leftChars="0"/>
        <w:jc w:val="center"/>
        <w:outlineLvl w:val="1"/>
        <w:rPr>
          <w:rFonts w:hint="eastAsia" w:hAnsi="宋体" w:cs="黑体"/>
          <w:b/>
          <w:color w:val="auto"/>
          <w:sz w:val="28"/>
          <w:szCs w:val="28"/>
        </w:rPr>
      </w:pPr>
      <w:r>
        <w:rPr>
          <w:rFonts w:hint="eastAsia" w:hAnsi="宋体" w:cs="黑体"/>
          <w:b/>
          <w:color w:val="auto"/>
          <w:sz w:val="28"/>
          <w:szCs w:val="28"/>
          <w:lang w:val="en-US" w:eastAsia="zh-CN"/>
        </w:rPr>
        <w:t xml:space="preserve">8  </w:t>
      </w:r>
      <w:r>
        <w:rPr>
          <w:rFonts w:hint="eastAsia" w:hAnsi="宋体" w:cs="黑体"/>
          <w:b/>
          <w:color w:val="auto"/>
          <w:sz w:val="28"/>
          <w:szCs w:val="28"/>
        </w:rPr>
        <w:t>施工组织设计内容</w:t>
      </w:r>
    </w:p>
    <w:p w14:paraId="6C019683">
      <w:pPr>
        <w:pStyle w:val="8"/>
        <w:jc w:val="center"/>
        <w:outlineLvl w:val="1"/>
        <w:rPr>
          <w:rStyle w:val="106"/>
          <w:rFonts w:hint="eastAsia" w:ascii="宋体" w:hAnsi="宋体" w:eastAsia="宋体"/>
          <w:b/>
          <w:bCs/>
          <w:color w:val="auto"/>
          <w:sz w:val="28"/>
          <w:szCs w:val="28"/>
          <w:highlight w:val="none"/>
        </w:rPr>
      </w:pPr>
      <w:r>
        <w:rPr>
          <w:rFonts w:hint="eastAsia" w:hAnsi="宋体" w:cs="黑体"/>
          <w:b w:val="0"/>
          <w:color w:val="auto"/>
          <w:sz w:val="28"/>
          <w:szCs w:val="28"/>
        </w:rPr>
        <w:br w:type="page"/>
      </w:r>
      <w:bookmarkStart w:id="593" w:name="_Toc3266"/>
      <w:bookmarkStart w:id="594" w:name="_Toc25339"/>
      <w:r>
        <w:rPr>
          <w:rStyle w:val="106"/>
          <w:rFonts w:hint="eastAsia" w:ascii="宋体" w:hAnsi="宋体" w:eastAsia="宋体"/>
          <w:b/>
          <w:bCs/>
          <w:color w:val="auto"/>
          <w:sz w:val="28"/>
          <w:szCs w:val="28"/>
          <w:highlight w:val="none"/>
          <w:lang w:val="en-US"/>
        </w:rPr>
        <w:t xml:space="preserve">9  </w:t>
      </w:r>
      <w:r>
        <w:rPr>
          <w:rStyle w:val="106"/>
          <w:rFonts w:hint="eastAsia" w:ascii="宋体" w:hAnsi="宋体" w:eastAsia="宋体"/>
          <w:b/>
          <w:bCs/>
          <w:color w:val="auto"/>
          <w:sz w:val="28"/>
          <w:szCs w:val="28"/>
          <w:highlight w:val="none"/>
        </w:rPr>
        <w:t>项目管理机构表</w:t>
      </w:r>
      <w:bookmarkEnd w:id="593"/>
      <w:bookmarkEnd w:id="594"/>
    </w:p>
    <w:p w14:paraId="7F589485">
      <w:pPr>
        <w:spacing w:before="159" w:beforeLines="50" w:after="159" w:afterLines="50" w:line="360" w:lineRule="auto"/>
        <w:rPr>
          <w:rFonts w:hint="eastAsia" w:ascii="宋体" w:hAnsi="宋体"/>
          <w:b/>
          <w:color w:val="auto"/>
          <w:sz w:val="22"/>
          <w:szCs w:val="22"/>
          <w:highlight w:val="none"/>
        </w:rPr>
      </w:pPr>
      <w:r>
        <w:rPr>
          <w:rFonts w:hint="eastAsia" w:ascii="宋体" w:hAnsi="宋体"/>
          <w:b/>
          <w:color w:val="auto"/>
          <w:sz w:val="22"/>
          <w:szCs w:val="22"/>
          <w:highlight w:val="none"/>
        </w:rPr>
        <w:t>（一）项目管理机构组成表</w:t>
      </w:r>
    </w:p>
    <w:tbl>
      <w:tblPr>
        <w:tblStyle w:val="46"/>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65"/>
        <w:gridCol w:w="656"/>
        <w:gridCol w:w="1099"/>
        <w:gridCol w:w="746"/>
        <w:gridCol w:w="1335"/>
        <w:gridCol w:w="2286"/>
        <w:gridCol w:w="803"/>
      </w:tblGrid>
      <w:tr w14:paraId="7B53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restart"/>
            <w:noWrap w:val="0"/>
            <w:vAlign w:val="center"/>
          </w:tcPr>
          <w:p w14:paraId="0AF719AB">
            <w:pPr>
              <w:spacing w:line="380" w:lineRule="atLeast"/>
              <w:jc w:val="center"/>
              <w:rPr>
                <w:rFonts w:hint="eastAsia" w:ascii="宋体" w:hAnsi="宋体"/>
                <w:color w:val="auto"/>
                <w:szCs w:val="18"/>
                <w:highlight w:val="none"/>
              </w:rPr>
            </w:pPr>
            <w:r>
              <w:rPr>
                <w:rFonts w:hint="eastAsia" w:ascii="宋体" w:hAnsi="宋体"/>
                <w:color w:val="auto"/>
                <w:szCs w:val="18"/>
                <w:highlight w:val="none"/>
              </w:rPr>
              <w:t>职务</w:t>
            </w:r>
          </w:p>
        </w:tc>
        <w:tc>
          <w:tcPr>
            <w:tcW w:w="765" w:type="dxa"/>
            <w:vMerge w:val="restart"/>
            <w:noWrap w:val="0"/>
            <w:vAlign w:val="center"/>
          </w:tcPr>
          <w:p w14:paraId="0E16A705">
            <w:pPr>
              <w:spacing w:line="380" w:lineRule="atLeast"/>
              <w:jc w:val="center"/>
              <w:rPr>
                <w:rFonts w:hint="eastAsia" w:ascii="宋体" w:hAnsi="宋体"/>
                <w:color w:val="auto"/>
                <w:szCs w:val="18"/>
                <w:highlight w:val="none"/>
              </w:rPr>
            </w:pPr>
            <w:r>
              <w:rPr>
                <w:rFonts w:hint="eastAsia" w:ascii="宋体" w:hAnsi="宋体"/>
                <w:color w:val="auto"/>
                <w:szCs w:val="18"/>
                <w:highlight w:val="none"/>
              </w:rPr>
              <w:t>姓名</w:t>
            </w:r>
          </w:p>
        </w:tc>
        <w:tc>
          <w:tcPr>
            <w:tcW w:w="656" w:type="dxa"/>
            <w:vMerge w:val="restart"/>
            <w:noWrap w:val="0"/>
            <w:vAlign w:val="center"/>
          </w:tcPr>
          <w:p w14:paraId="35CAFEB0">
            <w:pPr>
              <w:spacing w:line="380" w:lineRule="atLeast"/>
              <w:jc w:val="center"/>
              <w:rPr>
                <w:rFonts w:hint="eastAsia" w:ascii="宋体" w:hAnsi="宋体"/>
                <w:color w:val="auto"/>
                <w:szCs w:val="18"/>
                <w:highlight w:val="none"/>
              </w:rPr>
            </w:pPr>
            <w:r>
              <w:rPr>
                <w:rFonts w:hint="eastAsia" w:ascii="宋体" w:hAnsi="宋体"/>
                <w:color w:val="auto"/>
                <w:szCs w:val="18"/>
                <w:highlight w:val="none"/>
              </w:rPr>
              <w:t>职称</w:t>
            </w:r>
          </w:p>
        </w:tc>
        <w:tc>
          <w:tcPr>
            <w:tcW w:w="5466" w:type="dxa"/>
            <w:gridSpan w:val="4"/>
            <w:noWrap w:val="0"/>
            <w:vAlign w:val="center"/>
          </w:tcPr>
          <w:p w14:paraId="487E9389">
            <w:pPr>
              <w:spacing w:line="380" w:lineRule="atLeast"/>
              <w:jc w:val="center"/>
              <w:rPr>
                <w:rFonts w:hint="eastAsia" w:ascii="宋体" w:hAnsi="宋体"/>
                <w:color w:val="auto"/>
                <w:szCs w:val="18"/>
                <w:highlight w:val="none"/>
              </w:rPr>
            </w:pPr>
            <w:r>
              <w:rPr>
                <w:rFonts w:hint="eastAsia" w:ascii="宋体" w:hAnsi="宋体"/>
                <w:color w:val="auto"/>
                <w:szCs w:val="18"/>
                <w:highlight w:val="none"/>
              </w:rPr>
              <w:t>执业或职业资格证明</w:t>
            </w:r>
          </w:p>
        </w:tc>
        <w:tc>
          <w:tcPr>
            <w:tcW w:w="803" w:type="dxa"/>
            <w:noWrap w:val="0"/>
            <w:vAlign w:val="center"/>
          </w:tcPr>
          <w:p w14:paraId="44303EFF">
            <w:pPr>
              <w:spacing w:line="380" w:lineRule="atLeast"/>
              <w:jc w:val="center"/>
              <w:rPr>
                <w:rFonts w:hint="eastAsia" w:ascii="宋体" w:hAnsi="宋体"/>
                <w:color w:val="auto"/>
                <w:szCs w:val="18"/>
                <w:highlight w:val="none"/>
              </w:rPr>
            </w:pPr>
            <w:r>
              <w:rPr>
                <w:rFonts w:hint="eastAsia" w:ascii="宋体" w:hAnsi="宋体"/>
                <w:color w:val="auto"/>
                <w:szCs w:val="18"/>
                <w:highlight w:val="none"/>
              </w:rPr>
              <w:t>备注</w:t>
            </w:r>
          </w:p>
        </w:tc>
      </w:tr>
      <w:tr w14:paraId="2CA8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continue"/>
            <w:noWrap w:val="0"/>
            <w:vAlign w:val="center"/>
          </w:tcPr>
          <w:p w14:paraId="4A4E486D">
            <w:pPr>
              <w:spacing w:line="380" w:lineRule="atLeast"/>
              <w:jc w:val="center"/>
              <w:rPr>
                <w:rFonts w:hint="eastAsia" w:ascii="宋体" w:hAnsi="宋体"/>
                <w:color w:val="auto"/>
                <w:szCs w:val="18"/>
                <w:highlight w:val="none"/>
              </w:rPr>
            </w:pPr>
          </w:p>
        </w:tc>
        <w:tc>
          <w:tcPr>
            <w:tcW w:w="765" w:type="dxa"/>
            <w:vMerge w:val="continue"/>
            <w:noWrap w:val="0"/>
            <w:vAlign w:val="center"/>
          </w:tcPr>
          <w:p w14:paraId="0824426D">
            <w:pPr>
              <w:spacing w:line="380" w:lineRule="atLeast"/>
              <w:jc w:val="center"/>
              <w:rPr>
                <w:rFonts w:hint="eastAsia" w:ascii="宋体" w:hAnsi="宋体"/>
                <w:color w:val="auto"/>
                <w:szCs w:val="18"/>
                <w:highlight w:val="none"/>
              </w:rPr>
            </w:pPr>
          </w:p>
        </w:tc>
        <w:tc>
          <w:tcPr>
            <w:tcW w:w="656" w:type="dxa"/>
            <w:vMerge w:val="continue"/>
            <w:noWrap w:val="0"/>
            <w:vAlign w:val="center"/>
          </w:tcPr>
          <w:p w14:paraId="52A4D40A">
            <w:pPr>
              <w:spacing w:line="380" w:lineRule="atLeast"/>
              <w:jc w:val="center"/>
              <w:rPr>
                <w:rFonts w:hint="eastAsia" w:ascii="宋体" w:hAnsi="宋体"/>
                <w:color w:val="auto"/>
                <w:szCs w:val="18"/>
                <w:highlight w:val="none"/>
              </w:rPr>
            </w:pPr>
          </w:p>
        </w:tc>
        <w:tc>
          <w:tcPr>
            <w:tcW w:w="1099" w:type="dxa"/>
            <w:noWrap w:val="0"/>
            <w:vAlign w:val="center"/>
          </w:tcPr>
          <w:p w14:paraId="5AECB7A7">
            <w:pPr>
              <w:spacing w:line="380" w:lineRule="atLeast"/>
              <w:jc w:val="center"/>
              <w:rPr>
                <w:rFonts w:hint="eastAsia" w:ascii="宋体" w:hAnsi="宋体"/>
                <w:color w:val="auto"/>
                <w:szCs w:val="18"/>
                <w:highlight w:val="none"/>
              </w:rPr>
            </w:pPr>
            <w:r>
              <w:rPr>
                <w:rFonts w:hint="eastAsia" w:ascii="宋体" w:hAnsi="宋体"/>
                <w:color w:val="auto"/>
                <w:szCs w:val="18"/>
                <w:highlight w:val="none"/>
              </w:rPr>
              <w:t>证书名称</w:t>
            </w:r>
          </w:p>
        </w:tc>
        <w:tc>
          <w:tcPr>
            <w:tcW w:w="746" w:type="dxa"/>
            <w:noWrap w:val="0"/>
            <w:vAlign w:val="center"/>
          </w:tcPr>
          <w:p w14:paraId="43BF5201">
            <w:pPr>
              <w:spacing w:line="380" w:lineRule="atLeast"/>
              <w:jc w:val="center"/>
              <w:rPr>
                <w:rFonts w:hint="eastAsia" w:ascii="宋体" w:hAnsi="宋体"/>
                <w:color w:val="auto"/>
                <w:szCs w:val="18"/>
                <w:highlight w:val="none"/>
              </w:rPr>
            </w:pPr>
            <w:r>
              <w:rPr>
                <w:rFonts w:hint="eastAsia" w:ascii="宋体" w:hAnsi="宋体"/>
                <w:color w:val="auto"/>
                <w:szCs w:val="18"/>
                <w:highlight w:val="none"/>
              </w:rPr>
              <w:t>级别</w:t>
            </w:r>
          </w:p>
        </w:tc>
        <w:tc>
          <w:tcPr>
            <w:tcW w:w="1335" w:type="dxa"/>
            <w:noWrap w:val="0"/>
            <w:vAlign w:val="center"/>
          </w:tcPr>
          <w:p w14:paraId="3C2CC65F">
            <w:pPr>
              <w:spacing w:line="380" w:lineRule="atLeast"/>
              <w:jc w:val="center"/>
              <w:rPr>
                <w:rFonts w:hint="eastAsia" w:ascii="宋体" w:hAnsi="宋体"/>
                <w:color w:val="auto"/>
                <w:szCs w:val="18"/>
                <w:highlight w:val="none"/>
              </w:rPr>
            </w:pPr>
            <w:r>
              <w:rPr>
                <w:rFonts w:hint="eastAsia" w:ascii="宋体" w:hAnsi="宋体"/>
                <w:color w:val="auto"/>
                <w:szCs w:val="18"/>
                <w:highlight w:val="none"/>
              </w:rPr>
              <w:t>专业</w:t>
            </w:r>
          </w:p>
        </w:tc>
        <w:tc>
          <w:tcPr>
            <w:tcW w:w="2286" w:type="dxa"/>
            <w:noWrap w:val="0"/>
            <w:vAlign w:val="center"/>
          </w:tcPr>
          <w:p w14:paraId="7080DB71">
            <w:pPr>
              <w:spacing w:line="380" w:lineRule="atLeast"/>
              <w:jc w:val="center"/>
              <w:rPr>
                <w:rFonts w:hint="eastAsia" w:ascii="宋体" w:hAnsi="宋体"/>
                <w:color w:val="auto"/>
                <w:szCs w:val="18"/>
                <w:highlight w:val="none"/>
              </w:rPr>
            </w:pPr>
            <w:r>
              <w:rPr>
                <w:rFonts w:hint="eastAsia" w:ascii="宋体" w:hAnsi="宋体"/>
                <w:color w:val="auto"/>
                <w:szCs w:val="18"/>
                <w:highlight w:val="none"/>
              </w:rPr>
              <w:t>证号</w:t>
            </w:r>
          </w:p>
        </w:tc>
        <w:tc>
          <w:tcPr>
            <w:tcW w:w="803" w:type="dxa"/>
            <w:noWrap w:val="0"/>
            <w:vAlign w:val="center"/>
          </w:tcPr>
          <w:p w14:paraId="2C50CA1F">
            <w:pPr>
              <w:spacing w:line="380" w:lineRule="atLeast"/>
              <w:jc w:val="center"/>
              <w:rPr>
                <w:rFonts w:hint="eastAsia" w:ascii="宋体" w:hAnsi="宋体"/>
                <w:color w:val="auto"/>
                <w:szCs w:val="18"/>
                <w:highlight w:val="none"/>
              </w:rPr>
            </w:pPr>
          </w:p>
        </w:tc>
      </w:tr>
      <w:tr w14:paraId="5AC6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center"/>
          </w:tcPr>
          <w:p w14:paraId="14738607">
            <w:pPr>
              <w:spacing w:line="380" w:lineRule="atLeast"/>
              <w:jc w:val="center"/>
              <w:rPr>
                <w:rFonts w:hint="eastAsia" w:ascii="宋体" w:hAnsi="宋体"/>
                <w:color w:val="auto"/>
                <w:highlight w:val="none"/>
              </w:rPr>
            </w:pPr>
          </w:p>
        </w:tc>
        <w:tc>
          <w:tcPr>
            <w:tcW w:w="765" w:type="dxa"/>
            <w:noWrap w:val="0"/>
            <w:vAlign w:val="center"/>
          </w:tcPr>
          <w:p w14:paraId="15B3F52A">
            <w:pPr>
              <w:spacing w:line="380" w:lineRule="atLeast"/>
              <w:jc w:val="center"/>
              <w:rPr>
                <w:rFonts w:hint="eastAsia" w:ascii="宋体" w:hAnsi="宋体"/>
                <w:color w:val="auto"/>
                <w:highlight w:val="none"/>
              </w:rPr>
            </w:pPr>
          </w:p>
        </w:tc>
        <w:tc>
          <w:tcPr>
            <w:tcW w:w="656" w:type="dxa"/>
            <w:noWrap w:val="0"/>
            <w:vAlign w:val="center"/>
          </w:tcPr>
          <w:p w14:paraId="3CCF85CE">
            <w:pPr>
              <w:spacing w:line="380" w:lineRule="atLeast"/>
              <w:jc w:val="center"/>
              <w:rPr>
                <w:rFonts w:hint="eastAsia" w:ascii="宋体" w:hAnsi="宋体"/>
                <w:color w:val="auto"/>
                <w:highlight w:val="none"/>
              </w:rPr>
            </w:pPr>
          </w:p>
        </w:tc>
        <w:tc>
          <w:tcPr>
            <w:tcW w:w="1099" w:type="dxa"/>
            <w:noWrap w:val="0"/>
            <w:vAlign w:val="center"/>
          </w:tcPr>
          <w:p w14:paraId="7BEA991F">
            <w:pPr>
              <w:spacing w:line="380" w:lineRule="atLeast"/>
              <w:jc w:val="center"/>
              <w:rPr>
                <w:rFonts w:hint="eastAsia" w:ascii="宋体" w:hAnsi="宋体"/>
                <w:color w:val="auto"/>
                <w:highlight w:val="none"/>
              </w:rPr>
            </w:pPr>
          </w:p>
        </w:tc>
        <w:tc>
          <w:tcPr>
            <w:tcW w:w="746" w:type="dxa"/>
            <w:noWrap w:val="0"/>
            <w:vAlign w:val="center"/>
          </w:tcPr>
          <w:p w14:paraId="12470A1E">
            <w:pPr>
              <w:spacing w:line="380" w:lineRule="atLeast"/>
              <w:jc w:val="center"/>
              <w:rPr>
                <w:rFonts w:hint="eastAsia" w:ascii="宋体" w:hAnsi="宋体"/>
                <w:color w:val="auto"/>
                <w:highlight w:val="none"/>
              </w:rPr>
            </w:pPr>
          </w:p>
        </w:tc>
        <w:tc>
          <w:tcPr>
            <w:tcW w:w="1335" w:type="dxa"/>
            <w:noWrap w:val="0"/>
            <w:vAlign w:val="center"/>
          </w:tcPr>
          <w:p w14:paraId="17D8CFD8">
            <w:pPr>
              <w:spacing w:line="380" w:lineRule="atLeast"/>
              <w:jc w:val="center"/>
              <w:rPr>
                <w:rFonts w:hint="eastAsia" w:ascii="宋体" w:hAnsi="宋体"/>
                <w:color w:val="auto"/>
                <w:highlight w:val="none"/>
              </w:rPr>
            </w:pPr>
          </w:p>
        </w:tc>
        <w:tc>
          <w:tcPr>
            <w:tcW w:w="2286" w:type="dxa"/>
            <w:noWrap w:val="0"/>
            <w:vAlign w:val="center"/>
          </w:tcPr>
          <w:p w14:paraId="60C447C0">
            <w:pPr>
              <w:spacing w:line="380" w:lineRule="atLeast"/>
              <w:jc w:val="center"/>
              <w:rPr>
                <w:rFonts w:hint="eastAsia" w:ascii="宋体" w:hAnsi="宋体"/>
                <w:color w:val="auto"/>
                <w:highlight w:val="none"/>
              </w:rPr>
            </w:pPr>
          </w:p>
        </w:tc>
        <w:tc>
          <w:tcPr>
            <w:tcW w:w="803" w:type="dxa"/>
            <w:noWrap w:val="0"/>
            <w:vAlign w:val="center"/>
          </w:tcPr>
          <w:p w14:paraId="03FF1320">
            <w:pPr>
              <w:spacing w:line="380" w:lineRule="atLeast"/>
              <w:jc w:val="center"/>
              <w:rPr>
                <w:rFonts w:hint="eastAsia" w:ascii="宋体" w:hAnsi="宋体"/>
                <w:color w:val="auto"/>
                <w:highlight w:val="none"/>
              </w:rPr>
            </w:pPr>
          </w:p>
        </w:tc>
      </w:tr>
      <w:tr w14:paraId="6BCB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64914558">
            <w:pPr>
              <w:spacing w:line="380" w:lineRule="atLeast"/>
              <w:jc w:val="center"/>
              <w:rPr>
                <w:rFonts w:hint="eastAsia" w:ascii="宋体" w:hAnsi="宋体"/>
                <w:color w:val="auto"/>
                <w:highlight w:val="none"/>
              </w:rPr>
            </w:pPr>
          </w:p>
        </w:tc>
        <w:tc>
          <w:tcPr>
            <w:tcW w:w="765" w:type="dxa"/>
            <w:noWrap w:val="0"/>
            <w:vAlign w:val="top"/>
          </w:tcPr>
          <w:p w14:paraId="7AF78883">
            <w:pPr>
              <w:spacing w:line="380" w:lineRule="atLeast"/>
              <w:jc w:val="center"/>
              <w:rPr>
                <w:rFonts w:hint="eastAsia" w:ascii="宋体" w:hAnsi="宋体"/>
                <w:color w:val="auto"/>
                <w:highlight w:val="none"/>
              </w:rPr>
            </w:pPr>
          </w:p>
        </w:tc>
        <w:tc>
          <w:tcPr>
            <w:tcW w:w="656" w:type="dxa"/>
            <w:noWrap w:val="0"/>
            <w:vAlign w:val="top"/>
          </w:tcPr>
          <w:p w14:paraId="6A9D3520">
            <w:pPr>
              <w:spacing w:line="380" w:lineRule="atLeast"/>
              <w:jc w:val="center"/>
              <w:rPr>
                <w:rFonts w:hint="eastAsia" w:ascii="宋体" w:hAnsi="宋体"/>
                <w:color w:val="auto"/>
                <w:highlight w:val="none"/>
              </w:rPr>
            </w:pPr>
          </w:p>
        </w:tc>
        <w:tc>
          <w:tcPr>
            <w:tcW w:w="1099" w:type="dxa"/>
            <w:noWrap w:val="0"/>
            <w:vAlign w:val="top"/>
          </w:tcPr>
          <w:p w14:paraId="468B6CE3">
            <w:pPr>
              <w:spacing w:line="380" w:lineRule="atLeast"/>
              <w:jc w:val="center"/>
              <w:rPr>
                <w:rFonts w:hint="eastAsia" w:ascii="宋体" w:hAnsi="宋体"/>
                <w:color w:val="auto"/>
                <w:highlight w:val="none"/>
              </w:rPr>
            </w:pPr>
          </w:p>
        </w:tc>
        <w:tc>
          <w:tcPr>
            <w:tcW w:w="746" w:type="dxa"/>
            <w:noWrap w:val="0"/>
            <w:vAlign w:val="top"/>
          </w:tcPr>
          <w:p w14:paraId="39222681">
            <w:pPr>
              <w:spacing w:line="380" w:lineRule="atLeast"/>
              <w:jc w:val="center"/>
              <w:rPr>
                <w:rFonts w:hint="eastAsia" w:ascii="宋体" w:hAnsi="宋体"/>
                <w:color w:val="auto"/>
                <w:highlight w:val="none"/>
              </w:rPr>
            </w:pPr>
          </w:p>
        </w:tc>
        <w:tc>
          <w:tcPr>
            <w:tcW w:w="1335" w:type="dxa"/>
            <w:noWrap w:val="0"/>
            <w:vAlign w:val="top"/>
          </w:tcPr>
          <w:p w14:paraId="72334BA5">
            <w:pPr>
              <w:spacing w:line="380" w:lineRule="atLeast"/>
              <w:jc w:val="center"/>
              <w:rPr>
                <w:rFonts w:hint="eastAsia" w:ascii="宋体" w:hAnsi="宋体"/>
                <w:color w:val="auto"/>
                <w:highlight w:val="none"/>
              </w:rPr>
            </w:pPr>
          </w:p>
        </w:tc>
        <w:tc>
          <w:tcPr>
            <w:tcW w:w="2286" w:type="dxa"/>
            <w:noWrap w:val="0"/>
            <w:vAlign w:val="top"/>
          </w:tcPr>
          <w:p w14:paraId="05537EF1">
            <w:pPr>
              <w:spacing w:line="380" w:lineRule="atLeast"/>
              <w:jc w:val="center"/>
              <w:rPr>
                <w:rFonts w:hint="eastAsia" w:ascii="宋体" w:hAnsi="宋体"/>
                <w:color w:val="auto"/>
                <w:highlight w:val="none"/>
              </w:rPr>
            </w:pPr>
          </w:p>
        </w:tc>
        <w:tc>
          <w:tcPr>
            <w:tcW w:w="803" w:type="dxa"/>
            <w:noWrap w:val="0"/>
            <w:vAlign w:val="top"/>
          </w:tcPr>
          <w:p w14:paraId="15AE6F1D">
            <w:pPr>
              <w:spacing w:line="380" w:lineRule="atLeast"/>
              <w:jc w:val="center"/>
              <w:rPr>
                <w:rFonts w:hint="eastAsia" w:ascii="宋体" w:hAnsi="宋体"/>
                <w:color w:val="auto"/>
                <w:highlight w:val="none"/>
              </w:rPr>
            </w:pPr>
          </w:p>
        </w:tc>
      </w:tr>
      <w:tr w14:paraId="3060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6D1079AD">
            <w:pPr>
              <w:spacing w:line="380" w:lineRule="atLeast"/>
              <w:jc w:val="center"/>
              <w:rPr>
                <w:rFonts w:hint="eastAsia" w:ascii="宋体" w:hAnsi="宋体"/>
                <w:color w:val="auto"/>
                <w:highlight w:val="none"/>
              </w:rPr>
            </w:pPr>
          </w:p>
        </w:tc>
        <w:tc>
          <w:tcPr>
            <w:tcW w:w="765" w:type="dxa"/>
            <w:noWrap w:val="0"/>
            <w:vAlign w:val="top"/>
          </w:tcPr>
          <w:p w14:paraId="750A78EC">
            <w:pPr>
              <w:spacing w:line="380" w:lineRule="atLeast"/>
              <w:jc w:val="center"/>
              <w:rPr>
                <w:rFonts w:hint="eastAsia" w:ascii="宋体" w:hAnsi="宋体"/>
                <w:color w:val="auto"/>
                <w:highlight w:val="none"/>
              </w:rPr>
            </w:pPr>
          </w:p>
        </w:tc>
        <w:tc>
          <w:tcPr>
            <w:tcW w:w="656" w:type="dxa"/>
            <w:noWrap w:val="0"/>
            <w:vAlign w:val="top"/>
          </w:tcPr>
          <w:p w14:paraId="1B37EF31">
            <w:pPr>
              <w:spacing w:line="380" w:lineRule="atLeast"/>
              <w:jc w:val="center"/>
              <w:rPr>
                <w:rFonts w:hint="eastAsia" w:ascii="宋体" w:hAnsi="宋体"/>
                <w:color w:val="auto"/>
                <w:highlight w:val="none"/>
              </w:rPr>
            </w:pPr>
          </w:p>
        </w:tc>
        <w:tc>
          <w:tcPr>
            <w:tcW w:w="1099" w:type="dxa"/>
            <w:noWrap w:val="0"/>
            <w:vAlign w:val="top"/>
          </w:tcPr>
          <w:p w14:paraId="16BA63DD">
            <w:pPr>
              <w:spacing w:line="380" w:lineRule="atLeast"/>
              <w:jc w:val="center"/>
              <w:rPr>
                <w:rFonts w:hint="eastAsia" w:ascii="宋体" w:hAnsi="宋体"/>
                <w:color w:val="auto"/>
                <w:highlight w:val="none"/>
              </w:rPr>
            </w:pPr>
          </w:p>
        </w:tc>
        <w:tc>
          <w:tcPr>
            <w:tcW w:w="746" w:type="dxa"/>
            <w:noWrap w:val="0"/>
            <w:vAlign w:val="top"/>
          </w:tcPr>
          <w:p w14:paraId="0C7F6DEB">
            <w:pPr>
              <w:spacing w:line="380" w:lineRule="atLeast"/>
              <w:jc w:val="center"/>
              <w:rPr>
                <w:rFonts w:hint="eastAsia" w:ascii="宋体" w:hAnsi="宋体"/>
                <w:color w:val="auto"/>
                <w:highlight w:val="none"/>
              </w:rPr>
            </w:pPr>
          </w:p>
        </w:tc>
        <w:tc>
          <w:tcPr>
            <w:tcW w:w="1335" w:type="dxa"/>
            <w:noWrap w:val="0"/>
            <w:vAlign w:val="top"/>
          </w:tcPr>
          <w:p w14:paraId="346C2653">
            <w:pPr>
              <w:spacing w:line="380" w:lineRule="atLeast"/>
              <w:jc w:val="center"/>
              <w:rPr>
                <w:rFonts w:hint="eastAsia" w:ascii="宋体" w:hAnsi="宋体"/>
                <w:color w:val="auto"/>
                <w:highlight w:val="none"/>
              </w:rPr>
            </w:pPr>
          </w:p>
        </w:tc>
        <w:tc>
          <w:tcPr>
            <w:tcW w:w="2286" w:type="dxa"/>
            <w:noWrap w:val="0"/>
            <w:vAlign w:val="top"/>
          </w:tcPr>
          <w:p w14:paraId="4E5CB97C">
            <w:pPr>
              <w:spacing w:line="380" w:lineRule="atLeast"/>
              <w:jc w:val="center"/>
              <w:rPr>
                <w:rFonts w:hint="eastAsia" w:ascii="宋体" w:hAnsi="宋体"/>
                <w:color w:val="auto"/>
                <w:highlight w:val="none"/>
              </w:rPr>
            </w:pPr>
          </w:p>
        </w:tc>
        <w:tc>
          <w:tcPr>
            <w:tcW w:w="803" w:type="dxa"/>
            <w:noWrap w:val="0"/>
            <w:vAlign w:val="top"/>
          </w:tcPr>
          <w:p w14:paraId="2EE8E608">
            <w:pPr>
              <w:spacing w:line="380" w:lineRule="atLeast"/>
              <w:jc w:val="center"/>
              <w:rPr>
                <w:rFonts w:hint="eastAsia" w:ascii="宋体" w:hAnsi="宋体"/>
                <w:color w:val="auto"/>
                <w:highlight w:val="none"/>
              </w:rPr>
            </w:pPr>
          </w:p>
        </w:tc>
      </w:tr>
      <w:tr w14:paraId="748F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608260BE">
            <w:pPr>
              <w:spacing w:line="380" w:lineRule="atLeast"/>
              <w:jc w:val="center"/>
              <w:rPr>
                <w:rFonts w:hint="eastAsia" w:ascii="宋体" w:hAnsi="宋体"/>
                <w:color w:val="auto"/>
                <w:highlight w:val="none"/>
              </w:rPr>
            </w:pPr>
          </w:p>
        </w:tc>
        <w:tc>
          <w:tcPr>
            <w:tcW w:w="765" w:type="dxa"/>
            <w:noWrap w:val="0"/>
            <w:vAlign w:val="top"/>
          </w:tcPr>
          <w:p w14:paraId="7F50A758">
            <w:pPr>
              <w:spacing w:line="380" w:lineRule="atLeast"/>
              <w:jc w:val="center"/>
              <w:rPr>
                <w:rFonts w:hint="eastAsia" w:ascii="宋体" w:hAnsi="宋体"/>
                <w:color w:val="auto"/>
                <w:highlight w:val="none"/>
              </w:rPr>
            </w:pPr>
          </w:p>
        </w:tc>
        <w:tc>
          <w:tcPr>
            <w:tcW w:w="656" w:type="dxa"/>
            <w:noWrap w:val="0"/>
            <w:vAlign w:val="top"/>
          </w:tcPr>
          <w:p w14:paraId="00F26FF0">
            <w:pPr>
              <w:spacing w:line="380" w:lineRule="atLeast"/>
              <w:jc w:val="center"/>
              <w:rPr>
                <w:rFonts w:hint="eastAsia" w:ascii="宋体" w:hAnsi="宋体"/>
                <w:color w:val="auto"/>
                <w:highlight w:val="none"/>
              </w:rPr>
            </w:pPr>
          </w:p>
        </w:tc>
        <w:tc>
          <w:tcPr>
            <w:tcW w:w="1099" w:type="dxa"/>
            <w:noWrap w:val="0"/>
            <w:vAlign w:val="top"/>
          </w:tcPr>
          <w:p w14:paraId="73468C15">
            <w:pPr>
              <w:spacing w:line="380" w:lineRule="atLeast"/>
              <w:jc w:val="center"/>
              <w:rPr>
                <w:rFonts w:hint="eastAsia" w:ascii="宋体" w:hAnsi="宋体"/>
                <w:color w:val="auto"/>
                <w:highlight w:val="none"/>
              </w:rPr>
            </w:pPr>
          </w:p>
        </w:tc>
        <w:tc>
          <w:tcPr>
            <w:tcW w:w="746" w:type="dxa"/>
            <w:noWrap w:val="0"/>
            <w:vAlign w:val="top"/>
          </w:tcPr>
          <w:p w14:paraId="3F7B863F">
            <w:pPr>
              <w:spacing w:line="380" w:lineRule="atLeast"/>
              <w:jc w:val="center"/>
              <w:rPr>
                <w:rFonts w:hint="eastAsia" w:ascii="宋体" w:hAnsi="宋体"/>
                <w:color w:val="auto"/>
                <w:highlight w:val="none"/>
              </w:rPr>
            </w:pPr>
          </w:p>
        </w:tc>
        <w:tc>
          <w:tcPr>
            <w:tcW w:w="1335" w:type="dxa"/>
            <w:noWrap w:val="0"/>
            <w:vAlign w:val="top"/>
          </w:tcPr>
          <w:p w14:paraId="2344869F">
            <w:pPr>
              <w:spacing w:line="380" w:lineRule="atLeast"/>
              <w:jc w:val="center"/>
              <w:rPr>
                <w:rFonts w:hint="eastAsia" w:ascii="宋体" w:hAnsi="宋体"/>
                <w:color w:val="auto"/>
                <w:highlight w:val="none"/>
              </w:rPr>
            </w:pPr>
          </w:p>
        </w:tc>
        <w:tc>
          <w:tcPr>
            <w:tcW w:w="2286" w:type="dxa"/>
            <w:noWrap w:val="0"/>
            <w:vAlign w:val="top"/>
          </w:tcPr>
          <w:p w14:paraId="494AFA3C">
            <w:pPr>
              <w:spacing w:line="380" w:lineRule="atLeast"/>
              <w:jc w:val="center"/>
              <w:rPr>
                <w:rFonts w:hint="eastAsia" w:ascii="宋体" w:hAnsi="宋体"/>
                <w:color w:val="auto"/>
                <w:highlight w:val="none"/>
              </w:rPr>
            </w:pPr>
          </w:p>
        </w:tc>
        <w:tc>
          <w:tcPr>
            <w:tcW w:w="803" w:type="dxa"/>
            <w:noWrap w:val="0"/>
            <w:vAlign w:val="top"/>
          </w:tcPr>
          <w:p w14:paraId="2460FBB3">
            <w:pPr>
              <w:spacing w:line="380" w:lineRule="atLeast"/>
              <w:jc w:val="center"/>
              <w:rPr>
                <w:rFonts w:hint="eastAsia" w:ascii="宋体" w:hAnsi="宋体"/>
                <w:color w:val="auto"/>
                <w:highlight w:val="none"/>
              </w:rPr>
            </w:pPr>
          </w:p>
        </w:tc>
      </w:tr>
      <w:tr w14:paraId="7B24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250482E2">
            <w:pPr>
              <w:spacing w:line="380" w:lineRule="atLeast"/>
              <w:jc w:val="center"/>
              <w:rPr>
                <w:rFonts w:hint="eastAsia" w:ascii="宋体" w:hAnsi="宋体"/>
                <w:color w:val="auto"/>
                <w:highlight w:val="none"/>
              </w:rPr>
            </w:pPr>
          </w:p>
        </w:tc>
        <w:tc>
          <w:tcPr>
            <w:tcW w:w="765" w:type="dxa"/>
            <w:noWrap w:val="0"/>
            <w:vAlign w:val="top"/>
          </w:tcPr>
          <w:p w14:paraId="0608FE98">
            <w:pPr>
              <w:spacing w:line="380" w:lineRule="atLeast"/>
              <w:jc w:val="center"/>
              <w:rPr>
                <w:rFonts w:hint="eastAsia" w:ascii="宋体" w:hAnsi="宋体"/>
                <w:color w:val="auto"/>
                <w:highlight w:val="none"/>
              </w:rPr>
            </w:pPr>
          </w:p>
        </w:tc>
        <w:tc>
          <w:tcPr>
            <w:tcW w:w="656" w:type="dxa"/>
            <w:noWrap w:val="0"/>
            <w:vAlign w:val="top"/>
          </w:tcPr>
          <w:p w14:paraId="7E619A33">
            <w:pPr>
              <w:spacing w:line="380" w:lineRule="atLeast"/>
              <w:jc w:val="center"/>
              <w:rPr>
                <w:rFonts w:hint="eastAsia" w:ascii="宋体" w:hAnsi="宋体"/>
                <w:color w:val="auto"/>
                <w:highlight w:val="none"/>
              </w:rPr>
            </w:pPr>
          </w:p>
        </w:tc>
        <w:tc>
          <w:tcPr>
            <w:tcW w:w="1099" w:type="dxa"/>
            <w:noWrap w:val="0"/>
            <w:vAlign w:val="top"/>
          </w:tcPr>
          <w:p w14:paraId="7492CD26">
            <w:pPr>
              <w:spacing w:line="380" w:lineRule="atLeast"/>
              <w:jc w:val="center"/>
              <w:rPr>
                <w:rFonts w:hint="eastAsia" w:ascii="宋体" w:hAnsi="宋体"/>
                <w:color w:val="auto"/>
                <w:highlight w:val="none"/>
              </w:rPr>
            </w:pPr>
          </w:p>
        </w:tc>
        <w:tc>
          <w:tcPr>
            <w:tcW w:w="746" w:type="dxa"/>
            <w:noWrap w:val="0"/>
            <w:vAlign w:val="top"/>
          </w:tcPr>
          <w:p w14:paraId="114F7A1A">
            <w:pPr>
              <w:spacing w:line="380" w:lineRule="atLeast"/>
              <w:jc w:val="center"/>
              <w:rPr>
                <w:rFonts w:hint="eastAsia" w:ascii="宋体" w:hAnsi="宋体"/>
                <w:color w:val="auto"/>
                <w:highlight w:val="none"/>
              </w:rPr>
            </w:pPr>
          </w:p>
        </w:tc>
        <w:tc>
          <w:tcPr>
            <w:tcW w:w="1335" w:type="dxa"/>
            <w:noWrap w:val="0"/>
            <w:vAlign w:val="top"/>
          </w:tcPr>
          <w:p w14:paraId="0DFFAED8">
            <w:pPr>
              <w:spacing w:line="380" w:lineRule="atLeast"/>
              <w:jc w:val="center"/>
              <w:rPr>
                <w:rFonts w:hint="eastAsia" w:ascii="宋体" w:hAnsi="宋体"/>
                <w:color w:val="auto"/>
                <w:highlight w:val="none"/>
              </w:rPr>
            </w:pPr>
          </w:p>
        </w:tc>
        <w:tc>
          <w:tcPr>
            <w:tcW w:w="2286" w:type="dxa"/>
            <w:noWrap w:val="0"/>
            <w:vAlign w:val="top"/>
          </w:tcPr>
          <w:p w14:paraId="1FF3B913">
            <w:pPr>
              <w:spacing w:line="380" w:lineRule="atLeast"/>
              <w:jc w:val="center"/>
              <w:rPr>
                <w:rFonts w:hint="eastAsia" w:ascii="宋体" w:hAnsi="宋体"/>
                <w:color w:val="auto"/>
                <w:highlight w:val="none"/>
              </w:rPr>
            </w:pPr>
          </w:p>
        </w:tc>
        <w:tc>
          <w:tcPr>
            <w:tcW w:w="803" w:type="dxa"/>
            <w:noWrap w:val="0"/>
            <w:vAlign w:val="top"/>
          </w:tcPr>
          <w:p w14:paraId="26E67B91">
            <w:pPr>
              <w:spacing w:line="380" w:lineRule="atLeast"/>
              <w:jc w:val="center"/>
              <w:rPr>
                <w:rFonts w:hint="eastAsia" w:ascii="宋体" w:hAnsi="宋体"/>
                <w:color w:val="auto"/>
                <w:highlight w:val="none"/>
              </w:rPr>
            </w:pPr>
          </w:p>
        </w:tc>
      </w:tr>
      <w:tr w14:paraId="05AF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4F82141F">
            <w:pPr>
              <w:spacing w:line="380" w:lineRule="atLeast"/>
              <w:jc w:val="center"/>
              <w:rPr>
                <w:rFonts w:hint="eastAsia" w:ascii="宋体" w:hAnsi="宋体"/>
                <w:color w:val="auto"/>
                <w:highlight w:val="none"/>
              </w:rPr>
            </w:pPr>
          </w:p>
        </w:tc>
        <w:tc>
          <w:tcPr>
            <w:tcW w:w="765" w:type="dxa"/>
            <w:noWrap w:val="0"/>
            <w:vAlign w:val="top"/>
          </w:tcPr>
          <w:p w14:paraId="14CADC74">
            <w:pPr>
              <w:spacing w:line="380" w:lineRule="atLeast"/>
              <w:jc w:val="center"/>
              <w:rPr>
                <w:rFonts w:hint="eastAsia" w:ascii="宋体" w:hAnsi="宋体"/>
                <w:color w:val="auto"/>
                <w:highlight w:val="none"/>
              </w:rPr>
            </w:pPr>
          </w:p>
        </w:tc>
        <w:tc>
          <w:tcPr>
            <w:tcW w:w="656" w:type="dxa"/>
            <w:noWrap w:val="0"/>
            <w:vAlign w:val="top"/>
          </w:tcPr>
          <w:p w14:paraId="1C6E346B">
            <w:pPr>
              <w:spacing w:line="380" w:lineRule="atLeast"/>
              <w:jc w:val="center"/>
              <w:rPr>
                <w:rFonts w:hint="eastAsia" w:ascii="宋体" w:hAnsi="宋体"/>
                <w:color w:val="auto"/>
                <w:highlight w:val="none"/>
              </w:rPr>
            </w:pPr>
          </w:p>
        </w:tc>
        <w:tc>
          <w:tcPr>
            <w:tcW w:w="1099" w:type="dxa"/>
            <w:noWrap w:val="0"/>
            <w:vAlign w:val="top"/>
          </w:tcPr>
          <w:p w14:paraId="659209EB">
            <w:pPr>
              <w:spacing w:line="380" w:lineRule="atLeast"/>
              <w:jc w:val="center"/>
              <w:rPr>
                <w:rFonts w:hint="eastAsia" w:ascii="宋体" w:hAnsi="宋体"/>
                <w:color w:val="auto"/>
                <w:highlight w:val="none"/>
              </w:rPr>
            </w:pPr>
          </w:p>
        </w:tc>
        <w:tc>
          <w:tcPr>
            <w:tcW w:w="746" w:type="dxa"/>
            <w:noWrap w:val="0"/>
            <w:vAlign w:val="top"/>
          </w:tcPr>
          <w:p w14:paraId="60316E85">
            <w:pPr>
              <w:spacing w:line="380" w:lineRule="atLeast"/>
              <w:jc w:val="center"/>
              <w:rPr>
                <w:rFonts w:hint="eastAsia" w:ascii="宋体" w:hAnsi="宋体"/>
                <w:color w:val="auto"/>
                <w:highlight w:val="none"/>
              </w:rPr>
            </w:pPr>
          </w:p>
        </w:tc>
        <w:tc>
          <w:tcPr>
            <w:tcW w:w="1335" w:type="dxa"/>
            <w:noWrap w:val="0"/>
            <w:vAlign w:val="top"/>
          </w:tcPr>
          <w:p w14:paraId="37CAF0C4">
            <w:pPr>
              <w:spacing w:line="380" w:lineRule="atLeast"/>
              <w:jc w:val="center"/>
              <w:rPr>
                <w:rFonts w:hint="eastAsia" w:ascii="宋体" w:hAnsi="宋体"/>
                <w:color w:val="auto"/>
                <w:highlight w:val="none"/>
              </w:rPr>
            </w:pPr>
          </w:p>
        </w:tc>
        <w:tc>
          <w:tcPr>
            <w:tcW w:w="2286" w:type="dxa"/>
            <w:noWrap w:val="0"/>
            <w:vAlign w:val="top"/>
          </w:tcPr>
          <w:p w14:paraId="78EC418E">
            <w:pPr>
              <w:spacing w:line="380" w:lineRule="atLeast"/>
              <w:jc w:val="center"/>
              <w:rPr>
                <w:rFonts w:hint="eastAsia" w:ascii="宋体" w:hAnsi="宋体"/>
                <w:color w:val="auto"/>
                <w:highlight w:val="none"/>
              </w:rPr>
            </w:pPr>
          </w:p>
        </w:tc>
        <w:tc>
          <w:tcPr>
            <w:tcW w:w="803" w:type="dxa"/>
            <w:noWrap w:val="0"/>
            <w:vAlign w:val="top"/>
          </w:tcPr>
          <w:p w14:paraId="2E919627">
            <w:pPr>
              <w:spacing w:line="380" w:lineRule="atLeast"/>
              <w:jc w:val="center"/>
              <w:rPr>
                <w:rFonts w:hint="eastAsia" w:ascii="宋体" w:hAnsi="宋体"/>
                <w:color w:val="auto"/>
                <w:highlight w:val="none"/>
              </w:rPr>
            </w:pPr>
          </w:p>
        </w:tc>
      </w:tr>
      <w:tr w14:paraId="59DE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280EE111">
            <w:pPr>
              <w:spacing w:line="380" w:lineRule="atLeast"/>
              <w:jc w:val="center"/>
              <w:rPr>
                <w:rFonts w:hint="eastAsia" w:ascii="宋体" w:hAnsi="宋体"/>
                <w:color w:val="auto"/>
                <w:highlight w:val="none"/>
              </w:rPr>
            </w:pPr>
          </w:p>
        </w:tc>
        <w:tc>
          <w:tcPr>
            <w:tcW w:w="765" w:type="dxa"/>
            <w:noWrap w:val="0"/>
            <w:vAlign w:val="top"/>
          </w:tcPr>
          <w:p w14:paraId="631EB60F">
            <w:pPr>
              <w:spacing w:line="380" w:lineRule="atLeast"/>
              <w:jc w:val="center"/>
              <w:rPr>
                <w:rFonts w:hint="eastAsia" w:ascii="宋体" w:hAnsi="宋体"/>
                <w:color w:val="auto"/>
                <w:highlight w:val="none"/>
              </w:rPr>
            </w:pPr>
          </w:p>
        </w:tc>
        <w:tc>
          <w:tcPr>
            <w:tcW w:w="656" w:type="dxa"/>
            <w:noWrap w:val="0"/>
            <w:vAlign w:val="top"/>
          </w:tcPr>
          <w:p w14:paraId="5B57FC0E">
            <w:pPr>
              <w:spacing w:line="380" w:lineRule="atLeast"/>
              <w:jc w:val="center"/>
              <w:rPr>
                <w:rFonts w:hint="eastAsia" w:ascii="宋体" w:hAnsi="宋体"/>
                <w:color w:val="auto"/>
                <w:highlight w:val="none"/>
              </w:rPr>
            </w:pPr>
          </w:p>
        </w:tc>
        <w:tc>
          <w:tcPr>
            <w:tcW w:w="1099" w:type="dxa"/>
            <w:noWrap w:val="0"/>
            <w:vAlign w:val="top"/>
          </w:tcPr>
          <w:p w14:paraId="54D9BF13">
            <w:pPr>
              <w:spacing w:line="380" w:lineRule="atLeast"/>
              <w:jc w:val="center"/>
              <w:rPr>
                <w:rFonts w:hint="eastAsia" w:ascii="宋体" w:hAnsi="宋体"/>
                <w:color w:val="auto"/>
                <w:highlight w:val="none"/>
              </w:rPr>
            </w:pPr>
          </w:p>
        </w:tc>
        <w:tc>
          <w:tcPr>
            <w:tcW w:w="746" w:type="dxa"/>
            <w:noWrap w:val="0"/>
            <w:vAlign w:val="top"/>
          </w:tcPr>
          <w:p w14:paraId="4204B560">
            <w:pPr>
              <w:spacing w:line="380" w:lineRule="atLeast"/>
              <w:jc w:val="center"/>
              <w:rPr>
                <w:rFonts w:hint="eastAsia" w:ascii="宋体" w:hAnsi="宋体"/>
                <w:color w:val="auto"/>
                <w:highlight w:val="none"/>
              </w:rPr>
            </w:pPr>
          </w:p>
        </w:tc>
        <w:tc>
          <w:tcPr>
            <w:tcW w:w="1335" w:type="dxa"/>
            <w:noWrap w:val="0"/>
            <w:vAlign w:val="top"/>
          </w:tcPr>
          <w:p w14:paraId="091C6EA7">
            <w:pPr>
              <w:spacing w:line="380" w:lineRule="atLeast"/>
              <w:jc w:val="center"/>
              <w:rPr>
                <w:rFonts w:hint="eastAsia" w:ascii="宋体" w:hAnsi="宋体"/>
                <w:color w:val="auto"/>
                <w:highlight w:val="none"/>
              </w:rPr>
            </w:pPr>
          </w:p>
        </w:tc>
        <w:tc>
          <w:tcPr>
            <w:tcW w:w="2286" w:type="dxa"/>
            <w:noWrap w:val="0"/>
            <w:vAlign w:val="top"/>
          </w:tcPr>
          <w:p w14:paraId="1ABB7E45">
            <w:pPr>
              <w:spacing w:line="380" w:lineRule="atLeast"/>
              <w:jc w:val="center"/>
              <w:rPr>
                <w:rFonts w:hint="eastAsia" w:ascii="宋体" w:hAnsi="宋体"/>
                <w:color w:val="auto"/>
                <w:highlight w:val="none"/>
              </w:rPr>
            </w:pPr>
          </w:p>
        </w:tc>
        <w:tc>
          <w:tcPr>
            <w:tcW w:w="803" w:type="dxa"/>
            <w:noWrap w:val="0"/>
            <w:vAlign w:val="top"/>
          </w:tcPr>
          <w:p w14:paraId="6CE751A0">
            <w:pPr>
              <w:spacing w:line="380" w:lineRule="atLeast"/>
              <w:jc w:val="center"/>
              <w:rPr>
                <w:rFonts w:hint="eastAsia" w:ascii="宋体" w:hAnsi="宋体"/>
                <w:color w:val="auto"/>
                <w:highlight w:val="none"/>
              </w:rPr>
            </w:pPr>
          </w:p>
        </w:tc>
      </w:tr>
      <w:tr w14:paraId="6EEC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7B38705E">
            <w:pPr>
              <w:spacing w:line="380" w:lineRule="atLeast"/>
              <w:jc w:val="center"/>
              <w:rPr>
                <w:rFonts w:hint="eastAsia" w:ascii="宋体" w:hAnsi="宋体"/>
                <w:color w:val="auto"/>
                <w:highlight w:val="none"/>
              </w:rPr>
            </w:pPr>
          </w:p>
        </w:tc>
        <w:tc>
          <w:tcPr>
            <w:tcW w:w="765" w:type="dxa"/>
            <w:noWrap w:val="0"/>
            <w:vAlign w:val="top"/>
          </w:tcPr>
          <w:p w14:paraId="6F0061DD">
            <w:pPr>
              <w:spacing w:line="380" w:lineRule="atLeast"/>
              <w:jc w:val="center"/>
              <w:rPr>
                <w:rFonts w:hint="eastAsia" w:ascii="宋体" w:hAnsi="宋体"/>
                <w:color w:val="auto"/>
                <w:highlight w:val="none"/>
              </w:rPr>
            </w:pPr>
          </w:p>
        </w:tc>
        <w:tc>
          <w:tcPr>
            <w:tcW w:w="656" w:type="dxa"/>
            <w:noWrap w:val="0"/>
            <w:vAlign w:val="top"/>
          </w:tcPr>
          <w:p w14:paraId="5C0A69B3">
            <w:pPr>
              <w:spacing w:line="380" w:lineRule="atLeast"/>
              <w:jc w:val="center"/>
              <w:rPr>
                <w:rFonts w:hint="eastAsia" w:ascii="宋体" w:hAnsi="宋体"/>
                <w:color w:val="auto"/>
                <w:highlight w:val="none"/>
              </w:rPr>
            </w:pPr>
          </w:p>
        </w:tc>
        <w:tc>
          <w:tcPr>
            <w:tcW w:w="1099" w:type="dxa"/>
            <w:noWrap w:val="0"/>
            <w:vAlign w:val="top"/>
          </w:tcPr>
          <w:p w14:paraId="2990534D">
            <w:pPr>
              <w:spacing w:line="380" w:lineRule="atLeast"/>
              <w:jc w:val="center"/>
              <w:rPr>
                <w:rFonts w:hint="eastAsia" w:ascii="宋体" w:hAnsi="宋体"/>
                <w:color w:val="auto"/>
                <w:highlight w:val="none"/>
              </w:rPr>
            </w:pPr>
          </w:p>
        </w:tc>
        <w:tc>
          <w:tcPr>
            <w:tcW w:w="746" w:type="dxa"/>
            <w:noWrap w:val="0"/>
            <w:vAlign w:val="top"/>
          </w:tcPr>
          <w:p w14:paraId="3318C8A2">
            <w:pPr>
              <w:spacing w:line="380" w:lineRule="atLeast"/>
              <w:jc w:val="center"/>
              <w:rPr>
                <w:rFonts w:hint="eastAsia" w:ascii="宋体" w:hAnsi="宋体"/>
                <w:color w:val="auto"/>
                <w:highlight w:val="none"/>
              </w:rPr>
            </w:pPr>
          </w:p>
        </w:tc>
        <w:tc>
          <w:tcPr>
            <w:tcW w:w="1335" w:type="dxa"/>
            <w:noWrap w:val="0"/>
            <w:vAlign w:val="top"/>
          </w:tcPr>
          <w:p w14:paraId="612B7613">
            <w:pPr>
              <w:spacing w:line="380" w:lineRule="atLeast"/>
              <w:jc w:val="center"/>
              <w:rPr>
                <w:rFonts w:hint="eastAsia" w:ascii="宋体" w:hAnsi="宋体"/>
                <w:color w:val="auto"/>
                <w:highlight w:val="none"/>
              </w:rPr>
            </w:pPr>
          </w:p>
        </w:tc>
        <w:tc>
          <w:tcPr>
            <w:tcW w:w="2286" w:type="dxa"/>
            <w:noWrap w:val="0"/>
            <w:vAlign w:val="top"/>
          </w:tcPr>
          <w:p w14:paraId="33269D99">
            <w:pPr>
              <w:spacing w:line="380" w:lineRule="atLeast"/>
              <w:jc w:val="center"/>
              <w:rPr>
                <w:rFonts w:hint="eastAsia" w:ascii="宋体" w:hAnsi="宋体"/>
                <w:color w:val="auto"/>
                <w:highlight w:val="none"/>
              </w:rPr>
            </w:pPr>
          </w:p>
        </w:tc>
        <w:tc>
          <w:tcPr>
            <w:tcW w:w="803" w:type="dxa"/>
            <w:noWrap w:val="0"/>
            <w:vAlign w:val="top"/>
          </w:tcPr>
          <w:p w14:paraId="44EF577D">
            <w:pPr>
              <w:spacing w:line="380" w:lineRule="atLeast"/>
              <w:jc w:val="center"/>
              <w:rPr>
                <w:rFonts w:hint="eastAsia" w:ascii="宋体" w:hAnsi="宋体"/>
                <w:color w:val="auto"/>
                <w:highlight w:val="none"/>
              </w:rPr>
            </w:pPr>
          </w:p>
        </w:tc>
      </w:tr>
      <w:tr w14:paraId="2FC4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2D8F4E38">
            <w:pPr>
              <w:spacing w:line="380" w:lineRule="atLeast"/>
              <w:jc w:val="center"/>
              <w:rPr>
                <w:rFonts w:hint="eastAsia" w:ascii="宋体" w:hAnsi="宋体"/>
                <w:color w:val="auto"/>
                <w:highlight w:val="none"/>
              </w:rPr>
            </w:pPr>
          </w:p>
        </w:tc>
        <w:tc>
          <w:tcPr>
            <w:tcW w:w="765" w:type="dxa"/>
            <w:noWrap w:val="0"/>
            <w:vAlign w:val="top"/>
          </w:tcPr>
          <w:p w14:paraId="2674916B">
            <w:pPr>
              <w:spacing w:line="380" w:lineRule="atLeast"/>
              <w:jc w:val="center"/>
              <w:rPr>
                <w:rFonts w:hint="eastAsia" w:ascii="宋体" w:hAnsi="宋体"/>
                <w:color w:val="auto"/>
                <w:highlight w:val="none"/>
              </w:rPr>
            </w:pPr>
          </w:p>
        </w:tc>
        <w:tc>
          <w:tcPr>
            <w:tcW w:w="656" w:type="dxa"/>
            <w:noWrap w:val="0"/>
            <w:vAlign w:val="top"/>
          </w:tcPr>
          <w:p w14:paraId="4789F694">
            <w:pPr>
              <w:spacing w:line="380" w:lineRule="atLeast"/>
              <w:jc w:val="center"/>
              <w:rPr>
                <w:rFonts w:hint="eastAsia" w:ascii="宋体" w:hAnsi="宋体"/>
                <w:color w:val="auto"/>
                <w:highlight w:val="none"/>
              </w:rPr>
            </w:pPr>
          </w:p>
        </w:tc>
        <w:tc>
          <w:tcPr>
            <w:tcW w:w="1099" w:type="dxa"/>
            <w:noWrap w:val="0"/>
            <w:vAlign w:val="top"/>
          </w:tcPr>
          <w:p w14:paraId="169B012A">
            <w:pPr>
              <w:spacing w:line="380" w:lineRule="atLeast"/>
              <w:jc w:val="center"/>
              <w:rPr>
                <w:rFonts w:hint="eastAsia" w:ascii="宋体" w:hAnsi="宋体"/>
                <w:color w:val="auto"/>
                <w:highlight w:val="none"/>
              </w:rPr>
            </w:pPr>
          </w:p>
        </w:tc>
        <w:tc>
          <w:tcPr>
            <w:tcW w:w="746" w:type="dxa"/>
            <w:noWrap w:val="0"/>
            <w:vAlign w:val="top"/>
          </w:tcPr>
          <w:p w14:paraId="3A018F0D">
            <w:pPr>
              <w:spacing w:line="380" w:lineRule="atLeast"/>
              <w:jc w:val="center"/>
              <w:rPr>
                <w:rFonts w:hint="eastAsia" w:ascii="宋体" w:hAnsi="宋体"/>
                <w:color w:val="auto"/>
                <w:highlight w:val="none"/>
              </w:rPr>
            </w:pPr>
          </w:p>
        </w:tc>
        <w:tc>
          <w:tcPr>
            <w:tcW w:w="1335" w:type="dxa"/>
            <w:noWrap w:val="0"/>
            <w:vAlign w:val="top"/>
          </w:tcPr>
          <w:p w14:paraId="4FED015D">
            <w:pPr>
              <w:spacing w:line="380" w:lineRule="atLeast"/>
              <w:jc w:val="center"/>
              <w:rPr>
                <w:rFonts w:hint="eastAsia" w:ascii="宋体" w:hAnsi="宋体"/>
                <w:color w:val="auto"/>
                <w:highlight w:val="none"/>
              </w:rPr>
            </w:pPr>
          </w:p>
        </w:tc>
        <w:tc>
          <w:tcPr>
            <w:tcW w:w="2286" w:type="dxa"/>
            <w:noWrap w:val="0"/>
            <w:vAlign w:val="top"/>
          </w:tcPr>
          <w:p w14:paraId="6C9B47C2">
            <w:pPr>
              <w:spacing w:line="380" w:lineRule="atLeast"/>
              <w:jc w:val="center"/>
              <w:rPr>
                <w:rFonts w:hint="eastAsia" w:ascii="宋体" w:hAnsi="宋体"/>
                <w:color w:val="auto"/>
                <w:highlight w:val="none"/>
              </w:rPr>
            </w:pPr>
          </w:p>
        </w:tc>
        <w:tc>
          <w:tcPr>
            <w:tcW w:w="803" w:type="dxa"/>
            <w:noWrap w:val="0"/>
            <w:vAlign w:val="top"/>
          </w:tcPr>
          <w:p w14:paraId="71506F48">
            <w:pPr>
              <w:spacing w:line="380" w:lineRule="atLeast"/>
              <w:jc w:val="center"/>
              <w:rPr>
                <w:rFonts w:hint="eastAsia" w:ascii="宋体" w:hAnsi="宋体"/>
                <w:color w:val="auto"/>
                <w:highlight w:val="none"/>
              </w:rPr>
            </w:pPr>
          </w:p>
        </w:tc>
      </w:tr>
      <w:tr w14:paraId="3375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06CC1A47">
            <w:pPr>
              <w:spacing w:line="380" w:lineRule="atLeast"/>
              <w:jc w:val="center"/>
              <w:rPr>
                <w:rFonts w:hint="eastAsia" w:ascii="宋体" w:hAnsi="宋体"/>
                <w:color w:val="auto"/>
                <w:highlight w:val="none"/>
              </w:rPr>
            </w:pPr>
          </w:p>
        </w:tc>
        <w:tc>
          <w:tcPr>
            <w:tcW w:w="765" w:type="dxa"/>
            <w:noWrap w:val="0"/>
            <w:vAlign w:val="top"/>
          </w:tcPr>
          <w:p w14:paraId="603155A6">
            <w:pPr>
              <w:spacing w:line="380" w:lineRule="atLeast"/>
              <w:jc w:val="center"/>
              <w:rPr>
                <w:rFonts w:hint="eastAsia" w:ascii="宋体" w:hAnsi="宋体"/>
                <w:color w:val="auto"/>
                <w:highlight w:val="none"/>
              </w:rPr>
            </w:pPr>
          </w:p>
        </w:tc>
        <w:tc>
          <w:tcPr>
            <w:tcW w:w="656" w:type="dxa"/>
            <w:noWrap w:val="0"/>
            <w:vAlign w:val="top"/>
          </w:tcPr>
          <w:p w14:paraId="0826CC12">
            <w:pPr>
              <w:spacing w:line="380" w:lineRule="atLeast"/>
              <w:jc w:val="center"/>
              <w:rPr>
                <w:rFonts w:hint="eastAsia" w:ascii="宋体" w:hAnsi="宋体"/>
                <w:color w:val="auto"/>
                <w:highlight w:val="none"/>
              </w:rPr>
            </w:pPr>
          </w:p>
        </w:tc>
        <w:tc>
          <w:tcPr>
            <w:tcW w:w="1099" w:type="dxa"/>
            <w:noWrap w:val="0"/>
            <w:vAlign w:val="top"/>
          </w:tcPr>
          <w:p w14:paraId="0F698F68">
            <w:pPr>
              <w:spacing w:line="380" w:lineRule="atLeast"/>
              <w:jc w:val="center"/>
              <w:rPr>
                <w:rFonts w:hint="eastAsia" w:ascii="宋体" w:hAnsi="宋体"/>
                <w:color w:val="auto"/>
                <w:highlight w:val="none"/>
              </w:rPr>
            </w:pPr>
          </w:p>
        </w:tc>
        <w:tc>
          <w:tcPr>
            <w:tcW w:w="746" w:type="dxa"/>
            <w:noWrap w:val="0"/>
            <w:vAlign w:val="top"/>
          </w:tcPr>
          <w:p w14:paraId="543FE18B">
            <w:pPr>
              <w:spacing w:line="380" w:lineRule="atLeast"/>
              <w:jc w:val="center"/>
              <w:rPr>
                <w:rFonts w:hint="eastAsia" w:ascii="宋体" w:hAnsi="宋体"/>
                <w:color w:val="auto"/>
                <w:highlight w:val="none"/>
              </w:rPr>
            </w:pPr>
          </w:p>
        </w:tc>
        <w:tc>
          <w:tcPr>
            <w:tcW w:w="1335" w:type="dxa"/>
            <w:noWrap w:val="0"/>
            <w:vAlign w:val="top"/>
          </w:tcPr>
          <w:p w14:paraId="14ACC750">
            <w:pPr>
              <w:spacing w:line="380" w:lineRule="atLeast"/>
              <w:jc w:val="center"/>
              <w:rPr>
                <w:rFonts w:hint="eastAsia" w:ascii="宋体" w:hAnsi="宋体"/>
                <w:color w:val="auto"/>
                <w:highlight w:val="none"/>
              </w:rPr>
            </w:pPr>
          </w:p>
        </w:tc>
        <w:tc>
          <w:tcPr>
            <w:tcW w:w="2286" w:type="dxa"/>
            <w:noWrap w:val="0"/>
            <w:vAlign w:val="top"/>
          </w:tcPr>
          <w:p w14:paraId="1D40D77B">
            <w:pPr>
              <w:spacing w:line="380" w:lineRule="atLeast"/>
              <w:jc w:val="center"/>
              <w:rPr>
                <w:rFonts w:hint="eastAsia" w:ascii="宋体" w:hAnsi="宋体"/>
                <w:color w:val="auto"/>
                <w:highlight w:val="none"/>
              </w:rPr>
            </w:pPr>
          </w:p>
        </w:tc>
        <w:tc>
          <w:tcPr>
            <w:tcW w:w="803" w:type="dxa"/>
            <w:noWrap w:val="0"/>
            <w:vAlign w:val="top"/>
          </w:tcPr>
          <w:p w14:paraId="1E921E77">
            <w:pPr>
              <w:spacing w:line="380" w:lineRule="atLeast"/>
              <w:jc w:val="center"/>
              <w:rPr>
                <w:rFonts w:hint="eastAsia" w:ascii="宋体" w:hAnsi="宋体"/>
                <w:color w:val="auto"/>
                <w:highlight w:val="none"/>
              </w:rPr>
            </w:pPr>
          </w:p>
        </w:tc>
      </w:tr>
      <w:tr w14:paraId="21E3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1CC2A352">
            <w:pPr>
              <w:spacing w:line="380" w:lineRule="atLeast"/>
              <w:jc w:val="center"/>
              <w:rPr>
                <w:rFonts w:hint="eastAsia" w:ascii="宋体" w:hAnsi="宋体"/>
                <w:color w:val="auto"/>
                <w:highlight w:val="none"/>
              </w:rPr>
            </w:pPr>
          </w:p>
        </w:tc>
        <w:tc>
          <w:tcPr>
            <w:tcW w:w="765" w:type="dxa"/>
            <w:noWrap w:val="0"/>
            <w:vAlign w:val="top"/>
          </w:tcPr>
          <w:p w14:paraId="3BA3E54B">
            <w:pPr>
              <w:spacing w:line="380" w:lineRule="atLeast"/>
              <w:jc w:val="center"/>
              <w:rPr>
                <w:rFonts w:hint="eastAsia" w:ascii="宋体" w:hAnsi="宋体"/>
                <w:color w:val="auto"/>
                <w:highlight w:val="none"/>
              </w:rPr>
            </w:pPr>
          </w:p>
        </w:tc>
        <w:tc>
          <w:tcPr>
            <w:tcW w:w="656" w:type="dxa"/>
            <w:noWrap w:val="0"/>
            <w:vAlign w:val="top"/>
          </w:tcPr>
          <w:p w14:paraId="59054292">
            <w:pPr>
              <w:spacing w:line="380" w:lineRule="atLeast"/>
              <w:jc w:val="center"/>
              <w:rPr>
                <w:rFonts w:hint="eastAsia" w:ascii="宋体" w:hAnsi="宋体"/>
                <w:color w:val="auto"/>
                <w:highlight w:val="none"/>
              </w:rPr>
            </w:pPr>
          </w:p>
        </w:tc>
        <w:tc>
          <w:tcPr>
            <w:tcW w:w="1099" w:type="dxa"/>
            <w:noWrap w:val="0"/>
            <w:vAlign w:val="top"/>
          </w:tcPr>
          <w:p w14:paraId="68434C00">
            <w:pPr>
              <w:spacing w:line="380" w:lineRule="atLeast"/>
              <w:jc w:val="center"/>
              <w:rPr>
                <w:rFonts w:hint="eastAsia" w:ascii="宋体" w:hAnsi="宋体"/>
                <w:color w:val="auto"/>
                <w:highlight w:val="none"/>
              </w:rPr>
            </w:pPr>
          </w:p>
        </w:tc>
        <w:tc>
          <w:tcPr>
            <w:tcW w:w="746" w:type="dxa"/>
            <w:noWrap w:val="0"/>
            <w:vAlign w:val="top"/>
          </w:tcPr>
          <w:p w14:paraId="1FDE7A31">
            <w:pPr>
              <w:spacing w:line="380" w:lineRule="atLeast"/>
              <w:jc w:val="center"/>
              <w:rPr>
                <w:rFonts w:hint="eastAsia" w:ascii="宋体" w:hAnsi="宋体"/>
                <w:color w:val="auto"/>
                <w:highlight w:val="none"/>
              </w:rPr>
            </w:pPr>
          </w:p>
        </w:tc>
        <w:tc>
          <w:tcPr>
            <w:tcW w:w="1335" w:type="dxa"/>
            <w:noWrap w:val="0"/>
            <w:vAlign w:val="top"/>
          </w:tcPr>
          <w:p w14:paraId="68D55BA9">
            <w:pPr>
              <w:spacing w:line="380" w:lineRule="atLeast"/>
              <w:jc w:val="center"/>
              <w:rPr>
                <w:rFonts w:hint="eastAsia" w:ascii="宋体" w:hAnsi="宋体"/>
                <w:color w:val="auto"/>
                <w:highlight w:val="none"/>
              </w:rPr>
            </w:pPr>
          </w:p>
        </w:tc>
        <w:tc>
          <w:tcPr>
            <w:tcW w:w="2286" w:type="dxa"/>
            <w:noWrap w:val="0"/>
            <w:vAlign w:val="top"/>
          </w:tcPr>
          <w:p w14:paraId="5474D3F3">
            <w:pPr>
              <w:spacing w:line="380" w:lineRule="atLeast"/>
              <w:jc w:val="center"/>
              <w:rPr>
                <w:rFonts w:hint="eastAsia" w:ascii="宋体" w:hAnsi="宋体"/>
                <w:color w:val="auto"/>
                <w:highlight w:val="none"/>
              </w:rPr>
            </w:pPr>
          </w:p>
        </w:tc>
        <w:tc>
          <w:tcPr>
            <w:tcW w:w="803" w:type="dxa"/>
            <w:noWrap w:val="0"/>
            <w:vAlign w:val="top"/>
          </w:tcPr>
          <w:p w14:paraId="4919B655">
            <w:pPr>
              <w:spacing w:line="380" w:lineRule="atLeast"/>
              <w:jc w:val="center"/>
              <w:rPr>
                <w:rFonts w:hint="eastAsia" w:ascii="宋体" w:hAnsi="宋体"/>
                <w:color w:val="auto"/>
                <w:highlight w:val="none"/>
              </w:rPr>
            </w:pPr>
          </w:p>
        </w:tc>
      </w:tr>
      <w:tr w14:paraId="6A93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48E90A33">
            <w:pPr>
              <w:spacing w:line="380" w:lineRule="atLeast"/>
              <w:jc w:val="center"/>
              <w:rPr>
                <w:rFonts w:hint="eastAsia" w:ascii="宋体" w:hAnsi="宋体"/>
                <w:color w:val="auto"/>
                <w:highlight w:val="none"/>
              </w:rPr>
            </w:pPr>
          </w:p>
        </w:tc>
        <w:tc>
          <w:tcPr>
            <w:tcW w:w="765" w:type="dxa"/>
            <w:noWrap w:val="0"/>
            <w:vAlign w:val="top"/>
          </w:tcPr>
          <w:p w14:paraId="2B6F3BFE">
            <w:pPr>
              <w:spacing w:line="380" w:lineRule="atLeast"/>
              <w:jc w:val="center"/>
              <w:rPr>
                <w:rFonts w:hint="eastAsia" w:ascii="宋体" w:hAnsi="宋体"/>
                <w:color w:val="auto"/>
                <w:highlight w:val="none"/>
              </w:rPr>
            </w:pPr>
          </w:p>
        </w:tc>
        <w:tc>
          <w:tcPr>
            <w:tcW w:w="656" w:type="dxa"/>
            <w:noWrap w:val="0"/>
            <w:vAlign w:val="top"/>
          </w:tcPr>
          <w:p w14:paraId="4416773F">
            <w:pPr>
              <w:spacing w:line="380" w:lineRule="atLeast"/>
              <w:jc w:val="center"/>
              <w:rPr>
                <w:rFonts w:hint="eastAsia" w:ascii="宋体" w:hAnsi="宋体"/>
                <w:color w:val="auto"/>
                <w:highlight w:val="none"/>
              </w:rPr>
            </w:pPr>
          </w:p>
        </w:tc>
        <w:tc>
          <w:tcPr>
            <w:tcW w:w="1099" w:type="dxa"/>
            <w:noWrap w:val="0"/>
            <w:vAlign w:val="top"/>
          </w:tcPr>
          <w:p w14:paraId="5E706882">
            <w:pPr>
              <w:spacing w:line="380" w:lineRule="atLeast"/>
              <w:jc w:val="center"/>
              <w:rPr>
                <w:rFonts w:hint="eastAsia" w:ascii="宋体" w:hAnsi="宋体"/>
                <w:color w:val="auto"/>
                <w:highlight w:val="none"/>
              </w:rPr>
            </w:pPr>
          </w:p>
        </w:tc>
        <w:tc>
          <w:tcPr>
            <w:tcW w:w="746" w:type="dxa"/>
            <w:noWrap w:val="0"/>
            <w:vAlign w:val="top"/>
          </w:tcPr>
          <w:p w14:paraId="5CA21719">
            <w:pPr>
              <w:spacing w:line="380" w:lineRule="atLeast"/>
              <w:jc w:val="center"/>
              <w:rPr>
                <w:rFonts w:hint="eastAsia" w:ascii="宋体" w:hAnsi="宋体"/>
                <w:color w:val="auto"/>
                <w:highlight w:val="none"/>
              </w:rPr>
            </w:pPr>
          </w:p>
        </w:tc>
        <w:tc>
          <w:tcPr>
            <w:tcW w:w="1335" w:type="dxa"/>
            <w:noWrap w:val="0"/>
            <w:vAlign w:val="top"/>
          </w:tcPr>
          <w:p w14:paraId="4F76D2D2">
            <w:pPr>
              <w:spacing w:line="380" w:lineRule="atLeast"/>
              <w:jc w:val="center"/>
              <w:rPr>
                <w:rFonts w:hint="eastAsia" w:ascii="宋体" w:hAnsi="宋体"/>
                <w:color w:val="auto"/>
                <w:highlight w:val="none"/>
              </w:rPr>
            </w:pPr>
          </w:p>
        </w:tc>
        <w:tc>
          <w:tcPr>
            <w:tcW w:w="2286" w:type="dxa"/>
            <w:noWrap w:val="0"/>
            <w:vAlign w:val="top"/>
          </w:tcPr>
          <w:p w14:paraId="4ED67DB1">
            <w:pPr>
              <w:spacing w:line="380" w:lineRule="atLeast"/>
              <w:jc w:val="center"/>
              <w:rPr>
                <w:rFonts w:hint="eastAsia" w:ascii="宋体" w:hAnsi="宋体"/>
                <w:color w:val="auto"/>
                <w:highlight w:val="none"/>
              </w:rPr>
            </w:pPr>
          </w:p>
        </w:tc>
        <w:tc>
          <w:tcPr>
            <w:tcW w:w="803" w:type="dxa"/>
            <w:noWrap w:val="0"/>
            <w:vAlign w:val="top"/>
          </w:tcPr>
          <w:p w14:paraId="63B3C63A">
            <w:pPr>
              <w:spacing w:line="380" w:lineRule="atLeast"/>
              <w:jc w:val="center"/>
              <w:rPr>
                <w:rFonts w:hint="eastAsia" w:ascii="宋体" w:hAnsi="宋体"/>
                <w:color w:val="auto"/>
                <w:highlight w:val="none"/>
              </w:rPr>
            </w:pPr>
          </w:p>
        </w:tc>
      </w:tr>
      <w:tr w14:paraId="681B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65C122FC">
            <w:pPr>
              <w:spacing w:line="380" w:lineRule="atLeast"/>
              <w:jc w:val="center"/>
              <w:rPr>
                <w:rFonts w:hint="eastAsia" w:ascii="宋体" w:hAnsi="宋体"/>
                <w:color w:val="auto"/>
                <w:highlight w:val="none"/>
              </w:rPr>
            </w:pPr>
          </w:p>
        </w:tc>
        <w:tc>
          <w:tcPr>
            <w:tcW w:w="765" w:type="dxa"/>
            <w:noWrap w:val="0"/>
            <w:vAlign w:val="top"/>
          </w:tcPr>
          <w:p w14:paraId="5FD5251D">
            <w:pPr>
              <w:spacing w:line="380" w:lineRule="atLeast"/>
              <w:jc w:val="center"/>
              <w:rPr>
                <w:rFonts w:hint="eastAsia" w:ascii="宋体" w:hAnsi="宋体"/>
                <w:color w:val="auto"/>
                <w:highlight w:val="none"/>
              </w:rPr>
            </w:pPr>
          </w:p>
        </w:tc>
        <w:tc>
          <w:tcPr>
            <w:tcW w:w="656" w:type="dxa"/>
            <w:noWrap w:val="0"/>
            <w:vAlign w:val="top"/>
          </w:tcPr>
          <w:p w14:paraId="5D831A34">
            <w:pPr>
              <w:spacing w:line="380" w:lineRule="atLeast"/>
              <w:jc w:val="center"/>
              <w:rPr>
                <w:rFonts w:hint="eastAsia" w:ascii="宋体" w:hAnsi="宋体"/>
                <w:color w:val="auto"/>
                <w:highlight w:val="none"/>
              </w:rPr>
            </w:pPr>
          </w:p>
        </w:tc>
        <w:tc>
          <w:tcPr>
            <w:tcW w:w="1099" w:type="dxa"/>
            <w:noWrap w:val="0"/>
            <w:vAlign w:val="top"/>
          </w:tcPr>
          <w:p w14:paraId="7590D7D7">
            <w:pPr>
              <w:spacing w:line="380" w:lineRule="atLeast"/>
              <w:jc w:val="center"/>
              <w:rPr>
                <w:rFonts w:hint="eastAsia" w:ascii="宋体" w:hAnsi="宋体"/>
                <w:color w:val="auto"/>
                <w:highlight w:val="none"/>
              </w:rPr>
            </w:pPr>
          </w:p>
        </w:tc>
        <w:tc>
          <w:tcPr>
            <w:tcW w:w="746" w:type="dxa"/>
            <w:noWrap w:val="0"/>
            <w:vAlign w:val="top"/>
          </w:tcPr>
          <w:p w14:paraId="2E6D6D5A">
            <w:pPr>
              <w:spacing w:line="380" w:lineRule="atLeast"/>
              <w:jc w:val="center"/>
              <w:rPr>
                <w:rFonts w:hint="eastAsia" w:ascii="宋体" w:hAnsi="宋体"/>
                <w:color w:val="auto"/>
                <w:highlight w:val="none"/>
              </w:rPr>
            </w:pPr>
          </w:p>
        </w:tc>
        <w:tc>
          <w:tcPr>
            <w:tcW w:w="1335" w:type="dxa"/>
            <w:noWrap w:val="0"/>
            <w:vAlign w:val="top"/>
          </w:tcPr>
          <w:p w14:paraId="652B5890">
            <w:pPr>
              <w:spacing w:line="380" w:lineRule="atLeast"/>
              <w:jc w:val="center"/>
              <w:rPr>
                <w:rFonts w:hint="eastAsia" w:ascii="宋体" w:hAnsi="宋体"/>
                <w:color w:val="auto"/>
                <w:highlight w:val="none"/>
              </w:rPr>
            </w:pPr>
          </w:p>
        </w:tc>
        <w:tc>
          <w:tcPr>
            <w:tcW w:w="2286" w:type="dxa"/>
            <w:noWrap w:val="0"/>
            <w:vAlign w:val="top"/>
          </w:tcPr>
          <w:p w14:paraId="4C7E558F">
            <w:pPr>
              <w:spacing w:line="380" w:lineRule="atLeast"/>
              <w:jc w:val="center"/>
              <w:rPr>
                <w:rFonts w:hint="eastAsia" w:ascii="宋体" w:hAnsi="宋体"/>
                <w:color w:val="auto"/>
                <w:highlight w:val="none"/>
              </w:rPr>
            </w:pPr>
          </w:p>
        </w:tc>
        <w:tc>
          <w:tcPr>
            <w:tcW w:w="803" w:type="dxa"/>
            <w:noWrap w:val="0"/>
            <w:vAlign w:val="top"/>
          </w:tcPr>
          <w:p w14:paraId="4220AEC9">
            <w:pPr>
              <w:spacing w:line="380" w:lineRule="atLeast"/>
              <w:jc w:val="center"/>
              <w:rPr>
                <w:rFonts w:hint="eastAsia" w:ascii="宋体" w:hAnsi="宋体"/>
                <w:color w:val="auto"/>
                <w:highlight w:val="none"/>
              </w:rPr>
            </w:pPr>
          </w:p>
        </w:tc>
      </w:tr>
      <w:tr w14:paraId="1078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0FF824EC">
            <w:pPr>
              <w:spacing w:line="380" w:lineRule="atLeast"/>
              <w:jc w:val="center"/>
              <w:rPr>
                <w:rFonts w:hint="eastAsia" w:ascii="宋体" w:hAnsi="宋体"/>
                <w:color w:val="auto"/>
                <w:highlight w:val="none"/>
              </w:rPr>
            </w:pPr>
          </w:p>
        </w:tc>
        <w:tc>
          <w:tcPr>
            <w:tcW w:w="765" w:type="dxa"/>
            <w:noWrap w:val="0"/>
            <w:vAlign w:val="top"/>
          </w:tcPr>
          <w:p w14:paraId="61756AD5">
            <w:pPr>
              <w:spacing w:line="380" w:lineRule="atLeast"/>
              <w:jc w:val="center"/>
              <w:rPr>
                <w:rFonts w:hint="eastAsia" w:ascii="宋体" w:hAnsi="宋体"/>
                <w:color w:val="auto"/>
                <w:highlight w:val="none"/>
              </w:rPr>
            </w:pPr>
          </w:p>
        </w:tc>
        <w:tc>
          <w:tcPr>
            <w:tcW w:w="656" w:type="dxa"/>
            <w:noWrap w:val="0"/>
            <w:vAlign w:val="top"/>
          </w:tcPr>
          <w:p w14:paraId="07846625">
            <w:pPr>
              <w:spacing w:line="380" w:lineRule="atLeast"/>
              <w:jc w:val="center"/>
              <w:rPr>
                <w:rFonts w:hint="eastAsia" w:ascii="宋体" w:hAnsi="宋体"/>
                <w:color w:val="auto"/>
                <w:highlight w:val="none"/>
              </w:rPr>
            </w:pPr>
          </w:p>
        </w:tc>
        <w:tc>
          <w:tcPr>
            <w:tcW w:w="1099" w:type="dxa"/>
            <w:noWrap w:val="0"/>
            <w:vAlign w:val="top"/>
          </w:tcPr>
          <w:p w14:paraId="396345E4">
            <w:pPr>
              <w:spacing w:line="380" w:lineRule="atLeast"/>
              <w:jc w:val="center"/>
              <w:rPr>
                <w:rFonts w:hint="eastAsia" w:ascii="宋体" w:hAnsi="宋体"/>
                <w:color w:val="auto"/>
                <w:highlight w:val="none"/>
              </w:rPr>
            </w:pPr>
          </w:p>
        </w:tc>
        <w:tc>
          <w:tcPr>
            <w:tcW w:w="746" w:type="dxa"/>
            <w:noWrap w:val="0"/>
            <w:vAlign w:val="top"/>
          </w:tcPr>
          <w:p w14:paraId="57273914">
            <w:pPr>
              <w:spacing w:line="380" w:lineRule="atLeast"/>
              <w:jc w:val="center"/>
              <w:rPr>
                <w:rFonts w:hint="eastAsia" w:ascii="宋体" w:hAnsi="宋体"/>
                <w:color w:val="auto"/>
                <w:highlight w:val="none"/>
              </w:rPr>
            </w:pPr>
          </w:p>
        </w:tc>
        <w:tc>
          <w:tcPr>
            <w:tcW w:w="1335" w:type="dxa"/>
            <w:noWrap w:val="0"/>
            <w:vAlign w:val="top"/>
          </w:tcPr>
          <w:p w14:paraId="1F15F7B8">
            <w:pPr>
              <w:spacing w:line="380" w:lineRule="atLeast"/>
              <w:jc w:val="center"/>
              <w:rPr>
                <w:rFonts w:hint="eastAsia" w:ascii="宋体" w:hAnsi="宋体"/>
                <w:color w:val="auto"/>
                <w:highlight w:val="none"/>
              </w:rPr>
            </w:pPr>
          </w:p>
        </w:tc>
        <w:tc>
          <w:tcPr>
            <w:tcW w:w="2286" w:type="dxa"/>
            <w:noWrap w:val="0"/>
            <w:vAlign w:val="top"/>
          </w:tcPr>
          <w:p w14:paraId="5776F578">
            <w:pPr>
              <w:spacing w:line="380" w:lineRule="atLeast"/>
              <w:jc w:val="center"/>
              <w:rPr>
                <w:rFonts w:hint="eastAsia" w:ascii="宋体" w:hAnsi="宋体"/>
                <w:color w:val="auto"/>
                <w:highlight w:val="none"/>
              </w:rPr>
            </w:pPr>
          </w:p>
        </w:tc>
        <w:tc>
          <w:tcPr>
            <w:tcW w:w="803" w:type="dxa"/>
            <w:noWrap w:val="0"/>
            <w:vAlign w:val="top"/>
          </w:tcPr>
          <w:p w14:paraId="366615E0">
            <w:pPr>
              <w:spacing w:line="380" w:lineRule="atLeast"/>
              <w:jc w:val="center"/>
              <w:rPr>
                <w:rFonts w:hint="eastAsia" w:ascii="宋体" w:hAnsi="宋体"/>
                <w:color w:val="auto"/>
                <w:highlight w:val="none"/>
              </w:rPr>
            </w:pPr>
          </w:p>
        </w:tc>
      </w:tr>
      <w:tr w14:paraId="07C9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3055654C">
            <w:pPr>
              <w:spacing w:line="380" w:lineRule="atLeast"/>
              <w:jc w:val="center"/>
              <w:rPr>
                <w:rFonts w:hint="eastAsia" w:ascii="宋体" w:hAnsi="宋体"/>
                <w:color w:val="auto"/>
                <w:highlight w:val="none"/>
              </w:rPr>
            </w:pPr>
          </w:p>
        </w:tc>
        <w:tc>
          <w:tcPr>
            <w:tcW w:w="765" w:type="dxa"/>
            <w:noWrap w:val="0"/>
            <w:vAlign w:val="top"/>
          </w:tcPr>
          <w:p w14:paraId="26027F8B">
            <w:pPr>
              <w:spacing w:line="380" w:lineRule="atLeast"/>
              <w:jc w:val="center"/>
              <w:rPr>
                <w:rFonts w:hint="eastAsia" w:ascii="宋体" w:hAnsi="宋体"/>
                <w:color w:val="auto"/>
                <w:highlight w:val="none"/>
              </w:rPr>
            </w:pPr>
          </w:p>
        </w:tc>
        <w:tc>
          <w:tcPr>
            <w:tcW w:w="656" w:type="dxa"/>
            <w:noWrap w:val="0"/>
            <w:vAlign w:val="top"/>
          </w:tcPr>
          <w:p w14:paraId="034201A9">
            <w:pPr>
              <w:spacing w:line="380" w:lineRule="atLeast"/>
              <w:jc w:val="center"/>
              <w:rPr>
                <w:rFonts w:hint="eastAsia" w:ascii="宋体" w:hAnsi="宋体"/>
                <w:color w:val="auto"/>
                <w:highlight w:val="none"/>
              </w:rPr>
            </w:pPr>
          </w:p>
        </w:tc>
        <w:tc>
          <w:tcPr>
            <w:tcW w:w="1099" w:type="dxa"/>
            <w:noWrap w:val="0"/>
            <w:vAlign w:val="top"/>
          </w:tcPr>
          <w:p w14:paraId="4892C6ED">
            <w:pPr>
              <w:spacing w:line="380" w:lineRule="atLeast"/>
              <w:jc w:val="center"/>
              <w:rPr>
                <w:rFonts w:hint="eastAsia" w:ascii="宋体" w:hAnsi="宋体"/>
                <w:color w:val="auto"/>
                <w:highlight w:val="none"/>
              </w:rPr>
            </w:pPr>
          </w:p>
        </w:tc>
        <w:tc>
          <w:tcPr>
            <w:tcW w:w="746" w:type="dxa"/>
            <w:noWrap w:val="0"/>
            <w:vAlign w:val="top"/>
          </w:tcPr>
          <w:p w14:paraId="204A5697">
            <w:pPr>
              <w:spacing w:line="380" w:lineRule="atLeast"/>
              <w:jc w:val="center"/>
              <w:rPr>
                <w:rFonts w:hint="eastAsia" w:ascii="宋体" w:hAnsi="宋体"/>
                <w:color w:val="auto"/>
                <w:highlight w:val="none"/>
              </w:rPr>
            </w:pPr>
          </w:p>
        </w:tc>
        <w:tc>
          <w:tcPr>
            <w:tcW w:w="1335" w:type="dxa"/>
            <w:noWrap w:val="0"/>
            <w:vAlign w:val="top"/>
          </w:tcPr>
          <w:p w14:paraId="6772B7D7">
            <w:pPr>
              <w:spacing w:line="380" w:lineRule="atLeast"/>
              <w:jc w:val="center"/>
              <w:rPr>
                <w:rFonts w:hint="eastAsia" w:ascii="宋体" w:hAnsi="宋体"/>
                <w:color w:val="auto"/>
                <w:highlight w:val="none"/>
              </w:rPr>
            </w:pPr>
          </w:p>
        </w:tc>
        <w:tc>
          <w:tcPr>
            <w:tcW w:w="2286" w:type="dxa"/>
            <w:noWrap w:val="0"/>
            <w:vAlign w:val="top"/>
          </w:tcPr>
          <w:p w14:paraId="7F990016">
            <w:pPr>
              <w:spacing w:line="380" w:lineRule="atLeast"/>
              <w:jc w:val="center"/>
              <w:rPr>
                <w:rFonts w:hint="eastAsia" w:ascii="宋体" w:hAnsi="宋体"/>
                <w:color w:val="auto"/>
                <w:highlight w:val="none"/>
              </w:rPr>
            </w:pPr>
          </w:p>
        </w:tc>
        <w:tc>
          <w:tcPr>
            <w:tcW w:w="803" w:type="dxa"/>
            <w:noWrap w:val="0"/>
            <w:vAlign w:val="top"/>
          </w:tcPr>
          <w:p w14:paraId="54555548">
            <w:pPr>
              <w:spacing w:line="380" w:lineRule="atLeast"/>
              <w:jc w:val="center"/>
              <w:rPr>
                <w:rFonts w:hint="eastAsia" w:ascii="宋体" w:hAnsi="宋体"/>
                <w:color w:val="auto"/>
                <w:highlight w:val="none"/>
              </w:rPr>
            </w:pPr>
          </w:p>
        </w:tc>
      </w:tr>
      <w:tr w14:paraId="60C9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1DCCFF13">
            <w:pPr>
              <w:spacing w:line="380" w:lineRule="atLeast"/>
              <w:jc w:val="center"/>
              <w:rPr>
                <w:rFonts w:hint="eastAsia" w:ascii="宋体" w:hAnsi="宋体"/>
                <w:color w:val="auto"/>
                <w:highlight w:val="none"/>
              </w:rPr>
            </w:pPr>
          </w:p>
        </w:tc>
        <w:tc>
          <w:tcPr>
            <w:tcW w:w="765" w:type="dxa"/>
            <w:noWrap w:val="0"/>
            <w:vAlign w:val="top"/>
          </w:tcPr>
          <w:p w14:paraId="66FC885C">
            <w:pPr>
              <w:spacing w:line="380" w:lineRule="atLeast"/>
              <w:jc w:val="center"/>
              <w:rPr>
                <w:rFonts w:hint="eastAsia" w:ascii="宋体" w:hAnsi="宋体"/>
                <w:color w:val="auto"/>
                <w:highlight w:val="none"/>
              </w:rPr>
            </w:pPr>
          </w:p>
        </w:tc>
        <w:tc>
          <w:tcPr>
            <w:tcW w:w="656" w:type="dxa"/>
            <w:noWrap w:val="0"/>
            <w:vAlign w:val="top"/>
          </w:tcPr>
          <w:p w14:paraId="6BDE3543">
            <w:pPr>
              <w:spacing w:line="380" w:lineRule="atLeast"/>
              <w:jc w:val="center"/>
              <w:rPr>
                <w:rFonts w:hint="eastAsia" w:ascii="宋体" w:hAnsi="宋体"/>
                <w:color w:val="auto"/>
                <w:highlight w:val="none"/>
              </w:rPr>
            </w:pPr>
          </w:p>
        </w:tc>
        <w:tc>
          <w:tcPr>
            <w:tcW w:w="1099" w:type="dxa"/>
            <w:noWrap w:val="0"/>
            <w:vAlign w:val="top"/>
          </w:tcPr>
          <w:p w14:paraId="5B700C98">
            <w:pPr>
              <w:spacing w:line="380" w:lineRule="atLeast"/>
              <w:jc w:val="center"/>
              <w:rPr>
                <w:rFonts w:hint="eastAsia" w:ascii="宋体" w:hAnsi="宋体"/>
                <w:color w:val="auto"/>
                <w:highlight w:val="none"/>
              </w:rPr>
            </w:pPr>
          </w:p>
        </w:tc>
        <w:tc>
          <w:tcPr>
            <w:tcW w:w="746" w:type="dxa"/>
            <w:noWrap w:val="0"/>
            <w:vAlign w:val="top"/>
          </w:tcPr>
          <w:p w14:paraId="6BC68240">
            <w:pPr>
              <w:spacing w:line="380" w:lineRule="atLeast"/>
              <w:jc w:val="center"/>
              <w:rPr>
                <w:rFonts w:hint="eastAsia" w:ascii="宋体" w:hAnsi="宋体"/>
                <w:color w:val="auto"/>
                <w:highlight w:val="none"/>
              </w:rPr>
            </w:pPr>
          </w:p>
        </w:tc>
        <w:tc>
          <w:tcPr>
            <w:tcW w:w="1335" w:type="dxa"/>
            <w:noWrap w:val="0"/>
            <w:vAlign w:val="top"/>
          </w:tcPr>
          <w:p w14:paraId="41CB9116">
            <w:pPr>
              <w:spacing w:line="380" w:lineRule="atLeast"/>
              <w:jc w:val="center"/>
              <w:rPr>
                <w:rFonts w:hint="eastAsia" w:ascii="宋体" w:hAnsi="宋体"/>
                <w:color w:val="auto"/>
                <w:highlight w:val="none"/>
              </w:rPr>
            </w:pPr>
          </w:p>
        </w:tc>
        <w:tc>
          <w:tcPr>
            <w:tcW w:w="2286" w:type="dxa"/>
            <w:noWrap w:val="0"/>
            <w:vAlign w:val="top"/>
          </w:tcPr>
          <w:p w14:paraId="69A46877">
            <w:pPr>
              <w:spacing w:line="380" w:lineRule="atLeast"/>
              <w:jc w:val="center"/>
              <w:rPr>
                <w:rFonts w:hint="eastAsia" w:ascii="宋体" w:hAnsi="宋体"/>
                <w:color w:val="auto"/>
                <w:highlight w:val="none"/>
              </w:rPr>
            </w:pPr>
          </w:p>
        </w:tc>
        <w:tc>
          <w:tcPr>
            <w:tcW w:w="803" w:type="dxa"/>
            <w:noWrap w:val="0"/>
            <w:vAlign w:val="top"/>
          </w:tcPr>
          <w:p w14:paraId="727314D6">
            <w:pPr>
              <w:spacing w:line="380" w:lineRule="atLeast"/>
              <w:jc w:val="center"/>
              <w:rPr>
                <w:rFonts w:hint="eastAsia" w:ascii="宋体" w:hAnsi="宋体"/>
                <w:color w:val="auto"/>
                <w:highlight w:val="none"/>
              </w:rPr>
            </w:pPr>
          </w:p>
        </w:tc>
      </w:tr>
      <w:tr w14:paraId="31E1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1EAD762F">
            <w:pPr>
              <w:spacing w:line="380" w:lineRule="atLeast"/>
              <w:jc w:val="center"/>
              <w:rPr>
                <w:rFonts w:hint="eastAsia" w:ascii="宋体" w:hAnsi="宋体"/>
                <w:color w:val="auto"/>
                <w:highlight w:val="none"/>
              </w:rPr>
            </w:pPr>
          </w:p>
        </w:tc>
        <w:tc>
          <w:tcPr>
            <w:tcW w:w="765" w:type="dxa"/>
            <w:noWrap w:val="0"/>
            <w:vAlign w:val="top"/>
          </w:tcPr>
          <w:p w14:paraId="7A317E9C">
            <w:pPr>
              <w:spacing w:line="380" w:lineRule="atLeast"/>
              <w:jc w:val="center"/>
              <w:rPr>
                <w:rFonts w:hint="eastAsia" w:ascii="宋体" w:hAnsi="宋体"/>
                <w:color w:val="auto"/>
                <w:highlight w:val="none"/>
              </w:rPr>
            </w:pPr>
          </w:p>
        </w:tc>
        <w:tc>
          <w:tcPr>
            <w:tcW w:w="656" w:type="dxa"/>
            <w:noWrap w:val="0"/>
            <w:vAlign w:val="top"/>
          </w:tcPr>
          <w:p w14:paraId="291F6E41">
            <w:pPr>
              <w:spacing w:line="380" w:lineRule="atLeast"/>
              <w:jc w:val="center"/>
              <w:rPr>
                <w:rFonts w:hint="eastAsia" w:ascii="宋体" w:hAnsi="宋体"/>
                <w:color w:val="auto"/>
                <w:highlight w:val="none"/>
              </w:rPr>
            </w:pPr>
          </w:p>
        </w:tc>
        <w:tc>
          <w:tcPr>
            <w:tcW w:w="1099" w:type="dxa"/>
            <w:noWrap w:val="0"/>
            <w:vAlign w:val="top"/>
          </w:tcPr>
          <w:p w14:paraId="572AB4B7">
            <w:pPr>
              <w:spacing w:line="380" w:lineRule="atLeast"/>
              <w:jc w:val="center"/>
              <w:rPr>
                <w:rFonts w:hint="eastAsia" w:ascii="宋体" w:hAnsi="宋体"/>
                <w:color w:val="auto"/>
                <w:highlight w:val="none"/>
              </w:rPr>
            </w:pPr>
          </w:p>
        </w:tc>
        <w:tc>
          <w:tcPr>
            <w:tcW w:w="746" w:type="dxa"/>
            <w:noWrap w:val="0"/>
            <w:vAlign w:val="top"/>
          </w:tcPr>
          <w:p w14:paraId="4E044F78">
            <w:pPr>
              <w:spacing w:line="380" w:lineRule="atLeast"/>
              <w:jc w:val="center"/>
              <w:rPr>
                <w:rFonts w:hint="eastAsia" w:ascii="宋体" w:hAnsi="宋体"/>
                <w:color w:val="auto"/>
                <w:highlight w:val="none"/>
              </w:rPr>
            </w:pPr>
          </w:p>
        </w:tc>
        <w:tc>
          <w:tcPr>
            <w:tcW w:w="1335" w:type="dxa"/>
            <w:noWrap w:val="0"/>
            <w:vAlign w:val="top"/>
          </w:tcPr>
          <w:p w14:paraId="2F0E6A5C">
            <w:pPr>
              <w:spacing w:line="380" w:lineRule="atLeast"/>
              <w:jc w:val="center"/>
              <w:rPr>
                <w:rFonts w:hint="eastAsia" w:ascii="宋体" w:hAnsi="宋体"/>
                <w:color w:val="auto"/>
                <w:highlight w:val="none"/>
              </w:rPr>
            </w:pPr>
          </w:p>
        </w:tc>
        <w:tc>
          <w:tcPr>
            <w:tcW w:w="2286" w:type="dxa"/>
            <w:noWrap w:val="0"/>
            <w:vAlign w:val="top"/>
          </w:tcPr>
          <w:p w14:paraId="035CD356">
            <w:pPr>
              <w:spacing w:line="380" w:lineRule="atLeast"/>
              <w:jc w:val="center"/>
              <w:rPr>
                <w:rFonts w:hint="eastAsia" w:ascii="宋体" w:hAnsi="宋体"/>
                <w:color w:val="auto"/>
                <w:highlight w:val="none"/>
              </w:rPr>
            </w:pPr>
          </w:p>
        </w:tc>
        <w:tc>
          <w:tcPr>
            <w:tcW w:w="803" w:type="dxa"/>
            <w:noWrap w:val="0"/>
            <w:vAlign w:val="top"/>
          </w:tcPr>
          <w:p w14:paraId="4642A81F">
            <w:pPr>
              <w:spacing w:line="380" w:lineRule="atLeast"/>
              <w:jc w:val="center"/>
              <w:rPr>
                <w:rFonts w:hint="eastAsia" w:ascii="宋体" w:hAnsi="宋体"/>
                <w:color w:val="auto"/>
                <w:highlight w:val="none"/>
              </w:rPr>
            </w:pPr>
          </w:p>
        </w:tc>
      </w:tr>
      <w:tr w14:paraId="4003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773D2901">
            <w:pPr>
              <w:spacing w:line="380" w:lineRule="atLeast"/>
              <w:jc w:val="center"/>
              <w:rPr>
                <w:rFonts w:hint="eastAsia" w:ascii="宋体" w:hAnsi="宋体"/>
                <w:color w:val="auto"/>
                <w:highlight w:val="none"/>
              </w:rPr>
            </w:pPr>
          </w:p>
        </w:tc>
        <w:tc>
          <w:tcPr>
            <w:tcW w:w="765" w:type="dxa"/>
            <w:noWrap w:val="0"/>
            <w:vAlign w:val="top"/>
          </w:tcPr>
          <w:p w14:paraId="258EE26F">
            <w:pPr>
              <w:spacing w:line="380" w:lineRule="atLeast"/>
              <w:jc w:val="center"/>
              <w:rPr>
                <w:rFonts w:hint="eastAsia" w:ascii="宋体" w:hAnsi="宋体"/>
                <w:color w:val="auto"/>
                <w:highlight w:val="none"/>
              </w:rPr>
            </w:pPr>
          </w:p>
        </w:tc>
        <w:tc>
          <w:tcPr>
            <w:tcW w:w="656" w:type="dxa"/>
            <w:noWrap w:val="0"/>
            <w:vAlign w:val="top"/>
          </w:tcPr>
          <w:p w14:paraId="25C5D85B">
            <w:pPr>
              <w:spacing w:line="380" w:lineRule="atLeast"/>
              <w:jc w:val="center"/>
              <w:rPr>
                <w:rFonts w:hint="eastAsia" w:ascii="宋体" w:hAnsi="宋体"/>
                <w:color w:val="auto"/>
                <w:highlight w:val="none"/>
              </w:rPr>
            </w:pPr>
          </w:p>
        </w:tc>
        <w:tc>
          <w:tcPr>
            <w:tcW w:w="1099" w:type="dxa"/>
            <w:noWrap w:val="0"/>
            <w:vAlign w:val="top"/>
          </w:tcPr>
          <w:p w14:paraId="400F9F9B">
            <w:pPr>
              <w:spacing w:line="380" w:lineRule="atLeast"/>
              <w:jc w:val="center"/>
              <w:rPr>
                <w:rFonts w:hint="eastAsia" w:ascii="宋体" w:hAnsi="宋体"/>
                <w:color w:val="auto"/>
                <w:highlight w:val="none"/>
              </w:rPr>
            </w:pPr>
          </w:p>
        </w:tc>
        <w:tc>
          <w:tcPr>
            <w:tcW w:w="746" w:type="dxa"/>
            <w:noWrap w:val="0"/>
            <w:vAlign w:val="top"/>
          </w:tcPr>
          <w:p w14:paraId="103BB31D">
            <w:pPr>
              <w:spacing w:line="380" w:lineRule="atLeast"/>
              <w:jc w:val="center"/>
              <w:rPr>
                <w:rFonts w:hint="eastAsia" w:ascii="宋体" w:hAnsi="宋体"/>
                <w:color w:val="auto"/>
                <w:highlight w:val="none"/>
              </w:rPr>
            </w:pPr>
          </w:p>
        </w:tc>
        <w:tc>
          <w:tcPr>
            <w:tcW w:w="1335" w:type="dxa"/>
            <w:noWrap w:val="0"/>
            <w:vAlign w:val="top"/>
          </w:tcPr>
          <w:p w14:paraId="387D8595">
            <w:pPr>
              <w:spacing w:line="380" w:lineRule="atLeast"/>
              <w:jc w:val="center"/>
              <w:rPr>
                <w:rFonts w:hint="eastAsia" w:ascii="宋体" w:hAnsi="宋体"/>
                <w:color w:val="auto"/>
                <w:highlight w:val="none"/>
              </w:rPr>
            </w:pPr>
          </w:p>
        </w:tc>
        <w:tc>
          <w:tcPr>
            <w:tcW w:w="2286" w:type="dxa"/>
            <w:noWrap w:val="0"/>
            <w:vAlign w:val="top"/>
          </w:tcPr>
          <w:p w14:paraId="1F0EDBAD">
            <w:pPr>
              <w:spacing w:line="380" w:lineRule="atLeast"/>
              <w:jc w:val="center"/>
              <w:rPr>
                <w:rFonts w:hint="eastAsia" w:ascii="宋体" w:hAnsi="宋体"/>
                <w:color w:val="auto"/>
                <w:highlight w:val="none"/>
              </w:rPr>
            </w:pPr>
          </w:p>
        </w:tc>
        <w:tc>
          <w:tcPr>
            <w:tcW w:w="803" w:type="dxa"/>
            <w:noWrap w:val="0"/>
            <w:vAlign w:val="top"/>
          </w:tcPr>
          <w:p w14:paraId="7D667655">
            <w:pPr>
              <w:spacing w:line="380" w:lineRule="atLeast"/>
              <w:jc w:val="center"/>
              <w:rPr>
                <w:rFonts w:hint="eastAsia" w:ascii="宋体" w:hAnsi="宋体"/>
                <w:color w:val="auto"/>
                <w:highlight w:val="none"/>
              </w:rPr>
            </w:pPr>
          </w:p>
        </w:tc>
      </w:tr>
      <w:tr w14:paraId="56C5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664767F8">
            <w:pPr>
              <w:spacing w:line="380" w:lineRule="atLeast"/>
              <w:jc w:val="center"/>
              <w:rPr>
                <w:rFonts w:hint="eastAsia" w:ascii="宋体" w:hAnsi="宋体"/>
                <w:color w:val="auto"/>
                <w:highlight w:val="none"/>
              </w:rPr>
            </w:pPr>
          </w:p>
        </w:tc>
        <w:tc>
          <w:tcPr>
            <w:tcW w:w="765" w:type="dxa"/>
            <w:noWrap w:val="0"/>
            <w:vAlign w:val="top"/>
          </w:tcPr>
          <w:p w14:paraId="15E846A1">
            <w:pPr>
              <w:spacing w:line="380" w:lineRule="atLeast"/>
              <w:jc w:val="center"/>
              <w:rPr>
                <w:rFonts w:hint="eastAsia" w:ascii="宋体" w:hAnsi="宋体"/>
                <w:color w:val="auto"/>
                <w:highlight w:val="none"/>
              </w:rPr>
            </w:pPr>
          </w:p>
        </w:tc>
        <w:tc>
          <w:tcPr>
            <w:tcW w:w="656" w:type="dxa"/>
            <w:noWrap w:val="0"/>
            <w:vAlign w:val="top"/>
          </w:tcPr>
          <w:p w14:paraId="78632D12">
            <w:pPr>
              <w:spacing w:line="380" w:lineRule="atLeast"/>
              <w:jc w:val="center"/>
              <w:rPr>
                <w:rFonts w:hint="eastAsia" w:ascii="宋体" w:hAnsi="宋体"/>
                <w:color w:val="auto"/>
                <w:highlight w:val="none"/>
              </w:rPr>
            </w:pPr>
          </w:p>
        </w:tc>
        <w:tc>
          <w:tcPr>
            <w:tcW w:w="1099" w:type="dxa"/>
            <w:noWrap w:val="0"/>
            <w:vAlign w:val="top"/>
          </w:tcPr>
          <w:p w14:paraId="0FFFE99B">
            <w:pPr>
              <w:spacing w:line="380" w:lineRule="atLeast"/>
              <w:jc w:val="center"/>
              <w:rPr>
                <w:rFonts w:hint="eastAsia" w:ascii="宋体" w:hAnsi="宋体"/>
                <w:color w:val="auto"/>
                <w:highlight w:val="none"/>
              </w:rPr>
            </w:pPr>
          </w:p>
        </w:tc>
        <w:tc>
          <w:tcPr>
            <w:tcW w:w="746" w:type="dxa"/>
            <w:noWrap w:val="0"/>
            <w:vAlign w:val="top"/>
          </w:tcPr>
          <w:p w14:paraId="555A4047">
            <w:pPr>
              <w:spacing w:line="380" w:lineRule="atLeast"/>
              <w:jc w:val="center"/>
              <w:rPr>
                <w:rFonts w:hint="eastAsia" w:ascii="宋体" w:hAnsi="宋体"/>
                <w:color w:val="auto"/>
                <w:highlight w:val="none"/>
              </w:rPr>
            </w:pPr>
          </w:p>
        </w:tc>
        <w:tc>
          <w:tcPr>
            <w:tcW w:w="1335" w:type="dxa"/>
            <w:noWrap w:val="0"/>
            <w:vAlign w:val="top"/>
          </w:tcPr>
          <w:p w14:paraId="7D8368A7">
            <w:pPr>
              <w:spacing w:line="380" w:lineRule="atLeast"/>
              <w:jc w:val="center"/>
              <w:rPr>
                <w:rFonts w:hint="eastAsia" w:ascii="宋体" w:hAnsi="宋体"/>
                <w:color w:val="auto"/>
                <w:highlight w:val="none"/>
              </w:rPr>
            </w:pPr>
          </w:p>
        </w:tc>
        <w:tc>
          <w:tcPr>
            <w:tcW w:w="2286" w:type="dxa"/>
            <w:noWrap w:val="0"/>
            <w:vAlign w:val="top"/>
          </w:tcPr>
          <w:p w14:paraId="284F75D8">
            <w:pPr>
              <w:spacing w:line="380" w:lineRule="atLeast"/>
              <w:jc w:val="center"/>
              <w:rPr>
                <w:rFonts w:hint="eastAsia" w:ascii="宋体" w:hAnsi="宋体"/>
                <w:color w:val="auto"/>
                <w:highlight w:val="none"/>
              </w:rPr>
            </w:pPr>
          </w:p>
        </w:tc>
        <w:tc>
          <w:tcPr>
            <w:tcW w:w="803" w:type="dxa"/>
            <w:noWrap w:val="0"/>
            <w:vAlign w:val="top"/>
          </w:tcPr>
          <w:p w14:paraId="03FB9044">
            <w:pPr>
              <w:spacing w:line="380" w:lineRule="atLeast"/>
              <w:jc w:val="center"/>
              <w:rPr>
                <w:rFonts w:hint="eastAsia" w:ascii="宋体" w:hAnsi="宋体"/>
                <w:color w:val="auto"/>
                <w:highlight w:val="none"/>
              </w:rPr>
            </w:pPr>
          </w:p>
        </w:tc>
      </w:tr>
      <w:tr w14:paraId="504D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1E2113E3">
            <w:pPr>
              <w:spacing w:line="380" w:lineRule="atLeast"/>
              <w:jc w:val="center"/>
              <w:rPr>
                <w:rFonts w:hint="eastAsia" w:ascii="宋体" w:hAnsi="宋体"/>
                <w:color w:val="auto"/>
                <w:highlight w:val="none"/>
              </w:rPr>
            </w:pPr>
          </w:p>
        </w:tc>
        <w:tc>
          <w:tcPr>
            <w:tcW w:w="765" w:type="dxa"/>
            <w:noWrap w:val="0"/>
            <w:vAlign w:val="top"/>
          </w:tcPr>
          <w:p w14:paraId="5D55AEB9">
            <w:pPr>
              <w:spacing w:line="380" w:lineRule="atLeast"/>
              <w:jc w:val="center"/>
              <w:rPr>
                <w:rFonts w:hint="eastAsia" w:ascii="宋体" w:hAnsi="宋体"/>
                <w:color w:val="auto"/>
                <w:highlight w:val="none"/>
              </w:rPr>
            </w:pPr>
          </w:p>
        </w:tc>
        <w:tc>
          <w:tcPr>
            <w:tcW w:w="656" w:type="dxa"/>
            <w:noWrap w:val="0"/>
            <w:vAlign w:val="top"/>
          </w:tcPr>
          <w:p w14:paraId="2CFCBD4F">
            <w:pPr>
              <w:spacing w:line="380" w:lineRule="atLeast"/>
              <w:jc w:val="center"/>
              <w:rPr>
                <w:rFonts w:hint="eastAsia" w:ascii="宋体" w:hAnsi="宋体"/>
                <w:color w:val="auto"/>
                <w:highlight w:val="none"/>
              </w:rPr>
            </w:pPr>
          </w:p>
        </w:tc>
        <w:tc>
          <w:tcPr>
            <w:tcW w:w="1099" w:type="dxa"/>
            <w:noWrap w:val="0"/>
            <w:vAlign w:val="top"/>
          </w:tcPr>
          <w:p w14:paraId="62B80C5E">
            <w:pPr>
              <w:spacing w:line="380" w:lineRule="atLeast"/>
              <w:jc w:val="center"/>
              <w:rPr>
                <w:rFonts w:hint="eastAsia" w:ascii="宋体" w:hAnsi="宋体"/>
                <w:color w:val="auto"/>
                <w:highlight w:val="none"/>
              </w:rPr>
            </w:pPr>
          </w:p>
        </w:tc>
        <w:tc>
          <w:tcPr>
            <w:tcW w:w="746" w:type="dxa"/>
            <w:noWrap w:val="0"/>
            <w:vAlign w:val="top"/>
          </w:tcPr>
          <w:p w14:paraId="22228C96">
            <w:pPr>
              <w:spacing w:line="380" w:lineRule="atLeast"/>
              <w:jc w:val="center"/>
              <w:rPr>
                <w:rFonts w:hint="eastAsia" w:ascii="宋体" w:hAnsi="宋体"/>
                <w:color w:val="auto"/>
                <w:highlight w:val="none"/>
              </w:rPr>
            </w:pPr>
          </w:p>
        </w:tc>
        <w:tc>
          <w:tcPr>
            <w:tcW w:w="1335" w:type="dxa"/>
            <w:noWrap w:val="0"/>
            <w:vAlign w:val="top"/>
          </w:tcPr>
          <w:p w14:paraId="32822A67">
            <w:pPr>
              <w:spacing w:line="380" w:lineRule="atLeast"/>
              <w:jc w:val="center"/>
              <w:rPr>
                <w:rFonts w:hint="eastAsia" w:ascii="宋体" w:hAnsi="宋体"/>
                <w:color w:val="auto"/>
                <w:highlight w:val="none"/>
              </w:rPr>
            </w:pPr>
          </w:p>
        </w:tc>
        <w:tc>
          <w:tcPr>
            <w:tcW w:w="2286" w:type="dxa"/>
            <w:noWrap w:val="0"/>
            <w:vAlign w:val="top"/>
          </w:tcPr>
          <w:p w14:paraId="20FE2748">
            <w:pPr>
              <w:spacing w:line="380" w:lineRule="atLeast"/>
              <w:jc w:val="center"/>
              <w:rPr>
                <w:rFonts w:hint="eastAsia" w:ascii="宋体" w:hAnsi="宋体"/>
                <w:color w:val="auto"/>
                <w:highlight w:val="none"/>
              </w:rPr>
            </w:pPr>
          </w:p>
        </w:tc>
        <w:tc>
          <w:tcPr>
            <w:tcW w:w="803" w:type="dxa"/>
            <w:noWrap w:val="0"/>
            <w:vAlign w:val="top"/>
          </w:tcPr>
          <w:p w14:paraId="20A83B65">
            <w:pPr>
              <w:spacing w:line="380" w:lineRule="atLeast"/>
              <w:jc w:val="center"/>
              <w:rPr>
                <w:rFonts w:hint="eastAsia" w:ascii="宋体" w:hAnsi="宋体"/>
                <w:color w:val="auto"/>
                <w:highlight w:val="none"/>
              </w:rPr>
            </w:pPr>
          </w:p>
        </w:tc>
      </w:tr>
      <w:tr w14:paraId="12A4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567D0115">
            <w:pPr>
              <w:spacing w:line="380" w:lineRule="atLeast"/>
              <w:jc w:val="center"/>
              <w:rPr>
                <w:rFonts w:hint="eastAsia" w:ascii="宋体" w:hAnsi="宋体"/>
                <w:color w:val="auto"/>
                <w:highlight w:val="none"/>
              </w:rPr>
            </w:pPr>
          </w:p>
        </w:tc>
        <w:tc>
          <w:tcPr>
            <w:tcW w:w="765" w:type="dxa"/>
            <w:noWrap w:val="0"/>
            <w:vAlign w:val="top"/>
          </w:tcPr>
          <w:p w14:paraId="0C329722">
            <w:pPr>
              <w:spacing w:line="380" w:lineRule="atLeast"/>
              <w:jc w:val="center"/>
              <w:rPr>
                <w:rFonts w:hint="eastAsia" w:ascii="宋体" w:hAnsi="宋体"/>
                <w:color w:val="auto"/>
                <w:highlight w:val="none"/>
              </w:rPr>
            </w:pPr>
          </w:p>
        </w:tc>
        <w:tc>
          <w:tcPr>
            <w:tcW w:w="656" w:type="dxa"/>
            <w:noWrap w:val="0"/>
            <w:vAlign w:val="top"/>
          </w:tcPr>
          <w:p w14:paraId="5141BE78">
            <w:pPr>
              <w:spacing w:line="380" w:lineRule="atLeast"/>
              <w:jc w:val="center"/>
              <w:rPr>
                <w:rFonts w:hint="eastAsia" w:ascii="宋体" w:hAnsi="宋体"/>
                <w:color w:val="auto"/>
                <w:highlight w:val="none"/>
              </w:rPr>
            </w:pPr>
          </w:p>
        </w:tc>
        <w:tc>
          <w:tcPr>
            <w:tcW w:w="1099" w:type="dxa"/>
            <w:noWrap w:val="0"/>
            <w:vAlign w:val="top"/>
          </w:tcPr>
          <w:p w14:paraId="432382A0">
            <w:pPr>
              <w:spacing w:line="380" w:lineRule="atLeast"/>
              <w:jc w:val="center"/>
              <w:rPr>
                <w:rFonts w:hint="eastAsia" w:ascii="宋体" w:hAnsi="宋体"/>
                <w:color w:val="auto"/>
                <w:highlight w:val="none"/>
              </w:rPr>
            </w:pPr>
          </w:p>
        </w:tc>
        <w:tc>
          <w:tcPr>
            <w:tcW w:w="746" w:type="dxa"/>
            <w:noWrap w:val="0"/>
            <w:vAlign w:val="top"/>
          </w:tcPr>
          <w:p w14:paraId="15E978DE">
            <w:pPr>
              <w:spacing w:line="380" w:lineRule="atLeast"/>
              <w:jc w:val="center"/>
              <w:rPr>
                <w:rFonts w:hint="eastAsia" w:ascii="宋体" w:hAnsi="宋体"/>
                <w:color w:val="auto"/>
                <w:highlight w:val="none"/>
              </w:rPr>
            </w:pPr>
          </w:p>
        </w:tc>
        <w:tc>
          <w:tcPr>
            <w:tcW w:w="1335" w:type="dxa"/>
            <w:noWrap w:val="0"/>
            <w:vAlign w:val="top"/>
          </w:tcPr>
          <w:p w14:paraId="2FC79882">
            <w:pPr>
              <w:spacing w:line="380" w:lineRule="atLeast"/>
              <w:jc w:val="center"/>
              <w:rPr>
                <w:rFonts w:hint="eastAsia" w:ascii="宋体" w:hAnsi="宋体"/>
                <w:color w:val="auto"/>
                <w:highlight w:val="none"/>
              </w:rPr>
            </w:pPr>
          </w:p>
        </w:tc>
        <w:tc>
          <w:tcPr>
            <w:tcW w:w="2286" w:type="dxa"/>
            <w:noWrap w:val="0"/>
            <w:vAlign w:val="top"/>
          </w:tcPr>
          <w:p w14:paraId="6681F17A">
            <w:pPr>
              <w:spacing w:line="380" w:lineRule="atLeast"/>
              <w:jc w:val="center"/>
              <w:rPr>
                <w:rFonts w:hint="eastAsia" w:ascii="宋体" w:hAnsi="宋体"/>
                <w:color w:val="auto"/>
                <w:highlight w:val="none"/>
              </w:rPr>
            </w:pPr>
          </w:p>
        </w:tc>
        <w:tc>
          <w:tcPr>
            <w:tcW w:w="803" w:type="dxa"/>
            <w:noWrap w:val="0"/>
            <w:vAlign w:val="top"/>
          </w:tcPr>
          <w:p w14:paraId="12AD3000">
            <w:pPr>
              <w:spacing w:line="380" w:lineRule="atLeast"/>
              <w:jc w:val="center"/>
              <w:rPr>
                <w:rFonts w:hint="eastAsia" w:ascii="宋体" w:hAnsi="宋体"/>
                <w:color w:val="auto"/>
                <w:highlight w:val="none"/>
              </w:rPr>
            </w:pPr>
          </w:p>
        </w:tc>
      </w:tr>
      <w:tr w14:paraId="05F0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746620A2">
            <w:pPr>
              <w:spacing w:line="380" w:lineRule="atLeast"/>
              <w:jc w:val="center"/>
              <w:rPr>
                <w:rFonts w:hint="eastAsia" w:ascii="宋体" w:hAnsi="宋体"/>
                <w:color w:val="auto"/>
                <w:highlight w:val="none"/>
              </w:rPr>
            </w:pPr>
          </w:p>
        </w:tc>
        <w:tc>
          <w:tcPr>
            <w:tcW w:w="765" w:type="dxa"/>
            <w:noWrap w:val="0"/>
            <w:vAlign w:val="top"/>
          </w:tcPr>
          <w:p w14:paraId="74843766">
            <w:pPr>
              <w:spacing w:line="380" w:lineRule="atLeast"/>
              <w:jc w:val="center"/>
              <w:rPr>
                <w:rFonts w:hint="eastAsia" w:ascii="宋体" w:hAnsi="宋体"/>
                <w:color w:val="auto"/>
                <w:highlight w:val="none"/>
              </w:rPr>
            </w:pPr>
          </w:p>
        </w:tc>
        <w:tc>
          <w:tcPr>
            <w:tcW w:w="656" w:type="dxa"/>
            <w:noWrap w:val="0"/>
            <w:vAlign w:val="top"/>
          </w:tcPr>
          <w:p w14:paraId="50725B3D">
            <w:pPr>
              <w:spacing w:line="380" w:lineRule="atLeast"/>
              <w:jc w:val="center"/>
              <w:rPr>
                <w:rFonts w:hint="eastAsia" w:ascii="宋体" w:hAnsi="宋体"/>
                <w:color w:val="auto"/>
                <w:highlight w:val="none"/>
              </w:rPr>
            </w:pPr>
          </w:p>
        </w:tc>
        <w:tc>
          <w:tcPr>
            <w:tcW w:w="1099" w:type="dxa"/>
            <w:noWrap w:val="0"/>
            <w:vAlign w:val="top"/>
          </w:tcPr>
          <w:p w14:paraId="34ABB533">
            <w:pPr>
              <w:spacing w:line="380" w:lineRule="atLeast"/>
              <w:jc w:val="center"/>
              <w:rPr>
                <w:rFonts w:hint="eastAsia" w:ascii="宋体" w:hAnsi="宋体"/>
                <w:color w:val="auto"/>
                <w:highlight w:val="none"/>
              </w:rPr>
            </w:pPr>
          </w:p>
        </w:tc>
        <w:tc>
          <w:tcPr>
            <w:tcW w:w="746" w:type="dxa"/>
            <w:noWrap w:val="0"/>
            <w:vAlign w:val="top"/>
          </w:tcPr>
          <w:p w14:paraId="77C99EC4">
            <w:pPr>
              <w:spacing w:line="380" w:lineRule="atLeast"/>
              <w:jc w:val="center"/>
              <w:rPr>
                <w:rFonts w:hint="eastAsia" w:ascii="宋体" w:hAnsi="宋体"/>
                <w:color w:val="auto"/>
                <w:highlight w:val="none"/>
              </w:rPr>
            </w:pPr>
          </w:p>
        </w:tc>
        <w:tc>
          <w:tcPr>
            <w:tcW w:w="1335" w:type="dxa"/>
            <w:noWrap w:val="0"/>
            <w:vAlign w:val="top"/>
          </w:tcPr>
          <w:p w14:paraId="54338C94">
            <w:pPr>
              <w:spacing w:line="380" w:lineRule="atLeast"/>
              <w:jc w:val="center"/>
              <w:rPr>
                <w:rFonts w:hint="eastAsia" w:ascii="宋体" w:hAnsi="宋体"/>
                <w:color w:val="auto"/>
                <w:highlight w:val="none"/>
              </w:rPr>
            </w:pPr>
          </w:p>
        </w:tc>
        <w:tc>
          <w:tcPr>
            <w:tcW w:w="2286" w:type="dxa"/>
            <w:noWrap w:val="0"/>
            <w:vAlign w:val="top"/>
          </w:tcPr>
          <w:p w14:paraId="00E8C9AC">
            <w:pPr>
              <w:spacing w:line="380" w:lineRule="atLeast"/>
              <w:jc w:val="center"/>
              <w:rPr>
                <w:rFonts w:hint="eastAsia" w:ascii="宋体" w:hAnsi="宋体"/>
                <w:color w:val="auto"/>
                <w:highlight w:val="none"/>
              </w:rPr>
            </w:pPr>
          </w:p>
        </w:tc>
        <w:tc>
          <w:tcPr>
            <w:tcW w:w="803" w:type="dxa"/>
            <w:noWrap w:val="0"/>
            <w:vAlign w:val="top"/>
          </w:tcPr>
          <w:p w14:paraId="2C62EE78">
            <w:pPr>
              <w:spacing w:line="380" w:lineRule="atLeast"/>
              <w:jc w:val="center"/>
              <w:rPr>
                <w:rFonts w:hint="eastAsia" w:ascii="宋体" w:hAnsi="宋体"/>
                <w:color w:val="auto"/>
                <w:highlight w:val="none"/>
              </w:rPr>
            </w:pPr>
          </w:p>
        </w:tc>
      </w:tr>
      <w:tr w14:paraId="162B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5DEE70C6">
            <w:pPr>
              <w:spacing w:line="380" w:lineRule="atLeast"/>
              <w:jc w:val="center"/>
              <w:rPr>
                <w:rFonts w:hint="eastAsia" w:ascii="宋体" w:hAnsi="宋体"/>
                <w:color w:val="auto"/>
                <w:highlight w:val="none"/>
              </w:rPr>
            </w:pPr>
          </w:p>
        </w:tc>
        <w:tc>
          <w:tcPr>
            <w:tcW w:w="765" w:type="dxa"/>
            <w:noWrap w:val="0"/>
            <w:vAlign w:val="top"/>
          </w:tcPr>
          <w:p w14:paraId="7653A26E">
            <w:pPr>
              <w:spacing w:line="380" w:lineRule="atLeast"/>
              <w:jc w:val="center"/>
              <w:rPr>
                <w:rFonts w:hint="eastAsia" w:ascii="宋体" w:hAnsi="宋体"/>
                <w:color w:val="auto"/>
                <w:highlight w:val="none"/>
              </w:rPr>
            </w:pPr>
          </w:p>
        </w:tc>
        <w:tc>
          <w:tcPr>
            <w:tcW w:w="656" w:type="dxa"/>
            <w:noWrap w:val="0"/>
            <w:vAlign w:val="top"/>
          </w:tcPr>
          <w:p w14:paraId="32DBB0D7">
            <w:pPr>
              <w:spacing w:line="380" w:lineRule="atLeast"/>
              <w:jc w:val="center"/>
              <w:rPr>
                <w:rFonts w:hint="eastAsia" w:ascii="宋体" w:hAnsi="宋体"/>
                <w:color w:val="auto"/>
                <w:highlight w:val="none"/>
              </w:rPr>
            </w:pPr>
          </w:p>
        </w:tc>
        <w:tc>
          <w:tcPr>
            <w:tcW w:w="1099" w:type="dxa"/>
            <w:noWrap w:val="0"/>
            <w:vAlign w:val="top"/>
          </w:tcPr>
          <w:p w14:paraId="795A3703">
            <w:pPr>
              <w:spacing w:line="380" w:lineRule="atLeast"/>
              <w:jc w:val="center"/>
              <w:rPr>
                <w:rFonts w:hint="eastAsia" w:ascii="宋体" w:hAnsi="宋体"/>
                <w:color w:val="auto"/>
                <w:highlight w:val="none"/>
              </w:rPr>
            </w:pPr>
          </w:p>
        </w:tc>
        <w:tc>
          <w:tcPr>
            <w:tcW w:w="746" w:type="dxa"/>
            <w:noWrap w:val="0"/>
            <w:vAlign w:val="top"/>
          </w:tcPr>
          <w:p w14:paraId="18C76A30">
            <w:pPr>
              <w:spacing w:line="380" w:lineRule="atLeast"/>
              <w:jc w:val="center"/>
              <w:rPr>
                <w:rFonts w:hint="eastAsia" w:ascii="宋体" w:hAnsi="宋体"/>
                <w:color w:val="auto"/>
                <w:highlight w:val="none"/>
              </w:rPr>
            </w:pPr>
          </w:p>
        </w:tc>
        <w:tc>
          <w:tcPr>
            <w:tcW w:w="1335" w:type="dxa"/>
            <w:noWrap w:val="0"/>
            <w:vAlign w:val="top"/>
          </w:tcPr>
          <w:p w14:paraId="1A0D3B56">
            <w:pPr>
              <w:spacing w:line="380" w:lineRule="atLeast"/>
              <w:jc w:val="center"/>
              <w:rPr>
                <w:rFonts w:hint="eastAsia" w:ascii="宋体" w:hAnsi="宋体"/>
                <w:color w:val="auto"/>
                <w:highlight w:val="none"/>
              </w:rPr>
            </w:pPr>
          </w:p>
        </w:tc>
        <w:tc>
          <w:tcPr>
            <w:tcW w:w="2286" w:type="dxa"/>
            <w:noWrap w:val="0"/>
            <w:vAlign w:val="top"/>
          </w:tcPr>
          <w:p w14:paraId="13560889">
            <w:pPr>
              <w:spacing w:line="380" w:lineRule="atLeast"/>
              <w:jc w:val="center"/>
              <w:rPr>
                <w:rFonts w:hint="eastAsia" w:ascii="宋体" w:hAnsi="宋体"/>
                <w:color w:val="auto"/>
                <w:highlight w:val="none"/>
              </w:rPr>
            </w:pPr>
          </w:p>
        </w:tc>
        <w:tc>
          <w:tcPr>
            <w:tcW w:w="803" w:type="dxa"/>
            <w:noWrap w:val="0"/>
            <w:vAlign w:val="top"/>
          </w:tcPr>
          <w:p w14:paraId="00A29EE9">
            <w:pPr>
              <w:spacing w:line="380" w:lineRule="atLeast"/>
              <w:jc w:val="center"/>
              <w:rPr>
                <w:rFonts w:hint="eastAsia" w:ascii="宋体" w:hAnsi="宋体"/>
                <w:color w:val="auto"/>
                <w:highlight w:val="none"/>
              </w:rPr>
            </w:pPr>
          </w:p>
        </w:tc>
      </w:tr>
      <w:tr w14:paraId="5FF1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6A4B1238">
            <w:pPr>
              <w:spacing w:line="380" w:lineRule="atLeast"/>
              <w:jc w:val="center"/>
              <w:rPr>
                <w:rFonts w:hint="eastAsia" w:ascii="宋体" w:hAnsi="宋体"/>
                <w:color w:val="auto"/>
                <w:highlight w:val="none"/>
              </w:rPr>
            </w:pPr>
          </w:p>
        </w:tc>
        <w:tc>
          <w:tcPr>
            <w:tcW w:w="765" w:type="dxa"/>
            <w:noWrap w:val="0"/>
            <w:vAlign w:val="top"/>
          </w:tcPr>
          <w:p w14:paraId="3CBB1959">
            <w:pPr>
              <w:spacing w:line="380" w:lineRule="atLeast"/>
              <w:jc w:val="center"/>
              <w:rPr>
                <w:rFonts w:hint="eastAsia" w:ascii="宋体" w:hAnsi="宋体"/>
                <w:color w:val="auto"/>
                <w:highlight w:val="none"/>
              </w:rPr>
            </w:pPr>
          </w:p>
        </w:tc>
        <w:tc>
          <w:tcPr>
            <w:tcW w:w="656" w:type="dxa"/>
            <w:noWrap w:val="0"/>
            <w:vAlign w:val="top"/>
          </w:tcPr>
          <w:p w14:paraId="2E9CEF34">
            <w:pPr>
              <w:spacing w:line="380" w:lineRule="atLeast"/>
              <w:jc w:val="center"/>
              <w:rPr>
                <w:rFonts w:hint="eastAsia" w:ascii="宋体" w:hAnsi="宋体"/>
                <w:color w:val="auto"/>
                <w:highlight w:val="none"/>
              </w:rPr>
            </w:pPr>
          </w:p>
        </w:tc>
        <w:tc>
          <w:tcPr>
            <w:tcW w:w="1099" w:type="dxa"/>
            <w:noWrap w:val="0"/>
            <w:vAlign w:val="top"/>
          </w:tcPr>
          <w:p w14:paraId="1034244A">
            <w:pPr>
              <w:spacing w:line="380" w:lineRule="atLeast"/>
              <w:jc w:val="center"/>
              <w:rPr>
                <w:rFonts w:hint="eastAsia" w:ascii="宋体" w:hAnsi="宋体"/>
                <w:color w:val="auto"/>
                <w:highlight w:val="none"/>
              </w:rPr>
            </w:pPr>
          </w:p>
        </w:tc>
        <w:tc>
          <w:tcPr>
            <w:tcW w:w="746" w:type="dxa"/>
            <w:noWrap w:val="0"/>
            <w:vAlign w:val="top"/>
          </w:tcPr>
          <w:p w14:paraId="6842FC81">
            <w:pPr>
              <w:spacing w:line="380" w:lineRule="atLeast"/>
              <w:jc w:val="center"/>
              <w:rPr>
                <w:rFonts w:hint="eastAsia" w:ascii="宋体" w:hAnsi="宋体"/>
                <w:color w:val="auto"/>
                <w:highlight w:val="none"/>
              </w:rPr>
            </w:pPr>
          </w:p>
        </w:tc>
        <w:tc>
          <w:tcPr>
            <w:tcW w:w="1335" w:type="dxa"/>
            <w:noWrap w:val="0"/>
            <w:vAlign w:val="top"/>
          </w:tcPr>
          <w:p w14:paraId="10A826C1">
            <w:pPr>
              <w:spacing w:line="380" w:lineRule="atLeast"/>
              <w:jc w:val="center"/>
              <w:rPr>
                <w:rFonts w:hint="eastAsia" w:ascii="宋体" w:hAnsi="宋体"/>
                <w:color w:val="auto"/>
                <w:highlight w:val="none"/>
              </w:rPr>
            </w:pPr>
          </w:p>
        </w:tc>
        <w:tc>
          <w:tcPr>
            <w:tcW w:w="2286" w:type="dxa"/>
            <w:noWrap w:val="0"/>
            <w:vAlign w:val="top"/>
          </w:tcPr>
          <w:p w14:paraId="0DB5FD38">
            <w:pPr>
              <w:spacing w:line="380" w:lineRule="atLeast"/>
              <w:jc w:val="center"/>
              <w:rPr>
                <w:rFonts w:hint="eastAsia" w:ascii="宋体" w:hAnsi="宋体"/>
                <w:color w:val="auto"/>
                <w:highlight w:val="none"/>
              </w:rPr>
            </w:pPr>
          </w:p>
        </w:tc>
        <w:tc>
          <w:tcPr>
            <w:tcW w:w="803" w:type="dxa"/>
            <w:noWrap w:val="0"/>
            <w:vAlign w:val="top"/>
          </w:tcPr>
          <w:p w14:paraId="05E4996E">
            <w:pPr>
              <w:spacing w:line="380" w:lineRule="atLeast"/>
              <w:jc w:val="center"/>
              <w:rPr>
                <w:rFonts w:hint="eastAsia" w:ascii="宋体" w:hAnsi="宋体"/>
                <w:color w:val="auto"/>
                <w:highlight w:val="none"/>
              </w:rPr>
            </w:pPr>
          </w:p>
        </w:tc>
      </w:tr>
      <w:tr w14:paraId="430F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43A22785">
            <w:pPr>
              <w:spacing w:line="380" w:lineRule="atLeast"/>
              <w:jc w:val="center"/>
              <w:rPr>
                <w:rFonts w:hint="eastAsia" w:ascii="宋体" w:hAnsi="宋体"/>
                <w:color w:val="auto"/>
                <w:highlight w:val="none"/>
              </w:rPr>
            </w:pPr>
          </w:p>
        </w:tc>
        <w:tc>
          <w:tcPr>
            <w:tcW w:w="765" w:type="dxa"/>
            <w:noWrap w:val="0"/>
            <w:vAlign w:val="top"/>
          </w:tcPr>
          <w:p w14:paraId="13ADD750">
            <w:pPr>
              <w:spacing w:line="380" w:lineRule="atLeast"/>
              <w:jc w:val="center"/>
              <w:rPr>
                <w:rFonts w:hint="eastAsia" w:ascii="宋体" w:hAnsi="宋体"/>
                <w:color w:val="auto"/>
                <w:highlight w:val="none"/>
              </w:rPr>
            </w:pPr>
          </w:p>
        </w:tc>
        <w:tc>
          <w:tcPr>
            <w:tcW w:w="656" w:type="dxa"/>
            <w:noWrap w:val="0"/>
            <w:vAlign w:val="top"/>
          </w:tcPr>
          <w:p w14:paraId="5FB4536C">
            <w:pPr>
              <w:spacing w:line="380" w:lineRule="atLeast"/>
              <w:jc w:val="center"/>
              <w:rPr>
                <w:rFonts w:hint="eastAsia" w:ascii="宋体" w:hAnsi="宋体"/>
                <w:color w:val="auto"/>
                <w:highlight w:val="none"/>
              </w:rPr>
            </w:pPr>
          </w:p>
        </w:tc>
        <w:tc>
          <w:tcPr>
            <w:tcW w:w="1099" w:type="dxa"/>
            <w:noWrap w:val="0"/>
            <w:vAlign w:val="top"/>
          </w:tcPr>
          <w:p w14:paraId="6BDF671D">
            <w:pPr>
              <w:spacing w:line="380" w:lineRule="atLeast"/>
              <w:jc w:val="center"/>
              <w:rPr>
                <w:rFonts w:hint="eastAsia" w:ascii="宋体" w:hAnsi="宋体"/>
                <w:color w:val="auto"/>
                <w:highlight w:val="none"/>
              </w:rPr>
            </w:pPr>
          </w:p>
        </w:tc>
        <w:tc>
          <w:tcPr>
            <w:tcW w:w="746" w:type="dxa"/>
            <w:noWrap w:val="0"/>
            <w:vAlign w:val="top"/>
          </w:tcPr>
          <w:p w14:paraId="2D5DB048">
            <w:pPr>
              <w:spacing w:line="380" w:lineRule="atLeast"/>
              <w:jc w:val="center"/>
              <w:rPr>
                <w:rFonts w:hint="eastAsia" w:ascii="宋体" w:hAnsi="宋体"/>
                <w:color w:val="auto"/>
                <w:highlight w:val="none"/>
              </w:rPr>
            </w:pPr>
          </w:p>
        </w:tc>
        <w:tc>
          <w:tcPr>
            <w:tcW w:w="1335" w:type="dxa"/>
            <w:noWrap w:val="0"/>
            <w:vAlign w:val="top"/>
          </w:tcPr>
          <w:p w14:paraId="739E6F90">
            <w:pPr>
              <w:spacing w:line="380" w:lineRule="atLeast"/>
              <w:jc w:val="center"/>
              <w:rPr>
                <w:rFonts w:hint="eastAsia" w:ascii="宋体" w:hAnsi="宋体"/>
                <w:color w:val="auto"/>
                <w:highlight w:val="none"/>
              </w:rPr>
            </w:pPr>
          </w:p>
        </w:tc>
        <w:tc>
          <w:tcPr>
            <w:tcW w:w="2286" w:type="dxa"/>
            <w:noWrap w:val="0"/>
            <w:vAlign w:val="top"/>
          </w:tcPr>
          <w:p w14:paraId="15AF2D26">
            <w:pPr>
              <w:spacing w:line="380" w:lineRule="atLeast"/>
              <w:jc w:val="center"/>
              <w:rPr>
                <w:rFonts w:hint="eastAsia" w:ascii="宋体" w:hAnsi="宋体"/>
                <w:color w:val="auto"/>
                <w:highlight w:val="none"/>
              </w:rPr>
            </w:pPr>
          </w:p>
        </w:tc>
        <w:tc>
          <w:tcPr>
            <w:tcW w:w="803" w:type="dxa"/>
            <w:noWrap w:val="0"/>
            <w:vAlign w:val="top"/>
          </w:tcPr>
          <w:p w14:paraId="06AFCC0A">
            <w:pPr>
              <w:spacing w:line="380" w:lineRule="atLeast"/>
              <w:jc w:val="center"/>
              <w:rPr>
                <w:rFonts w:hint="eastAsia" w:ascii="宋体" w:hAnsi="宋体"/>
                <w:color w:val="auto"/>
                <w:highlight w:val="none"/>
              </w:rPr>
            </w:pPr>
          </w:p>
        </w:tc>
      </w:tr>
    </w:tbl>
    <w:p w14:paraId="665A87F1">
      <w:pPr>
        <w:spacing w:line="440" w:lineRule="exact"/>
        <w:ind w:left="210" w:leftChars="100"/>
        <w:jc w:val="center"/>
        <w:rPr>
          <w:rFonts w:hint="eastAsia" w:ascii="宋体" w:hAnsi="宋体"/>
          <w:color w:val="auto"/>
          <w:sz w:val="20"/>
          <w:highlight w:val="none"/>
        </w:rPr>
      </w:pPr>
    </w:p>
    <w:p w14:paraId="5F7175D9">
      <w:pPr>
        <w:topLinePunct/>
        <w:spacing w:line="440" w:lineRule="exact"/>
        <w:rPr>
          <w:rFonts w:hint="eastAsia"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2"/>
          <w:szCs w:val="22"/>
          <w:highlight w:val="none"/>
        </w:rPr>
        <w:t>（二）主要人员简历表</w:t>
      </w:r>
    </w:p>
    <w:p w14:paraId="5EBDC5E6">
      <w:pPr>
        <w:topLinePunct/>
        <w:spacing w:line="440" w:lineRule="exact"/>
        <w:rPr>
          <w:rFonts w:hint="eastAsia" w:ascii="宋体" w:hAnsi="宋体"/>
          <w:color w:val="auto"/>
          <w:szCs w:val="21"/>
          <w:highlight w:val="none"/>
        </w:rPr>
      </w:pPr>
      <w:r>
        <w:rPr>
          <w:rFonts w:hint="eastAsia" w:ascii="宋体" w:hAnsi="宋体"/>
          <w:color w:val="auto"/>
          <w:szCs w:val="21"/>
          <w:highlight w:val="none"/>
        </w:rPr>
        <w:t xml:space="preserve">   </w:t>
      </w:r>
    </w:p>
    <w:tbl>
      <w:tblPr>
        <w:tblStyle w:val="46"/>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40"/>
        <w:gridCol w:w="975"/>
        <w:gridCol w:w="945"/>
        <w:gridCol w:w="1035"/>
        <w:gridCol w:w="615"/>
        <w:gridCol w:w="1260"/>
        <w:gridCol w:w="180"/>
        <w:gridCol w:w="1732"/>
      </w:tblGrid>
      <w:tr w14:paraId="21E4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noWrap w:val="0"/>
            <w:vAlign w:val="center"/>
          </w:tcPr>
          <w:p w14:paraId="6C51B8F3">
            <w:pPr>
              <w:spacing w:line="440" w:lineRule="exact"/>
              <w:jc w:val="center"/>
              <w:rPr>
                <w:rFonts w:hint="eastAsia" w:ascii="宋体" w:hAnsi="宋体"/>
                <w:color w:val="auto"/>
                <w:szCs w:val="21"/>
                <w:highlight w:val="none"/>
              </w:rPr>
            </w:pPr>
            <w:r>
              <w:rPr>
                <w:rFonts w:hint="eastAsia" w:ascii="宋体" w:hAnsi="宋体"/>
                <w:color w:val="auto"/>
                <w:szCs w:val="21"/>
                <w:highlight w:val="none"/>
              </w:rPr>
              <w:t>姓  名</w:t>
            </w:r>
          </w:p>
        </w:tc>
        <w:tc>
          <w:tcPr>
            <w:tcW w:w="1215" w:type="dxa"/>
            <w:gridSpan w:val="2"/>
            <w:noWrap w:val="0"/>
            <w:vAlign w:val="center"/>
          </w:tcPr>
          <w:p w14:paraId="37503E40">
            <w:pPr>
              <w:spacing w:line="440" w:lineRule="exact"/>
              <w:jc w:val="center"/>
              <w:rPr>
                <w:rFonts w:hint="eastAsia" w:ascii="宋体" w:hAnsi="宋体"/>
                <w:color w:val="auto"/>
                <w:szCs w:val="21"/>
                <w:highlight w:val="none"/>
              </w:rPr>
            </w:pPr>
          </w:p>
        </w:tc>
        <w:tc>
          <w:tcPr>
            <w:tcW w:w="945" w:type="dxa"/>
            <w:noWrap w:val="0"/>
            <w:vAlign w:val="center"/>
          </w:tcPr>
          <w:p w14:paraId="5DAF7A45">
            <w:pPr>
              <w:spacing w:line="440" w:lineRule="exact"/>
              <w:jc w:val="center"/>
              <w:rPr>
                <w:rFonts w:hint="eastAsia" w:ascii="宋体" w:hAnsi="宋体"/>
                <w:color w:val="auto"/>
                <w:szCs w:val="21"/>
                <w:highlight w:val="none"/>
              </w:rPr>
            </w:pPr>
            <w:r>
              <w:rPr>
                <w:rFonts w:hint="eastAsia" w:ascii="宋体" w:hAnsi="宋体"/>
                <w:color w:val="auto"/>
                <w:szCs w:val="21"/>
                <w:highlight w:val="none"/>
              </w:rPr>
              <w:t>年 龄</w:t>
            </w:r>
          </w:p>
        </w:tc>
        <w:tc>
          <w:tcPr>
            <w:tcW w:w="1035" w:type="dxa"/>
            <w:noWrap w:val="0"/>
            <w:vAlign w:val="center"/>
          </w:tcPr>
          <w:p w14:paraId="1D5788A0">
            <w:pPr>
              <w:spacing w:line="440" w:lineRule="exact"/>
              <w:jc w:val="center"/>
              <w:rPr>
                <w:rFonts w:hint="eastAsia" w:ascii="宋体" w:hAnsi="宋体"/>
                <w:color w:val="auto"/>
                <w:szCs w:val="21"/>
                <w:highlight w:val="none"/>
              </w:rPr>
            </w:pPr>
          </w:p>
        </w:tc>
        <w:tc>
          <w:tcPr>
            <w:tcW w:w="2055" w:type="dxa"/>
            <w:gridSpan w:val="3"/>
            <w:noWrap w:val="0"/>
            <w:vAlign w:val="center"/>
          </w:tcPr>
          <w:p w14:paraId="5F497395">
            <w:pPr>
              <w:spacing w:line="440" w:lineRule="exact"/>
              <w:jc w:val="center"/>
              <w:rPr>
                <w:rFonts w:hint="eastAsia" w:ascii="宋体" w:hAnsi="宋体"/>
                <w:color w:val="auto"/>
                <w:szCs w:val="21"/>
                <w:highlight w:val="none"/>
              </w:rPr>
            </w:pPr>
            <w:r>
              <w:rPr>
                <w:rFonts w:hint="eastAsia" w:ascii="宋体" w:hAnsi="宋体"/>
                <w:color w:val="auto"/>
                <w:szCs w:val="21"/>
                <w:highlight w:val="none"/>
              </w:rPr>
              <w:t>学历</w:t>
            </w:r>
          </w:p>
        </w:tc>
        <w:tc>
          <w:tcPr>
            <w:tcW w:w="1732" w:type="dxa"/>
            <w:noWrap w:val="0"/>
            <w:vAlign w:val="center"/>
          </w:tcPr>
          <w:p w14:paraId="729DB2FE">
            <w:pPr>
              <w:spacing w:line="440" w:lineRule="exact"/>
              <w:jc w:val="center"/>
              <w:rPr>
                <w:rFonts w:hint="eastAsia" w:ascii="宋体" w:hAnsi="宋体"/>
                <w:color w:val="auto"/>
                <w:szCs w:val="21"/>
                <w:highlight w:val="none"/>
              </w:rPr>
            </w:pPr>
          </w:p>
        </w:tc>
      </w:tr>
      <w:tr w14:paraId="7E5B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noWrap w:val="0"/>
            <w:vAlign w:val="center"/>
          </w:tcPr>
          <w:p w14:paraId="0CFC44C1">
            <w:pPr>
              <w:spacing w:line="440" w:lineRule="exact"/>
              <w:jc w:val="center"/>
              <w:rPr>
                <w:rFonts w:hint="eastAsia" w:ascii="宋体" w:hAnsi="宋体"/>
                <w:color w:val="auto"/>
                <w:szCs w:val="21"/>
                <w:highlight w:val="none"/>
              </w:rPr>
            </w:pPr>
            <w:r>
              <w:rPr>
                <w:rFonts w:hint="eastAsia" w:ascii="宋体" w:hAnsi="宋体"/>
                <w:color w:val="auto"/>
                <w:szCs w:val="21"/>
                <w:highlight w:val="none"/>
              </w:rPr>
              <w:t>执业资格</w:t>
            </w:r>
          </w:p>
        </w:tc>
        <w:tc>
          <w:tcPr>
            <w:tcW w:w="3195" w:type="dxa"/>
            <w:gridSpan w:val="4"/>
            <w:noWrap w:val="0"/>
            <w:vAlign w:val="center"/>
          </w:tcPr>
          <w:p w14:paraId="1AB0A853">
            <w:pPr>
              <w:spacing w:line="440" w:lineRule="exact"/>
              <w:jc w:val="center"/>
              <w:rPr>
                <w:rFonts w:hint="eastAsia" w:ascii="宋体" w:hAnsi="宋体"/>
                <w:color w:val="auto"/>
                <w:szCs w:val="21"/>
                <w:highlight w:val="none"/>
              </w:rPr>
            </w:pPr>
          </w:p>
        </w:tc>
        <w:tc>
          <w:tcPr>
            <w:tcW w:w="2055" w:type="dxa"/>
            <w:gridSpan w:val="3"/>
            <w:noWrap w:val="0"/>
            <w:vAlign w:val="center"/>
          </w:tcPr>
          <w:p w14:paraId="1BFAC956">
            <w:pPr>
              <w:spacing w:line="440" w:lineRule="exact"/>
              <w:jc w:val="center"/>
              <w:rPr>
                <w:rFonts w:hint="eastAsia" w:ascii="宋体" w:hAnsi="宋体"/>
                <w:color w:val="auto"/>
                <w:szCs w:val="21"/>
                <w:highlight w:val="none"/>
              </w:rPr>
            </w:pPr>
            <w:r>
              <w:rPr>
                <w:rFonts w:hint="eastAsia" w:ascii="宋体" w:hAnsi="宋体"/>
                <w:color w:val="auto"/>
                <w:szCs w:val="21"/>
                <w:highlight w:val="none"/>
              </w:rPr>
              <w:t>执业或职业证号</w:t>
            </w:r>
          </w:p>
        </w:tc>
        <w:tc>
          <w:tcPr>
            <w:tcW w:w="1732" w:type="dxa"/>
            <w:noWrap w:val="0"/>
            <w:vAlign w:val="center"/>
          </w:tcPr>
          <w:p w14:paraId="49071CA0">
            <w:pPr>
              <w:spacing w:line="440" w:lineRule="exact"/>
              <w:jc w:val="center"/>
              <w:rPr>
                <w:rFonts w:hint="eastAsia" w:ascii="宋体" w:hAnsi="宋体"/>
                <w:color w:val="auto"/>
                <w:szCs w:val="21"/>
                <w:highlight w:val="none"/>
              </w:rPr>
            </w:pPr>
          </w:p>
        </w:tc>
      </w:tr>
      <w:tr w14:paraId="5E886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noWrap w:val="0"/>
            <w:vAlign w:val="center"/>
          </w:tcPr>
          <w:p w14:paraId="2A08FBF4">
            <w:pPr>
              <w:spacing w:line="440" w:lineRule="exact"/>
              <w:jc w:val="center"/>
              <w:rPr>
                <w:rFonts w:hint="eastAsia" w:ascii="宋体" w:hAnsi="宋体"/>
                <w:color w:val="auto"/>
                <w:szCs w:val="21"/>
                <w:highlight w:val="none"/>
              </w:rPr>
            </w:pPr>
            <w:r>
              <w:rPr>
                <w:rFonts w:hint="eastAsia" w:ascii="宋体" w:hAnsi="宋体"/>
                <w:color w:val="auto"/>
                <w:szCs w:val="21"/>
                <w:highlight w:val="none"/>
              </w:rPr>
              <w:t>职  称</w:t>
            </w:r>
          </w:p>
        </w:tc>
        <w:tc>
          <w:tcPr>
            <w:tcW w:w="1215" w:type="dxa"/>
            <w:gridSpan w:val="2"/>
            <w:noWrap w:val="0"/>
            <w:vAlign w:val="center"/>
          </w:tcPr>
          <w:p w14:paraId="6A15D78C">
            <w:pPr>
              <w:spacing w:line="440" w:lineRule="exact"/>
              <w:jc w:val="center"/>
              <w:rPr>
                <w:rFonts w:hint="eastAsia" w:ascii="宋体" w:hAnsi="宋体"/>
                <w:color w:val="auto"/>
                <w:szCs w:val="21"/>
                <w:highlight w:val="none"/>
              </w:rPr>
            </w:pPr>
          </w:p>
        </w:tc>
        <w:tc>
          <w:tcPr>
            <w:tcW w:w="945" w:type="dxa"/>
            <w:noWrap w:val="0"/>
            <w:vAlign w:val="center"/>
          </w:tcPr>
          <w:p w14:paraId="5004F30A">
            <w:pPr>
              <w:spacing w:line="440" w:lineRule="exact"/>
              <w:jc w:val="center"/>
              <w:rPr>
                <w:rFonts w:hint="eastAsia" w:ascii="宋体" w:hAnsi="宋体"/>
                <w:color w:val="auto"/>
                <w:szCs w:val="21"/>
                <w:highlight w:val="none"/>
              </w:rPr>
            </w:pPr>
            <w:r>
              <w:rPr>
                <w:rFonts w:hint="eastAsia" w:ascii="宋体" w:hAnsi="宋体"/>
                <w:color w:val="auto"/>
                <w:szCs w:val="21"/>
                <w:highlight w:val="none"/>
              </w:rPr>
              <w:t>职 务</w:t>
            </w:r>
          </w:p>
        </w:tc>
        <w:tc>
          <w:tcPr>
            <w:tcW w:w="1035" w:type="dxa"/>
            <w:noWrap w:val="0"/>
            <w:vAlign w:val="center"/>
          </w:tcPr>
          <w:p w14:paraId="69A80D06">
            <w:pPr>
              <w:spacing w:line="440" w:lineRule="exact"/>
              <w:jc w:val="center"/>
              <w:rPr>
                <w:rFonts w:hint="eastAsia" w:ascii="宋体" w:hAnsi="宋体"/>
                <w:color w:val="auto"/>
                <w:szCs w:val="21"/>
                <w:highlight w:val="none"/>
              </w:rPr>
            </w:pPr>
          </w:p>
        </w:tc>
        <w:tc>
          <w:tcPr>
            <w:tcW w:w="2055" w:type="dxa"/>
            <w:gridSpan w:val="3"/>
            <w:noWrap w:val="0"/>
            <w:vAlign w:val="center"/>
          </w:tcPr>
          <w:p w14:paraId="185C2A55">
            <w:pPr>
              <w:spacing w:line="440" w:lineRule="exact"/>
              <w:jc w:val="center"/>
              <w:rPr>
                <w:rFonts w:hint="eastAsia" w:ascii="宋体" w:hAnsi="宋体"/>
                <w:color w:val="auto"/>
                <w:szCs w:val="21"/>
                <w:highlight w:val="none"/>
              </w:rPr>
            </w:pPr>
            <w:r>
              <w:rPr>
                <w:rFonts w:hint="eastAsia" w:ascii="宋体" w:hAnsi="宋体"/>
                <w:color w:val="auto"/>
                <w:szCs w:val="21"/>
                <w:highlight w:val="none"/>
              </w:rPr>
              <w:t>拟在本合同任职</w:t>
            </w:r>
          </w:p>
        </w:tc>
        <w:tc>
          <w:tcPr>
            <w:tcW w:w="1732" w:type="dxa"/>
            <w:noWrap w:val="0"/>
            <w:vAlign w:val="center"/>
          </w:tcPr>
          <w:p w14:paraId="4316CD7D">
            <w:pPr>
              <w:spacing w:line="440" w:lineRule="exact"/>
              <w:jc w:val="center"/>
              <w:rPr>
                <w:rFonts w:hint="eastAsia" w:ascii="宋体" w:hAnsi="宋体"/>
                <w:color w:val="auto"/>
                <w:szCs w:val="21"/>
                <w:highlight w:val="none"/>
              </w:rPr>
            </w:pPr>
          </w:p>
        </w:tc>
      </w:tr>
      <w:tr w14:paraId="56D0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noWrap w:val="0"/>
            <w:vAlign w:val="center"/>
          </w:tcPr>
          <w:p w14:paraId="0536C625">
            <w:pPr>
              <w:spacing w:line="440" w:lineRule="exact"/>
              <w:jc w:val="center"/>
              <w:rPr>
                <w:rFonts w:hint="eastAsia" w:ascii="宋体" w:hAnsi="宋体"/>
                <w:color w:val="auto"/>
                <w:szCs w:val="21"/>
                <w:highlight w:val="none"/>
              </w:rPr>
            </w:pPr>
            <w:r>
              <w:rPr>
                <w:rFonts w:hint="eastAsia" w:ascii="宋体" w:hAnsi="宋体"/>
                <w:color w:val="auto"/>
                <w:szCs w:val="21"/>
                <w:highlight w:val="none"/>
              </w:rPr>
              <w:t>毕业学校</w:t>
            </w:r>
          </w:p>
        </w:tc>
        <w:tc>
          <w:tcPr>
            <w:tcW w:w="6982" w:type="dxa"/>
            <w:gridSpan w:val="8"/>
            <w:noWrap w:val="0"/>
            <w:vAlign w:val="top"/>
          </w:tcPr>
          <w:p w14:paraId="03A9615F">
            <w:pPr>
              <w:spacing w:line="440" w:lineRule="exact"/>
              <w:rPr>
                <w:rFonts w:hint="eastAsia" w:ascii="宋体" w:hAnsi="宋体"/>
                <w:color w:val="auto"/>
                <w:szCs w:val="21"/>
                <w:highlight w:val="none"/>
              </w:rPr>
            </w:pPr>
            <w:r>
              <w:rPr>
                <w:rFonts w:hint="eastAsia" w:ascii="宋体" w:hAnsi="宋体"/>
                <w:color w:val="auto"/>
                <w:szCs w:val="21"/>
                <w:highlight w:val="none"/>
              </w:rPr>
              <w:t xml:space="preserve">      年毕业于            学校        专业</w:t>
            </w:r>
          </w:p>
        </w:tc>
      </w:tr>
      <w:tr w14:paraId="1232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6" w:type="dxa"/>
            <w:gridSpan w:val="9"/>
            <w:noWrap w:val="0"/>
            <w:vAlign w:val="center"/>
          </w:tcPr>
          <w:p w14:paraId="55221C5F">
            <w:pPr>
              <w:spacing w:line="440" w:lineRule="exact"/>
              <w:jc w:val="center"/>
              <w:rPr>
                <w:rFonts w:hint="eastAsia" w:ascii="宋体" w:hAnsi="宋体"/>
                <w:color w:val="auto"/>
                <w:szCs w:val="21"/>
                <w:highlight w:val="none"/>
              </w:rPr>
            </w:pPr>
            <w:r>
              <w:rPr>
                <w:rFonts w:hint="eastAsia" w:ascii="宋体" w:hAnsi="宋体"/>
                <w:color w:val="auto"/>
                <w:szCs w:val="21"/>
                <w:highlight w:val="none"/>
              </w:rPr>
              <w:t>主要施工管理经历</w:t>
            </w:r>
          </w:p>
        </w:tc>
      </w:tr>
      <w:tr w14:paraId="7BCF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4" w:type="dxa"/>
            <w:gridSpan w:val="2"/>
            <w:noWrap w:val="0"/>
            <w:vAlign w:val="center"/>
          </w:tcPr>
          <w:p w14:paraId="7693C353">
            <w:pPr>
              <w:spacing w:line="440" w:lineRule="exact"/>
              <w:jc w:val="center"/>
              <w:rPr>
                <w:rFonts w:hint="eastAsia" w:ascii="宋体" w:hAnsi="宋体"/>
                <w:color w:val="auto"/>
                <w:szCs w:val="21"/>
                <w:highlight w:val="none"/>
              </w:rPr>
            </w:pPr>
            <w:r>
              <w:rPr>
                <w:rFonts w:hint="eastAsia" w:ascii="宋体" w:hAnsi="宋体"/>
                <w:color w:val="auto"/>
                <w:szCs w:val="21"/>
                <w:highlight w:val="none"/>
              </w:rPr>
              <w:t>时  间</w:t>
            </w:r>
          </w:p>
        </w:tc>
        <w:tc>
          <w:tcPr>
            <w:tcW w:w="3570" w:type="dxa"/>
            <w:gridSpan w:val="4"/>
            <w:noWrap w:val="0"/>
            <w:vAlign w:val="center"/>
          </w:tcPr>
          <w:p w14:paraId="46B37232">
            <w:pPr>
              <w:spacing w:line="440" w:lineRule="exact"/>
              <w:jc w:val="center"/>
              <w:rPr>
                <w:rFonts w:hint="eastAsia" w:ascii="宋体" w:hAnsi="宋体"/>
                <w:color w:val="auto"/>
                <w:szCs w:val="21"/>
                <w:highlight w:val="none"/>
              </w:rPr>
            </w:pPr>
            <w:r>
              <w:rPr>
                <w:rFonts w:hint="eastAsia" w:ascii="宋体" w:hAnsi="宋体"/>
                <w:color w:val="auto"/>
                <w:szCs w:val="21"/>
                <w:highlight w:val="none"/>
              </w:rPr>
              <w:t>参加过的类似项目</w:t>
            </w:r>
          </w:p>
        </w:tc>
        <w:tc>
          <w:tcPr>
            <w:tcW w:w="1260" w:type="dxa"/>
            <w:noWrap w:val="0"/>
            <w:vAlign w:val="center"/>
          </w:tcPr>
          <w:p w14:paraId="6AD9C5C1">
            <w:pPr>
              <w:spacing w:line="440" w:lineRule="exact"/>
              <w:jc w:val="center"/>
              <w:rPr>
                <w:rFonts w:hint="eastAsia" w:ascii="宋体" w:hAnsi="宋体"/>
                <w:color w:val="auto"/>
                <w:szCs w:val="21"/>
                <w:highlight w:val="none"/>
              </w:rPr>
            </w:pPr>
            <w:r>
              <w:rPr>
                <w:rFonts w:hint="eastAsia" w:ascii="宋体" w:hAnsi="宋体"/>
                <w:color w:val="auto"/>
                <w:szCs w:val="21"/>
                <w:highlight w:val="none"/>
              </w:rPr>
              <w:t>担任职务</w:t>
            </w:r>
          </w:p>
        </w:tc>
        <w:tc>
          <w:tcPr>
            <w:tcW w:w="1912" w:type="dxa"/>
            <w:gridSpan w:val="2"/>
            <w:noWrap w:val="0"/>
            <w:vAlign w:val="center"/>
          </w:tcPr>
          <w:p w14:paraId="2210F6FB">
            <w:pPr>
              <w:spacing w:line="440" w:lineRule="exact"/>
              <w:rPr>
                <w:rFonts w:hint="eastAsia" w:ascii="宋体" w:hAnsi="宋体"/>
                <w:color w:val="auto"/>
                <w:szCs w:val="21"/>
                <w:highlight w:val="none"/>
              </w:rPr>
            </w:pPr>
            <w:r>
              <w:rPr>
                <w:rFonts w:hint="eastAsia" w:ascii="宋体" w:hAnsi="宋体"/>
                <w:color w:val="auto"/>
                <w:szCs w:val="21"/>
                <w:highlight w:val="none"/>
              </w:rPr>
              <w:t>发包人及联系电话</w:t>
            </w:r>
          </w:p>
        </w:tc>
      </w:tr>
      <w:tr w14:paraId="193C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4" w:type="dxa"/>
            <w:gridSpan w:val="2"/>
            <w:noWrap w:val="0"/>
            <w:vAlign w:val="top"/>
          </w:tcPr>
          <w:p w14:paraId="453F29BD">
            <w:pPr>
              <w:spacing w:line="440" w:lineRule="exact"/>
              <w:rPr>
                <w:rFonts w:hint="eastAsia" w:ascii="宋体" w:hAnsi="宋体"/>
                <w:color w:val="auto"/>
                <w:szCs w:val="21"/>
                <w:highlight w:val="none"/>
              </w:rPr>
            </w:pPr>
          </w:p>
        </w:tc>
        <w:tc>
          <w:tcPr>
            <w:tcW w:w="3570" w:type="dxa"/>
            <w:gridSpan w:val="4"/>
            <w:noWrap w:val="0"/>
            <w:vAlign w:val="top"/>
          </w:tcPr>
          <w:p w14:paraId="0E285971">
            <w:pPr>
              <w:spacing w:line="440" w:lineRule="exact"/>
              <w:rPr>
                <w:rFonts w:hint="eastAsia" w:ascii="宋体" w:hAnsi="宋体"/>
                <w:color w:val="auto"/>
                <w:szCs w:val="21"/>
                <w:highlight w:val="none"/>
              </w:rPr>
            </w:pPr>
          </w:p>
        </w:tc>
        <w:tc>
          <w:tcPr>
            <w:tcW w:w="1260" w:type="dxa"/>
            <w:noWrap w:val="0"/>
            <w:vAlign w:val="top"/>
          </w:tcPr>
          <w:p w14:paraId="6BB12AD3">
            <w:pPr>
              <w:spacing w:line="440" w:lineRule="exact"/>
              <w:rPr>
                <w:rFonts w:hint="eastAsia" w:ascii="宋体" w:hAnsi="宋体"/>
                <w:color w:val="auto"/>
                <w:szCs w:val="21"/>
                <w:highlight w:val="none"/>
              </w:rPr>
            </w:pPr>
          </w:p>
        </w:tc>
        <w:tc>
          <w:tcPr>
            <w:tcW w:w="1912" w:type="dxa"/>
            <w:gridSpan w:val="2"/>
            <w:noWrap w:val="0"/>
            <w:vAlign w:val="top"/>
          </w:tcPr>
          <w:p w14:paraId="278CEC55">
            <w:pPr>
              <w:spacing w:line="440" w:lineRule="exact"/>
              <w:rPr>
                <w:rFonts w:hint="eastAsia" w:ascii="宋体" w:hAnsi="宋体"/>
                <w:color w:val="auto"/>
                <w:szCs w:val="21"/>
                <w:highlight w:val="none"/>
              </w:rPr>
            </w:pPr>
          </w:p>
        </w:tc>
      </w:tr>
      <w:tr w14:paraId="0829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4" w:type="dxa"/>
            <w:gridSpan w:val="2"/>
            <w:noWrap w:val="0"/>
            <w:vAlign w:val="top"/>
          </w:tcPr>
          <w:p w14:paraId="22D31190">
            <w:pPr>
              <w:spacing w:line="440" w:lineRule="exact"/>
              <w:rPr>
                <w:rFonts w:hint="eastAsia" w:ascii="宋体" w:hAnsi="宋体"/>
                <w:color w:val="auto"/>
                <w:szCs w:val="21"/>
                <w:highlight w:val="none"/>
              </w:rPr>
            </w:pPr>
          </w:p>
        </w:tc>
        <w:tc>
          <w:tcPr>
            <w:tcW w:w="3570" w:type="dxa"/>
            <w:gridSpan w:val="4"/>
            <w:noWrap w:val="0"/>
            <w:vAlign w:val="top"/>
          </w:tcPr>
          <w:p w14:paraId="2991CB83">
            <w:pPr>
              <w:spacing w:line="440" w:lineRule="exact"/>
              <w:rPr>
                <w:rFonts w:hint="eastAsia" w:ascii="宋体" w:hAnsi="宋体"/>
                <w:color w:val="auto"/>
                <w:szCs w:val="21"/>
                <w:highlight w:val="none"/>
              </w:rPr>
            </w:pPr>
          </w:p>
        </w:tc>
        <w:tc>
          <w:tcPr>
            <w:tcW w:w="1260" w:type="dxa"/>
            <w:noWrap w:val="0"/>
            <w:vAlign w:val="top"/>
          </w:tcPr>
          <w:p w14:paraId="6C672641">
            <w:pPr>
              <w:spacing w:line="440" w:lineRule="exact"/>
              <w:rPr>
                <w:rFonts w:hint="eastAsia" w:ascii="宋体" w:hAnsi="宋体"/>
                <w:color w:val="auto"/>
                <w:szCs w:val="21"/>
                <w:highlight w:val="none"/>
              </w:rPr>
            </w:pPr>
          </w:p>
        </w:tc>
        <w:tc>
          <w:tcPr>
            <w:tcW w:w="1912" w:type="dxa"/>
            <w:gridSpan w:val="2"/>
            <w:noWrap w:val="0"/>
            <w:vAlign w:val="top"/>
          </w:tcPr>
          <w:p w14:paraId="0AC617BD">
            <w:pPr>
              <w:spacing w:line="440" w:lineRule="exact"/>
              <w:rPr>
                <w:rFonts w:hint="eastAsia" w:ascii="宋体" w:hAnsi="宋体"/>
                <w:color w:val="auto"/>
                <w:szCs w:val="21"/>
                <w:highlight w:val="none"/>
              </w:rPr>
            </w:pPr>
          </w:p>
        </w:tc>
      </w:tr>
      <w:tr w14:paraId="1C50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4" w:type="dxa"/>
            <w:gridSpan w:val="2"/>
            <w:noWrap w:val="0"/>
            <w:vAlign w:val="top"/>
          </w:tcPr>
          <w:p w14:paraId="4AD3BA01">
            <w:pPr>
              <w:spacing w:line="440" w:lineRule="exact"/>
              <w:rPr>
                <w:rFonts w:hint="eastAsia" w:ascii="宋体" w:hAnsi="宋体"/>
                <w:color w:val="auto"/>
                <w:szCs w:val="21"/>
                <w:highlight w:val="none"/>
              </w:rPr>
            </w:pPr>
          </w:p>
        </w:tc>
        <w:tc>
          <w:tcPr>
            <w:tcW w:w="3570" w:type="dxa"/>
            <w:gridSpan w:val="4"/>
            <w:noWrap w:val="0"/>
            <w:vAlign w:val="top"/>
          </w:tcPr>
          <w:p w14:paraId="0D9FF399">
            <w:pPr>
              <w:spacing w:line="440" w:lineRule="exact"/>
              <w:rPr>
                <w:rFonts w:hint="eastAsia" w:ascii="宋体" w:hAnsi="宋体"/>
                <w:color w:val="auto"/>
                <w:szCs w:val="21"/>
                <w:highlight w:val="none"/>
              </w:rPr>
            </w:pPr>
          </w:p>
        </w:tc>
        <w:tc>
          <w:tcPr>
            <w:tcW w:w="1260" w:type="dxa"/>
            <w:noWrap w:val="0"/>
            <w:vAlign w:val="top"/>
          </w:tcPr>
          <w:p w14:paraId="0D228081">
            <w:pPr>
              <w:spacing w:line="440" w:lineRule="exact"/>
              <w:rPr>
                <w:rFonts w:hint="eastAsia" w:ascii="宋体" w:hAnsi="宋体"/>
                <w:color w:val="auto"/>
                <w:szCs w:val="21"/>
                <w:highlight w:val="none"/>
              </w:rPr>
            </w:pPr>
          </w:p>
        </w:tc>
        <w:tc>
          <w:tcPr>
            <w:tcW w:w="1912" w:type="dxa"/>
            <w:gridSpan w:val="2"/>
            <w:noWrap w:val="0"/>
            <w:vAlign w:val="top"/>
          </w:tcPr>
          <w:p w14:paraId="5A22EAAC">
            <w:pPr>
              <w:spacing w:line="440" w:lineRule="exact"/>
              <w:rPr>
                <w:rFonts w:hint="eastAsia" w:ascii="宋体" w:hAnsi="宋体"/>
                <w:color w:val="auto"/>
                <w:szCs w:val="21"/>
                <w:highlight w:val="none"/>
              </w:rPr>
            </w:pPr>
          </w:p>
        </w:tc>
      </w:tr>
      <w:tr w14:paraId="69DD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4" w:type="dxa"/>
            <w:gridSpan w:val="2"/>
            <w:noWrap w:val="0"/>
            <w:vAlign w:val="center"/>
          </w:tcPr>
          <w:p w14:paraId="3D61E6B8">
            <w:pPr>
              <w:spacing w:line="440" w:lineRule="exact"/>
              <w:rPr>
                <w:rFonts w:hint="eastAsia" w:ascii="宋体" w:hAnsi="宋体"/>
                <w:color w:val="auto"/>
                <w:szCs w:val="21"/>
                <w:highlight w:val="none"/>
              </w:rPr>
            </w:pPr>
          </w:p>
        </w:tc>
        <w:tc>
          <w:tcPr>
            <w:tcW w:w="3570" w:type="dxa"/>
            <w:gridSpan w:val="4"/>
            <w:noWrap w:val="0"/>
            <w:vAlign w:val="center"/>
          </w:tcPr>
          <w:p w14:paraId="077D3D64">
            <w:pPr>
              <w:spacing w:line="440" w:lineRule="exact"/>
              <w:rPr>
                <w:rFonts w:hint="eastAsia" w:ascii="宋体" w:hAnsi="宋体"/>
                <w:color w:val="auto"/>
                <w:szCs w:val="21"/>
                <w:highlight w:val="none"/>
              </w:rPr>
            </w:pPr>
          </w:p>
        </w:tc>
        <w:tc>
          <w:tcPr>
            <w:tcW w:w="1260" w:type="dxa"/>
            <w:noWrap w:val="0"/>
            <w:vAlign w:val="center"/>
          </w:tcPr>
          <w:p w14:paraId="2093AF5B">
            <w:pPr>
              <w:spacing w:line="440" w:lineRule="exact"/>
              <w:rPr>
                <w:rFonts w:hint="eastAsia" w:ascii="宋体" w:hAnsi="宋体"/>
                <w:color w:val="auto"/>
                <w:szCs w:val="21"/>
                <w:highlight w:val="none"/>
              </w:rPr>
            </w:pPr>
          </w:p>
        </w:tc>
        <w:tc>
          <w:tcPr>
            <w:tcW w:w="1912" w:type="dxa"/>
            <w:gridSpan w:val="2"/>
            <w:noWrap w:val="0"/>
            <w:vAlign w:val="center"/>
          </w:tcPr>
          <w:p w14:paraId="1455D828">
            <w:pPr>
              <w:spacing w:line="440" w:lineRule="exact"/>
              <w:rPr>
                <w:rFonts w:hint="eastAsia" w:ascii="宋体" w:hAnsi="宋体"/>
                <w:color w:val="auto"/>
                <w:szCs w:val="21"/>
                <w:highlight w:val="none"/>
              </w:rPr>
            </w:pPr>
          </w:p>
        </w:tc>
      </w:tr>
      <w:tr w14:paraId="62CC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4" w:type="dxa"/>
            <w:gridSpan w:val="2"/>
            <w:noWrap w:val="0"/>
            <w:vAlign w:val="center"/>
          </w:tcPr>
          <w:p w14:paraId="35CFF05F">
            <w:pPr>
              <w:spacing w:line="440" w:lineRule="exact"/>
              <w:rPr>
                <w:rFonts w:hint="eastAsia" w:ascii="宋体" w:hAnsi="宋体"/>
                <w:color w:val="auto"/>
                <w:szCs w:val="21"/>
                <w:highlight w:val="none"/>
              </w:rPr>
            </w:pPr>
          </w:p>
        </w:tc>
        <w:tc>
          <w:tcPr>
            <w:tcW w:w="3570" w:type="dxa"/>
            <w:gridSpan w:val="4"/>
            <w:noWrap w:val="0"/>
            <w:vAlign w:val="center"/>
          </w:tcPr>
          <w:p w14:paraId="63EBE276">
            <w:pPr>
              <w:spacing w:line="440" w:lineRule="exact"/>
              <w:rPr>
                <w:rFonts w:hint="eastAsia" w:ascii="宋体" w:hAnsi="宋体"/>
                <w:color w:val="auto"/>
                <w:szCs w:val="21"/>
                <w:highlight w:val="none"/>
              </w:rPr>
            </w:pPr>
          </w:p>
        </w:tc>
        <w:tc>
          <w:tcPr>
            <w:tcW w:w="1260" w:type="dxa"/>
            <w:noWrap w:val="0"/>
            <w:vAlign w:val="center"/>
          </w:tcPr>
          <w:p w14:paraId="79C074B7">
            <w:pPr>
              <w:spacing w:line="440" w:lineRule="exact"/>
              <w:rPr>
                <w:rFonts w:hint="eastAsia" w:ascii="宋体" w:hAnsi="宋体"/>
                <w:color w:val="auto"/>
                <w:szCs w:val="21"/>
                <w:highlight w:val="none"/>
              </w:rPr>
            </w:pPr>
          </w:p>
        </w:tc>
        <w:tc>
          <w:tcPr>
            <w:tcW w:w="1912" w:type="dxa"/>
            <w:gridSpan w:val="2"/>
            <w:noWrap w:val="0"/>
            <w:vAlign w:val="center"/>
          </w:tcPr>
          <w:p w14:paraId="43A589AB">
            <w:pPr>
              <w:spacing w:line="440" w:lineRule="exact"/>
              <w:rPr>
                <w:rFonts w:hint="eastAsia" w:ascii="宋体" w:hAnsi="宋体"/>
                <w:color w:val="auto"/>
                <w:szCs w:val="21"/>
                <w:highlight w:val="none"/>
              </w:rPr>
            </w:pPr>
          </w:p>
        </w:tc>
      </w:tr>
      <w:tr w14:paraId="4572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4" w:type="dxa"/>
            <w:gridSpan w:val="2"/>
            <w:noWrap w:val="0"/>
            <w:vAlign w:val="center"/>
          </w:tcPr>
          <w:p w14:paraId="351D0F29">
            <w:pPr>
              <w:spacing w:line="440" w:lineRule="exact"/>
              <w:rPr>
                <w:rFonts w:hint="eastAsia" w:ascii="宋体" w:hAnsi="宋体"/>
                <w:color w:val="auto"/>
                <w:szCs w:val="21"/>
                <w:highlight w:val="none"/>
              </w:rPr>
            </w:pPr>
          </w:p>
        </w:tc>
        <w:tc>
          <w:tcPr>
            <w:tcW w:w="3570" w:type="dxa"/>
            <w:gridSpan w:val="4"/>
            <w:noWrap w:val="0"/>
            <w:vAlign w:val="center"/>
          </w:tcPr>
          <w:p w14:paraId="520D73A0">
            <w:pPr>
              <w:spacing w:line="440" w:lineRule="exact"/>
              <w:rPr>
                <w:rFonts w:hint="eastAsia" w:ascii="宋体" w:hAnsi="宋体"/>
                <w:color w:val="auto"/>
                <w:szCs w:val="21"/>
                <w:highlight w:val="none"/>
              </w:rPr>
            </w:pPr>
          </w:p>
        </w:tc>
        <w:tc>
          <w:tcPr>
            <w:tcW w:w="1260" w:type="dxa"/>
            <w:noWrap w:val="0"/>
            <w:vAlign w:val="center"/>
          </w:tcPr>
          <w:p w14:paraId="258578F5">
            <w:pPr>
              <w:spacing w:line="440" w:lineRule="exact"/>
              <w:rPr>
                <w:rFonts w:hint="eastAsia" w:ascii="宋体" w:hAnsi="宋体"/>
                <w:color w:val="auto"/>
                <w:szCs w:val="21"/>
                <w:highlight w:val="none"/>
              </w:rPr>
            </w:pPr>
          </w:p>
        </w:tc>
        <w:tc>
          <w:tcPr>
            <w:tcW w:w="1912" w:type="dxa"/>
            <w:gridSpan w:val="2"/>
            <w:noWrap w:val="0"/>
            <w:vAlign w:val="center"/>
          </w:tcPr>
          <w:p w14:paraId="4675136A">
            <w:pPr>
              <w:spacing w:line="440" w:lineRule="exact"/>
              <w:rPr>
                <w:rFonts w:hint="eastAsia" w:ascii="宋体" w:hAnsi="宋体"/>
                <w:color w:val="auto"/>
                <w:szCs w:val="21"/>
                <w:highlight w:val="none"/>
              </w:rPr>
            </w:pPr>
          </w:p>
        </w:tc>
      </w:tr>
      <w:tr w14:paraId="0B95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4" w:type="dxa"/>
            <w:gridSpan w:val="2"/>
            <w:noWrap w:val="0"/>
            <w:vAlign w:val="center"/>
          </w:tcPr>
          <w:p w14:paraId="29B765FF">
            <w:pPr>
              <w:spacing w:line="440" w:lineRule="exact"/>
              <w:rPr>
                <w:rFonts w:hint="eastAsia" w:ascii="宋体" w:hAnsi="宋体"/>
                <w:color w:val="auto"/>
                <w:szCs w:val="21"/>
                <w:highlight w:val="none"/>
              </w:rPr>
            </w:pPr>
          </w:p>
        </w:tc>
        <w:tc>
          <w:tcPr>
            <w:tcW w:w="3570" w:type="dxa"/>
            <w:gridSpan w:val="4"/>
            <w:noWrap w:val="0"/>
            <w:vAlign w:val="center"/>
          </w:tcPr>
          <w:p w14:paraId="02B42D7A">
            <w:pPr>
              <w:spacing w:line="440" w:lineRule="exact"/>
              <w:rPr>
                <w:rFonts w:hint="eastAsia" w:ascii="宋体" w:hAnsi="宋体"/>
                <w:color w:val="auto"/>
                <w:szCs w:val="21"/>
                <w:highlight w:val="none"/>
              </w:rPr>
            </w:pPr>
          </w:p>
        </w:tc>
        <w:tc>
          <w:tcPr>
            <w:tcW w:w="1260" w:type="dxa"/>
            <w:noWrap w:val="0"/>
            <w:vAlign w:val="center"/>
          </w:tcPr>
          <w:p w14:paraId="10472E3E">
            <w:pPr>
              <w:spacing w:line="440" w:lineRule="exact"/>
              <w:rPr>
                <w:rFonts w:hint="eastAsia" w:ascii="宋体" w:hAnsi="宋体"/>
                <w:color w:val="auto"/>
                <w:szCs w:val="21"/>
                <w:highlight w:val="none"/>
              </w:rPr>
            </w:pPr>
          </w:p>
        </w:tc>
        <w:tc>
          <w:tcPr>
            <w:tcW w:w="1912" w:type="dxa"/>
            <w:gridSpan w:val="2"/>
            <w:noWrap w:val="0"/>
            <w:vAlign w:val="center"/>
          </w:tcPr>
          <w:p w14:paraId="5336D4BE">
            <w:pPr>
              <w:spacing w:line="440" w:lineRule="exact"/>
              <w:rPr>
                <w:rFonts w:hint="eastAsia" w:ascii="宋体" w:hAnsi="宋体"/>
                <w:color w:val="auto"/>
                <w:szCs w:val="21"/>
                <w:highlight w:val="none"/>
              </w:rPr>
            </w:pPr>
          </w:p>
        </w:tc>
      </w:tr>
      <w:tr w14:paraId="3D69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4" w:type="dxa"/>
            <w:gridSpan w:val="2"/>
            <w:noWrap w:val="0"/>
            <w:vAlign w:val="center"/>
          </w:tcPr>
          <w:p w14:paraId="2D60D836">
            <w:pPr>
              <w:spacing w:line="440" w:lineRule="exact"/>
              <w:rPr>
                <w:rFonts w:hint="eastAsia" w:ascii="宋体" w:hAnsi="宋体"/>
                <w:color w:val="auto"/>
                <w:szCs w:val="21"/>
                <w:highlight w:val="none"/>
              </w:rPr>
            </w:pPr>
          </w:p>
        </w:tc>
        <w:tc>
          <w:tcPr>
            <w:tcW w:w="3570" w:type="dxa"/>
            <w:gridSpan w:val="4"/>
            <w:noWrap w:val="0"/>
            <w:vAlign w:val="center"/>
          </w:tcPr>
          <w:p w14:paraId="677609FA">
            <w:pPr>
              <w:spacing w:line="440" w:lineRule="exact"/>
              <w:rPr>
                <w:rFonts w:hint="eastAsia" w:ascii="宋体" w:hAnsi="宋体"/>
                <w:color w:val="auto"/>
                <w:szCs w:val="21"/>
                <w:highlight w:val="none"/>
              </w:rPr>
            </w:pPr>
          </w:p>
        </w:tc>
        <w:tc>
          <w:tcPr>
            <w:tcW w:w="1260" w:type="dxa"/>
            <w:noWrap w:val="0"/>
            <w:vAlign w:val="center"/>
          </w:tcPr>
          <w:p w14:paraId="709DE7DE">
            <w:pPr>
              <w:spacing w:line="440" w:lineRule="exact"/>
              <w:rPr>
                <w:rFonts w:hint="eastAsia" w:ascii="宋体" w:hAnsi="宋体"/>
                <w:color w:val="auto"/>
                <w:szCs w:val="21"/>
                <w:highlight w:val="none"/>
              </w:rPr>
            </w:pPr>
          </w:p>
        </w:tc>
        <w:tc>
          <w:tcPr>
            <w:tcW w:w="1912" w:type="dxa"/>
            <w:gridSpan w:val="2"/>
            <w:noWrap w:val="0"/>
            <w:vAlign w:val="center"/>
          </w:tcPr>
          <w:p w14:paraId="457E004F">
            <w:pPr>
              <w:spacing w:line="440" w:lineRule="exact"/>
              <w:rPr>
                <w:rFonts w:hint="eastAsia" w:ascii="宋体" w:hAnsi="宋体"/>
                <w:color w:val="auto"/>
                <w:szCs w:val="21"/>
                <w:highlight w:val="none"/>
              </w:rPr>
            </w:pPr>
          </w:p>
        </w:tc>
      </w:tr>
      <w:tr w14:paraId="2E0B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4" w:type="dxa"/>
            <w:gridSpan w:val="2"/>
            <w:noWrap w:val="0"/>
            <w:vAlign w:val="center"/>
          </w:tcPr>
          <w:p w14:paraId="48E9D338">
            <w:pPr>
              <w:spacing w:line="440" w:lineRule="exact"/>
              <w:rPr>
                <w:rFonts w:hint="eastAsia" w:ascii="宋体" w:hAnsi="宋体"/>
                <w:color w:val="auto"/>
                <w:szCs w:val="21"/>
                <w:highlight w:val="none"/>
              </w:rPr>
            </w:pPr>
          </w:p>
        </w:tc>
        <w:tc>
          <w:tcPr>
            <w:tcW w:w="3570" w:type="dxa"/>
            <w:gridSpan w:val="4"/>
            <w:noWrap w:val="0"/>
            <w:vAlign w:val="center"/>
          </w:tcPr>
          <w:p w14:paraId="27521F03">
            <w:pPr>
              <w:spacing w:line="440" w:lineRule="exact"/>
              <w:rPr>
                <w:rFonts w:hint="eastAsia" w:ascii="宋体" w:hAnsi="宋体"/>
                <w:color w:val="auto"/>
                <w:szCs w:val="21"/>
                <w:highlight w:val="none"/>
              </w:rPr>
            </w:pPr>
          </w:p>
        </w:tc>
        <w:tc>
          <w:tcPr>
            <w:tcW w:w="1260" w:type="dxa"/>
            <w:noWrap w:val="0"/>
            <w:vAlign w:val="center"/>
          </w:tcPr>
          <w:p w14:paraId="0018FE9D">
            <w:pPr>
              <w:spacing w:line="440" w:lineRule="exact"/>
              <w:rPr>
                <w:rFonts w:hint="eastAsia" w:ascii="宋体" w:hAnsi="宋体"/>
                <w:color w:val="auto"/>
                <w:szCs w:val="21"/>
                <w:highlight w:val="none"/>
              </w:rPr>
            </w:pPr>
          </w:p>
        </w:tc>
        <w:tc>
          <w:tcPr>
            <w:tcW w:w="1912" w:type="dxa"/>
            <w:gridSpan w:val="2"/>
            <w:noWrap w:val="0"/>
            <w:vAlign w:val="center"/>
          </w:tcPr>
          <w:p w14:paraId="478AC67E">
            <w:pPr>
              <w:spacing w:line="440" w:lineRule="exact"/>
              <w:rPr>
                <w:rFonts w:hint="eastAsia" w:ascii="宋体" w:hAnsi="宋体"/>
                <w:color w:val="auto"/>
                <w:szCs w:val="21"/>
                <w:highlight w:val="none"/>
              </w:rPr>
            </w:pPr>
          </w:p>
        </w:tc>
      </w:tr>
      <w:tr w14:paraId="6107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4" w:type="dxa"/>
            <w:gridSpan w:val="2"/>
            <w:noWrap w:val="0"/>
            <w:vAlign w:val="center"/>
          </w:tcPr>
          <w:p w14:paraId="440A8D47">
            <w:pPr>
              <w:spacing w:line="440" w:lineRule="exact"/>
              <w:rPr>
                <w:rFonts w:hint="eastAsia" w:ascii="宋体" w:hAnsi="宋体"/>
                <w:color w:val="auto"/>
                <w:szCs w:val="21"/>
                <w:highlight w:val="none"/>
              </w:rPr>
            </w:pPr>
          </w:p>
        </w:tc>
        <w:tc>
          <w:tcPr>
            <w:tcW w:w="3570" w:type="dxa"/>
            <w:gridSpan w:val="4"/>
            <w:noWrap w:val="0"/>
            <w:vAlign w:val="center"/>
          </w:tcPr>
          <w:p w14:paraId="48382E57">
            <w:pPr>
              <w:spacing w:line="440" w:lineRule="exact"/>
              <w:rPr>
                <w:rFonts w:hint="eastAsia" w:ascii="宋体" w:hAnsi="宋体"/>
                <w:color w:val="auto"/>
                <w:szCs w:val="21"/>
                <w:highlight w:val="none"/>
              </w:rPr>
            </w:pPr>
          </w:p>
        </w:tc>
        <w:tc>
          <w:tcPr>
            <w:tcW w:w="1260" w:type="dxa"/>
            <w:noWrap w:val="0"/>
            <w:vAlign w:val="center"/>
          </w:tcPr>
          <w:p w14:paraId="0F9D14C4">
            <w:pPr>
              <w:spacing w:line="440" w:lineRule="exact"/>
              <w:rPr>
                <w:rFonts w:hint="eastAsia" w:ascii="宋体" w:hAnsi="宋体"/>
                <w:color w:val="auto"/>
                <w:szCs w:val="21"/>
                <w:highlight w:val="none"/>
              </w:rPr>
            </w:pPr>
          </w:p>
        </w:tc>
        <w:tc>
          <w:tcPr>
            <w:tcW w:w="1912" w:type="dxa"/>
            <w:gridSpan w:val="2"/>
            <w:noWrap w:val="0"/>
            <w:vAlign w:val="center"/>
          </w:tcPr>
          <w:p w14:paraId="2D6F6BDE">
            <w:pPr>
              <w:spacing w:line="440" w:lineRule="exact"/>
              <w:rPr>
                <w:rFonts w:hint="eastAsia" w:ascii="宋体" w:hAnsi="宋体"/>
                <w:color w:val="auto"/>
                <w:szCs w:val="21"/>
                <w:highlight w:val="none"/>
              </w:rPr>
            </w:pPr>
          </w:p>
        </w:tc>
      </w:tr>
      <w:tr w14:paraId="068E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4" w:type="dxa"/>
            <w:gridSpan w:val="2"/>
            <w:noWrap w:val="0"/>
            <w:vAlign w:val="center"/>
          </w:tcPr>
          <w:p w14:paraId="665C17A7">
            <w:pPr>
              <w:spacing w:line="440" w:lineRule="exact"/>
              <w:rPr>
                <w:rFonts w:hint="eastAsia" w:ascii="宋体" w:hAnsi="宋体"/>
                <w:color w:val="auto"/>
                <w:szCs w:val="21"/>
                <w:highlight w:val="none"/>
              </w:rPr>
            </w:pPr>
          </w:p>
        </w:tc>
        <w:tc>
          <w:tcPr>
            <w:tcW w:w="3570" w:type="dxa"/>
            <w:gridSpan w:val="4"/>
            <w:noWrap w:val="0"/>
            <w:vAlign w:val="center"/>
          </w:tcPr>
          <w:p w14:paraId="784457AE">
            <w:pPr>
              <w:spacing w:line="440" w:lineRule="exact"/>
              <w:rPr>
                <w:rFonts w:hint="eastAsia" w:ascii="宋体" w:hAnsi="宋体"/>
                <w:color w:val="auto"/>
                <w:szCs w:val="21"/>
                <w:highlight w:val="none"/>
              </w:rPr>
            </w:pPr>
          </w:p>
        </w:tc>
        <w:tc>
          <w:tcPr>
            <w:tcW w:w="1260" w:type="dxa"/>
            <w:noWrap w:val="0"/>
            <w:vAlign w:val="center"/>
          </w:tcPr>
          <w:p w14:paraId="4C36B7B9">
            <w:pPr>
              <w:spacing w:line="440" w:lineRule="exact"/>
              <w:rPr>
                <w:rFonts w:hint="eastAsia" w:ascii="宋体" w:hAnsi="宋体"/>
                <w:color w:val="auto"/>
                <w:szCs w:val="21"/>
                <w:highlight w:val="none"/>
              </w:rPr>
            </w:pPr>
          </w:p>
        </w:tc>
        <w:tc>
          <w:tcPr>
            <w:tcW w:w="1912" w:type="dxa"/>
            <w:gridSpan w:val="2"/>
            <w:noWrap w:val="0"/>
            <w:vAlign w:val="center"/>
          </w:tcPr>
          <w:p w14:paraId="7A9DB285">
            <w:pPr>
              <w:spacing w:line="440" w:lineRule="exact"/>
              <w:rPr>
                <w:rFonts w:hint="eastAsia" w:ascii="宋体" w:hAnsi="宋体"/>
                <w:color w:val="auto"/>
                <w:szCs w:val="21"/>
                <w:highlight w:val="none"/>
              </w:rPr>
            </w:pPr>
          </w:p>
        </w:tc>
      </w:tr>
      <w:tr w14:paraId="7742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4" w:type="dxa"/>
            <w:gridSpan w:val="2"/>
            <w:noWrap w:val="0"/>
            <w:vAlign w:val="center"/>
          </w:tcPr>
          <w:p w14:paraId="3E68CA13">
            <w:pPr>
              <w:spacing w:line="440" w:lineRule="exact"/>
              <w:rPr>
                <w:rFonts w:hint="eastAsia" w:ascii="宋体" w:hAnsi="宋体"/>
                <w:color w:val="auto"/>
                <w:szCs w:val="21"/>
                <w:highlight w:val="none"/>
              </w:rPr>
            </w:pPr>
          </w:p>
        </w:tc>
        <w:tc>
          <w:tcPr>
            <w:tcW w:w="3570" w:type="dxa"/>
            <w:gridSpan w:val="4"/>
            <w:noWrap w:val="0"/>
            <w:vAlign w:val="center"/>
          </w:tcPr>
          <w:p w14:paraId="32CA2349">
            <w:pPr>
              <w:spacing w:line="440" w:lineRule="exact"/>
              <w:rPr>
                <w:rFonts w:hint="eastAsia" w:ascii="宋体" w:hAnsi="宋体"/>
                <w:color w:val="auto"/>
                <w:szCs w:val="21"/>
                <w:highlight w:val="none"/>
              </w:rPr>
            </w:pPr>
          </w:p>
        </w:tc>
        <w:tc>
          <w:tcPr>
            <w:tcW w:w="1260" w:type="dxa"/>
            <w:noWrap w:val="0"/>
            <w:vAlign w:val="center"/>
          </w:tcPr>
          <w:p w14:paraId="0458B9C5">
            <w:pPr>
              <w:spacing w:line="440" w:lineRule="exact"/>
              <w:rPr>
                <w:rFonts w:hint="eastAsia" w:ascii="宋体" w:hAnsi="宋体"/>
                <w:color w:val="auto"/>
                <w:szCs w:val="21"/>
                <w:highlight w:val="none"/>
              </w:rPr>
            </w:pPr>
          </w:p>
        </w:tc>
        <w:tc>
          <w:tcPr>
            <w:tcW w:w="1912" w:type="dxa"/>
            <w:gridSpan w:val="2"/>
            <w:noWrap w:val="0"/>
            <w:vAlign w:val="center"/>
          </w:tcPr>
          <w:p w14:paraId="689A2898">
            <w:pPr>
              <w:spacing w:line="440" w:lineRule="exact"/>
              <w:rPr>
                <w:rFonts w:hint="eastAsia" w:ascii="宋体" w:hAnsi="宋体"/>
                <w:color w:val="auto"/>
                <w:szCs w:val="21"/>
                <w:highlight w:val="none"/>
              </w:rPr>
            </w:pPr>
          </w:p>
        </w:tc>
      </w:tr>
    </w:tbl>
    <w:p w14:paraId="356CC55B">
      <w:pPr>
        <w:pStyle w:val="62"/>
        <w:numPr>
          <w:ilvl w:val="0"/>
          <w:numId w:val="0"/>
        </w:numPr>
        <w:spacing w:line="480" w:lineRule="exact"/>
        <w:ind w:leftChars="0"/>
        <w:jc w:val="center"/>
        <w:outlineLvl w:val="1"/>
        <w:rPr>
          <w:rFonts w:hint="eastAsia"/>
          <w:b/>
          <w:color w:val="auto"/>
          <w:sz w:val="28"/>
          <w:szCs w:val="28"/>
        </w:rPr>
      </w:pPr>
      <w:r>
        <w:rPr>
          <w:rFonts w:hint="eastAsia" w:ascii="宋体" w:hAnsi="宋体" w:eastAsia="宋体"/>
          <w:bCs w:val="0"/>
          <w:color w:val="auto"/>
          <w:sz w:val="28"/>
          <w:highlight w:val="none"/>
          <w:shd w:val="clear" w:color="auto" w:fill="FFFFFF"/>
        </w:rPr>
        <w:br w:type="page"/>
      </w:r>
      <w:bookmarkStart w:id="595" w:name="_Toc13503"/>
      <w:bookmarkStart w:id="596" w:name="_Toc12824"/>
      <w:r>
        <w:rPr>
          <w:rFonts w:hint="eastAsia" w:hAnsi="宋体" w:eastAsia="宋体"/>
          <w:b/>
          <w:bCs/>
          <w:color w:val="auto"/>
          <w:sz w:val="28"/>
          <w:highlight w:val="none"/>
          <w:shd w:val="clear" w:color="auto" w:fill="FFFFFF"/>
          <w:lang w:val="en-US" w:eastAsia="zh-CN"/>
        </w:rPr>
        <w:t xml:space="preserve">10 </w:t>
      </w:r>
      <w:r>
        <w:rPr>
          <w:rFonts w:hint="eastAsia" w:hAnsi="宋体" w:cs="黑体"/>
          <w:b/>
          <w:bCs/>
          <w:color w:val="auto"/>
          <w:sz w:val="28"/>
          <w:szCs w:val="28"/>
        </w:rPr>
        <w:t>反商业贿赂承诺书</w:t>
      </w:r>
      <w:bookmarkEnd w:id="595"/>
      <w:bookmarkEnd w:id="596"/>
    </w:p>
    <w:p w14:paraId="4A7FC4A1">
      <w:pPr>
        <w:pStyle w:val="62"/>
        <w:spacing w:line="480" w:lineRule="exact"/>
        <w:jc w:val="center"/>
        <w:outlineLvl w:val="9"/>
        <w:rPr>
          <w:rFonts w:hint="eastAsia"/>
          <w:b/>
          <w:color w:val="auto"/>
          <w:sz w:val="28"/>
          <w:szCs w:val="28"/>
        </w:rPr>
      </w:pPr>
    </w:p>
    <w:p w14:paraId="46F19956">
      <w:pPr>
        <w:spacing w:line="360" w:lineRule="auto"/>
        <w:rPr>
          <w:rFonts w:hint="eastAsia" w:ascii="宋体" w:hAnsi="宋体"/>
          <w:szCs w:val="21"/>
        </w:rPr>
      </w:pPr>
      <w:r>
        <w:rPr>
          <w:rFonts w:hint="eastAsia" w:ascii="宋体" w:hAnsi="宋体"/>
          <w:szCs w:val="21"/>
        </w:rPr>
        <w:t>我公司承诺：</w:t>
      </w:r>
    </w:p>
    <w:p w14:paraId="60EE2B3B">
      <w:pPr>
        <w:spacing w:line="360" w:lineRule="auto"/>
        <w:ind w:firstLine="420" w:firstLineChars="200"/>
        <w:rPr>
          <w:rFonts w:hint="eastAsia" w:ascii="宋体" w:hAnsi="宋体"/>
          <w:szCs w:val="21"/>
        </w:rPr>
      </w:pPr>
      <w:r>
        <w:rPr>
          <w:rFonts w:hint="eastAsia" w:ascii="宋体" w:hAnsi="宋体"/>
          <w:szCs w:val="21"/>
        </w:rPr>
        <w:t>在</w:t>
      </w:r>
      <w:r>
        <w:rPr>
          <w:rFonts w:hint="eastAsia" w:ascii="宋体" w:hAnsi="宋体"/>
          <w:szCs w:val="21"/>
          <w:u w:val="single"/>
        </w:rPr>
        <w:t xml:space="preserve">   （项目名称）   </w:t>
      </w:r>
      <w:r>
        <w:rPr>
          <w:rFonts w:hint="eastAsia" w:ascii="宋体" w:hAnsi="宋体"/>
          <w:szCs w:val="21"/>
        </w:rPr>
        <w:t>磋商活动中，我公司保证做到：</w:t>
      </w:r>
    </w:p>
    <w:p w14:paraId="16D78AAB">
      <w:pPr>
        <w:spacing w:line="360" w:lineRule="auto"/>
        <w:outlineLvl w:val="2"/>
        <w:rPr>
          <w:rFonts w:hint="eastAsia" w:ascii="宋体" w:hAnsi="宋体"/>
          <w:szCs w:val="21"/>
        </w:rPr>
      </w:pPr>
      <w:r>
        <w:rPr>
          <w:rFonts w:hint="eastAsia" w:ascii="宋体" w:hAnsi="宋体"/>
          <w:szCs w:val="21"/>
        </w:rPr>
        <w:t>一、公平竞争参加本次招标活动。</w:t>
      </w:r>
    </w:p>
    <w:p w14:paraId="59525C47">
      <w:pPr>
        <w:spacing w:line="360" w:lineRule="auto"/>
        <w:rPr>
          <w:rFonts w:hint="eastAsia" w:ascii="宋体" w:hAnsi="宋体"/>
          <w:szCs w:val="21"/>
        </w:rPr>
      </w:pPr>
      <w:r>
        <w:rPr>
          <w:rFonts w:hint="eastAsia" w:ascii="宋体" w:hAnsi="宋体"/>
          <w:szCs w:val="21"/>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A0B06C3">
      <w:pPr>
        <w:spacing w:line="360" w:lineRule="auto"/>
        <w:rPr>
          <w:rFonts w:hint="eastAsia" w:ascii="宋体" w:hAnsi="宋体"/>
          <w:szCs w:val="21"/>
        </w:rPr>
      </w:pPr>
      <w:r>
        <w:rPr>
          <w:rFonts w:hint="eastAsia" w:ascii="宋体" w:hAnsi="宋体"/>
          <w:szCs w:val="21"/>
        </w:rPr>
        <w:t>三、若出现上述行为，我公司及参与投标的工作人员愿意接受按照国家法律法规等有关规定给予的处罚。</w:t>
      </w:r>
    </w:p>
    <w:p w14:paraId="6F88DBC7">
      <w:pPr>
        <w:spacing w:line="360" w:lineRule="auto"/>
        <w:rPr>
          <w:rFonts w:hint="eastAsia" w:ascii="宋体" w:hAnsi="宋体"/>
          <w:szCs w:val="21"/>
        </w:rPr>
      </w:pPr>
    </w:p>
    <w:p w14:paraId="6BE146F9">
      <w:pPr>
        <w:spacing w:line="360" w:lineRule="auto"/>
        <w:rPr>
          <w:rFonts w:hint="eastAsia" w:ascii="宋体" w:hAnsi="宋体"/>
          <w:szCs w:val="21"/>
        </w:rPr>
      </w:pPr>
    </w:p>
    <w:p w14:paraId="5D431B27">
      <w:pPr>
        <w:spacing w:line="360" w:lineRule="auto"/>
        <w:rPr>
          <w:rFonts w:hint="eastAsia" w:ascii="宋体" w:hAnsi="宋体"/>
          <w:szCs w:val="21"/>
        </w:rPr>
      </w:pPr>
    </w:p>
    <w:p w14:paraId="71B066C6">
      <w:pPr>
        <w:spacing w:line="360" w:lineRule="auto"/>
        <w:ind w:left="2430" w:hanging="2429" w:hangingChars="1157"/>
        <w:rPr>
          <w:rFonts w:hint="eastAsia" w:ascii="宋体" w:hAnsi="宋体"/>
          <w:szCs w:val="21"/>
        </w:rPr>
      </w:pPr>
      <w:r>
        <w:rPr>
          <w:rFonts w:hint="eastAsia" w:ascii="宋体" w:hAnsi="宋体"/>
          <w:szCs w:val="21"/>
        </w:rPr>
        <w:t>公司法定代表人代表：(签字或盖章)</w:t>
      </w:r>
    </w:p>
    <w:p w14:paraId="3FBEB078">
      <w:pPr>
        <w:spacing w:line="360" w:lineRule="auto"/>
        <w:ind w:left="2430" w:hanging="2429" w:hangingChars="1157"/>
        <w:rPr>
          <w:rFonts w:hint="eastAsia" w:ascii="宋体" w:hAnsi="宋体"/>
          <w:szCs w:val="21"/>
        </w:rPr>
      </w:pPr>
      <w:r>
        <w:rPr>
          <w:rFonts w:hint="eastAsia" w:ascii="宋体" w:hAnsi="宋体"/>
          <w:szCs w:val="21"/>
        </w:rPr>
        <w:t>法定代表人授权代表：(签字或盖章)</w:t>
      </w:r>
    </w:p>
    <w:p w14:paraId="3BA7BE87">
      <w:pPr>
        <w:spacing w:line="360" w:lineRule="auto"/>
        <w:ind w:left="2430" w:hanging="2429" w:hangingChars="1157"/>
        <w:rPr>
          <w:rFonts w:hint="eastAsia" w:ascii="宋体" w:hAnsi="宋体"/>
          <w:szCs w:val="21"/>
        </w:rPr>
      </w:pPr>
      <w:r>
        <w:rPr>
          <w:rFonts w:hint="eastAsia" w:ascii="宋体" w:hAnsi="宋体"/>
          <w:szCs w:val="21"/>
        </w:rPr>
        <w:t>单位（公章）</w:t>
      </w:r>
    </w:p>
    <w:p w14:paraId="110CF71B">
      <w:pPr>
        <w:spacing w:line="360" w:lineRule="auto"/>
        <w:ind w:left="2430" w:hanging="2429" w:hangingChars="1157"/>
        <w:rPr>
          <w:rFonts w:hint="eastAsia" w:ascii="宋体" w:hAnsi="宋体"/>
          <w:szCs w:val="21"/>
        </w:rPr>
      </w:pPr>
      <w:r>
        <w:rPr>
          <w:rFonts w:hint="eastAsia" w:ascii="宋体" w:hAnsi="宋体"/>
          <w:szCs w:val="21"/>
        </w:rPr>
        <w:t>年   月   日</w:t>
      </w:r>
    </w:p>
    <w:p w14:paraId="56825FCF">
      <w:pPr>
        <w:pStyle w:val="62"/>
        <w:spacing w:line="480" w:lineRule="exact"/>
        <w:jc w:val="center"/>
        <w:outlineLvl w:val="9"/>
        <w:rPr>
          <w:rFonts w:hint="eastAsia" w:hAnsi="宋体" w:cs="黑体"/>
          <w:b/>
          <w:color w:val="auto"/>
          <w:sz w:val="28"/>
          <w:szCs w:val="28"/>
        </w:rPr>
      </w:pPr>
    </w:p>
    <w:p w14:paraId="585C7E88">
      <w:pPr>
        <w:pStyle w:val="62"/>
        <w:spacing w:line="480" w:lineRule="exact"/>
        <w:jc w:val="center"/>
        <w:outlineLvl w:val="9"/>
        <w:rPr>
          <w:rFonts w:hint="eastAsia" w:hAnsi="宋体" w:cs="黑体"/>
          <w:b/>
          <w:color w:val="auto"/>
          <w:sz w:val="28"/>
          <w:szCs w:val="28"/>
        </w:rPr>
      </w:pPr>
    </w:p>
    <w:p w14:paraId="2CFD8B88">
      <w:pPr>
        <w:pStyle w:val="62"/>
        <w:spacing w:line="480" w:lineRule="exact"/>
        <w:jc w:val="center"/>
        <w:outlineLvl w:val="9"/>
        <w:rPr>
          <w:rFonts w:hint="eastAsia" w:hAnsi="宋体" w:cs="黑体"/>
          <w:b/>
          <w:color w:val="auto"/>
          <w:sz w:val="28"/>
          <w:szCs w:val="28"/>
        </w:rPr>
      </w:pPr>
    </w:p>
    <w:p w14:paraId="56595A6F">
      <w:pPr>
        <w:pStyle w:val="62"/>
        <w:spacing w:line="480" w:lineRule="exact"/>
        <w:jc w:val="center"/>
        <w:outlineLvl w:val="9"/>
        <w:rPr>
          <w:rFonts w:hint="eastAsia" w:hAnsi="宋体" w:cs="黑体"/>
          <w:b/>
          <w:color w:val="auto"/>
          <w:sz w:val="28"/>
          <w:szCs w:val="28"/>
        </w:rPr>
      </w:pPr>
    </w:p>
    <w:p w14:paraId="54040C6F">
      <w:pPr>
        <w:pStyle w:val="62"/>
        <w:spacing w:line="480" w:lineRule="exact"/>
        <w:jc w:val="center"/>
        <w:outlineLvl w:val="9"/>
        <w:rPr>
          <w:rFonts w:hint="eastAsia" w:hAnsi="宋体" w:cs="黑体"/>
          <w:b/>
          <w:color w:val="auto"/>
          <w:sz w:val="28"/>
          <w:szCs w:val="28"/>
        </w:rPr>
      </w:pPr>
    </w:p>
    <w:p w14:paraId="28825CF5">
      <w:pPr>
        <w:pStyle w:val="62"/>
        <w:spacing w:line="480" w:lineRule="exact"/>
        <w:jc w:val="center"/>
        <w:outlineLvl w:val="9"/>
        <w:rPr>
          <w:rFonts w:hint="eastAsia" w:hAnsi="宋体" w:cs="黑体"/>
          <w:b/>
          <w:color w:val="auto"/>
          <w:sz w:val="28"/>
          <w:szCs w:val="28"/>
        </w:rPr>
      </w:pPr>
    </w:p>
    <w:p w14:paraId="064A8EA7">
      <w:pPr>
        <w:pStyle w:val="62"/>
        <w:spacing w:line="480" w:lineRule="exact"/>
        <w:jc w:val="center"/>
        <w:outlineLvl w:val="9"/>
        <w:rPr>
          <w:rFonts w:hint="eastAsia" w:hAnsi="宋体" w:cs="黑体"/>
          <w:b/>
          <w:color w:val="auto"/>
          <w:sz w:val="28"/>
          <w:szCs w:val="28"/>
        </w:rPr>
      </w:pPr>
    </w:p>
    <w:p w14:paraId="37A3F49D">
      <w:pPr>
        <w:pStyle w:val="62"/>
        <w:spacing w:line="480" w:lineRule="exact"/>
        <w:jc w:val="center"/>
        <w:outlineLvl w:val="9"/>
        <w:rPr>
          <w:rFonts w:hint="eastAsia" w:hAnsi="宋体" w:cs="黑体"/>
          <w:b/>
          <w:color w:val="auto"/>
          <w:sz w:val="28"/>
          <w:szCs w:val="28"/>
        </w:rPr>
      </w:pPr>
    </w:p>
    <w:p w14:paraId="5545714F">
      <w:pPr>
        <w:pStyle w:val="62"/>
        <w:spacing w:line="480" w:lineRule="exact"/>
        <w:jc w:val="center"/>
        <w:outlineLvl w:val="9"/>
        <w:rPr>
          <w:rFonts w:hint="eastAsia" w:hAnsi="宋体" w:cs="黑体"/>
          <w:b/>
          <w:color w:val="auto"/>
          <w:sz w:val="28"/>
          <w:szCs w:val="28"/>
        </w:rPr>
      </w:pPr>
    </w:p>
    <w:p w14:paraId="2134C96A">
      <w:pPr>
        <w:pStyle w:val="62"/>
        <w:spacing w:line="480" w:lineRule="exact"/>
        <w:jc w:val="center"/>
        <w:outlineLvl w:val="9"/>
        <w:rPr>
          <w:rFonts w:hint="eastAsia" w:hAnsi="宋体" w:cs="黑体"/>
          <w:b/>
          <w:color w:val="auto"/>
          <w:sz w:val="28"/>
          <w:szCs w:val="28"/>
        </w:rPr>
      </w:pPr>
    </w:p>
    <w:p w14:paraId="58144070">
      <w:pPr>
        <w:pStyle w:val="62"/>
        <w:spacing w:line="480" w:lineRule="exact"/>
        <w:jc w:val="center"/>
        <w:outlineLvl w:val="9"/>
        <w:rPr>
          <w:rFonts w:hint="eastAsia" w:hAnsi="宋体" w:cs="黑体"/>
          <w:b/>
          <w:color w:val="auto"/>
          <w:sz w:val="28"/>
          <w:szCs w:val="28"/>
        </w:rPr>
      </w:pPr>
    </w:p>
    <w:p w14:paraId="53DD8CCD">
      <w:pPr>
        <w:pStyle w:val="62"/>
        <w:spacing w:line="480" w:lineRule="exact"/>
        <w:jc w:val="center"/>
        <w:outlineLvl w:val="9"/>
        <w:rPr>
          <w:rFonts w:hint="eastAsia" w:hAnsi="宋体" w:cs="黑体"/>
          <w:b/>
          <w:color w:val="auto"/>
          <w:sz w:val="28"/>
          <w:szCs w:val="28"/>
        </w:rPr>
      </w:pPr>
    </w:p>
    <w:p w14:paraId="0C036E4E">
      <w:pPr>
        <w:rPr>
          <w:rFonts w:hint="eastAsia" w:eastAsia="宋体"/>
          <w:lang w:val="en-US" w:eastAsia="zh-CN"/>
        </w:rPr>
      </w:pPr>
      <w:bookmarkStart w:id="597" w:name="_Toc17514"/>
      <w:bookmarkStart w:id="598" w:name="_Toc7604"/>
      <w:r>
        <w:rPr>
          <w:rFonts w:hint="eastAsia"/>
          <w:b/>
          <w:color w:val="auto"/>
          <w:sz w:val="28"/>
          <w:szCs w:val="28"/>
          <w:lang w:val="en-US" w:eastAsia="zh-CN"/>
        </w:rPr>
        <w:br w:type="page"/>
      </w:r>
    </w:p>
    <w:p w14:paraId="0C42823E">
      <w:pPr>
        <w:spacing w:line="360" w:lineRule="auto"/>
        <w:ind w:firstLine="210" w:firstLineChars="100"/>
        <w:jc w:val="left"/>
        <w:rPr>
          <w:rFonts w:hint="eastAsia" w:ascii="宋体" w:hAnsi="宋体"/>
          <w:szCs w:val="21"/>
        </w:rPr>
      </w:pPr>
    </w:p>
    <w:p w14:paraId="6A862326">
      <w:pPr>
        <w:spacing w:line="360" w:lineRule="auto"/>
        <w:ind w:firstLine="210" w:firstLineChars="100"/>
        <w:jc w:val="left"/>
        <w:rPr>
          <w:rFonts w:hint="eastAsia" w:ascii="宋体" w:hAnsi="宋体"/>
          <w:szCs w:val="21"/>
        </w:rPr>
      </w:pPr>
    </w:p>
    <w:p w14:paraId="6FD93E4C">
      <w:pPr>
        <w:pStyle w:val="62"/>
        <w:numPr>
          <w:ilvl w:val="0"/>
          <w:numId w:val="0"/>
        </w:numPr>
        <w:spacing w:line="480" w:lineRule="exact"/>
        <w:ind w:leftChars="0"/>
        <w:jc w:val="center"/>
        <w:outlineLvl w:val="1"/>
        <w:rPr>
          <w:rFonts w:hint="eastAsia"/>
          <w:b/>
          <w:color w:val="auto"/>
          <w:sz w:val="28"/>
          <w:szCs w:val="28"/>
        </w:rPr>
      </w:pPr>
      <w:r>
        <w:rPr>
          <w:rFonts w:hint="eastAsia"/>
          <w:b/>
          <w:color w:val="auto"/>
          <w:sz w:val="28"/>
          <w:szCs w:val="28"/>
          <w:lang w:val="en-US" w:eastAsia="zh-CN"/>
        </w:rPr>
        <w:t xml:space="preserve">11  </w:t>
      </w:r>
      <w:r>
        <w:rPr>
          <w:rFonts w:hint="eastAsia"/>
          <w:b/>
          <w:color w:val="auto"/>
          <w:sz w:val="28"/>
          <w:szCs w:val="28"/>
        </w:rPr>
        <w:t>其它资料</w:t>
      </w:r>
      <w:bookmarkEnd w:id="597"/>
      <w:bookmarkEnd w:id="598"/>
    </w:p>
    <w:p w14:paraId="2A934548">
      <w:pPr>
        <w:pStyle w:val="62"/>
        <w:spacing w:line="480" w:lineRule="exact"/>
        <w:jc w:val="center"/>
        <w:outlineLvl w:val="9"/>
        <w:rPr>
          <w:rFonts w:hint="eastAsia"/>
          <w:b/>
          <w:color w:val="auto"/>
          <w:sz w:val="28"/>
          <w:szCs w:val="28"/>
        </w:rPr>
      </w:pPr>
    </w:p>
    <w:p w14:paraId="64D8821E">
      <w:pPr>
        <w:pStyle w:val="62"/>
        <w:spacing w:line="480" w:lineRule="exact"/>
        <w:jc w:val="center"/>
        <w:outlineLvl w:val="9"/>
        <w:rPr>
          <w:rFonts w:hint="eastAsia"/>
          <w:b/>
          <w:color w:val="auto"/>
          <w:sz w:val="28"/>
          <w:szCs w:val="28"/>
        </w:rPr>
      </w:pPr>
    </w:p>
    <w:p w14:paraId="7101A830">
      <w:pPr>
        <w:pStyle w:val="62"/>
        <w:spacing w:line="480" w:lineRule="exact"/>
        <w:jc w:val="center"/>
        <w:outlineLvl w:val="9"/>
        <w:rPr>
          <w:rFonts w:hint="eastAsia"/>
          <w:b/>
          <w:color w:val="auto"/>
          <w:sz w:val="28"/>
          <w:szCs w:val="28"/>
        </w:rPr>
      </w:pPr>
    </w:p>
    <w:p w14:paraId="05B828D9">
      <w:pPr>
        <w:pStyle w:val="62"/>
        <w:spacing w:line="480" w:lineRule="exact"/>
        <w:jc w:val="center"/>
        <w:outlineLvl w:val="9"/>
        <w:rPr>
          <w:rFonts w:hint="eastAsia"/>
          <w:b/>
          <w:color w:val="auto"/>
          <w:sz w:val="28"/>
          <w:szCs w:val="28"/>
        </w:rPr>
      </w:pPr>
    </w:p>
    <w:p w14:paraId="73F629F9">
      <w:pPr>
        <w:pStyle w:val="62"/>
        <w:spacing w:line="480" w:lineRule="exact"/>
        <w:jc w:val="center"/>
        <w:outlineLvl w:val="9"/>
        <w:rPr>
          <w:rFonts w:hint="eastAsia"/>
          <w:b/>
          <w:color w:val="auto"/>
          <w:sz w:val="28"/>
          <w:szCs w:val="28"/>
        </w:rPr>
      </w:pPr>
    </w:p>
    <w:p w14:paraId="3AD3C26F">
      <w:pPr>
        <w:pStyle w:val="62"/>
        <w:spacing w:line="480" w:lineRule="exact"/>
        <w:jc w:val="center"/>
        <w:outlineLvl w:val="9"/>
        <w:rPr>
          <w:rFonts w:hint="eastAsia"/>
          <w:b/>
          <w:color w:val="auto"/>
          <w:sz w:val="28"/>
          <w:szCs w:val="28"/>
        </w:rPr>
      </w:pPr>
    </w:p>
    <w:p w14:paraId="29F30048">
      <w:pPr>
        <w:pStyle w:val="62"/>
        <w:spacing w:line="480" w:lineRule="exact"/>
        <w:jc w:val="center"/>
        <w:outlineLvl w:val="9"/>
        <w:rPr>
          <w:rFonts w:hint="eastAsia"/>
          <w:b/>
          <w:color w:val="auto"/>
          <w:sz w:val="28"/>
          <w:szCs w:val="28"/>
        </w:rPr>
      </w:pPr>
    </w:p>
    <w:p w14:paraId="7196FFE8">
      <w:pPr>
        <w:pStyle w:val="62"/>
        <w:spacing w:line="480" w:lineRule="exact"/>
        <w:jc w:val="center"/>
        <w:outlineLvl w:val="9"/>
        <w:rPr>
          <w:rFonts w:hint="eastAsia"/>
          <w:b/>
          <w:color w:val="auto"/>
          <w:sz w:val="28"/>
          <w:szCs w:val="28"/>
        </w:rPr>
      </w:pPr>
    </w:p>
    <w:p w14:paraId="0DB1E2F8">
      <w:pPr>
        <w:pStyle w:val="62"/>
        <w:spacing w:line="480" w:lineRule="exact"/>
        <w:jc w:val="center"/>
        <w:outlineLvl w:val="9"/>
        <w:rPr>
          <w:rFonts w:hint="eastAsia"/>
          <w:b/>
          <w:color w:val="auto"/>
          <w:sz w:val="28"/>
          <w:szCs w:val="28"/>
        </w:rPr>
      </w:pPr>
    </w:p>
    <w:p w14:paraId="5CAA4484">
      <w:pPr>
        <w:pStyle w:val="62"/>
        <w:spacing w:line="480" w:lineRule="exact"/>
        <w:jc w:val="center"/>
        <w:outlineLvl w:val="9"/>
        <w:rPr>
          <w:rFonts w:hint="eastAsia"/>
          <w:b/>
          <w:color w:val="auto"/>
          <w:sz w:val="28"/>
          <w:szCs w:val="28"/>
        </w:rPr>
      </w:pPr>
    </w:p>
    <w:p w14:paraId="0A68EBCE">
      <w:pPr>
        <w:pStyle w:val="62"/>
        <w:spacing w:line="480" w:lineRule="exact"/>
        <w:jc w:val="center"/>
        <w:outlineLvl w:val="9"/>
        <w:rPr>
          <w:rFonts w:hint="eastAsia"/>
          <w:b/>
          <w:color w:val="auto"/>
          <w:sz w:val="28"/>
          <w:szCs w:val="28"/>
        </w:rPr>
      </w:pPr>
    </w:p>
    <w:p w14:paraId="2243EC91">
      <w:pPr>
        <w:pStyle w:val="62"/>
        <w:spacing w:line="480" w:lineRule="exact"/>
        <w:jc w:val="center"/>
        <w:outlineLvl w:val="9"/>
        <w:rPr>
          <w:rFonts w:hint="eastAsia"/>
          <w:b/>
          <w:color w:val="auto"/>
          <w:sz w:val="28"/>
          <w:szCs w:val="28"/>
        </w:rPr>
      </w:pPr>
    </w:p>
    <w:p w14:paraId="6261508A">
      <w:pPr>
        <w:pStyle w:val="62"/>
        <w:spacing w:line="480" w:lineRule="exact"/>
        <w:jc w:val="center"/>
        <w:outlineLvl w:val="9"/>
        <w:rPr>
          <w:rFonts w:hint="eastAsia"/>
          <w:b/>
          <w:color w:val="auto"/>
          <w:sz w:val="28"/>
          <w:szCs w:val="28"/>
        </w:rPr>
      </w:pPr>
    </w:p>
    <w:p w14:paraId="3DE5496C">
      <w:pPr>
        <w:pStyle w:val="62"/>
        <w:spacing w:line="480" w:lineRule="exact"/>
        <w:jc w:val="center"/>
        <w:outlineLvl w:val="9"/>
        <w:rPr>
          <w:rFonts w:hint="eastAsia"/>
          <w:b/>
          <w:color w:val="auto"/>
          <w:sz w:val="28"/>
          <w:szCs w:val="28"/>
        </w:rPr>
      </w:pPr>
    </w:p>
    <w:p w14:paraId="3C4F4F99">
      <w:pPr>
        <w:pStyle w:val="62"/>
        <w:spacing w:line="480" w:lineRule="exact"/>
        <w:jc w:val="center"/>
        <w:outlineLvl w:val="9"/>
        <w:rPr>
          <w:rFonts w:hint="eastAsia"/>
          <w:b/>
          <w:color w:val="auto"/>
          <w:sz w:val="28"/>
          <w:szCs w:val="28"/>
        </w:rPr>
      </w:pPr>
    </w:p>
    <w:p w14:paraId="54F677D4">
      <w:pPr>
        <w:pStyle w:val="62"/>
        <w:spacing w:line="480" w:lineRule="exact"/>
        <w:jc w:val="center"/>
        <w:outlineLvl w:val="9"/>
        <w:rPr>
          <w:rFonts w:hint="eastAsia"/>
          <w:b/>
          <w:color w:val="auto"/>
          <w:sz w:val="28"/>
          <w:szCs w:val="28"/>
        </w:rPr>
      </w:pPr>
    </w:p>
    <w:p w14:paraId="210AAF72">
      <w:pPr>
        <w:pStyle w:val="62"/>
        <w:spacing w:line="480" w:lineRule="exact"/>
        <w:jc w:val="center"/>
        <w:outlineLvl w:val="9"/>
        <w:rPr>
          <w:rFonts w:hint="eastAsia"/>
          <w:b/>
          <w:color w:val="auto"/>
          <w:sz w:val="28"/>
          <w:szCs w:val="28"/>
        </w:rPr>
      </w:pPr>
    </w:p>
    <w:p w14:paraId="3BC1CA6A">
      <w:pPr>
        <w:pStyle w:val="62"/>
        <w:spacing w:line="480" w:lineRule="exact"/>
        <w:jc w:val="center"/>
        <w:outlineLvl w:val="9"/>
        <w:rPr>
          <w:rFonts w:hint="eastAsia"/>
          <w:b/>
          <w:color w:val="auto"/>
          <w:sz w:val="28"/>
          <w:szCs w:val="28"/>
        </w:rPr>
      </w:pPr>
    </w:p>
    <w:p w14:paraId="5AC374A7">
      <w:pPr>
        <w:pStyle w:val="62"/>
        <w:spacing w:line="480" w:lineRule="exact"/>
        <w:jc w:val="center"/>
        <w:outlineLvl w:val="9"/>
        <w:rPr>
          <w:rFonts w:hint="eastAsia"/>
          <w:b/>
          <w:color w:val="auto"/>
          <w:sz w:val="28"/>
          <w:szCs w:val="28"/>
        </w:rPr>
      </w:pPr>
    </w:p>
    <w:p w14:paraId="154594AB">
      <w:pPr>
        <w:pStyle w:val="62"/>
        <w:spacing w:line="480" w:lineRule="exact"/>
        <w:jc w:val="center"/>
        <w:outlineLvl w:val="9"/>
        <w:rPr>
          <w:rFonts w:hint="eastAsia"/>
          <w:b/>
          <w:color w:val="auto"/>
          <w:sz w:val="28"/>
          <w:szCs w:val="28"/>
        </w:rPr>
      </w:pPr>
    </w:p>
    <w:p w14:paraId="650E36F2">
      <w:pPr>
        <w:pStyle w:val="62"/>
        <w:spacing w:line="480" w:lineRule="exact"/>
        <w:jc w:val="center"/>
        <w:outlineLvl w:val="9"/>
        <w:rPr>
          <w:rFonts w:hint="eastAsia"/>
          <w:b/>
          <w:color w:val="auto"/>
          <w:sz w:val="28"/>
          <w:szCs w:val="28"/>
        </w:rPr>
      </w:pPr>
    </w:p>
    <w:p w14:paraId="77F4661F">
      <w:pPr>
        <w:pStyle w:val="23"/>
        <w:spacing w:line="500" w:lineRule="exact"/>
        <w:ind w:left="0" w:leftChars="0" w:firstLine="0" w:firstLineChars="0"/>
        <w:jc w:val="center"/>
        <w:rPr>
          <w:rFonts w:hint="eastAsia"/>
        </w:rPr>
      </w:pPr>
    </w:p>
    <w:p w14:paraId="3FDEF1E3">
      <w:pPr>
        <w:pStyle w:val="23"/>
        <w:spacing w:line="500" w:lineRule="exact"/>
        <w:ind w:left="0" w:leftChars="0" w:firstLine="0" w:firstLineChars="0"/>
        <w:jc w:val="center"/>
        <w:rPr>
          <w:rFonts w:hint="eastAsia"/>
        </w:rPr>
      </w:pPr>
    </w:p>
    <w:p w14:paraId="7D5DD2CA">
      <w:pPr>
        <w:pStyle w:val="62"/>
        <w:spacing w:line="480" w:lineRule="exact"/>
        <w:jc w:val="both"/>
        <w:outlineLvl w:val="9"/>
        <w:rPr>
          <w:rFonts w:hint="eastAsia"/>
          <w:b/>
          <w:color w:val="auto"/>
          <w:sz w:val="28"/>
          <w:szCs w:val="28"/>
        </w:rPr>
      </w:pPr>
    </w:p>
    <w:p w14:paraId="45B990FB">
      <w:pPr>
        <w:spacing w:line="360" w:lineRule="auto"/>
        <w:jc w:val="center"/>
        <w:rPr>
          <w:rFonts w:hint="eastAsia" w:ascii="宋体" w:cs="宋体"/>
          <w:b/>
          <w:color w:val="auto"/>
          <w:kern w:val="0"/>
          <w:sz w:val="28"/>
          <w:szCs w:val="28"/>
          <w:lang w:val="en-US" w:eastAsia="zh-CN" w:bidi="ar-SA"/>
        </w:rPr>
      </w:pPr>
      <w:bookmarkStart w:id="599" w:name="_Toc29958"/>
      <w:bookmarkStart w:id="600" w:name="_Toc712"/>
      <w:bookmarkStart w:id="601" w:name="_Toc1923"/>
      <w:r>
        <w:rPr>
          <w:rFonts w:hint="eastAsia" w:ascii="宋体" w:hAnsi="宋体" w:cs="宋体"/>
          <w:b/>
          <w:bCs/>
          <w:szCs w:val="21"/>
        </w:rPr>
        <w:br w:type="page"/>
      </w:r>
      <w:r>
        <w:rPr>
          <w:rFonts w:hint="eastAsia" w:ascii="宋体" w:cs="宋体"/>
          <w:b/>
          <w:color w:val="auto"/>
          <w:kern w:val="0"/>
          <w:sz w:val="28"/>
          <w:szCs w:val="28"/>
          <w:lang w:val="en-US" w:eastAsia="zh-CN" w:bidi="ar-SA"/>
        </w:rPr>
        <w:t>12 中小企业声明函</w:t>
      </w:r>
    </w:p>
    <w:p w14:paraId="310FDFB8">
      <w:pPr>
        <w:spacing w:line="360" w:lineRule="auto"/>
        <w:jc w:val="center"/>
        <w:rPr>
          <w:rFonts w:hint="eastAsia" w:ascii="宋体" w:cs="宋体"/>
          <w:b/>
          <w:color w:val="auto"/>
          <w:kern w:val="0"/>
          <w:sz w:val="24"/>
          <w:szCs w:val="24"/>
          <w:lang w:val="en-US" w:eastAsia="zh-CN" w:bidi="ar-SA"/>
        </w:rPr>
      </w:pPr>
      <w:r>
        <w:rPr>
          <w:rFonts w:hint="eastAsia" w:ascii="宋体" w:cs="宋体"/>
          <w:b/>
          <w:color w:val="auto"/>
          <w:kern w:val="0"/>
          <w:sz w:val="24"/>
          <w:szCs w:val="24"/>
          <w:lang w:val="en-US" w:eastAsia="zh-CN" w:bidi="ar-SA"/>
        </w:rPr>
        <w:t xml:space="preserve">  （如是请填写）</w:t>
      </w:r>
    </w:p>
    <w:p w14:paraId="0AB92DFA">
      <w:pPr>
        <w:adjustRightInd/>
        <w:spacing w:line="5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本公司郑重声明，根据《政府采购促进中小企业发展暂行办法》（财库【2011】181号）的规定，本公司为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（请填写：中型、小型、微型）企业。即，本公司同时满足以下条件：</w:t>
      </w:r>
    </w:p>
    <w:p w14:paraId="5BC90936">
      <w:pPr>
        <w:numPr>
          <w:ilvl w:val="0"/>
          <w:numId w:val="6"/>
        </w:numPr>
        <w:adjustRightInd/>
        <w:spacing w:line="5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（请填写：中型、小型、微型）企业。</w:t>
      </w:r>
    </w:p>
    <w:p w14:paraId="4AF830BB">
      <w:pPr>
        <w:numPr>
          <w:ilvl w:val="0"/>
          <w:numId w:val="6"/>
        </w:numPr>
        <w:adjustRightInd/>
        <w:spacing w:line="5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单位的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项目采购活动提供本企业制造的货物，由本企业承担工程、提供服务，或者提供其他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（请填写：中型、小型、微型）企业制造的货物。本条所称货物不包括使用大型企业注册商标的货物。</w:t>
      </w:r>
    </w:p>
    <w:p w14:paraId="356EFF97">
      <w:pPr>
        <w:adjustRightInd/>
        <w:spacing w:line="5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本公司对上述声明的真实性负责。如有虚假。将依法承担相应责任。</w:t>
      </w:r>
    </w:p>
    <w:p w14:paraId="11E18CC4">
      <w:pPr>
        <w:adjustRightInd/>
        <w:spacing w:line="560" w:lineRule="exact"/>
        <w:ind w:firstLine="420" w:firstLineChars="200"/>
        <w:jc w:val="right"/>
        <w:textAlignment w:val="auto"/>
        <w:rPr>
          <w:rFonts w:hint="eastAsia" w:ascii="宋体" w:hAnsi="宋体" w:eastAsia="宋体" w:cs="宋体"/>
          <w:color w:val="auto"/>
          <w:sz w:val="21"/>
          <w:szCs w:val="21"/>
          <w:highlight w:val="none"/>
        </w:rPr>
      </w:pPr>
    </w:p>
    <w:p w14:paraId="42704923">
      <w:pPr>
        <w:adjustRightInd/>
        <w:spacing w:line="560" w:lineRule="exact"/>
        <w:ind w:firstLine="420" w:firstLineChars="200"/>
        <w:jc w:val="right"/>
        <w:textAlignment w:val="auto"/>
        <w:rPr>
          <w:rFonts w:hint="eastAsia" w:ascii="宋体" w:hAnsi="宋体" w:eastAsia="宋体" w:cs="宋体"/>
          <w:color w:val="auto"/>
          <w:sz w:val="21"/>
          <w:szCs w:val="21"/>
          <w:highlight w:val="none"/>
        </w:rPr>
      </w:pPr>
    </w:p>
    <w:p w14:paraId="0E258E92">
      <w:pPr>
        <w:adjustRightInd/>
        <w:spacing w:line="560" w:lineRule="exact"/>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企业名称（盖章）</w:t>
      </w:r>
      <w:r>
        <w:rPr>
          <w:rFonts w:hint="eastAsia" w:ascii="宋体" w:hAnsi="宋体" w:cs="宋体"/>
          <w:color w:val="auto"/>
          <w:sz w:val="21"/>
          <w:szCs w:val="21"/>
          <w:highlight w:val="none"/>
          <w:lang w:eastAsia="zh-CN"/>
        </w:rPr>
        <w:t>：</w:t>
      </w:r>
    </w:p>
    <w:p w14:paraId="7CB4DAA1">
      <w:pPr>
        <w:adjustRightInd/>
        <w:spacing w:line="560" w:lineRule="exact"/>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01D5A548">
      <w:pPr>
        <w:spacing w:line="720" w:lineRule="auto"/>
        <w:rPr>
          <w:color w:val="auto"/>
          <w:sz w:val="18"/>
          <w:szCs w:val="21"/>
          <w:highlight w:val="none"/>
        </w:rPr>
      </w:pPr>
    </w:p>
    <w:p w14:paraId="6B7176F4">
      <w:pPr>
        <w:rPr>
          <w:color w:val="auto"/>
          <w:highlight w:val="none"/>
        </w:rPr>
      </w:pPr>
    </w:p>
    <w:p w14:paraId="4CDEA2AE">
      <w:pPr>
        <w:pStyle w:val="62"/>
        <w:numPr>
          <w:ilvl w:val="0"/>
          <w:numId w:val="0"/>
        </w:numPr>
        <w:spacing w:line="480" w:lineRule="exact"/>
        <w:ind w:leftChars="0"/>
        <w:jc w:val="center"/>
        <w:outlineLvl w:val="1"/>
        <w:rPr>
          <w:rFonts w:hAnsi="宋体"/>
          <w:b/>
          <w:color w:val="auto"/>
          <w:sz w:val="28"/>
          <w:szCs w:val="28"/>
        </w:rPr>
      </w:pPr>
      <w:r>
        <w:rPr>
          <w:rFonts w:hint="eastAsia" w:ascii="宋体" w:hAnsi="宋体" w:cs="宋体"/>
          <w:b/>
          <w:bCs/>
          <w:szCs w:val="21"/>
        </w:rPr>
        <w:br w:type="page"/>
      </w:r>
      <w:r>
        <w:rPr>
          <w:rFonts w:hint="eastAsia" w:ascii="宋体" w:cs="宋体"/>
          <w:b/>
          <w:color w:val="auto"/>
          <w:kern w:val="0"/>
          <w:sz w:val="28"/>
          <w:szCs w:val="28"/>
          <w:lang w:val="en-US" w:eastAsia="zh-CN" w:bidi="ar-SA"/>
        </w:rPr>
        <w:t>1</w:t>
      </w:r>
      <w:r>
        <w:rPr>
          <w:rFonts w:hint="eastAsia" w:cs="宋体"/>
          <w:b/>
          <w:color w:val="auto"/>
          <w:kern w:val="0"/>
          <w:sz w:val="28"/>
          <w:szCs w:val="28"/>
          <w:lang w:val="en-US" w:eastAsia="zh-CN" w:bidi="ar-SA"/>
        </w:rPr>
        <w:t>3</w:t>
      </w:r>
      <w:r>
        <w:rPr>
          <w:rFonts w:hint="eastAsia" w:ascii="宋体" w:cs="宋体"/>
          <w:b/>
          <w:color w:val="auto"/>
          <w:kern w:val="0"/>
          <w:sz w:val="28"/>
          <w:szCs w:val="28"/>
          <w:lang w:val="en-US" w:eastAsia="zh-CN" w:bidi="ar-SA"/>
        </w:rPr>
        <w:t xml:space="preserve"> 残疾人福利性单位声明函</w:t>
      </w:r>
    </w:p>
    <w:p w14:paraId="25E50909">
      <w:pPr>
        <w:pStyle w:val="62"/>
        <w:spacing w:line="480" w:lineRule="exact"/>
        <w:jc w:val="center"/>
        <w:rPr>
          <w:rFonts w:hAnsi="宋体"/>
          <w:b/>
          <w:color w:val="auto"/>
          <w:sz w:val="28"/>
          <w:szCs w:val="28"/>
        </w:rPr>
      </w:pPr>
    </w:p>
    <w:p w14:paraId="1A19659E">
      <w:pPr>
        <w:spacing w:line="360" w:lineRule="auto"/>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w:t>
      </w:r>
      <w:r>
        <w:rPr>
          <w:rFonts w:hint="eastAsia" w:ascii="宋体" w:hAnsi="宋体" w:cs="宋体"/>
          <w:spacing w:val="6"/>
          <w:szCs w:val="21"/>
          <w:u w:val="single"/>
        </w:rPr>
        <w:t xml:space="preserve">       </w:t>
      </w:r>
      <w:r>
        <w:rPr>
          <w:rFonts w:hint="eastAsia" w:ascii="宋体" w:hAnsi="宋体" w:cs="宋体"/>
          <w:spacing w:val="6"/>
          <w:szCs w:val="21"/>
        </w:rPr>
        <w:t>单位的</w:t>
      </w:r>
      <w:r>
        <w:rPr>
          <w:rFonts w:hint="eastAsia" w:ascii="宋体" w:hAnsi="宋体" w:cs="宋体"/>
          <w:spacing w:val="6"/>
          <w:szCs w:val="21"/>
          <w:u w:val="single"/>
        </w:rPr>
        <w:t xml:space="preserve">      </w:t>
      </w:r>
      <w:r>
        <w:rPr>
          <w:rFonts w:hint="eastAsia" w:ascii="宋体" w:hAnsi="宋体" w:cs="宋体"/>
          <w:spacing w:val="6"/>
          <w:szCs w:val="21"/>
        </w:rPr>
        <w:t>项目采购活动提供本单位制造的货物（由本单位承担工程/提供服务），或者提供其他残疾人福利性单位制造的货物（不包括使用非残疾人福利性单位注册商标的货物）。</w:t>
      </w:r>
    </w:p>
    <w:p w14:paraId="1A0D0CA5">
      <w:pPr>
        <w:spacing w:line="360" w:lineRule="auto"/>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14:paraId="0D19432F">
      <w:pPr>
        <w:spacing w:line="360" w:lineRule="auto"/>
        <w:ind w:firstLine="444" w:firstLineChars="200"/>
        <w:rPr>
          <w:rFonts w:ascii="宋体" w:hAnsi="宋体" w:cs="宋体"/>
          <w:spacing w:val="6"/>
          <w:szCs w:val="21"/>
        </w:rPr>
      </w:pPr>
    </w:p>
    <w:p w14:paraId="78FBFB91">
      <w:pPr>
        <w:spacing w:line="360" w:lineRule="auto"/>
        <w:ind w:firstLine="444" w:firstLineChars="200"/>
        <w:rPr>
          <w:rFonts w:ascii="宋体" w:hAnsi="宋体" w:cs="宋体"/>
          <w:spacing w:val="6"/>
          <w:szCs w:val="21"/>
        </w:rPr>
      </w:pPr>
    </w:p>
    <w:p w14:paraId="52DA259D">
      <w:pPr>
        <w:tabs>
          <w:tab w:val="left" w:pos="4860"/>
        </w:tabs>
        <w:spacing w:line="360" w:lineRule="auto"/>
        <w:ind w:right="1560" w:firstLine="444" w:firstLineChars="200"/>
        <w:jc w:val="center"/>
        <w:rPr>
          <w:rFonts w:ascii="宋体" w:hAnsi="宋体" w:cs="宋体"/>
          <w:spacing w:val="6"/>
          <w:szCs w:val="21"/>
        </w:rPr>
      </w:pPr>
      <w:r>
        <w:rPr>
          <w:rFonts w:hint="eastAsia" w:ascii="宋体" w:hAnsi="宋体" w:cs="宋体"/>
          <w:spacing w:val="6"/>
          <w:szCs w:val="21"/>
        </w:rPr>
        <w:t xml:space="preserve">               单位名称（盖章）：</w:t>
      </w:r>
    </w:p>
    <w:p w14:paraId="3E9806F1">
      <w:pPr>
        <w:tabs>
          <w:tab w:val="left" w:pos="4860"/>
        </w:tabs>
        <w:spacing w:line="360" w:lineRule="auto"/>
        <w:ind w:right="1560" w:firstLine="444" w:firstLineChars="200"/>
        <w:jc w:val="center"/>
        <w:rPr>
          <w:rFonts w:ascii="宋体" w:hAnsi="宋体" w:cs="宋体"/>
          <w:spacing w:val="6"/>
          <w:szCs w:val="21"/>
        </w:rPr>
      </w:pPr>
      <w:r>
        <w:rPr>
          <w:rFonts w:hint="eastAsia" w:ascii="宋体" w:hAnsi="宋体" w:cs="宋体"/>
          <w:spacing w:val="6"/>
          <w:szCs w:val="21"/>
        </w:rPr>
        <w:t xml:space="preserve">       日  期：</w:t>
      </w:r>
    </w:p>
    <w:p w14:paraId="55D28259">
      <w:pPr>
        <w:tabs>
          <w:tab w:val="left" w:pos="840"/>
        </w:tabs>
        <w:autoSpaceDE w:val="0"/>
        <w:autoSpaceDN w:val="0"/>
        <w:adjustRightInd w:val="0"/>
        <w:spacing w:line="360" w:lineRule="auto"/>
        <w:jc w:val="center"/>
        <w:rPr>
          <w:rFonts w:ascii="宋体" w:hAnsi="宋体" w:cs="宋体"/>
          <w:b/>
          <w:sz w:val="24"/>
        </w:rPr>
      </w:pPr>
    </w:p>
    <w:p w14:paraId="50DB3B30">
      <w:pPr>
        <w:widowControl/>
        <w:spacing w:line="360" w:lineRule="auto"/>
        <w:rPr>
          <w:rFonts w:ascii="宋体" w:hAnsi="宋体" w:cs="宋体"/>
          <w:b/>
          <w:szCs w:val="21"/>
        </w:rPr>
      </w:pPr>
      <w:r>
        <w:rPr>
          <w:rFonts w:hint="eastAsia" w:ascii="宋体" w:hAnsi="宋体" w:cs="宋体"/>
          <w:b/>
          <w:szCs w:val="21"/>
        </w:rPr>
        <w:t>（提醒：如果供应商</w:t>
      </w:r>
      <w:r>
        <w:rPr>
          <w:rFonts w:hint="eastAsia" w:ascii="宋体" w:hAnsi="宋体" w:cs="宋体"/>
          <w:b/>
          <w:spacing w:val="10"/>
          <w:kern w:val="0"/>
          <w:szCs w:val="21"/>
        </w:rPr>
        <w:t>不是残疾人福利性单位</w:t>
      </w:r>
      <w:r>
        <w:rPr>
          <w:rFonts w:hint="eastAsia" w:ascii="宋体" w:hAnsi="宋体" w:cs="宋体"/>
          <w:b/>
          <w:szCs w:val="21"/>
        </w:rPr>
        <w:t>，则不需填写《残疾人福利性单位声明函》。否则，因此导致虚假参与的后果由供应商自行承担。）</w:t>
      </w:r>
    </w:p>
    <w:p w14:paraId="4CF2A5C6">
      <w:pPr>
        <w:ind w:left="58" w:leftChars="28"/>
        <w:rPr>
          <w:rFonts w:ascii="宋体" w:hAnsi="宋体" w:cs="宋体"/>
          <w:sz w:val="24"/>
        </w:rPr>
      </w:pPr>
    </w:p>
    <w:p w14:paraId="7C5283C4">
      <w:pPr>
        <w:ind w:left="58" w:leftChars="28"/>
        <w:rPr>
          <w:rFonts w:ascii="宋体" w:hAnsi="宋体" w:cs="宋体"/>
          <w:sz w:val="24"/>
        </w:rPr>
      </w:pPr>
    </w:p>
    <w:p w14:paraId="5C25E443">
      <w:pPr>
        <w:ind w:left="58" w:leftChars="28"/>
        <w:rPr>
          <w:rFonts w:ascii="宋体" w:hAnsi="宋体" w:cs="宋体"/>
          <w:sz w:val="24"/>
        </w:rPr>
      </w:pPr>
    </w:p>
    <w:p w14:paraId="46309A74">
      <w:pPr>
        <w:pageBreakBefore w:val="0"/>
        <w:kinsoku/>
        <w:overflowPunct/>
        <w:topLinePunct w:val="0"/>
        <w:autoSpaceDE/>
        <w:autoSpaceDN/>
        <w:bidi w:val="0"/>
        <w:snapToGrid/>
        <w:spacing w:line="360" w:lineRule="auto"/>
        <w:jc w:val="center"/>
        <w:outlineLvl w:val="0"/>
        <w:rPr>
          <w:rFonts w:hint="eastAsia"/>
          <w:b/>
          <w:bCs/>
          <w:sz w:val="32"/>
          <w:szCs w:val="32"/>
          <w:lang w:val="en-US" w:eastAsia="zh-CN"/>
        </w:rPr>
      </w:pPr>
      <w:r>
        <w:rPr>
          <w:rFonts w:hint="eastAsia" w:ascii="宋体" w:hAnsi="宋体" w:cs="宋体"/>
          <w:b/>
          <w:bCs/>
          <w:szCs w:val="21"/>
        </w:rPr>
        <w:br w:type="page"/>
      </w:r>
      <w:bookmarkStart w:id="602" w:name="_Toc10859"/>
      <w:bookmarkStart w:id="603" w:name="_Toc3349"/>
      <w:r>
        <w:rPr>
          <w:rFonts w:hint="eastAsia"/>
          <w:b/>
          <w:bCs/>
          <w:sz w:val="32"/>
          <w:szCs w:val="32"/>
          <w:lang w:val="en-US" w:eastAsia="zh-CN"/>
        </w:rPr>
        <w:t>附评标办法</w:t>
      </w:r>
      <w:bookmarkEnd w:id="599"/>
      <w:bookmarkEnd w:id="600"/>
      <w:bookmarkEnd w:id="602"/>
      <w:bookmarkEnd w:id="603"/>
    </w:p>
    <w:bookmarkEnd w:id="590"/>
    <w:bookmarkEnd w:id="591"/>
    <w:bookmarkEnd w:id="592"/>
    <w:bookmarkEnd w:id="601"/>
    <w:p w14:paraId="566B3172">
      <w:pPr>
        <w:widowControl/>
        <w:wordWrap/>
        <w:snapToGrid w:val="0"/>
        <w:spacing w:before="156" w:beforeLines="50" w:beforeAutospacing="0" w:after="156" w:afterLines="50" w:afterAutospacing="0" w:line="240" w:lineRule="auto"/>
        <w:jc w:val="center"/>
        <w:outlineLvl w:val="2"/>
        <w:rPr>
          <w:rFonts w:ascii="宋体" w:hAnsi="宋体" w:eastAsia="宋体" w:cs="宋体"/>
          <w:b/>
          <w:color w:val="000000"/>
          <w:kern w:val="0"/>
          <w:sz w:val="24"/>
          <w:szCs w:val="24"/>
          <w:lang w:val="en-US" w:eastAsia="zh-CN" w:bidi="ar-SA"/>
        </w:rPr>
      </w:pPr>
      <w:bookmarkStart w:id="604" w:name="_Toc24055"/>
      <w:bookmarkStart w:id="605" w:name="_Toc458347753"/>
      <w:r>
        <w:rPr>
          <w:rFonts w:hint="eastAsia" w:ascii="宋体" w:hAnsi="宋体" w:eastAsia="宋体" w:cs="宋体"/>
          <w:b/>
          <w:color w:val="000000"/>
          <w:kern w:val="0"/>
          <w:sz w:val="24"/>
          <w:szCs w:val="24"/>
          <w:lang w:val="en-US" w:eastAsia="zh-CN" w:bidi="ar-SA"/>
        </w:rPr>
        <w:t>前附表</w:t>
      </w:r>
      <w:bookmarkEnd w:id="604"/>
      <w:bookmarkEnd w:id="605"/>
    </w:p>
    <w:tbl>
      <w:tblPr>
        <w:tblStyle w:val="46"/>
        <w:tblW w:w="9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781"/>
        <w:gridCol w:w="1826"/>
        <w:gridCol w:w="5661"/>
      </w:tblGrid>
      <w:tr w14:paraId="48DE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65" w:type="dxa"/>
            <w:gridSpan w:val="2"/>
            <w:vAlign w:val="center"/>
          </w:tcPr>
          <w:p w14:paraId="699704C6">
            <w:pPr>
              <w:keepNext w:val="0"/>
              <w:keepLines w:val="0"/>
              <w:suppressLineNumbers w:val="0"/>
              <w:spacing w:before="0" w:beforeAutospacing="0" w:after="0" w:afterAutospacing="0" w:line="440" w:lineRule="exact"/>
              <w:ind w:left="0" w:right="0"/>
              <w:jc w:val="center"/>
              <w:rPr>
                <w:rFonts w:hint="default" w:ascii="宋体" w:hAnsi="宋体" w:cs="宋体"/>
                <w:b/>
                <w:bCs/>
                <w:color w:val="000000"/>
                <w:kern w:val="0"/>
                <w:szCs w:val="21"/>
              </w:rPr>
            </w:pPr>
            <w:r>
              <w:rPr>
                <w:rFonts w:hint="eastAsia" w:ascii="宋体" w:hAnsi="宋体" w:cs="宋体"/>
                <w:b/>
                <w:bCs/>
                <w:color w:val="000000"/>
                <w:kern w:val="0"/>
                <w:szCs w:val="21"/>
              </w:rPr>
              <w:t>条款号</w:t>
            </w:r>
          </w:p>
        </w:tc>
        <w:tc>
          <w:tcPr>
            <w:tcW w:w="1826" w:type="dxa"/>
            <w:vAlign w:val="center"/>
          </w:tcPr>
          <w:p w14:paraId="4114FB2A">
            <w:pPr>
              <w:keepNext w:val="0"/>
              <w:keepLines w:val="0"/>
              <w:suppressLineNumbers w:val="0"/>
              <w:spacing w:before="0" w:beforeAutospacing="0" w:after="0" w:afterAutospacing="0" w:line="440" w:lineRule="exact"/>
              <w:ind w:left="0" w:right="0"/>
              <w:jc w:val="center"/>
              <w:rPr>
                <w:rFonts w:hint="default" w:ascii="宋体" w:hAnsi="宋体" w:cs="宋体"/>
                <w:b/>
                <w:bCs/>
                <w:color w:val="000000"/>
                <w:kern w:val="0"/>
                <w:szCs w:val="21"/>
              </w:rPr>
            </w:pPr>
            <w:r>
              <w:rPr>
                <w:rFonts w:hint="eastAsia" w:ascii="宋体" w:hAnsi="宋体" w:cs="宋体"/>
                <w:b/>
                <w:bCs/>
                <w:color w:val="000000"/>
                <w:kern w:val="0"/>
                <w:szCs w:val="21"/>
              </w:rPr>
              <w:t>评审因素</w:t>
            </w:r>
          </w:p>
        </w:tc>
        <w:tc>
          <w:tcPr>
            <w:tcW w:w="5661" w:type="dxa"/>
            <w:vAlign w:val="center"/>
          </w:tcPr>
          <w:p w14:paraId="50138B1C">
            <w:pPr>
              <w:keepNext w:val="0"/>
              <w:keepLines w:val="0"/>
              <w:suppressLineNumbers w:val="0"/>
              <w:spacing w:before="0" w:beforeAutospacing="0" w:after="0" w:afterAutospacing="0" w:line="440" w:lineRule="exact"/>
              <w:ind w:left="0" w:right="0"/>
              <w:jc w:val="center"/>
              <w:rPr>
                <w:rFonts w:hint="default" w:ascii="宋体" w:hAnsi="宋体" w:cs="宋体"/>
                <w:b/>
                <w:bCs/>
                <w:color w:val="000000"/>
                <w:kern w:val="0"/>
                <w:szCs w:val="21"/>
              </w:rPr>
            </w:pPr>
            <w:r>
              <w:rPr>
                <w:rFonts w:hint="eastAsia" w:ascii="宋体" w:hAnsi="宋体" w:cs="宋体"/>
                <w:b/>
                <w:bCs/>
                <w:color w:val="000000"/>
                <w:kern w:val="0"/>
                <w:szCs w:val="21"/>
              </w:rPr>
              <w:t>评审标准</w:t>
            </w:r>
          </w:p>
        </w:tc>
      </w:tr>
      <w:tr w14:paraId="205C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884" w:type="dxa"/>
            <w:vMerge w:val="restart"/>
            <w:vAlign w:val="center"/>
          </w:tcPr>
          <w:p w14:paraId="6A199C13">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2.1.</w:t>
            </w:r>
            <w:r>
              <w:rPr>
                <w:rFonts w:hint="eastAsia" w:ascii="宋体" w:hAnsi="宋体" w:cs="宋体"/>
                <w:color w:val="000000"/>
                <w:kern w:val="0"/>
                <w:szCs w:val="21"/>
                <w:lang w:val="en-US" w:eastAsia="zh-CN"/>
              </w:rPr>
              <w:t>1</w:t>
            </w:r>
          </w:p>
        </w:tc>
        <w:tc>
          <w:tcPr>
            <w:tcW w:w="781" w:type="dxa"/>
            <w:vMerge w:val="restart"/>
            <w:vAlign w:val="center"/>
          </w:tcPr>
          <w:p w14:paraId="3599CC0D">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r>
              <w:rPr>
                <w:rFonts w:hint="eastAsia" w:ascii="宋体" w:hAnsi="宋体" w:cs="宋体"/>
                <w:color w:val="000000"/>
                <w:kern w:val="0"/>
                <w:szCs w:val="21"/>
              </w:rPr>
              <w:t>资格</w:t>
            </w:r>
          </w:p>
          <w:p w14:paraId="49568472">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r>
              <w:rPr>
                <w:rFonts w:hint="eastAsia" w:ascii="宋体" w:hAnsi="宋体" w:cs="宋体"/>
                <w:color w:val="000000"/>
                <w:kern w:val="0"/>
                <w:szCs w:val="21"/>
              </w:rPr>
              <w:t>评审</w:t>
            </w:r>
          </w:p>
          <w:p w14:paraId="48DA49B0">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标准</w:t>
            </w:r>
          </w:p>
        </w:tc>
        <w:tc>
          <w:tcPr>
            <w:tcW w:w="1826" w:type="dxa"/>
            <w:vAlign w:val="center"/>
          </w:tcPr>
          <w:p w14:paraId="45EEB896">
            <w:pPr>
              <w:keepNext w:val="0"/>
              <w:keepLines w:val="0"/>
              <w:suppressLineNumbers w:val="0"/>
              <w:spacing w:before="0" w:beforeAutospacing="0" w:after="0" w:afterAutospacing="0" w:line="440" w:lineRule="exact"/>
              <w:ind w:left="0" w:right="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供应商</w:t>
            </w:r>
            <w:r>
              <w:rPr>
                <w:rFonts w:hint="default" w:ascii="宋体" w:hAnsi="宋体" w:eastAsia="宋体" w:cs="宋体"/>
                <w:color w:val="000000"/>
                <w:kern w:val="0"/>
                <w:szCs w:val="21"/>
                <w:lang w:val="en-US" w:eastAsia="zh-CN"/>
              </w:rPr>
              <w:t>符合《中华人民共和国政府采购法》第二十二条的规定</w:t>
            </w:r>
          </w:p>
        </w:tc>
        <w:tc>
          <w:tcPr>
            <w:tcW w:w="5661" w:type="dxa"/>
            <w:vAlign w:val="center"/>
          </w:tcPr>
          <w:p w14:paraId="7DAB5283">
            <w:pPr>
              <w:keepNext w:val="0"/>
              <w:keepLines w:val="0"/>
              <w:suppressLineNumbers w:val="0"/>
              <w:spacing w:before="0" w:beforeAutospacing="0" w:after="0" w:afterAutospacing="0" w:line="440" w:lineRule="exact"/>
              <w:ind w:left="0" w:right="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（一）具有独立承担民事责任的能力；（提供有效的营业执照或事业单位法人证书）；</w:t>
            </w:r>
          </w:p>
          <w:p w14:paraId="06320A1D">
            <w:pPr>
              <w:keepNext w:val="0"/>
              <w:keepLines w:val="0"/>
              <w:suppressLineNumbers w:val="0"/>
              <w:spacing w:before="0" w:beforeAutospacing="0" w:after="0" w:afterAutospacing="0" w:line="440" w:lineRule="exact"/>
              <w:ind w:left="0" w:right="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（二）具有良好的商业信誉和健全的财务会计制度；（提供2023年度经审计且注册会计师签字并盖章的完整的财务报告或财务报表（新成立企业从成立之日起算））。</w:t>
            </w:r>
          </w:p>
          <w:p w14:paraId="4EC83E9F">
            <w:pPr>
              <w:keepNext w:val="0"/>
              <w:keepLines w:val="0"/>
              <w:suppressLineNumbers w:val="0"/>
              <w:spacing w:before="0" w:beforeAutospacing="0" w:after="0" w:afterAutospacing="0" w:line="440" w:lineRule="exact"/>
              <w:ind w:left="0" w:right="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（三）具有履行合同所必需的设备和专业技术能力；（提供承诺书，格式自拟）；</w:t>
            </w:r>
          </w:p>
          <w:p w14:paraId="2AF7E26B">
            <w:pPr>
              <w:keepNext w:val="0"/>
              <w:keepLines w:val="0"/>
              <w:suppressLineNumbers w:val="0"/>
              <w:spacing w:before="0" w:beforeAutospacing="0" w:after="0" w:afterAutospacing="0" w:line="440" w:lineRule="exact"/>
              <w:ind w:left="0" w:right="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四）有依法缴纳税收和社会保障资金的良好记录；（提供2024年6月份以来任意一个月的纳税和社保缴纳凭证，依法免税或不需要缴纳社会保障资金的供应商，应提供相应文件证明其依法免税或不需要缴纳社会保障资金）；</w:t>
            </w:r>
          </w:p>
          <w:p w14:paraId="5D6A306A">
            <w:pPr>
              <w:keepNext w:val="0"/>
              <w:keepLines w:val="0"/>
              <w:suppressLineNumbers w:val="0"/>
              <w:spacing w:before="0" w:beforeAutospacing="0" w:after="0" w:afterAutospacing="0" w:line="440" w:lineRule="exact"/>
              <w:ind w:left="0" w:right="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（五）参加政府采购活动前三年内，在经营活动中没有重大违法记录；（提供承诺书，格式自拟）</w:t>
            </w:r>
          </w:p>
          <w:p w14:paraId="7A3AAC6D">
            <w:pPr>
              <w:keepNext w:val="0"/>
              <w:keepLines w:val="0"/>
              <w:suppressLineNumbers w:val="0"/>
              <w:spacing w:before="0" w:beforeAutospacing="0" w:after="0" w:afterAutospacing="0" w:line="440" w:lineRule="exact"/>
              <w:ind w:left="0" w:right="0"/>
              <w:rPr>
                <w:rFonts w:hint="eastAsia" w:ascii="宋体" w:hAnsi="宋体" w:cs="宋体"/>
                <w:color w:val="000000"/>
                <w:kern w:val="0"/>
                <w:szCs w:val="21"/>
              </w:rPr>
            </w:pPr>
            <w:r>
              <w:rPr>
                <w:rFonts w:hint="eastAsia" w:ascii="宋体" w:hAnsi="宋体" w:cs="宋体"/>
                <w:color w:val="000000"/>
                <w:kern w:val="0"/>
                <w:szCs w:val="21"/>
                <w:lang w:val="en-US" w:eastAsia="zh-CN"/>
              </w:rPr>
              <w:t>（六）法律、行政法规规定的其他条件（提供承诺书，格式自拟）</w:t>
            </w:r>
          </w:p>
        </w:tc>
      </w:tr>
      <w:tr w14:paraId="550D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84" w:type="dxa"/>
            <w:vMerge w:val="continue"/>
            <w:vAlign w:val="center"/>
          </w:tcPr>
          <w:p w14:paraId="48BA69D1">
            <w:pPr>
              <w:keepNext w:val="0"/>
              <w:keepLines w:val="0"/>
              <w:suppressLineNumbers w:val="0"/>
              <w:spacing w:before="0" w:beforeAutospacing="0" w:after="0" w:afterAutospacing="0" w:line="440" w:lineRule="exact"/>
              <w:ind w:left="0" w:leftChars="0" w:right="0" w:rightChars="0"/>
              <w:jc w:val="center"/>
              <w:rPr>
                <w:rFonts w:hint="eastAsia" w:ascii="宋体" w:hAnsi="宋体" w:cs="宋体"/>
                <w:color w:val="000000"/>
                <w:kern w:val="0"/>
                <w:szCs w:val="21"/>
              </w:rPr>
            </w:pPr>
          </w:p>
        </w:tc>
        <w:tc>
          <w:tcPr>
            <w:tcW w:w="781" w:type="dxa"/>
            <w:vMerge w:val="continue"/>
            <w:vAlign w:val="center"/>
          </w:tcPr>
          <w:p w14:paraId="4266005C">
            <w:pPr>
              <w:keepNext w:val="0"/>
              <w:keepLines w:val="0"/>
              <w:suppressLineNumbers w:val="0"/>
              <w:spacing w:before="0" w:beforeAutospacing="0" w:after="0" w:afterAutospacing="0" w:line="440" w:lineRule="exact"/>
              <w:ind w:left="0" w:leftChars="0" w:right="0" w:rightChars="0"/>
              <w:jc w:val="center"/>
              <w:rPr>
                <w:rFonts w:hint="eastAsia" w:ascii="宋体" w:hAnsi="宋体" w:cs="宋体"/>
                <w:color w:val="000000"/>
                <w:kern w:val="0"/>
                <w:szCs w:val="21"/>
              </w:rPr>
            </w:pPr>
          </w:p>
        </w:tc>
        <w:tc>
          <w:tcPr>
            <w:tcW w:w="1826" w:type="dxa"/>
            <w:vAlign w:val="center"/>
          </w:tcPr>
          <w:p w14:paraId="1F17D12A">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资质要求</w:t>
            </w:r>
          </w:p>
        </w:tc>
        <w:tc>
          <w:tcPr>
            <w:tcW w:w="5661" w:type="dxa"/>
            <w:vAlign w:val="center"/>
          </w:tcPr>
          <w:p w14:paraId="19573A30">
            <w:pPr>
              <w:keepNext w:val="0"/>
              <w:keepLines w:val="0"/>
              <w:suppressLineNumbers w:val="0"/>
              <w:spacing w:before="0" w:beforeAutospacing="0" w:after="0" w:afterAutospacing="0" w:line="440" w:lineRule="exact"/>
              <w:ind w:left="0" w:right="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供应商须具备市政公用工程施工总承包叁级及以上资质，具备有效的安全生产许可证；拟派项目经理须具有市政公用工程专业贰级及以上注册建造师证书，并取得安全生产考核合格证B证，并提供项目经理2024年6月份以来任意一个月的社保缴纳凭证（以劳动和社会保障部门出具的书面证明或查询清单为准），项目经理不得有在建工程，所承揽的施工项目未交工或正在施工的项目经理不允许参与投标，若项目经理不符合该条要求而参加投标，一经查实，随时取消申请人的资格</w:t>
            </w:r>
          </w:p>
        </w:tc>
      </w:tr>
      <w:tr w14:paraId="191D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4" w:type="dxa"/>
            <w:vMerge w:val="continue"/>
            <w:vAlign w:val="center"/>
          </w:tcPr>
          <w:p w14:paraId="0C5C021C">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rPr>
            </w:pPr>
          </w:p>
        </w:tc>
        <w:tc>
          <w:tcPr>
            <w:tcW w:w="781" w:type="dxa"/>
            <w:vMerge w:val="continue"/>
            <w:vAlign w:val="center"/>
          </w:tcPr>
          <w:p w14:paraId="42691EA7">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rPr>
            </w:pPr>
          </w:p>
        </w:tc>
        <w:tc>
          <w:tcPr>
            <w:tcW w:w="1826" w:type="dxa"/>
            <w:vAlign w:val="center"/>
          </w:tcPr>
          <w:p w14:paraId="2A82E622">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信用查询证明</w:t>
            </w:r>
          </w:p>
        </w:tc>
        <w:tc>
          <w:tcPr>
            <w:tcW w:w="5661" w:type="dxa"/>
            <w:vAlign w:val="center"/>
          </w:tcPr>
          <w:p w14:paraId="47D66188">
            <w:pPr>
              <w:keepNext w:val="0"/>
              <w:keepLines w:val="0"/>
              <w:suppressLineNumbers w:val="0"/>
              <w:spacing w:before="0" w:beforeAutospacing="0" w:after="0" w:afterAutospacing="0" w:line="440" w:lineRule="exact"/>
              <w:ind w:left="0" w:right="0"/>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具有信用信息查询证明</w:t>
            </w:r>
          </w:p>
        </w:tc>
      </w:tr>
      <w:tr w14:paraId="6CC4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84" w:type="dxa"/>
            <w:vMerge w:val="restart"/>
            <w:vAlign w:val="center"/>
          </w:tcPr>
          <w:p w14:paraId="4886F01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2.1.</w:t>
            </w:r>
            <w:r>
              <w:rPr>
                <w:rFonts w:hint="eastAsia" w:ascii="宋体" w:hAnsi="宋体" w:cs="宋体"/>
                <w:color w:val="000000"/>
                <w:kern w:val="0"/>
                <w:szCs w:val="21"/>
                <w:lang w:val="en-US" w:eastAsia="zh-CN"/>
              </w:rPr>
              <w:t>2</w:t>
            </w:r>
          </w:p>
        </w:tc>
        <w:tc>
          <w:tcPr>
            <w:tcW w:w="781" w:type="dxa"/>
            <w:vMerge w:val="restart"/>
            <w:vAlign w:val="center"/>
          </w:tcPr>
          <w:p w14:paraId="39435445">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rPr>
            </w:pPr>
          </w:p>
          <w:p w14:paraId="7B73BFBC">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rPr>
            </w:pPr>
          </w:p>
          <w:p w14:paraId="6483396D">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r>
              <w:rPr>
                <w:rFonts w:hint="eastAsia" w:ascii="宋体" w:hAnsi="宋体" w:cs="宋体"/>
                <w:color w:val="000000"/>
                <w:kern w:val="0"/>
                <w:szCs w:val="21"/>
                <w:lang w:eastAsia="zh-CN"/>
              </w:rPr>
              <w:t>符合</w:t>
            </w:r>
            <w:r>
              <w:rPr>
                <w:rFonts w:hint="eastAsia" w:ascii="宋体" w:hAnsi="宋体" w:cs="宋体"/>
                <w:color w:val="000000"/>
                <w:kern w:val="0"/>
                <w:szCs w:val="21"/>
              </w:rPr>
              <w:t>性</w:t>
            </w:r>
          </w:p>
          <w:p w14:paraId="22ADF5B1">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r>
              <w:rPr>
                <w:rFonts w:hint="eastAsia" w:ascii="宋体" w:hAnsi="宋体" w:cs="宋体"/>
                <w:color w:val="000000"/>
                <w:kern w:val="0"/>
                <w:szCs w:val="21"/>
              </w:rPr>
              <w:t>评审</w:t>
            </w:r>
          </w:p>
          <w:p w14:paraId="60B9A8D1">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r>
              <w:rPr>
                <w:rFonts w:hint="eastAsia" w:ascii="宋体" w:hAnsi="宋体" w:cs="宋体"/>
                <w:color w:val="000000"/>
                <w:kern w:val="0"/>
                <w:szCs w:val="21"/>
              </w:rPr>
              <w:t>标准</w:t>
            </w:r>
          </w:p>
        </w:tc>
        <w:tc>
          <w:tcPr>
            <w:tcW w:w="1826" w:type="dxa"/>
            <w:vAlign w:val="center"/>
          </w:tcPr>
          <w:p w14:paraId="3C0E9FD5">
            <w:pPr>
              <w:keepNext w:val="0"/>
              <w:keepLines w:val="0"/>
              <w:suppressLineNumbers w:val="0"/>
              <w:spacing w:before="0" w:beforeAutospacing="0" w:after="0" w:afterAutospacing="0" w:line="440" w:lineRule="exact"/>
              <w:ind w:left="0" w:leftChars="0" w:right="0" w:rightChars="0"/>
              <w:jc w:val="center"/>
              <w:rPr>
                <w:rFonts w:hint="default" w:ascii="宋体" w:hAnsi="宋体" w:cs="宋体"/>
                <w:color w:val="000000"/>
                <w:kern w:val="0"/>
                <w:szCs w:val="21"/>
              </w:rPr>
            </w:pPr>
            <w:r>
              <w:rPr>
                <w:rFonts w:hint="eastAsia" w:ascii="宋体" w:hAnsi="宋体" w:cs="宋体"/>
                <w:color w:val="000000"/>
                <w:kern w:val="0"/>
                <w:szCs w:val="21"/>
              </w:rPr>
              <w:t>供应商名称</w:t>
            </w:r>
          </w:p>
        </w:tc>
        <w:tc>
          <w:tcPr>
            <w:tcW w:w="5661" w:type="dxa"/>
            <w:vAlign w:val="center"/>
          </w:tcPr>
          <w:p w14:paraId="68E4DCA1">
            <w:pPr>
              <w:keepNext w:val="0"/>
              <w:keepLines w:val="0"/>
              <w:suppressLineNumbers w:val="0"/>
              <w:spacing w:before="0" w:beforeAutospacing="0" w:after="0" w:afterAutospacing="0" w:line="440" w:lineRule="exact"/>
              <w:ind w:left="0" w:leftChars="0" w:right="0" w:rightChars="0"/>
              <w:rPr>
                <w:rFonts w:hint="default" w:ascii="宋体" w:hAnsi="宋体" w:eastAsia="宋体" w:cs="宋体"/>
                <w:color w:val="000000"/>
                <w:kern w:val="0"/>
                <w:szCs w:val="21"/>
                <w:lang w:val="en-US" w:eastAsia="zh-CN"/>
              </w:rPr>
            </w:pPr>
            <w:r>
              <w:rPr>
                <w:rFonts w:hint="eastAsia" w:ascii="宋体" w:hAnsi="宋体" w:cs="宋体"/>
                <w:color w:val="000000"/>
                <w:kern w:val="0"/>
                <w:szCs w:val="21"/>
              </w:rPr>
              <w:t>与</w:t>
            </w:r>
            <w:r>
              <w:rPr>
                <w:rFonts w:hint="eastAsia" w:ascii="宋体" w:hAnsi="宋体" w:cs="宋体"/>
                <w:color w:val="000000"/>
                <w:kern w:val="0"/>
                <w:szCs w:val="21"/>
                <w:lang w:val="en-US" w:eastAsia="zh-CN"/>
              </w:rPr>
              <w:t>营业执照或事业单位法人证书</w:t>
            </w:r>
            <w:r>
              <w:rPr>
                <w:rFonts w:hint="eastAsia" w:ascii="宋体" w:hAnsi="宋体" w:cs="宋体"/>
                <w:color w:val="000000"/>
                <w:kern w:val="0"/>
                <w:szCs w:val="21"/>
              </w:rPr>
              <w:t>名称一致</w:t>
            </w:r>
          </w:p>
        </w:tc>
      </w:tr>
      <w:tr w14:paraId="2E6A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84" w:type="dxa"/>
            <w:vMerge w:val="continue"/>
            <w:vAlign w:val="center"/>
          </w:tcPr>
          <w:p w14:paraId="3D0E930C">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rPr>
            </w:pPr>
          </w:p>
        </w:tc>
        <w:tc>
          <w:tcPr>
            <w:tcW w:w="781" w:type="dxa"/>
            <w:vMerge w:val="continue"/>
            <w:vAlign w:val="center"/>
          </w:tcPr>
          <w:p w14:paraId="3AF1E2AB">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rPr>
            </w:pPr>
          </w:p>
        </w:tc>
        <w:tc>
          <w:tcPr>
            <w:tcW w:w="1826" w:type="dxa"/>
            <w:vAlign w:val="center"/>
          </w:tcPr>
          <w:p w14:paraId="1EE1E336">
            <w:pPr>
              <w:keepNext w:val="0"/>
              <w:keepLines w:val="0"/>
              <w:suppressLineNumbers w:val="0"/>
              <w:spacing w:before="0" w:beforeAutospacing="0" w:after="0" w:afterAutospacing="0" w:line="440" w:lineRule="exact"/>
              <w:ind w:left="0" w:leftChars="0" w:right="0" w:rightChars="0"/>
              <w:jc w:val="center"/>
              <w:rPr>
                <w:rFonts w:hint="eastAsia" w:ascii="宋体" w:hAnsi="宋体" w:cs="宋体"/>
                <w:color w:val="000000"/>
                <w:kern w:val="0"/>
                <w:szCs w:val="21"/>
                <w:lang w:val="en-US" w:eastAsia="zh-CN"/>
              </w:rPr>
            </w:pPr>
            <w:r>
              <w:rPr>
                <w:rFonts w:hint="eastAsia" w:ascii="宋体" w:hAnsi="宋体" w:cs="宋体"/>
                <w:color w:val="000000"/>
                <w:kern w:val="0"/>
                <w:szCs w:val="21"/>
              </w:rPr>
              <w:t>报价唯一</w:t>
            </w:r>
          </w:p>
        </w:tc>
        <w:tc>
          <w:tcPr>
            <w:tcW w:w="5661" w:type="dxa"/>
            <w:vAlign w:val="center"/>
          </w:tcPr>
          <w:p w14:paraId="2958B05E">
            <w:pPr>
              <w:keepNext w:val="0"/>
              <w:keepLines w:val="0"/>
              <w:suppressLineNumbers w:val="0"/>
              <w:spacing w:before="0" w:beforeAutospacing="0" w:after="0" w:afterAutospacing="0" w:line="440" w:lineRule="exact"/>
              <w:ind w:left="0" w:leftChars="0" w:right="0" w:rightChars="0"/>
              <w:rPr>
                <w:rFonts w:hint="eastAsia" w:ascii="宋体" w:hAnsi="宋体" w:cs="宋体"/>
                <w:color w:val="000000"/>
                <w:kern w:val="0"/>
                <w:szCs w:val="21"/>
                <w:lang w:val="en-US" w:eastAsia="zh-CN"/>
              </w:rPr>
            </w:pPr>
            <w:r>
              <w:rPr>
                <w:rFonts w:hint="eastAsia" w:ascii="宋体" w:hAnsi="宋体" w:cs="宋体"/>
                <w:color w:val="000000"/>
                <w:kern w:val="0"/>
                <w:szCs w:val="21"/>
              </w:rPr>
              <w:t>首次响应文件只允许一个报价方案</w:t>
            </w:r>
          </w:p>
        </w:tc>
      </w:tr>
      <w:tr w14:paraId="5858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84" w:type="dxa"/>
            <w:vMerge w:val="continue"/>
            <w:vAlign w:val="center"/>
          </w:tcPr>
          <w:p w14:paraId="1A5F4A8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rPr>
            </w:pPr>
          </w:p>
        </w:tc>
        <w:tc>
          <w:tcPr>
            <w:tcW w:w="781" w:type="dxa"/>
            <w:vMerge w:val="continue"/>
            <w:vAlign w:val="center"/>
          </w:tcPr>
          <w:p w14:paraId="2461AC0B">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rPr>
            </w:pPr>
          </w:p>
        </w:tc>
        <w:tc>
          <w:tcPr>
            <w:tcW w:w="1826" w:type="dxa"/>
            <w:vAlign w:val="center"/>
          </w:tcPr>
          <w:p w14:paraId="74C5DE3B">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工期</w:t>
            </w:r>
          </w:p>
        </w:tc>
        <w:tc>
          <w:tcPr>
            <w:tcW w:w="5661" w:type="dxa"/>
            <w:vAlign w:val="center"/>
          </w:tcPr>
          <w:p w14:paraId="57F78C1E">
            <w:pPr>
              <w:keepNext w:val="0"/>
              <w:keepLines w:val="0"/>
              <w:suppressLineNumbers w:val="0"/>
              <w:spacing w:before="0" w:beforeAutospacing="0" w:after="0" w:afterAutospacing="0" w:line="440" w:lineRule="exact"/>
              <w:ind w:left="0" w:leftChars="0" w:right="0" w:rightChars="0"/>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自合同签订后20日历天内</w:t>
            </w:r>
          </w:p>
        </w:tc>
      </w:tr>
      <w:tr w14:paraId="7798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4" w:type="dxa"/>
            <w:vMerge w:val="continue"/>
            <w:vAlign w:val="center"/>
          </w:tcPr>
          <w:p w14:paraId="5DF69ACB">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p>
        </w:tc>
        <w:tc>
          <w:tcPr>
            <w:tcW w:w="781" w:type="dxa"/>
            <w:vMerge w:val="continue"/>
            <w:vAlign w:val="center"/>
          </w:tcPr>
          <w:p w14:paraId="46E2179D">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p>
        </w:tc>
        <w:tc>
          <w:tcPr>
            <w:tcW w:w="1826" w:type="dxa"/>
            <w:vAlign w:val="center"/>
          </w:tcPr>
          <w:p w14:paraId="53FF3E1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lang w:eastAsia="zh-CN"/>
              </w:rPr>
              <w:t>磋商有效期</w:t>
            </w:r>
          </w:p>
        </w:tc>
        <w:tc>
          <w:tcPr>
            <w:tcW w:w="5661" w:type="dxa"/>
            <w:vAlign w:val="center"/>
          </w:tcPr>
          <w:p w14:paraId="5F9C00F0">
            <w:pPr>
              <w:keepNext w:val="0"/>
              <w:keepLines w:val="0"/>
              <w:suppressLineNumbers w:val="0"/>
              <w:spacing w:before="0" w:beforeAutospacing="0" w:after="0" w:afterAutospacing="0" w:line="440" w:lineRule="exact"/>
              <w:ind w:left="0" w:right="0"/>
              <w:rPr>
                <w:rFonts w:hint="default" w:ascii="宋体" w:hAnsi="宋体" w:cs="宋体"/>
                <w:color w:val="000000"/>
                <w:kern w:val="0"/>
                <w:szCs w:val="21"/>
                <w:highlight w:val="none"/>
              </w:rPr>
            </w:pPr>
            <w:r>
              <w:rPr>
                <w:rFonts w:hint="default" w:ascii="宋体" w:hAnsi="宋体" w:cs="宋体"/>
                <w:color w:val="000000"/>
                <w:kern w:val="0"/>
                <w:szCs w:val="21"/>
                <w:highlight w:val="none"/>
              </w:rPr>
              <w:t>磋商截止之日起60日历天</w:t>
            </w:r>
          </w:p>
        </w:tc>
      </w:tr>
      <w:tr w14:paraId="784A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84" w:type="dxa"/>
            <w:vMerge w:val="continue"/>
            <w:vAlign w:val="center"/>
          </w:tcPr>
          <w:p w14:paraId="56985877">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p>
        </w:tc>
        <w:tc>
          <w:tcPr>
            <w:tcW w:w="781" w:type="dxa"/>
            <w:vMerge w:val="continue"/>
            <w:vAlign w:val="center"/>
          </w:tcPr>
          <w:p w14:paraId="7CEB8932">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p>
        </w:tc>
        <w:tc>
          <w:tcPr>
            <w:tcW w:w="1826" w:type="dxa"/>
            <w:vAlign w:val="center"/>
          </w:tcPr>
          <w:p w14:paraId="728811EF">
            <w:pPr>
              <w:keepNext w:val="0"/>
              <w:keepLines w:val="0"/>
              <w:suppressLineNumbers w:val="0"/>
              <w:spacing w:before="0" w:beforeAutospacing="0" w:after="0" w:afterAutospacing="0" w:line="440" w:lineRule="exact"/>
              <w:ind w:left="0" w:right="0"/>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投标报价</w:t>
            </w:r>
          </w:p>
        </w:tc>
        <w:tc>
          <w:tcPr>
            <w:tcW w:w="5661" w:type="dxa"/>
            <w:vAlign w:val="center"/>
          </w:tcPr>
          <w:p w14:paraId="4791160A">
            <w:pPr>
              <w:keepNext w:val="0"/>
              <w:keepLines w:val="0"/>
              <w:suppressLineNumbers w:val="0"/>
              <w:spacing w:before="0" w:beforeAutospacing="0" w:after="0" w:afterAutospacing="0" w:line="440" w:lineRule="exact"/>
              <w:ind w:left="0" w:right="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报价未超过竞争性磋商文件中规定最高限价的</w:t>
            </w:r>
          </w:p>
        </w:tc>
      </w:tr>
      <w:tr w14:paraId="4917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84" w:type="dxa"/>
            <w:vMerge w:val="continue"/>
            <w:vAlign w:val="center"/>
          </w:tcPr>
          <w:p w14:paraId="73502279">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p>
        </w:tc>
        <w:tc>
          <w:tcPr>
            <w:tcW w:w="781" w:type="dxa"/>
            <w:vMerge w:val="continue"/>
            <w:vAlign w:val="center"/>
          </w:tcPr>
          <w:p w14:paraId="2182B6C4">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p>
        </w:tc>
        <w:tc>
          <w:tcPr>
            <w:tcW w:w="1826" w:type="dxa"/>
            <w:vAlign w:val="center"/>
          </w:tcPr>
          <w:p w14:paraId="5F184B00">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签名盖章</w:t>
            </w:r>
          </w:p>
        </w:tc>
        <w:tc>
          <w:tcPr>
            <w:tcW w:w="5661" w:type="dxa"/>
            <w:vAlign w:val="center"/>
          </w:tcPr>
          <w:p w14:paraId="4A306614">
            <w:pPr>
              <w:keepNext w:val="0"/>
              <w:keepLines w:val="0"/>
              <w:suppressLineNumbers w:val="0"/>
              <w:spacing w:before="0" w:beforeAutospacing="0" w:after="0" w:afterAutospacing="0" w:line="440" w:lineRule="exact"/>
              <w:ind w:left="0" w:right="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响应文件按竞争性磋商文件要求签署、盖章的</w:t>
            </w:r>
          </w:p>
        </w:tc>
      </w:tr>
      <w:tr w14:paraId="1E80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4" w:type="dxa"/>
            <w:vMerge w:val="continue"/>
            <w:vAlign w:val="center"/>
          </w:tcPr>
          <w:p w14:paraId="2B8C1652">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p>
        </w:tc>
        <w:tc>
          <w:tcPr>
            <w:tcW w:w="781" w:type="dxa"/>
            <w:vMerge w:val="continue"/>
            <w:vAlign w:val="center"/>
          </w:tcPr>
          <w:p w14:paraId="5D00E873">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p>
        </w:tc>
        <w:tc>
          <w:tcPr>
            <w:tcW w:w="1826" w:type="dxa"/>
            <w:vAlign w:val="center"/>
          </w:tcPr>
          <w:p w14:paraId="72690782">
            <w:pPr>
              <w:keepNext w:val="0"/>
              <w:keepLines w:val="0"/>
              <w:suppressLineNumbers w:val="0"/>
              <w:spacing w:before="0" w:beforeAutospacing="0" w:after="0" w:afterAutospacing="0" w:line="440" w:lineRule="exact"/>
              <w:ind w:left="0" w:leftChars="0" w:right="0" w:rightChars="0"/>
              <w:jc w:val="center"/>
              <w:rPr>
                <w:rFonts w:hint="default" w:ascii="宋体" w:hAnsi="宋体" w:eastAsia="宋体" w:cs="宋体"/>
                <w:color w:val="000000"/>
                <w:kern w:val="0"/>
                <w:sz w:val="21"/>
                <w:szCs w:val="21"/>
                <w:highlight w:val="none"/>
                <w:lang w:val="en-US" w:eastAsia="zh-CN" w:bidi="ar-SA"/>
              </w:rPr>
            </w:pPr>
            <w:r>
              <w:rPr>
                <w:rFonts w:hint="default" w:ascii="宋体" w:hAnsi="宋体" w:eastAsia="宋体" w:cs="宋体"/>
                <w:color w:val="000000"/>
                <w:kern w:val="0"/>
                <w:sz w:val="21"/>
                <w:szCs w:val="21"/>
                <w:highlight w:val="none"/>
                <w:lang w:val="en-US" w:eastAsia="zh-CN" w:bidi="ar-SA"/>
              </w:rPr>
              <w:t>质量要求</w:t>
            </w:r>
          </w:p>
        </w:tc>
        <w:tc>
          <w:tcPr>
            <w:tcW w:w="5661" w:type="dxa"/>
            <w:vAlign w:val="center"/>
          </w:tcPr>
          <w:p w14:paraId="46FFCB8A">
            <w:pPr>
              <w:keepNext w:val="0"/>
              <w:keepLines w:val="0"/>
              <w:suppressLineNumbers w:val="0"/>
              <w:spacing w:before="0" w:beforeAutospacing="0" w:after="0" w:afterAutospacing="0" w:line="440" w:lineRule="exact"/>
              <w:ind w:left="0" w:leftChars="0" w:right="0" w:rightChars="0"/>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合格</w:t>
            </w:r>
          </w:p>
        </w:tc>
      </w:tr>
      <w:tr w14:paraId="5FCE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4" w:type="dxa"/>
            <w:vMerge w:val="continue"/>
            <w:vAlign w:val="center"/>
          </w:tcPr>
          <w:p w14:paraId="70BC70EB">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p>
        </w:tc>
        <w:tc>
          <w:tcPr>
            <w:tcW w:w="781" w:type="dxa"/>
            <w:vMerge w:val="continue"/>
            <w:vAlign w:val="center"/>
          </w:tcPr>
          <w:p w14:paraId="4508813A">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p>
        </w:tc>
        <w:tc>
          <w:tcPr>
            <w:tcW w:w="1826" w:type="dxa"/>
            <w:vAlign w:val="center"/>
          </w:tcPr>
          <w:p w14:paraId="613093D9">
            <w:pPr>
              <w:keepNext w:val="0"/>
              <w:keepLines w:val="0"/>
              <w:suppressLineNumbers w:val="0"/>
              <w:spacing w:before="0" w:beforeAutospacing="0" w:after="0" w:afterAutospacing="0" w:line="440" w:lineRule="exact"/>
              <w:ind w:left="0" w:leftChars="0" w:right="0" w:rightChars="0"/>
              <w:jc w:val="center"/>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投标范围</w:t>
            </w:r>
          </w:p>
        </w:tc>
        <w:tc>
          <w:tcPr>
            <w:tcW w:w="5661" w:type="dxa"/>
            <w:vAlign w:val="center"/>
          </w:tcPr>
          <w:p w14:paraId="32FD8BFB">
            <w:pPr>
              <w:keepNext w:val="0"/>
              <w:keepLines w:val="0"/>
              <w:suppressLineNumbers w:val="0"/>
              <w:spacing w:before="0" w:beforeAutospacing="0" w:after="0" w:afterAutospacing="0" w:line="440" w:lineRule="exact"/>
              <w:ind w:left="0" w:leftChars="0" w:right="0" w:rightChars="0"/>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招标文件、图纸、清单全部内容</w:t>
            </w:r>
          </w:p>
        </w:tc>
      </w:tr>
    </w:tbl>
    <w:p w14:paraId="36A56E84">
      <w:pPr>
        <w:spacing w:line="440" w:lineRule="exact"/>
        <w:rPr>
          <w:rFonts w:ascii="Calibri" w:hAnsi="Calibri" w:cs="黑体"/>
          <w:vanish/>
          <w:szCs w:val="22"/>
        </w:rPr>
      </w:pPr>
    </w:p>
    <w:p w14:paraId="69A185DA">
      <w:pPr>
        <w:spacing w:line="440" w:lineRule="exact"/>
        <w:rPr>
          <w:rFonts w:ascii="Calibri" w:hAnsi="Calibri" w:cs="黑体"/>
          <w:szCs w:val="22"/>
        </w:rPr>
      </w:pPr>
    </w:p>
    <w:tbl>
      <w:tblPr>
        <w:tblStyle w:val="46"/>
        <w:tblW w:w="9149" w:type="dxa"/>
        <w:tblInd w:w="0" w:type="dxa"/>
        <w:tblLayout w:type="fixed"/>
        <w:tblCellMar>
          <w:top w:w="0" w:type="dxa"/>
          <w:left w:w="108" w:type="dxa"/>
          <w:bottom w:w="0" w:type="dxa"/>
          <w:right w:w="108" w:type="dxa"/>
        </w:tblCellMar>
      </w:tblPr>
      <w:tblGrid>
        <w:gridCol w:w="1044"/>
        <w:gridCol w:w="2033"/>
        <w:gridCol w:w="6072"/>
      </w:tblGrid>
      <w:tr w14:paraId="640484AE">
        <w:tblPrEx>
          <w:tblCellMar>
            <w:top w:w="0" w:type="dxa"/>
            <w:left w:w="108" w:type="dxa"/>
            <w:bottom w:w="0" w:type="dxa"/>
            <w:right w:w="108" w:type="dxa"/>
          </w:tblCellMar>
        </w:tblPrEx>
        <w:trPr>
          <w:trHeight w:val="747" w:hRule="atLeast"/>
        </w:trPr>
        <w:tc>
          <w:tcPr>
            <w:tcW w:w="3077" w:type="dxa"/>
            <w:gridSpan w:val="2"/>
            <w:tcBorders>
              <w:top w:val="single" w:color="auto" w:sz="4" w:space="0"/>
              <w:left w:val="single" w:color="auto" w:sz="4" w:space="0"/>
              <w:bottom w:val="single" w:color="auto" w:sz="4" w:space="0"/>
              <w:right w:val="single" w:color="auto" w:sz="4" w:space="0"/>
            </w:tcBorders>
            <w:vAlign w:val="center"/>
          </w:tcPr>
          <w:p w14:paraId="4EB3F4E6">
            <w:pPr>
              <w:keepNext w:val="0"/>
              <w:keepLines w:val="0"/>
              <w:suppressLineNumbers w:val="0"/>
              <w:autoSpaceDE w:val="0"/>
              <w:autoSpaceDN w:val="0"/>
              <w:adjustRightInd w:val="0"/>
              <w:spacing w:before="0" w:beforeAutospacing="0" w:after="0" w:afterAutospacing="0" w:line="360" w:lineRule="auto"/>
              <w:ind w:left="0" w:right="97" w:rightChars="0" w:firstLine="59" w:firstLineChars="28"/>
              <w:jc w:val="center"/>
              <w:rPr>
                <w:rFonts w:hint="eastAsia" w:ascii="宋体" w:hAnsi="宋体" w:eastAsia="宋体" w:cs="宋体"/>
                <w:b/>
                <w:bCs/>
                <w:color w:val="000000"/>
                <w:kern w:val="0"/>
                <w:sz w:val="21"/>
                <w:szCs w:val="21"/>
              </w:rPr>
            </w:pPr>
            <w:r>
              <w:rPr>
                <w:rFonts w:hint="eastAsia" w:ascii="宋体" w:hAnsi="宋体" w:eastAsia="宋体" w:cs="宋体"/>
                <w:b/>
                <w:bCs/>
                <w:spacing w:val="1"/>
                <w:kern w:val="0"/>
                <w:sz w:val="21"/>
                <w:szCs w:val="21"/>
              </w:rPr>
              <w:t>评分因素</w:t>
            </w:r>
          </w:p>
        </w:tc>
        <w:tc>
          <w:tcPr>
            <w:tcW w:w="6072" w:type="dxa"/>
            <w:tcBorders>
              <w:top w:val="single" w:color="auto" w:sz="4" w:space="0"/>
              <w:left w:val="single" w:color="auto" w:sz="4" w:space="0"/>
              <w:bottom w:val="single" w:color="auto" w:sz="4" w:space="0"/>
              <w:right w:val="single" w:color="auto" w:sz="4" w:space="0"/>
            </w:tcBorders>
            <w:vAlign w:val="center"/>
          </w:tcPr>
          <w:p w14:paraId="1E5EA3B0">
            <w:pPr>
              <w:keepNext w:val="0"/>
              <w:keepLines w:val="0"/>
              <w:suppressLineNumbers w:val="0"/>
              <w:autoSpaceDE w:val="0"/>
              <w:autoSpaceDN w:val="0"/>
              <w:adjustRightInd w:val="0"/>
              <w:spacing w:before="0" w:beforeAutospacing="0" w:after="0" w:afterAutospacing="0" w:line="360" w:lineRule="auto"/>
              <w:ind w:left="0" w:right="97" w:rightChars="0"/>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spacing w:val="1"/>
                <w:kern w:val="0"/>
                <w:sz w:val="21"/>
                <w:szCs w:val="21"/>
              </w:rPr>
              <w:t>评分标准</w:t>
            </w:r>
          </w:p>
        </w:tc>
      </w:tr>
      <w:tr w14:paraId="55B2DDE8">
        <w:tblPrEx>
          <w:tblCellMar>
            <w:top w:w="0" w:type="dxa"/>
            <w:left w:w="108" w:type="dxa"/>
            <w:bottom w:w="0" w:type="dxa"/>
            <w:right w:w="108" w:type="dxa"/>
          </w:tblCellMar>
        </w:tblPrEx>
        <w:trPr>
          <w:trHeight w:val="968" w:hRule="atLeast"/>
        </w:trPr>
        <w:tc>
          <w:tcPr>
            <w:tcW w:w="3077" w:type="dxa"/>
            <w:gridSpan w:val="2"/>
            <w:tcBorders>
              <w:top w:val="single" w:color="auto" w:sz="4" w:space="0"/>
              <w:left w:val="single" w:color="auto" w:sz="4" w:space="0"/>
              <w:bottom w:val="single" w:color="auto" w:sz="4" w:space="0"/>
              <w:right w:val="single" w:color="auto" w:sz="4" w:space="0"/>
            </w:tcBorders>
            <w:vAlign w:val="center"/>
          </w:tcPr>
          <w:p w14:paraId="56B8087E">
            <w:pPr>
              <w:keepNext w:val="0"/>
              <w:keepLines w:val="0"/>
              <w:widowControl/>
              <w:suppressLineNumbers w:val="0"/>
              <w:adjustRightInd w:val="0"/>
              <w:snapToGrid w:val="0"/>
              <w:spacing w:before="0" w:beforeAutospacing="0" w:after="0" w:afterAutospacing="0" w:line="480" w:lineRule="auto"/>
              <w:ind w:left="0" w:right="0"/>
              <w:jc w:val="left"/>
              <w:rPr>
                <w:rFonts w:hint="eastAsia" w:ascii="宋体" w:hAnsi="宋体" w:eastAsia="宋体" w:cs="宋体"/>
                <w:kern w:val="0"/>
                <w:sz w:val="21"/>
                <w:szCs w:val="21"/>
                <w:lang w:val="en-US" w:eastAsia="zh-CN"/>
              </w:rPr>
            </w:pPr>
          </w:p>
          <w:p w14:paraId="37D7E206">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分值构成</w:t>
            </w:r>
          </w:p>
          <w:p w14:paraId="55E47413">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(总分100分)</w:t>
            </w:r>
          </w:p>
          <w:p w14:paraId="5F57F625">
            <w:pPr>
              <w:keepNext w:val="0"/>
              <w:keepLines w:val="0"/>
              <w:widowControl/>
              <w:suppressLineNumbers w:val="0"/>
              <w:adjustRightInd w:val="0"/>
              <w:snapToGrid w:val="0"/>
              <w:spacing w:before="0" w:beforeAutospacing="0" w:after="0" w:afterAutospacing="0" w:line="480" w:lineRule="auto"/>
              <w:ind w:left="0" w:right="0" w:firstLine="2940" w:firstLineChars="1400"/>
              <w:jc w:val="left"/>
              <w:rPr>
                <w:rFonts w:hint="eastAsia" w:ascii="宋体" w:hAnsi="宋体" w:eastAsia="宋体" w:cs="宋体"/>
                <w:kern w:val="0"/>
                <w:sz w:val="21"/>
                <w:szCs w:val="21"/>
                <w:lang w:val="en-US" w:eastAsia="zh-CN"/>
              </w:rPr>
            </w:pPr>
          </w:p>
        </w:tc>
        <w:tc>
          <w:tcPr>
            <w:tcW w:w="6072" w:type="dxa"/>
            <w:tcBorders>
              <w:top w:val="single" w:color="auto" w:sz="4" w:space="0"/>
              <w:left w:val="single" w:color="auto" w:sz="4" w:space="0"/>
              <w:bottom w:val="single" w:color="auto" w:sz="4" w:space="0"/>
              <w:right w:val="single" w:color="auto" w:sz="4" w:space="0"/>
            </w:tcBorders>
            <w:vAlign w:val="center"/>
          </w:tcPr>
          <w:p w14:paraId="231358AC">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投标报价：</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0分</w:t>
            </w:r>
          </w:p>
          <w:p w14:paraId="479254A9">
            <w:pPr>
              <w:keepNext w:val="0"/>
              <w:keepLines w:val="0"/>
              <w:suppressLineNumbers w:val="0"/>
              <w:spacing w:before="0" w:beforeAutospacing="0" w:after="0" w:afterAutospacing="0"/>
              <w:ind w:left="0" w:right="0"/>
              <w:rPr>
                <w:rFonts w:hint="eastAsia" w:ascii="宋体" w:hAnsi="宋体" w:cs="宋体"/>
                <w:sz w:val="21"/>
                <w:szCs w:val="21"/>
                <w:lang w:val="en-US" w:eastAsia="zh-CN"/>
              </w:rPr>
            </w:pPr>
            <w:r>
              <w:rPr>
                <w:rFonts w:hint="eastAsia" w:ascii="宋体" w:hAnsi="宋体" w:eastAsia="宋体" w:cs="宋体"/>
                <w:sz w:val="21"/>
                <w:szCs w:val="21"/>
                <w:lang w:val="en-US" w:eastAsia="zh-CN"/>
              </w:rPr>
              <w:t>施工组织设计</w:t>
            </w:r>
            <w:r>
              <w:rPr>
                <w:rFonts w:hint="eastAsia" w:ascii="宋体" w:hAnsi="宋体" w:cs="宋体"/>
                <w:sz w:val="21"/>
                <w:szCs w:val="21"/>
                <w:lang w:val="en-US" w:eastAsia="zh-CN"/>
              </w:rPr>
              <w:t>：60分</w:t>
            </w:r>
          </w:p>
          <w:p w14:paraId="095A578F">
            <w:pPr>
              <w:keepNext w:val="0"/>
              <w:keepLines w:val="0"/>
              <w:suppressLineNumbers w:val="0"/>
              <w:spacing w:before="0" w:beforeAutospacing="0" w:after="0" w:afterAutospacing="0"/>
              <w:ind w:left="0" w:right="0"/>
              <w:rPr>
                <w:rFonts w:hint="eastAsia" w:ascii="宋体" w:hAnsi="宋体" w:cs="宋体"/>
                <w:sz w:val="21"/>
                <w:szCs w:val="21"/>
                <w:lang w:val="en-US" w:eastAsia="zh-CN"/>
              </w:rPr>
            </w:pPr>
            <w:r>
              <w:rPr>
                <w:rFonts w:hint="eastAsia" w:ascii="宋体" w:hAnsi="宋体" w:cs="宋体"/>
                <w:sz w:val="21"/>
                <w:szCs w:val="21"/>
                <w:lang w:val="en-US" w:eastAsia="zh-CN"/>
              </w:rPr>
              <w:t>综合实力：10分</w:t>
            </w:r>
          </w:p>
        </w:tc>
      </w:tr>
      <w:tr w14:paraId="0B440D41">
        <w:tblPrEx>
          <w:tblCellMar>
            <w:top w:w="0" w:type="dxa"/>
            <w:left w:w="108" w:type="dxa"/>
            <w:bottom w:w="0" w:type="dxa"/>
            <w:right w:w="108" w:type="dxa"/>
          </w:tblCellMar>
        </w:tblPrEx>
        <w:trPr>
          <w:trHeight w:val="271" w:hRule="atLeast"/>
        </w:trPr>
        <w:tc>
          <w:tcPr>
            <w:tcW w:w="1044" w:type="dxa"/>
            <w:tcBorders>
              <w:top w:val="single" w:color="auto" w:sz="4" w:space="0"/>
              <w:left w:val="single" w:color="auto" w:sz="4" w:space="0"/>
              <w:bottom w:val="single" w:color="auto" w:sz="4" w:space="0"/>
              <w:right w:val="single" w:color="auto" w:sz="4" w:space="0"/>
            </w:tcBorders>
            <w:vAlign w:val="center"/>
          </w:tcPr>
          <w:p w14:paraId="4B1C93CC">
            <w:pPr>
              <w:keepNext w:val="0"/>
              <w:keepLines w:val="0"/>
              <w:widowControl/>
              <w:suppressLineNumbers w:val="0"/>
              <w:adjustRightInd w:val="0"/>
              <w:snapToGrid w:val="0"/>
              <w:spacing w:before="0" w:beforeAutospacing="0" w:after="0" w:afterAutospacing="0" w:line="480" w:lineRule="auto"/>
              <w:ind w:left="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1、投标报价</w:t>
            </w:r>
          </w:p>
        </w:tc>
        <w:tc>
          <w:tcPr>
            <w:tcW w:w="2033" w:type="dxa"/>
            <w:tcBorders>
              <w:top w:val="single" w:color="auto" w:sz="4" w:space="0"/>
              <w:left w:val="single" w:color="auto" w:sz="4" w:space="0"/>
              <w:bottom w:val="single" w:color="auto" w:sz="4" w:space="0"/>
              <w:right w:val="single" w:color="auto" w:sz="4" w:space="0"/>
            </w:tcBorders>
            <w:vAlign w:val="center"/>
          </w:tcPr>
          <w:p w14:paraId="66F6CC54">
            <w:pPr>
              <w:keepNext w:val="0"/>
              <w:keepLines w:val="0"/>
              <w:widowControl/>
              <w:suppressLineNumbers w:val="0"/>
              <w:adjustRightInd w:val="0"/>
              <w:snapToGrid w:val="0"/>
              <w:spacing w:before="0" w:beforeAutospacing="0" w:after="0" w:afterAutospacing="0" w:line="480" w:lineRule="auto"/>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0分</w:t>
            </w:r>
          </w:p>
        </w:tc>
        <w:tc>
          <w:tcPr>
            <w:tcW w:w="6072" w:type="dxa"/>
            <w:tcBorders>
              <w:top w:val="single" w:color="auto" w:sz="4" w:space="0"/>
              <w:left w:val="single" w:color="auto" w:sz="4" w:space="0"/>
              <w:bottom w:val="single" w:color="auto" w:sz="4" w:space="0"/>
              <w:right w:val="single" w:color="auto" w:sz="4" w:space="0"/>
            </w:tcBorders>
            <w:vAlign w:val="center"/>
          </w:tcPr>
          <w:p w14:paraId="4F79BBEB">
            <w:pPr>
              <w:keepNext w:val="0"/>
              <w:keepLines w:val="0"/>
              <w:widowControl/>
              <w:suppressLineNumbers w:val="0"/>
              <w:adjustRightInd w:val="0"/>
              <w:snapToGrid w:val="0"/>
              <w:spacing w:before="0" w:beforeAutospacing="0" w:after="0" w:afterAutospacing="0" w:line="480" w:lineRule="auto"/>
              <w:ind w:left="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满足竞争性磋商文件要求且投标价格最低的投标报价为评标基准价，其价格为满分；</w:t>
            </w:r>
          </w:p>
          <w:p w14:paraId="4DE8AB8A">
            <w:pPr>
              <w:keepNext w:val="0"/>
              <w:keepLines w:val="0"/>
              <w:widowControl/>
              <w:suppressLineNumbers w:val="0"/>
              <w:adjustRightInd w:val="0"/>
              <w:snapToGrid w:val="0"/>
              <w:spacing w:before="0" w:beforeAutospacing="0" w:after="0" w:afterAutospacing="0" w:line="480" w:lineRule="auto"/>
              <w:ind w:left="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其他供应商的报价得分=（评标基准价/投标报价）×</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0%×100</w:t>
            </w:r>
          </w:p>
          <w:p w14:paraId="3DC428F1">
            <w:pPr>
              <w:keepNext w:val="0"/>
              <w:keepLines w:val="0"/>
              <w:widowControl/>
              <w:suppressLineNumbers w:val="0"/>
              <w:adjustRightInd w:val="0"/>
              <w:snapToGrid w:val="0"/>
              <w:spacing w:before="0" w:beforeAutospacing="0" w:after="0" w:afterAutospacing="0" w:line="480" w:lineRule="auto"/>
              <w:ind w:left="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注：在评审过程中，评委会发现供应商的报价或者某些分项报价明显不合理或者低于成本，有可能影响商品质量和不能诚信履约的，应当要求其在规定的期限内提供文件予以解释说明，并提交相关证明材料；否则，评委会可以取消该供应商的中标候选资格按顺序由排在后面的中标候选人递补，以此类推。 </w:t>
            </w:r>
          </w:p>
          <w:p w14:paraId="4BFE353D">
            <w:pPr>
              <w:keepNext w:val="0"/>
              <w:keepLines w:val="0"/>
              <w:widowControl/>
              <w:suppressLineNumbers w:val="0"/>
              <w:adjustRightInd w:val="0"/>
              <w:snapToGrid w:val="0"/>
              <w:spacing w:before="0" w:beforeAutospacing="0" w:after="0" w:afterAutospacing="0" w:line="480" w:lineRule="auto"/>
              <w:ind w:left="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2 对于小型和微型企业产品以扣除优惠比率后的报价参与价格打分，但不作为中标价和合同签约价。中标价和合同签约价仍以其响应文件中的一次报价为准。 </w:t>
            </w:r>
          </w:p>
          <w:p w14:paraId="4A7CAA27">
            <w:pPr>
              <w:keepNext w:val="0"/>
              <w:keepLines w:val="0"/>
              <w:widowControl/>
              <w:suppressLineNumbers w:val="0"/>
              <w:adjustRightInd w:val="0"/>
              <w:snapToGrid w:val="0"/>
              <w:spacing w:before="0" w:beforeAutospacing="0" w:after="0" w:afterAutospacing="0" w:line="480" w:lineRule="auto"/>
              <w:ind w:left="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 小型和微型企业产品价格给予扣除标准：对小型和微型企业产品的价格给予</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 xml:space="preserve">%的扣除，用扣除后的报价参与评审。对于中型企业产品的价格不予扣除。（小型、微型企业提供中型企业制造的货物的，视同为中型企业。） </w:t>
            </w:r>
          </w:p>
          <w:p w14:paraId="62CD4C17">
            <w:pPr>
              <w:keepNext w:val="0"/>
              <w:keepLines w:val="0"/>
              <w:widowControl/>
              <w:suppressLineNumbers w:val="0"/>
              <w:adjustRightInd w:val="0"/>
              <w:snapToGrid w:val="0"/>
              <w:spacing w:before="0" w:beforeAutospacing="0" w:after="0" w:afterAutospacing="0" w:line="480" w:lineRule="auto"/>
              <w:ind w:left="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 中小企业须提供中小企业声明函，格式见《政府采购促进中小企业发展暂行办法》(财库[2011]181 号)。监狱企业视同小型、 微型企业，提供省级以上监狱管理局、戒毒管理局(含新疆生产建设兵团)出具的属于监狱企业的证明文件。</w:t>
            </w:r>
          </w:p>
        </w:tc>
      </w:tr>
      <w:tr w14:paraId="0AD1F9D0">
        <w:tblPrEx>
          <w:tblCellMar>
            <w:top w:w="0" w:type="dxa"/>
            <w:left w:w="108" w:type="dxa"/>
            <w:bottom w:w="0" w:type="dxa"/>
            <w:right w:w="108" w:type="dxa"/>
          </w:tblCellMar>
        </w:tblPrEx>
        <w:trPr>
          <w:trHeight w:val="674" w:hRule="atLeast"/>
        </w:trPr>
        <w:tc>
          <w:tcPr>
            <w:tcW w:w="1044" w:type="dxa"/>
            <w:vMerge w:val="restart"/>
            <w:tcBorders>
              <w:top w:val="single" w:color="auto" w:sz="4" w:space="0"/>
              <w:left w:val="single" w:color="auto" w:sz="4" w:space="0"/>
              <w:bottom w:val="single" w:color="auto" w:sz="4" w:space="0"/>
              <w:right w:val="single" w:color="auto" w:sz="4" w:space="0"/>
            </w:tcBorders>
            <w:vAlign w:val="center"/>
          </w:tcPr>
          <w:p w14:paraId="5F75E41E">
            <w:pPr>
              <w:keepNext w:val="0"/>
              <w:keepLines w:val="0"/>
              <w:suppressLineNumbers w:val="0"/>
              <w:autoSpaceDE w:val="0"/>
              <w:autoSpaceDN w:val="0"/>
              <w:adjustRightInd w:val="0"/>
              <w:spacing w:before="0" w:beforeAutospacing="0" w:after="0" w:afterAutospacing="0" w:line="360" w:lineRule="auto"/>
              <w:ind w:left="0" w:right="35"/>
              <w:jc w:val="center"/>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2、施工组织设计评分（60分）</w:t>
            </w:r>
          </w:p>
        </w:tc>
        <w:tc>
          <w:tcPr>
            <w:tcW w:w="2033" w:type="dxa"/>
            <w:tcBorders>
              <w:top w:val="single" w:color="auto" w:sz="4" w:space="0"/>
              <w:left w:val="single" w:color="auto" w:sz="4" w:space="0"/>
              <w:bottom w:val="single" w:color="auto" w:sz="4" w:space="0"/>
              <w:right w:val="single" w:color="auto" w:sz="4" w:space="0"/>
            </w:tcBorders>
            <w:vAlign w:val="center"/>
          </w:tcPr>
          <w:p w14:paraId="1E9BF294">
            <w:pPr>
              <w:spacing w:line="360" w:lineRule="auto"/>
              <w:jc w:val="center"/>
              <w:rPr>
                <w:rFonts w:hint="eastAsia" w:ascii="宋体" w:hAnsi="宋体" w:eastAsia="宋体" w:cs="宋体"/>
                <w:spacing w:val="1"/>
                <w:kern w:val="0"/>
                <w:sz w:val="21"/>
                <w:szCs w:val="21"/>
                <w:lang w:val="en-US" w:eastAsia="zh-CN" w:bidi="ar-SA"/>
              </w:rPr>
            </w:pPr>
            <w:r>
              <w:rPr>
                <w:rFonts w:hint="eastAsia" w:ascii="宋体" w:hAnsi="宋体" w:cs="宋体"/>
                <w:kern w:val="0"/>
                <w:szCs w:val="21"/>
                <w:lang w:val="en-US" w:eastAsia="zh-CN"/>
              </w:rPr>
              <w:t>1</w:t>
            </w:r>
            <w:r>
              <w:rPr>
                <w:rFonts w:hint="eastAsia" w:ascii="宋体" w:hAnsi="宋体" w:eastAsia="宋体" w:cs="宋体"/>
                <w:kern w:val="0"/>
                <w:szCs w:val="21"/>
              </w:rPr>
              <w:t>内容完整性和编制水平（</w:t>
            </w:r>
            <w:r>
              <w:rPr>
                <w:rFonts w:hint="eastAsia" w:ascii="宋体" w:hAnsi="宋体" w:eastAsia="宋体" w:cs="宋体"/>
                <w:kern w:val="0"/>
                <w:szCs w:val="21"/>
                <w:lang w:val="en-US" w:eastAsia="zh-CN"/>
              </w:rPr>
              <w:t>6</w:t>
            </w:r>
            <w:r>
              <w:rPr>
                <w:rFonts w:hint="eastAsia" w:ascii="宋体" w:hAnsi="宋体" w:eastAsia="宋体" w:cs="宋体"/>
                <w:kern w:val="0"/>
                <w:szCs w:val="21"/>
              </w:rPr>
              <w:t>分）</w:t>
            </w:r>
          </w:p>
        </w:tc>
        <w:tc>
          <w:tcPr>
            <w:tcW w:w="6072" w:type="dxa"/>
            <w:tcBorders>
              <w:top w:val="single" w:color="auto" w:sz="4" w:space="0"/>
              <w:left w:val="single" w:color="auto" w:sz="4" w:space="0"/>
              <w:bottom w:val="single" w:color="auto" w:sz="4" w:space="0"/>
              <w:right w:val="single" w:color="auto" w:sz="4" w:space="0"/>
            </w:tcBorders>
            <w:vAlign w:val="center"/>
          </w:tcPr>
          <w:p w14:paraId="1BD396F6">
            <w:pPr>
              <w:spacing w:line="360" w:lineRule="auto"/>
              <w:jc w:val="left"/>
              <w:rPr>
                <w:rFonts w:hint="eastAsia" w:ascii="宋体" w:hAnsi="宋体" w:eastAsia="宋体" w:cs="宋体"/>
                <w:spacing w:val="1"/>
                <w:kern w:val="0"/>
                <w:sz w:val="21"/>
                <w:szCs w:val="21"/>
                <w:lang w:val="en-US" w:eastAsia="zh-CN" w:bidi="ar-SA"/>
              </w:rPr>
            </w:pPr>
            <w:r>
              <w:rPr>
                <w:rFonts w:hint="eastAsia" w:ascii="宋体" w:hAnsi="宋体" w:eastAsia="宋体" w:cs="宋体"/>
                <w:kern w:val="0"/>
                <w:szCs w:val="21"/>
              </w:rPr>
              <w:t>优得</w:t>
            </w:r>
            <w:r>
              <w:rPr>
                <w:rFonts w:hint="eastAsia" w:ascii="宋体" w:hAnsi="宋体" w:eastAsia="宋体" w:cs="宋体"/>
                <w:kern w:val="0"/>
                <w:szCs w:val="21"/>
                <w:lang w:val="en-US" w:eastAsia="zh-CN"/>
              </w:rPr>
              <w:t>5-6</w:t>
            </w:r>
            <w:r>
              <w:rPr>
                <w:rFonts w:hint="eastAsia" w:ascii="宋体" w:hAnsi="宋体" w:eastAsia="宋体" w:cs="宋体"/>
                <w:kern w:val="0"/>
                <w:szCs w:val="21"/>
              </w:rPr>
              <w:t>分，良得</w:t>
            </w:r>
            <w:r>
              <w:rPr>
                <w:rFonts w:hint="eastAsia" w:ascii="宋体" w:hAnsi="宋体" w:eastAsia="宋体" w:cs="宋体"/>
                <w:kern w:val="0"/>
                <w:szCs w:val="21"/>
                <w:lang w:val="en-US" w:eastAsia="zh-CN"/>
              </w:rPr>
              <w:t>3-4</w:t>
            </w:r>
            <w:r>
              <w:rPr>
                <w:rFonts w:hint="eastAsia" w:ascii="宋体" w:hAnsi="宋体" w:eastAsia="宋体" w:cs="宋体"/>
                <w:kern w:val="0"/>
                <w:szCs w:val="21"/>
              </w:rPr>
              <w:t>分，一般得</w:t>
            </w:r>
            <w:r>
              <w:rPr>
                <w:rFonts w:hint="eastAsia" w:ascii="宋体" w:hAnsi="宋体" w:eastAsia="宋体" w:cs="宋体"/>
                <w:kern w:val="0"/>
                <w:szCs w:val="21"/>
                <w:lang w:val="en-US" w:eastAsia="zh-CN"/>
              </w:rPr>
              <w:t>1-2</w:t>
            </w:r>
            <w:r>
              <w:rPr>
                <w:rFonts w:hint="eastAsia" w:ascii="宋体" w:hAnsi="宋体" w:eastAsia="宋体" w:cs="宋体"/>
                <w:kern w:val="0"/>
                <w:szCs w:val="21"/>
              </w:rPr>
              <w:t>分，</w:t>
            </w:r>
            <w:r>
              <w:rPr>
                <w:rFonts w:hint="eastAsia" w:ascii="宋体" w:hAnsi="宋体" w:eastAsia="宋体" w:cs="宋体"/>
                <w:kern w:val="0"/>
                <w:szCs w:val="21"/>
                <w:lang w:val="en-US" w:eastAsia="zh-CN"/>
              </w:rPr>
              <w:t>没有</w:t>
            </w:r>
            <w:r>
              <w:rPr>
                <w:rFonts w:hint="eastAsia" w:ascii="宋体" w:hAnsi="宋体" w:eastAsia="宋体" w:cs="宋体"/>
                <w:kern w:val="0"/>
                <w:szCs w:val="21"/>
              </w:rPr>
              <w:t>不得分。</w:t>
            </w:r>
          </w:p>
        </w:tc>
      </w:tr>
      <w:tr w14:paraId="4FF86855">
        <w:tblPrEx>
          <w:tblCellMar>
            <w:top w:w="0" w:type="dxa"/>
            <w:left w:w="108" w:type="dxa"/>
            <w:bottom w:w="0" w:type="dxa"/>
            <w:right w:w="108" w:type="dxa"/>
          </w:tblCellMar>
        </w:tblPrEx>
        <w:trPr>
          <w:trHeight w:val="1168" w:hRule="atLeas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5C378870">
            <w:pPr>
              <w:keepNext w:val="0"/>
              <w:keepLines w:val="0"/>
              <w:suppressLineNumbers w:val="0"/>
              <w:autoSpaceDE w:val="0"/>
              <w:autoSpaceDN w:val="0"/>
              <w:adjustRightInd w:val="0"/>
              <w:spacing w:before="0" w:beforeAutospacing="0" w:after="0" w:afterAutospacing="0" w:line="360" w:lineRule="auto"/>
              <w:ind w:left="0" w:right="35"/>
              <w:jc w:val="center"/>
              <w:rPr>
                <w:rFonts w:hint="eastAsia" w:ascii="宋体" w:hAnsi="宋体" w:eastAsia="宋体" w:cs="宋体"/>
                <w:sz w:val="21"/>
                <w:szCs w:val="21"/>
                <w:lang w:val="en-US" w:eastAsia="zh-CN"/>
              </w:rPr>
            </w:pPr>
          </w:p>
        </w:tc>
        <w:tc>
          <w:tcPr>
            <w:tcW w:w="2033" w:type="dxa"/>
            <w:tcBorders>
              <w:top w:val="single" w:color="auto" w:sz="4" w:space="0"/>
              <w:left w:val="single" w:color="auto" w:sz="4" w:space="0"/>
              <w:bottom w:val="single" w:color="auto" w:sz="4" w:space="0"/>
              <w:right w:val="single" w:color="auto" w:sz="4" w:space="0"/>
            </w:tcBorders>
            <w:vAlign w:val="center"/>
          </w:tcPr>
          <w:p w14:paraId="79B0C300">
            <w:pPr>
              <w:spacing w:line="360" w:lineRule="auto"/>
              <w:jc w:val="center"/>
              <w:rPr>
                <w:rFonts w:hint="eastAsia" w:ascii="宋体" w:hAnsi="宋体" w:eastAsia="宋体" w:cs="宋体"/>
                <w:spacing w:val="1"/>
                <w:kern w:val="0"/>
                <w:sz w:val="21"/>
                <w:szCs w:val="21"/>
                <w:lang w:val="en-US" w:eastAsia="zh-CN" w:bidi="ar-SA"/>
              </w:rPr>
            </w:pPr>
            <w:r>
              <w:rPr>
                <w:rFonts w:hint="eastAsia" w:ascii="宋体" w:hAnsi="宋体" w:cs="宋体"/>
                <w:kern w:val="0"/>
                <w:szCs w:val="21"/>
                <w:lang w:val="en-US" w:eastAsia="zh-CN"/>
              </w:rPr>
              <w:t>2</w:t>
            </w:r>
            <w:r>
              <w:rPr>
                <w:rFonts w:hint="eastAsia" w:ascii="宋体" w:hAnsi="宋体" w:eastAsia="宋体" w:cs="宋体"/>
                <w:kern w:val="0"/>
                <w:szCs w:val="21"/>
              </w:rPr>
              <w:t>施工方案及技术措施(须含有绿色施工技术措施并对相关施工专项经费进行承诺) （</w:t>
            </w:r>
            <w:r>
              <w:rPr>
                <w:rFonts w:hint="eastAsia" w:ascii="宋体" w:hAnsi="宋体" w:cs="宋体"/>
                <w:kern w:val="0"/>
                <w:szCs w:val="21"/>
                <w:lang w:val="en-US" w:eastAsia="zh-CN"/>
              </w:rPr>
              <w:t>10</w:t>
            </w:r>
            <w:r>
              <w:rPr>
                <w:rFonts w:hint="eastAsia" w:ascii="宋体" w:hAnsi="宋体" w:eastAsia="宋体" w:cs="宋体"/>
                <w:kern w:val="0"/>
                <w:szCs w:val="21"/>
              </w:rPr>
              <w:t>分）</w:t>
            </w:r>
          </w:p>
        </w:tc>
        <w:tc>
          <w:tcPr>
            <w:tcW w:w="6072" w:type="dxa"/>
            <w:tcBorders>
              <w:top w:val="single" w:color="auto" w:sz="4" w:space="0"/>
              <w:left w:val="single" w:color="auto" w:sz="4" w:space="0"/>
              <w:bottom w:val="single" w:color="auto" w:sz="4" w:space="0"/>
              <w:right w:val="single" w:color="auto" w:sz="4" w:space="0"/>
            </w:tcBorders>
            <w:vAlign w:val="center"/>
          </w:tcPr>
          <w:p w14:paraId="3A51E419">
            <w:pPr>
              <w:numPr>
                <w:ilvl w:val="0"/>
                <w:numId w:val="7"/>
              </w:numPr>
              <w:spacing w:line="360" w:lineRule="auto"/>
              <w:jc w:val="left"/>
              <w:rPr>
                <w:rFonts w:hint="eastAsia" w:ascii="宋体" w:hAnsi="宋体" w:eastAsia="宋体" w:cs="宋体"/>
                <w:kern w:val="0"/>
                <w:szCs w:val="21"/>
              </w:rPr>
            </w:pPr>
            <w:r>
              <w:rPr>
                <w:rFonts w:hint="eastAsia" w:ascii="宋体" w:hAnsi="宋体" w:eastAsia="宋体" w:cs="宋体"/>
                <w:kern w:val="0"/>
                <w:szCs w:val="21"/>
              </w:rPr>
              <w:t>施工方案合理得</w:t>
            </w:r>
            <w:r>
              <w:rPr>
                <w:rFonts w:hint="eastAsia" w:ascii="宋体" w:hAnsi="宋体" w:cs="宋体"/>
                <w:kern w:val="0"/>
                <w:szCs w:val="21"/>
                <w:lang w:val="en-US" w:eastAsia="zh-CN"/>
              </w:rPr>
              <w:t>4-5</w:t>
            </w:r>
            <w:r>
              <w:rPr>
                <w:rFonts w:hint="eastAsia" w:ascii="宋体" w:hAnsi="宋体" w:eastAsia="宋体" w:cs="宋体"/>
                <w:kern w:val="0"/>
                <w:szCs w:val="21"/>
              </w:rPr>
              <w:t>分，较为合理得</w:t>
            </w:r>
            <w:r>
              <w:rPr>
                <w:rFonts w:hint="eastAsia" w:ascii="宋体" w:hAnsi="宋体" w:eastAsia="宋体" w:cs="宋体"/>
                <w:kern w:val="0"/>
                <w:szCs w:val="21"/>
                <w:lang w:val="en-US" w:eastAsia="zh-CN"/>
              </w:rPr>
              <w:t>2-3</w:t>
            </w:r>
            <w:r>
              <w:rPr>
                <w:rFonts w:hint="eastAsia" w:ascii="宋体" w:hAnsi="宋体" w:eastAsia="宋体" w:cs="宋体"/>
                <w:kern w:val="0"/>
                <w:szCs w:val="21"/>
              </w:rPr>
              <w:t>分，一般得1分，</w:t>
            </w:r>
            <w:r>
              <w:rPr>
                <w:rFonts w:hint="eastAsia" w:ascii="宋体" w:hAnsi="宋体" w:eastAsia="宋体" w:cs="宋体"/>
                <w:kern w:val="0"/>
                <w:szCs w:val="21"/>
                <w:lang w:val="en-US" w:eastAsia="zh-CN"/>
              </w:rPr>
              <w:t>没有</w:t>
            </w:r>
            <w:r>
              <w:rPr>
                <w:rFonts w:hint="eastAsia" w:ascii="宋体" w:hAnsi="宋体" w:eastAsia="宋体" w:cs="宋体"/>
                <w:kern w:val="0"/>
                <w:szCs w:val="21"/>
              </w:rPr>
              <w:t>不得分。</w:t>
            </w:r>
          </w:p>
          <w:p w14:paraId="01E06CA8">
            <w:pPr>
              <w:spacing w:line="360" w:lineRule="auto"/>
              <w:jc w:val="left"/>
              <w:rPr>
                <w:rFonts w:hint="eastAsia" w:ascii="宋体" w:hAnsi="宋体" w:eastAsia="宋体" w:cs="宋体"/>
                <w:spacing w:val="1"/>
                <w:kern w:val="0"/>
                <w:sz w:val="21"/>
                <w:szCs w:val="21"/>
                <w:lang w:val="en-US" w:eastAsia="zh-CN" w:bidi="ar-SA"/>
              </w:rPr>
            </w:pPr>
            <w:r>
              <w:rPr>
                <w:rFonts w:hint="eastAsia" w:ascii="宋体" w:hAnsi="宋体" w:eastAsia="宋体" w:cs="宋体"/>
                <w:kern w:val="0"/>
                <w:szCs w:val="21"/>
              </w:rPr>
              <w:t>2）施工技术措施合理得</w:t>
            </w:r>
            <w:r>
              <w:rPr>
                <w:rFonts w:hint="eastAsia" w:ascii="宋体" w:hAnsi="宋体" w:eastAsia="宋体" w:cs="宋体"/>
                <w:kern w:val="0"/>
                <w:szCs w:val="21"/>
                <w:lang w:val="en-US" w:eastAsia="zh-CN"/>
              </w:rPr>
              <w:t>4</w:t>
            </w:r>
            <w:r>
              <w:rPr>
                <w:rFonts w:hint="eastAsia" w:ascii="宋体" w:hAnsi="宋体" w:cs="宋体"/>
                <w:kern w:val="0"/>
                <w:szCs w:val="21"/>
                <w:lang w:val="en-US" w:eastAsia="zh-CN"/>
              </w:rPr>
              <w:t>-5</w:t>
            </w:r>
            <w:r>
              <w:rPr>
                <w:rFonts w:hint="eastAsia" w:ascii="宋体" w:hAnsi="宋体" w:eastAsia="宋体" w:cs="宋体"/>
                <w:kern w:val="0"/>
                <w:szCs w:val="21"/>
              </w:rPr>
              <w:t>分，较为合理得</w:t>
            </w:r>
            <w:r>
              <w:rPr>
                <w:rFonts w:hint="eastAsia" w:ascii="宋体" w:hAnsi="宋体" w:eastAsia="宋体" w:cs="宋体"/>
                <w:kern w:val="0"/>
                <w:szCs w:val="21"/>
                <w:lang w:val="en-US" w:eastAsia="zh-CN"/>
              </w:rPr>
              <w:t>2-3</w:t>
            </w:r>
            <w:r>
              <w:rPr>
                <w:rFonts w:hint="eastAsia" w:ascii="宋体" w:hAnsi="宋体" w:eastAsia="宋体" w:cs="宋体"/>
                <w:kern w:val="0"/>
                <w:szCs w:val="21"/>
              </w:rPr>
              <w:t>分，一般得1分，</w:t>
            </w:r>
            <w:r>
              <w:rPr>
                <w:rFonts w:hint="eastAsia" w:ascii="宋体" w:hAnsi="宋体" w:eastAsia="宋体" w:cs="宋体"/>
                <w:kern w:val="0"/>
                <w:szCs w:val="21"/>
                <w:lang w:val="en-US" w:eastAsia="zh-CN"/>
              </w:rPr>
              <w:t>没有</w:t>
            </w:r>
            <w:r>
              <w:rPr>
                <w:rFonts w:hint="eastAsia" w:ascii="宋体" w:hAnsi="宋体" w:eastAsia="宋体" w:cs="宋体"/>
                <w:kern w:val="0"/>
                <w:szCs w:val="21"/>
              </w:rPr>
              <w:t>不得分。</w:t>
            </w:r>
          </w:p>
        </w:tc>
      </w:tr>
      <w:tr w14:paraId="1E2E39F4">
        <w:tblPrEx>
          <w:tblCellMar>
            <w:top w:w="0" w:type="dxa"/>
            <w:left w:w="108" w:type="dxa"/>
            <w:bottom w:w="0" w:type="dxa"/>
            <w:right w:w="108" w:type="dxa"/>
          </w:tblCellMar>
        </w:tblPrEx>
        <w:trPr>
          <w:trHeight w:val="891" w:hRule="atLeas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0FF032A4">
            <w:pPr>
              <w:keepNext w:val="0"/>
              <w:keepLines w:val="0"/>
              <w:suppressLineNumbers w:val="0"/>
              <w:autoSpaceDE w:val="0"/>
              <w:autoSpaceDN w:val="0"/>
              <w:adjustRightInd w:val="0"/>
              <w:spacing w:before="0" w:beforeAutospacing="0" w:after="0" w:afterAutospacing="0" w:line="360" w:lineRule="auto"/>
              <w:ind w:left="0" w:right="35"/>
              <w:jc w:val="center"/>
              <w:rPr>
                <w:rFonts w:hint="eastAsia" w:ascii="宋体" w:hAnsi="宋体" w:eastAsia="宋体" w:cs="宋体"/>
                <w:sz w:val="21"/>
                <w:szCs w:val="21"/>
                <w:lang w:val="en-US" w:eastAsia="zh-CN"/>
              </w:rPr>
            </w:pPr>
          </w:p>
        </w:tc>
        <w:tc>
          <w:tcPr>
            <w:tcW w:w="2033" w:type="dxa"/>
            <w:tcBorders>
              <w:top w:val="single" w:color="auto" w:sz="4" w:space="0"/>
              <w:left w:val="single" w:color="auto" w:sz="4" w:space="0"/>
              <w:bottom w:val="single" w:color="auto" w:sz="4" w:space="0"/>
              <w:right w:val="single" w:color="auto" w:sz="4" w:space="0"/>
            </w:tcBorders>
            <w:vAlign w:val="center"/>
          </w:tcPr>
          <w:p w14:paraId="74674CEA">
            <w:pPr>
              <w:spacing w:line="360" w:lineRule="auto"/>
              <w:jc w:val="center"/>
              <w:rPr>
                <w:rFonts w:hint="eastAsia" w:ascii="宋体" w:hAnsi="宋体" w:eastAsia="宋体" w:cs="宋体"/>
                <w:spacing w:val="1"/>
                <w:kern w:val="0"/>
                <w:sz w:val="21"/>
                <w:szCs w:val="21"/>
                <w:lang w:val="en-US" w:eastAsia="zh-CN" w:bidi="ar-SA"/>
              </w:rPr>
            </w:pPr>
            <w:r>
              <w:rPr>
                <w:rFonts w:hint="eastAsia" w:ascii="宋体" w:hAnsi="宋体" w:cs="宋体"/>
                <w:kern w:val="0"/>
                <w:szCs w:val="21"/>
                <w:lang w:val="en-US" w:eastAsia="zh-CN"/>
              </w:rPr>
              <w:t>3</w:t>
            </w:r>
            <w:r>
              <w:rPr>
                <w:rFonts w:hint="eastAsia" w:ascii="宋体" w:hAnsi="宋体" w:eastAsia="宋体" w:cs="宋体"/>
                <w:kern w:val="0"/>
                <w:szCs w:val="21"/>
              </w:rPr>
              <w:t>质量管理体系及保证措施（</w:t>
            </w:r>
            <w:r>
              <w:rPr>
                <w:rFonts w:hint="eastAsia" w:ascii="宋体" w:hAnsi="宋体" w:eastAsia="宋体" w:cs="宋体"/>
                <w:kern w:val="0"/>
                <w:szCs w:val="21"/>
                <w:lang w:val="en-US" w:eastAsia="zh-CN"/>
              </w:rPr>
              <w:t>8</w:t>
            </w:r>
            <w:r>
              <w:rPr>
                <w:rFonts w:hint="eastAsia" w:ascii="宋体" w:hAnsi="宋体" w:eastAsia="宋体" w:cs="宋体"/>
                <w:kern w:val="0"/>
                <w:szCs w:val="21"/>
              </w:rPr>
              <w:t>分）</w:t>
            </w:r>
          </w:p>
        </w:tc>
        <w:tc>
          <w:tcPr>
            <w:tcW w:w="6072" w:type="dxa"/>
            <w:tcBorders>
              <w:top w:val="single" w:color="auto" w:sz="4" w:space="0"/>
              <w:left w:val="single" w:color="auto" w:sz="4" w:space="0"/>
              <w:bottom w:val="single" w:color="auto" w:sz="4" w:space="0"/>
              <w:right w:val="single" w:color="auto" w:sz="4" w:space="0"/>
            </w:tcBorders>
            <w:vAlign w:val="center"/>
          </w:tcPr>
          <w:p w14:paraId="3758E846">
            <w:pPr>
              <w:spacing w:line="360" w:lineRule="auto"/>
              <w:jc w:val="left"/>
              <w:rPr>
                <w:rFonts w:hint="eastAsia" w:ascii="宋体" w:hAnsi="宋体" w:eastAsia="宋体" w:cs="宋体"/>
                <w:spacing w:val="1"/>
                <w:kern w:val="0"/>
                <w:sz w:val="21"/>
                <w:szCs w:val="21"/>
                <w:lang w:val="en-US" w:eastAsia="zh-CN" w:bidi="ar-SA"/>
              </w:rPr>
            </w:pPr>
            <w:r>
              <w:rPr>
                <w:rFonts w:hint="eastAsia" w:ascii="宋体" w:hAnsi="宋体" w:eastAsia="宋体" w:cs="宋体"/>
                <w:kern w:val="0"/>
                <w:szCs w:val="21"/>
              </w:rPr>
              <w:t>针对性及可操作性强得</w:t>
            </w:r>
            <w:r>
              <w:rPr>
                <w:rFonts w:hint="eastAsia" w:ascii="宋体" w:hAnsi="宋体" w:eastAsia="宋体" w:cs="宋体"/>
                <w:kern w:val="0"/>
                <w:szCs w:val="21"/>
                <w:lang w:val="en-US" w:eastAsia="zh-CN"/>
              </w:rPr>
              <w:t>6-8</w:t>
            </w:r>
            <w:r>
              <w:rPr>
                <w:rFonts w:hint="eastAsia" w:ascii="宋体" w:hAnsi="宋体" w:eastAsia="宋体" w:cs="宋体"/>
                <w:kern w:val="0"/>
                <w:szCs w:val="21"/>
              </w:rPr>
              <w:t>分，较强得</w:t>
            </w:r>
            <w:r>
              <w:rPr>
                <w:rFonts w:hint="eastAsia" w:ascii="宋体" w:hAnsi="宋体" w:eastAsia="宋体" w:cs="宋体"/>
                <w:kern w:val="0"/>
                <w:szCs w:val="21"/>
                <w:lang w:val="en-US" w:eastAsia="zh-CN"/>
              </w:rPr>
              <w:t>3-5</w:t>
            </w:r>
            <w:r>
              <w:rPr>
                <w:rFonts w:hint="eastAsia" w:ascii="宋体" w:hAnsi="宋体" w:eastAsia="宋体" w:cs="宋体"/>
                <w:kern w:val="0"/>
                <w:szCs w:val="21"/>
              </w:rPr>
              <w:t>分，一般得</w:t>
            </w:r>
            <w:r>
              <w:rPr>
                <w:rFonts w:hint="eastAsia" w:ascii="宋体" w:hAnsi="宋体" w:eastAsia="宋体" w:cs="宋体"/>
                <w:kern w:val="0"/>
                <w:szCs w:val="21"/>
                <w:lang w:val="en-US" w:eastAsia="zh-CN"/>
              </w:rPr>
              <w:t>1-2</w:t>
            </w:r>
            <w:r>
              <w:rPr>
                <w:rFonts w:hint="eastAsia" w:ascii="宋体" w:hAnsi="宋体" w:eastAsia="宋体" w:cs="宋体"/>
                <w:kern w:val="0"/>
                <w:szCs w:val="21"/>
              </w:rPr>
              <w:t>分，</w:t>
            </w:r>
            <w:r>
              <w:rPr>
                <w:rFonts w:hint="eastAsia" w:ascii="宋体" w:hAnsi="宋体" w:eastAsia="宋体" w:cs="宋体"/>
                <w:kern w:val="0"/>
                <w:szCs w:val="21"/>
                <w:lang w:val="en-US" w:eastAsia="zh-CN"/>
              </w:rPr>
              <w:t>没有</w:t>
            </w:r>
            <w:r>
              <w:rPr>
                <w:rFonts w:hint="eastAsia" w:ascii="宋体" w:hAnsi="宋体" w:eastAsia="宋体" w:cs="宋体"/>
                <w:kern w:val="0"/>
                <w:szCs w:val="21"/>
              </w:rPr>
              <w:t>不得分。</w:t>
            </w:r>
          </w:p>
        </w:tc>
      </w:tr>
      <w:tr w14:paraId="49851637">
        <w:tblPrEx>
          <w:tblCellMar>
            <w:top w:w="0" w:type="dxa"/>
            <w:left w:w="108" w:type="dxa"/>
            <w:bottom w:w="0" w:type="dxa"/>
            <w:right w:w="108" w:type="dxa"/>
          </w:tblCellMar>
        </w:tblPrEx>
        <w:trPr>
          <w:trHeight w:val="924" w:hRule="atLeas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3215B46B">
            <w:pPr>
              <w:keepNext w:val="0"/>
              <w:keepLines w:val="0"/>
              <w:suppressLineNumbers w:val="0"/>
              <w:autoSpaceDE w:val="0"/>
              <w:autoSpaceDN w:val="0"/>
              <w:adjustRightInd w:val="0"/>
              <w:spacing w:before="0" w:beforeAutospacing="0" w:after="0" w:afterAutospacing="0" w:line="360" w:lineRule="auto"/>
              <w:ind w:left="0" w:right="35"/>
              <w:jc w:val="center"/>
              <w:rPr>
                <w:rFonts w:hint="eastAsia" w:ascii="宋体" w:hAnsi="宋体" w:eastAsia="宋体" w:cs="宋体"/>
                <w:sz w:val="21"/>
                <w:szCs w:val="21"/>
                <w:lang w:val="en-US" w:eastAsia="zh-CN"/>
              </w:rPr>
            </w:pPr>
          </w:p>
        </w:tc>
        <w:tc>
          <w:tcPr>
            <w:tcW w:w="2033" w:type="dxa"/>
            <w:tcBorders>
              <w:top w:val="single" w:color="auto" w:sz="4" w:space="0"/>
              <w:left w:val="single" w:color="auto" w:sz="4" w:space="0"/>
              <w:bottom w:val="single" w:color="auto" w:sz="4" w:space="0"/>
              <w:right w:val="single" w:color="auto" w:sz="4" w:space="0"/>
            </w:tcBorders>
            <w:vAlign w:val="center"/>
          </w:tcPr>
          <w:p w14:paraId="6A685857">
            <w:pPr>
              <w:spacing w:line="360" w:lineRule="auto"/>
              <w:jc w:val="center"/>
              <w:rPr>
                <w:rFonts w:hint="eastAsia" w:ascii="宋体" w:hAnsi="宋体" w:eastAsia="宋体" w:cs="宋体"/>
                <w:spacing w:val="1"/>
                <w:kern w:val="0"/>
                <w:sz w:val="21"/>
                <w:szCs w:val="21"/>
                <w:lang w:val="en-US" w:eastAsia="zh-CN" w:bidi="ar-SA"/>
              </w:rPr>
            </w:pPr>
            <w:r>
              <w:rPr>
                <w:rFonts w:hint="eastAsia" w:ascii="宋体" w:hAnsi="宋体" w:cs="宋体"/>
                <w:kern w:val="0"/>
                <w:szCs w:val="21"/>
                <w:lang w:val="en-US" w:eastAsia="zh-CN"/>
              </w:rPr>
              <w:t>4</w:t>
            </w:r>
            <w:r>
              <w:rPr>
                <w:rFonts w:hint="eastAsia" w:ascii="宋体" w:hAnsi="宋体" w:eastAsia="宋体" w:cs="宋体"/>
                <w:kern w:val="0"/>
                <w:szCs w:val="21"/>
              </w:rPr>
              <w:t>工程进度计划与措施（</w:t>
            </w:r>
            <w:r>
              <w:rPr>
                <w:rFonts w:hint="eastAsia" w:ascii="宋体" w:hAnsi="宋体" w:eastAsia="宋体" w:cs="宋体"/>
                <w:kern w:val="0"/>
                <w:szCs w:val="21"/>
                <w:lang w:val="en-US" w:eastAsia="zh-CN"/>
              </w:rPr>
              <w:t>6</w:t>
            </w:r>
            <w:r>
              <w:rPr>
                <w:rFonts w:hint="eastAsia" w:ascii="宋体" w:hAnsi="宋体" w:eastAsia="宋体" w:cs="宋体"/>
                <w:kern w:val="0"/>
                <w:szCs w:val="21"/>
              </w:rPr>
              <w:t>分）</w:t>
            </w:r>
          </w:p>
        </w:tc>
        <w:tc>
          <w:tcPr>
            <w:tcW w:w="6072" w:type="dxa"/>
            <w:tcBorders>
              <w:top w:val="single" w:color="auto" w:sz="4" w:space="0"/>
              <w:left w:val="single" w:color="auto" w:sz="4" w:space="0"/>
              <w:bottom w:val="single" w:color="auto" w:sz="4" w:space="0"/>
              <w:right w:val="single" w:color="auto" w:sz="4" w:space="0"/>
            </w:tcBorders>
            <w:vAlign w:val="center"/>
          </w:tcPr>
          <w:p w14:paraId="278FEAE0">
            <w:pPr>
              <w:spacing w:line="360" w:lineRule="auto"/>
              <w:jc w:val="left"/>
              <w:rPr>
                <w:rFonts w:hint="eastAsia" w:ascii="宋体" w:hAnsi="宋体" w:eastAsia="宋体" w:cs="宋体"/>
                <w:spacing w:val="1"/>
                <w:kern w:val="0"/>
                <w:sz w:val="21"/>
                <w:szCs w:val="21"/>
                <w:lang w:val="en-US" w:eastAsia="zh-CN" w:bidi="ar-SA"/>
              </w:rPr>
            </w:pPr>
            <w:r>
              <w:rPr>
                <w:rFonts w:hint="eastAsia" w:ascii="宋体" w:hAnsi="宋体" w:eastAsia="宋体" w:cs="宋体"/>
                <w:kern w:val="0"/>
                <w:szCs w:val="21"/>
              </w:rPr>
              <w:t>合理得</w:t>
            </w:r>
            <w:r>
              <w:rPr>
                <w:rFonts w:hint="eastAsia" w:ascii="宋体" w:hAnsi="宋体" w:eastAsia="宋体" w:cs="宋体"/>
                <w:kern w:val="0"/>
                <w:szCs w:val="21"/>
                <w:lang w:val="en-US" w:eastAsia="zh-CN"/>
              </w:rPr>
              <w:t>5-6</w:t>
            </w:r>
            <w:r>
              <w:rPr>
                <w:rFonts w:hint="eastAsia" w:ascii="宋体" w:hAnsi="宋体" w:eastAsia="宋体" w:cs="宋体"/>
                <w:kern w:val="0"/>
                <w:szCs w:val="21"/>
              </w:rPr>
              <w:t>分，较为合理得</w:t>
            </w:r>
            <w:r>
              <w:rPr>
                <w:rFonts w:hint="eastAsia" w:ascii="宋体" w:hAnsi="宋体" w:eastAsia="宋体" w:cs="宋体"/>
                <w:kern w:val="0"/>
                <w:szCs w:val="21"/>
                <w:lang w:val="en-US" w:eastAsia="zh-CN"/>
              </w:rPr>
              <w:t>3-4</w:t>
            </w:r>
            <w:r>
              <w:rPr>
                <w:rFonts w:hint="eastAsia" w:ascii="宋体" w:hAnsi="宋体" w:eastAsia="宋体" w:cs="宋体"/>
                <w:kern w:val="0"/>
                <w:szCs w:val="21"/>
              </w:rPr>
              <w:t>分，一般得</w:t>
            </w:r>
            <w:r>
              <w:rPr>
                <w:rFonts w:hint="eastAsia" w:ascii="宋体" w:hAnsi="宋体" w:eastAsia="宋体" w:cs="宋体"/>
                <w:kern w:val="0"/>
                <w:szCs w:val="21"/>
                <w:lang w:val="en-US" w:eastAsia="zh-CN"/>
              </w:rPr>
              <w:t>1-2</w:t>
            </w:r>
            <w:r>
              <w:rPr>
                <w:rFonts w:hint="eastAsia" w:ascii="宋体" w:hAnsi="宋体" w:eastAsia="宋体" w:cs="宋体"/>
                <w:kern w:val="0"/>
                <w:szCs w:val="21"/>
              </w:rPr>
              <w:t>分，</w:t>
            </w:r>
            <w:r>
              <w:rPr>
                <w:rFonts w:hint="eastAsia" w:ascii="宋体" w:hAnsi="宋体" w:eastAsia="宋体" w:cs="宋体"/>
                <w:kern w:val="0"/>
                <w:szCs w:val="21"/>
                <w:lang w:val="en-US" w:eastAsia="zh-CN"/>
              </w:rPr>
              <w:t>没有</w:t>
            </w:r>
            <w:r>
              <w:rPr>
                <w:rFonts w:hint="eastAsia" w:ascii="宋体" w:hAnsi="宋体" w:eastAsia="宋体" w:cs="宋体"/>
                <w:kern w:val="0"/>
                <w:szCs w:val="21"/>
              </w:rPr>
              <w:t>不得分。</w:t>
            </w:r>
          </w:p>
        </w:tc>
      </w:tr>
      <w:tr w14:paraId="7D7B87CD">
        <w:tblPrEx>
          <w:tblCellMar>
            <w:top w:w="0" w:type="dxa"/>
            <w:left w:w="108" w:type="dxa"/>
            <w:bottom w:w="0" w:type="dxa"/>
            <w:right w:w="108" w:type="dxa"/>
          </w:tblCellMar>
        </w:tblPrEx>
        <w:trPr>
          <w:trHeight w:val="891" w:hRule="atLeas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3D824D86">
            <w:pPr>
              <w:keepNext w:val="0"/>
              <w:keepLines w:val="0"/>
              <w:suppressLineNumbers w:val="0"/>
              <w:autoSpaceDE w:val="0"/>
              <w:autoSpaceDN w:val="0"/>
              <w:adjustRightInd w:val="0"/>
              <w:spacing w:before="0" w:beforeAutospacing="0" w:after="0" w:afterAutospacing="0" w:line="360" w:lineRule="auto"/>
              <w:ind w:left="0" w:right="35"/>
              <w:jc w:val="center"/>
              <w:rPr>
                <w:rFonts w:hint="eastAsia" w:ascii="宋体" w:hAnsi="宋体" w:eastAsia="宋体" w:cs="宋体"/>
                <w:sz w:val="21"/>
                <w:szCs w:val="21"/>
                <w:lang w:val="en-US" w:eastAsia="zh-CN"/>
              </w:rPr>
            </w:pPr>
          </w:p>
        </w:tc>
        <w:tc>
          <w:tcPr>
            <w:tcW w:w="2033" w:type="dxa"/>
            <w:tcBorders>
              <w:top w:val="single" w:color="auto" w:sz="4" w:space="0"/>
              <w:left w:val="single" w:color="auto" w:sz="4" w:space="0"/>
              <w:bottom w:val="single" w:color="auto" w:sz="4" w:space="0"/>
              <w:right w:val="single" w:color="auto" w:sz="4" w:space="0"/>
            </w:tcBorders>
            <w:vAlign w:val="center"/>
          </w:tcPr>
          <w:p w14:paraId="1D468B73">
            <w:pPr>
              <w:spacing w:line="360" w:lineRule="auto"/>
              <w:jc w:val="center"/>
              <w:rPr>
                <w:rFonts w:hint="eastAsia" w:ascii="宋体" w:hAnsi="宋体" w:eastAsia="宋体" w:cs="宋体"/>
                <w:spacing w:val="1"/>
                <w:kern w:val="0"/>
                <w:sz w:val="21"/>
                <w:szCs w:val="21"/>
                <w:lang w:val="en-US" w:eastAsia="zh-CN" w:bidi="ar-SA"/>
              </w:rPr>
            </w:pPr>
            <w:r>
              <w:rPr>
                <w:rFonts w:hint="eastAsia" w:ascii="宋体" w:hAnsi="宋体" w:cs="宋体"/>
                <w:kern w:val="0"/>
                <w:szCs w:val="21"/>
                <w:lang w:val="en-US" w:eastAsia="zh-CN"/>
              </w:rPr>
              <w:t>5</w:t>
            </w:r>
            <w:r>
              <w:rPr>
                <w:rFonts w:hint="eastAsia" w:ascii="宋体" w:hAnsi="宋体" w:eastAsia="宋体" w:cs="宋体"/>
                <w:kern w:val="0"/>
                <w:szCs w:val="21"/>
              </w:rPr>
              <w:t>安全管理体系与措施（</w:t>
            </w:r>
            <w:r>
              <w:rPr>
                <w:rFonts w:hint="eastAsia" w:ascii="宋体" w:hAnsi="宋体" w:eastAsia="宋体" w:cs="宋体"/>
                <w:kern w:val="0"/>
                <w:szCs w:val="21"/>
                <w:lang w:val="en-US" w:eastAsia="zh-CN"/>
              </w:rPr>
              <w:t>8</w:t>
            </w:r>
            <w:r>
              <w:rPr>
                <w:rFonts w:hint="eastAsia" w:ascii="宋体" w:hAnsi="宋体" w:eastAsia="宋体" w:cs="宋体"/>
                <w:kern w:val="0"/>
                <w:szCs w:val="21"/>
              </w:rPr>
              <w:t>分）</w:t>
            </w:r>
          </w:p>
        </w:tc>
        <w:tc>
          <w:tcPr>
            <w:tcW w:w="6072" w:type="dxa"/>
            <w:tcBorders>
              <w:top w:val="single" w:color="auto" w:sz="4" w:space="0"/>
              <w:left w:val="single" w:color="auto" w:sz="4" w:space="0"/>
              <w:bottom w:val="single" w:color="auto" w:sz="4" w:space="0"/>
              <w:right w:val="single" w:color="auto" w:sz="4" w:space="0"/>
            </w:tcBorders>
            <w:vAlign w:val="center"/>
          </w:tcPr>
          <w:p w14:paraId="11F1A60A">
            <w:pPr>
              <w:spacing w:line="360" w:lineRule="auto"/>
              <w:jc w:val="left"/>
              <w:rPr>
                <w:rFonts w:hint="eastAsia" w:ascii="宋体" w:hAnsi="宋体" w:eastAsia="宋体" w:cs="宋体"/>
                <w:spacing w:val="1"/>
                <w:kern w:val="0"/>
                <w:sz w:val="21"/>
                <w:szCs w:val="21"/>
                <w:lang w:val="en-US" w:eastAsia="zh-CN" w:bidi="ar-SA"/>
              </w:rPr>
            </w:pPr>
            <w:r>
              <w:rPr>
                <w:rFonts w:hint="eastAsia" w:ascii="宋体" w:hAnsi="宋体" w:eastAsia="宋体" w:cs="宋体"/>
                <w:kern w:val="0"/>
                <w:szCs w:val="21"/>
              </w:rPr>
              <w:t>针对性及可操作性强得</w:t>
            </w:r>
            <w:r>
              <w:rPr>
                <w:rFonts w:hint="eastAsia" w:ascii="宋体" w:hAnsi="宋体" w:eastAsia="宋体" w:cs="宋体"/>
                <w:kern w:val="0"/>
                <w:szCs w:val="21"/>
                <w:lang w:val="en-US" w:eastAsia="zh-CN"/>
              </w:rPr>
              <w:t>6-8</w:t>
            </w:r>
            <w:r>
              <w:rPr>
                <w:rFonts w:hint="eastAsia" w:ascii="宋体" w:hAnsi="宋体" w:eastAsia="宋体" w:cs="宋体"/>
                <w:kern w:val="0"/>
                <w:szCs w:val="21"/>
              </w:rPr>
              <w:t>分，较强得</w:t>
            </w:r>
            <w:r>
              <w:rPr>
                <w:rFonts w:hint="eastAsia" w:ascii="宋体" w:hAnsi="宋体" w:eastAsia="宋体" w:cs="宋体"/>
                <w:kern w:val="0"/>
                <w:szCs w:val="21"/>
                <w:lang w:val="en-US" w:eastAsia="zh-CN"/>
              </w:rPr>
              <w:t>3-5</w:t>
            </w:r>
            <w:r>
              <w:rPr>
                <w:rFonts w:hint="eastAsia" w:ascii="宋体" w:hAnsi="宋体" w:eastAsia="宋体" w:cs="宋体"/>
                <w:kern w:val="0"/>
                <w:szCs w:val="21"/>
              </w:rPr>
              <w:t>分，一般得</w:t>
            </w:r>
            <w:r>
              <w:rPr>
                <w:rFonts w:hint="eastAsia" w:ascii="宋体" w:hAnsi="宋体" w:eastAsia="宋体" w:cs="宋体"/>
                <w:kern w:val="0"/>
                <w:szCs w:val="21"/>
                <w:lang w:val="en-US" w:eastAsia="zh-CN"/>
              </w:rPr>
              <w:t>1-2</w:t>
            </w:r>
            <w:r>
              <w:rPr>
                <w:rFonts w:hint="eastAsia" w:ascii="宋体" w:hAnsi="宋体" w:eastAsia="宋体" w:cs="宋体"/>
                <w:kern w:val="0"/>
                <w:szCs w:val="21"/>
              </w:rPr>
              <w:t>分，</w:t>
            </w:r>
            <w:r>
              <w:rPr>
                <w:rFonts w:hint="eastAsia" w:ascii="宋体" w:hAnsi="宋体" w:eastAsia="宋体" w:cs="宋体"/>
                <w:kern w:val="0"/>
                <w:szCs w:val="21"/>
                <w:lang w:val="en-US" w:eastAsia="zh-CN"/>
              </w:rPr>
              <w:t>没有</w:t>
            </w:r>
            <w:r>
              <w:rPr>
                <w:rFonts w:hint="eastAsia" w:ascii="宋体" w:hAnsi="宋体" w:eastAsia="宋体" w:cs="宋体"/>
                <w:kern w:val="0"/>
                <w:szCs w:val="21"/>
              </w:rPr>
              <w:t>不得分。</w:t>
            </w:r>
          </w:p>
        </w:tc>
      </w:tr>
      <w:tr w14:paraId="565B7D94">
        <w:tblPrEx>
          <w:tblCellMar>
            <w:top w:w="0" w:type="dxa"/>
            <w:left w:w="108" w:type="dxa"/>
            <w:bottom w:w="0" w:type="dxa"/>
            <w:right w:w="108" w:type="dxa"/>
          </w:tblCellMar>
        </w:tblPrEx>
        <w:trPr>
          <w:trHeight w:val="90" w:hRule="atLeas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42CC6426">
            <w:pPr>
              <w:keepNext w:val="0"/>
              <w:keepLines w:val="0"/>
              <w:suppressLineNumbers w:val="0"/>
              <w:autoSpaceDE w:val="0"/>
              <w:autoSpaceDN w:val="0"/>
              <w:adjustRightInd w:val="0"/>
              <w:spacing w:before="0" w:beforeAutospacing="0" w:after="0" w:afterAutospacing="0" w:line="360" w:lineRule="auto"/>
              <w:ind w:left="0" w:right="35"/>
              <w:jc w:val="center"/>
              <w:rPr>
                <w:rFonts w:hint="eastAsia" w:ascii="宋体" w:hAnsi="宋体" w:eastAsia="宋体" w:cs="宋体"/>
                <w:sz w:val="21"/>
                <w:szCs w:val="21"/>
                <w:lang w:val="en-US" w:eastAsia="zh-CN"/>
              </w:rPr>
            </w:pPr>
          </w:p>
        </w:tc>
        <w:tc>
          <w:tcPr>
            <w:tcW w:w="2033" w:type="dxa"/>
            <w:tcBorders>
              <w:top w:val="single" w:color="auto" w:sz="4" w:space="0"/>
              <w:left w:val="single" w:color="auto" w:sz="4" w:space="0"/>
              <w:bottom w:val="single" w:color="auto" w:sz="4" w:space="0"/>
              <w:right w:val="single" w:color="auto" w:sz="4" w:space="0"/>
            </w:tcBorders>
            <w:vAlign w:val="center"/>
          </w:tcPr>
          <w:p w14:paraId="33D310ED">
            <w:pPr>
              <w:spacing w:line="360" w:lineRule="auto"/>
              <w:jc w:val="center"/>
              <w:rPr>
                <w:rFonts w:hint="eastAsia" w:ascii="宋体" w:hAnsi="宋体" w:eastAsia="宋体" w:cs="宋体"/>
                <w:kern w:val="0"/>
                <w:szCs w:val="21"/>
              </w:rPr>
            </w:pPr>
            <w:r>
              <w:rPr>
                <w:rFonts w:hint="eastAsia" w:ascii="宋体" w:hAnsi="宋体" w:cs="宋体"/>
                <w:kern w:val="0"/>
                <w:szCs w:val="21"/>
                <w:lang w:val="en-US" w:eastAsia="zh-CN"/>
              </w:rPr>
              <w:t>6</w:t>
            </w:r>
            <w:r>
              <w:rPr>
                <w:rFonts w:hint="eastAsia" w:ascii="宋体" w:hAnsi="宋体" w:eastAsia="宋体" w:cs="宋体"/>
                <w:kern w:val="0"/>
                <w:szCs w:val="21"/>
              </w:rPr>
              <w:t>资源配备计划(须含有绿色施工设备)</w:t>
            </w:r>
          </w:p>
          <w:p w14:paraId="73C3C218">
            <w:pPr>
              <w:spacing w:line="360" w:lineRule="auto"/>
              <w:jc w:val="center"/>
              <w:rPr>
                <w:rFonts w:hint="eastAsia" w:ascii="宋体" w:hAnsi="宋体" w:eastAsia="宋体" w:cs="宋体"/>
                <w:spacing w:val="1"/>
                <w:kern w:val="0"/>
                <w:sz w:val="21"/>
                <w:szCs w:val="21"/>
                <w:lang w:val="en-US" w:eastAsia="zh-CN" w:bidi="ar-SA"/>
              </w:rPr>
            </w:pPr>
            <w:r>
              <w:rPr>
                <w:rFonts w:hint="eastAsia" w:ascii="宋体" w:hAnsi="宋体" w:eastAsia="宋体" w:cs="宋体"/>
                <w:kern w:val="0"/>
                <w:szCs w:val="21"/>
              </w:rPr>
              <w:t>（</w:t>
            </w:r>
            <w:r>
              <w:rPr>
                <w:rFonts w:hint="eastAsia" w:ascii="宋体" w:hAnsi="宋体" w:eastAsia="宋体" w:cs="宋体"/>
                <w:kern w:val="0"/>
                <w:szCs w:val="21"/>
                <w:lang w:val="en-US" w:eastAsia="zh-CN"/>
              </w:rPr>
              <w:t>6</w:t>
            </w:r>
            <w:r>
              <w:rPr>
                <w:rFonts w:hint="eastAsia" w:ascii="宋体" w:hAnsi="宋体" w:eastAsia="宋体" w:cs="宋体"/>
                <w:kern w:val="0"/>
                <w:szCs w:val="21"/>
              </w:rPr>
              <w:t>分）</w:t>
            </w:r>
          </w:p>
        </w:tc>
        <w:tc>
          <w:tcPr>
            <w:tcW w:w="6072" w:type="dxa"/>
            <w:tcBorders>
              <w:top w:val="single" w:color="auto" w:sz="4" w:space="0"/>
              <w:left w:val="single" w:color="auto" w:sz="4" w:space="0"/>
              <w:bottom w:val="single" w:color="auto" w:sz="4" w:space="0"/>
              <w:right w:val="single" w:color="auto" w:sz="4" w:space="0"/>
            </w:tcBorders>
            <w:vAlign w:val="center"/>
          </w:tcPr>
          <w:p w14:paraId="388E2F60">
            <w:pPr>
              <w:spacing w:line="360" w:lineRule="auto"/>
              <w:jc w:val="left"/>
              <w:rPr>
                <w:rFonts w:hint="eastAsia" w:ascii="宋体" w:hAnsi="宋体" w:eastAsia="宋体" w:cs="宋体"/>
                <w:spacing w:val="1"/>
                <w:kern w:val="0"/>
                <w:sz w:val="21"/>
                <w:szCs w:val="21"/>
                <w:lang w:val="en-US" w:eastAsia="zh-CN" w:bidi="ar-SA"/>
              </w:rPr>
            </w:pPr>
            <w:r>
              <w:rPr>
                <w:rFonts w:hint="eastAsia" w:ascii="宋体" w:hAnsi="宋体" w:eastAsia="宋体" w:cs="宋体"/>
                <w:kern w:val="0"/>
                <w:szCs w:val="21"/>
              </w:rPr>
              <w:t>施工机械及施工各阶段投入人员配置合理得</w:t>
            </w:r>
            <w:r>
              <w:rPr>
                <w:rFonts w:hint="eastAsia" w:ascii="宋体" w:hAnsi="宋体" w:eastAsia="宋体" w:cs="宋体"/>
                <w:kern w:val="0"/>
                <w:szCs w:val="21"/>
                <w:lang w:val="en-US" w:eastAsia="zh-CN"/>
              </w:rPr>
              <w:t>5-6</w:t>
            </w:r>
            <w:r>
              <w:rPr>
                <w:rFonts w:hint="eastAsia" w:ascii="宋体" w:hAnsi="宋体" w:eastAsia="宋体" w:cs="宋体"/>
                <w:kern w:val="0"/>
                <w:szCs w:val="21"/>
              </w:rPr>
              <w:t>分，较为合理得</w:t>
            </w:r>
            <w:r>
              <w:rPr>
                <w:rFonts w:hint="eastAsia" w:ascii="宋体" w:hAnsi="宋体" w:eastAsia="宋体" w:cs="宋体"/>
                <w:kern w:val="0"/>
                <w:szCs w:val="21"/>
                <w:lang w:val="en-US" w:eastAsia="zh-CN"/>
              </w:rPr>
              <w:t>3-4</w:t>
            </w:r>
            <w:r>
              <w:rPr>
                <w:rFonts w:hint="eastAsia" w:ascii="宋体" w:hAnsi="宋体" w:eastAsia="宋体" w:cs="宋体"/>
                <w:kern w:val="0"/>
                <w:szCs w:val="21"/>
              </w:rPr>
              <w:t>分，一般得1</w:t>
            </w:r>
            <w:r>
              <w:rPr>
                <w:rFonts w:hint="eastAsia" w:ascii="宋体" w:hAnsi="宋体" w:eastAsia="宋体" w:cs="宋体"/>
                <w:kern w:val="0"/>
                <w:szCs w:val="21"/>
                <w:lang w:val="en-US" w:eastAsia="zh-CN"/>
              </w:rPr>
              <w:t>-2</w:t>
            </w:r>
            <w:r>
              <w:rPr>
                <w:rFonts w:hint="eastAsia" w:ascii="宋体" w:hAnsi="宋体" w:eastAsia="宋体" w:cs="宋体"/>
                <w:kern w:val="0"/>
                <w:szCs w:val="21"/>
              </w:rPr>
              <w:t>分，</w:t>
            </w:r>
            <w:r>
              <w:rPr>
                <w:rFonts w:hint="eastAsia" w:ascii="宋体" w:hAnsi="宋体" w:eastAsia="宋体" w:cs="宋体"/>
                <w:kern w:val="0"/>
                <w:szCs w:val="21"/>
                <w:lang w:val="en-US" w:eastAsia="zh-CN"/>
              </w:rPr>
              <w:t>没有</w:t>
            </w:r>
            <w:r>
              <w:rPr>
                <w:rFonts w:hint="eastAsia" w:ascii="宋体" w:hAnsi="宋体" w:eastAsia="宋体" w:cs="宋体"/>
                <w:kern w:val="0"/>
                <w:szCs w:val="21"/>
              </w:rPr>
              <w:t>不得分。</w:t>
            </w:r>
          </w:p>
        </w:tc>
      </w:tr>
      <w:tr w14:paraId="0204A03B">
        <w:tblPrEx>
          <w:tblCellMar>
            <w:top w:w="0" w:type="dxa"/>
            <w:left w:w="108" w:type="dxa"/>
            <w:bottom w:w="0" w:type="dxa"/>
            <w:right w:w="108" w:type="dxa"/>
          </w:tblCellMar>
        </w:tblPrEx>
        <w:trPr>
          <w:trHeight w:val="90" w:hRule="atLeas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74C367BF">
            <w:pPr>
              <w:keepNext w:val="0"/>
              <w:keepLines w:val="0"/>
              <w:suppressLineNumbers w:val="0"/>
              <w:autoSpaceDE w:val="0"/>
              <w:autoSpaceDN w:val="0"/>
              <w:adjustRightInd w:val="0"/>
              <w:spacing w:before="0" w:beforeAutospacing="0" w:after="0" w:afterAutospacing="0" w:line="360" w:lineRule="auto"/>
              <w:ind w:left="0" w:right="35"/>
              <w:jc w:val="center"/>
              <w:rPr>
                <w:rFonts w:hint="eastAsia" w:ascii="宋体" w:hAnsi="宋体" w:eastAsia="宋体" w:cs="宋体"/>
                <w:sz w:val="21"/>
                <w:szCs w:val="21"/>
                <w:lang w:val="en-US" w:eastAsia="zh-CN"/>
              </w:rPr>
            </w:pPr>
          </w:p>
        </w:tc>
        <w:tc>
          <w:tcPr>
            <w:tcW w:w="2033" w:type="dxa"/>
            <w:tcBorders>
              <w:top w:val="single" w:color="auto" w:sz="4" w:space="0"/>
              <w:left w:val="single" w:color="auto" w:sz="4" w:space="0"/>
              <w:bottom w:val="single" w:color="auto" w:sz="4" w:space="0"/>
              <w:right w:val="single" w:color="auto" w:sz="4" w:space="0"/>
            </w:tcBorders>
            <w:vAlign w:val="center"/>
          </w:tcPr>
          <w:p w14:paraId="19F69625">
            <w:pPr>
              <w:spacing w:line="360" w:lineRule="auto"/>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7</w:t>
            </w:r>
            <w:r>
              <w:rPr>
                <w:rFonts w:hint="eastAsia" w:ascii="宋体" w:hAnsi="宋体" w:eastAsia="宋体" w:cs="宋体"/>
                <w:kern w:val="0"/>
                <w:szCs w:val="21"/>
              </w:rPr>
              <w:t>新工艺、新技术、新设备、新材料的</w:t>
            </w:r>
            <w:r>
              <w:rPr>
                <w:rFonts w:hint="eastAsia" w:ascii="宋体" w:hAnsi="宋体" w:cs="宋体"/>
                <w:kern w:val="0"/>
                <w:szCs w:val="21"/>
                <w:lang w:eastAsia="zh-CN"/>
              </w:rPr>
              <w:t>使用（</w:t>
            </w:r>
            <w:r>
              <w:rPr>
                <w:rFonts w:hint="eastAsia" w:ascii="宋体" w:hAnsi="宋体" w:cs="宋体"/>
                <w:kern w:val="0"/>
                <w:szCs w:val="21"/>
                <w:lang w:val="en-US" w:eastAsia="zh-CN"/>
              </w:rPr>
              <w:t>6</w:t>
            </w:r>
            <w:r>
              <w:rPr>
                <w:rFonts w:hint="eastAsia" w:ascii="宋体" w:hAnsi="宋体" w:cs="宋体"/>
                <w:kern w:val="0"/>
                <w:szCs w:val="21"/>
                <w:lang w:eastAsia="zh-CN"/>
              </w:rPr>
              <w:t>分）</w:t>
            </w:r>
          </w:p>
        </w:tc>
        <w:tc>
          <w:tcPr>
            <w:tcW w:w="6072" w:type="dxa"/>
            <w:tcBorders>
              <w:top w:val="single" w:color="auto" w:sz="4" w:space="0"/>
              <w:left w:val="single" w:color="auto" w:sz="4" w:space="0"/>
              <w:bottom w:val="single" w:color="auto" w:sz="4" w:space="0"/>
              <w:right w:val="single" w:color="auto" w:sz="4" w:space="0"/>
            </w:tcBorders>
            <w:vAlign w:val="center"/>
          </w:tcPr>
          <w:p w14:paraId="48AF30F8">
            <w:pPr>
              <w:spacing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新工艺、新技术、新设备、新材料的采用程度，其在确保质量、降低成本、缩短工期、减轻劳动强度、提高工效等方面的作用(须含有绿色施工新工艺、新技术、新设备、新材料)：合理得</w:t>
            </w:r>
            <w:r>
              <w:rPr>
                <w:rFonts w:hint="eastAsia" w:ascii="宋体" w:hAnsi="宋体" w:eastAsia="宋体" w:cs="宋体"/>
                <w:kern w:val="0"/>
                <w:szCs w:val="21"/>
                <w:lang w:val="en-US" w:eastAsia="zh-CN"/>
              </w:rPr>
              <w:t>5-6</w:t>
            </w:r>
            <w:r>
              <w:rPr>
                <w:rFonts w:hint="eastAsia" w:ascii="宋体" w:hAnsi="宋体" w:eastAsia="宋体" w:cs="宋体"/>
                <w:kern w:val="0"/>
                <w:szCs w:val="21"/>
              </w:rPr>
              <w:t>分，较为合理得</w:t>
            </w:r>
            <w:r>
              <w:rPr>
                <w:rFonts w:hint="eastAsia" w:ascii="宋体" w:hAnsi="宋体" w:eastAsia="宋体" w:cs="宋体"/>
                <w:kern w:val="0"/>
                <w:szCs w:val="21"/>
                <w:lang w:val="en-US" w:eastAsia="zh-CN"/>
              </w:rPr>
              <w:t>3-4</w:t>
            </w:r>
            <w:r>
              <w:rPr>
                <w:rFonts w:hint="eastAsia" w:ascii="宋体" w:hAnsi="宋体" w:eastAsia="宋体" w:cs="宋体"/>
                <w:kern w:val="0"/>
                <w:szCs w:val="21"/>
              </w:rPr>
              <w:t>分，一般得</w:t>
            </w:r>
            <w:r>
              <w:rPr>
                <w:rFonts w:hint="eastAsia" w:ascii="宋体" w:hAnsi="宋体" w:eastAsia="宋体" w:cs="宋体"/>
                <w:kern w:val="0"/>
                <w:szCs w:val="21"/>
                <w:lang w:val="en-US" w:eastAsia="zh-CN"/>
              </w:rPr>
              <w:t>1-2</w:t>
            </w:r>
            <w:r>
              <w:rPr>
                <w:rFonts w:hint="eastAsia" w:ascii="宋体" w:hAnsi="宋体" w:eastAsia="宋体" w:cs="宋体"/>
                <w:kern w:val="0"/>
                <w:szCs w:val="21"/>
              </w:rPr>
              <w:t>分，</w:t>
            </w:r>
            <w:r>
              <w:rPr>
                <w:rFonts w:hint="eastAsia" w:ascii="宋体" w:hAnsi="宋体" w:eastAsia="宋体" w:cs="宋体"/>
                <w:kern w:val="0"/>
                <w:szCs w:val="21"/>
                <w:lang w:val="en-US" w:eastAsia="zh-CN"/>
              </w:rPr>
              <w:t>没有</w:t>
            </w:r>
            <w:r>
              <w:rPr>
                <w:rFonts w:hint="eastAsia" w:ascii="宋体" w:hAnsi="宋体" w:eastAsia="宋体" w:cs="宋体"/>
                <w:kern w:val="0"/>
                <w:szCs w:val="21"/>
              </w:rPr>
              <w:t>不得分。</w:t>
            </w:r>
          </w:p>
        </w:tc>
      </w:tr>
      <w:tr w14:paraId="23510F03">
        <w:tblPrEx>
          <w:tblCellMar>
            <w:top w:w="0" w:type="dxa"/>
            <w:left w:w="108" w:type="dxa"/>
            <w:bottom w:w="0" w:type="dxa"/>
            <w:right w:w="108" w:type="dxa"/>
          </w:tblCellMar>
        </w:tblPrEx>
        <w:trPr>
          <w:trHeight w:val="440" w:hRule="atLeas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3C2D62B9">
            <w:pPr>
              <w:keepNext w:val="0"/>
              <w:keepLines w:val="0"/>
              <w:suppressLineNumbers w:val="0"/>
              <w:autoSpaceDE w:val="0"/>
              <w:autoSpaceDN w:val="0"/>
              <w:adjustRightInd w:val="0"/>
              <w:spacing w:before="0" w:beforeAutospacing="0" w:after="0" w:afterAutospacing="0" w:line="360" w:lineRule="auto"/>
              <w:ind w:left="0" w:right="35"/>
              <w:jc w:val="center"/>
              <w:rPr>
                <w:rFonts w:hint="eastAsia" w:ascii="宋体" w:hAnsi="宋体" w:eastAsia="宋体" w:cs="宋体"/>
                <w:sz w:val="21"/>
                <w:szCs w:val="21"/>
                <w:lang w:val="en-US" w:eastAsia="zh-CN"/>
              </w:rPr>
            </w:pPr>
          </w:p>
        </w:tc>
        <w:tc>
          <w:tcPr>
            <w:tcW w:w="2033" w:type="dxa"/>
            <w:tcBorders>
              <w:top w:val="single" w:color="auto" w:sz="4" w:space="0"/>
              <w:left w:val="single" w:color="auto" w:sz="4" w:space="0"/>
              <w:bottom w:val="single" w:color="auto" w:sz="4" w:space="0"/>
              <w:right w:val="single" w:color="auto" w:sz="4" w:space="0"/>
            </w:tcBorders>
            <w:vAlign w:val="center"/>
          </w:tcPr>
          <w:p w14:paraId="1E1375A4">
            <w:pPr>
              <w:spacing w:line="360" w:lineRule="auto"/>
              <w:jc w:val="center"/>
              <w:rPr>
                <w:rFonts w:hint="eastAsia" w:ascii="宋体" w:hAnsi="宋体" w:eastAsia="宋体" w:cs="宋体"/>
                <w:spacing w:val="1"/>
                <w:kern w:val="0"/>
                <w:sz w:val="21"/>
                <w:szCs w:val="21"/>
                <w:lang w:val="en-US" w:eastAsia="zh-CN" w:bidi="ar-SA"/>
              </w:rPr>
            </w:pPr>
            <w:r>
              <w:rPr>
                <w:rFonts w:hint="eastAsia" w:ascii="宋体" w:hAnsi="宋体" w:cs="宋体"/>
                <w:kern w:val="0"/>
                <w:szCs w:val="21"/>
                <w:lang w:val="en-US" w:eastAsia="zh-CN"/>
              </w:rPr>
              <w:t>8</w:t>
            </w:r>
            <w:r>
              <w:rPr>
                <w:rFonts w:hint="eastAsia" w:ascii="宋体" w:hAnsi="宋体" w:eastAsia="宋体" w:cs="宋体"/>
                <w:kern w:val="0"/>
                <w:szCs w:val="21"/>
              </w:rPr>
              <w:t>现场设置和针对现场困难的分析和对策（</w:t>
            </w:r>
            <w:r>
              <w:rPr>
                <w:rFonts w:hint="eastAsia" w:ascii="宋体" w:hAnsi="宋体" w:eastAsia="宋体" w:cs="宋体"/>
                <w:kern w:val="0"/>
                <w:szCs w:val="21"/>
                <w:lang w:val="en-US" w:eastAsia="zh-CN"/>
              </w:rPr>
              <w:t>6</w:t>
            </w:r>
            <w:r>
              <w:rPr>
                <w:rFonts w:hint="eastAsia" w:ascii="宋体" w:hAnsi="宋体" w:eastAsia="宋体" w:cs="宋体"/>
                <w:kern w:val="0"/>
                <w:szCs w:val="21"/>
              </w:rPr>
              <w:t>分）</w:t>
            </w:r>
          </w:p>
        </w:tc>
        <w:tc>
          <w:tcPr>
            <w:tcW w:w="6072" w:type="dxa"/>
            <w:tcBorders>
              <w:top w:val="single" w:color="auto" w:sz="4" w:space="0"/>
              <w:left w:val="single" w:color="auto" w:sz="4" w:space="0"/>
              <w:bottom w:val="single" w:color="auto" w:sz="4" w:space="0"/>
              <w:right w:val="single" w:color="auto" w:sz="4" w:space="0"/>
            </w:tcBorders>
            <w:vAlign w:val="center"/>
          </w:tcPr>
          <w:p w14:paraId="2F45E93B">
            <w:pPr>
              <w:spacing w:line="360" w:lineRule="auto"/>
              <w:jc w:val="left"/>
              <w:rPr>
                <w:rFonts w:hint="eastAsia" w:ascii="宋体" w:hAnsi="宋体" w:eastAsia="宋体" w:cs="宋体"/>
                <w:spacing w:val="1"/>
                <w:kern w:val="0"/>
                <w:sz w:val="21"/>
                <w:szCs w:val="21"/>
                <w:lang w:val="en-US" w:eastAsia="zh-CN" w:bidi="ar-SA"/>
              </w:rPr>
            </w:pPr>
            <w:r>
              <w:rPr>
                <w:rFonts w:hint="eastAsia" w:ascii="宋体" w:hAnsi="宋体" w:eastAsia="宋体" w:cs="宋体"/>
                <w:kern w:val="0"/>
                <w:szCs w:val="21"/>
              </w:rPr>
              <w:t>针对本项目现场实际情况提出施工难点并进行分析和处理，合理得</w:t>
            </w:r>
            <w:r>
              <w:rPr>
                <w:rFonts w:hint="eastAsia" w:ascii="宋体" w:hAnsi="宋体" w:eastAsia="宋体" w:cs="宋体"/>
                <w:kern w:val="0"/>
                <w:szCs w:val="21"/>
                <w:lang w:val="en-US" w:eastAsia="zh-CN"/>
              </w:rPr>
              <w:t>5-6</w:t>
            </w:r>
            <w:r>
              <w:rPr>
                <w:rFonts w:hint="eastAsia" w:ascii="宋体" w:hAnsi="宋体" w:eastAsia="宋体" w:cs="宋体"/>
                <w:kern w:val="0"/>
                <w:szCs w:val="21"/>
              </w:rPr>
              <w:t>分，较为合理得</w:t>
            </w:r>
            <w:r>
              <w:rPr>
                <w:rFonts w:hint="eastAsia" w:ascii="宋体" w:hAnsi="宋体" w:eastAsia="宋体" w:cs="宋体"/>
                <w:kern w:val="0"/>
                <w:szCs w:val="21"/>
                <w:lang w:val="en-US" w:eastAsia="zh-CN"/>
              </w:rPr>
              <w:t>3-4</w:t>
            </w:r>
            <w:r>
              <w:rPr>
                <w:rFonts w:hint="eastAsia" w:ascii="宋体" w:hAnsi="宋体" w:eastAsia="宋体" w:cs="宋体"/>
                <w:kern w:val="0"/>
                <w:szCs w:val="21"/>
              </w:rPr>
              <w:t>分，一般得1</w:t>
            </w:r>
            <w:r>
              <w:rPr>
                <w:rFonts w:hint="eastAsia" w:ascii="宋体" w:hAnsi="宋体" w:eastAsia="宋体" w:cs="宋体"/>
                <w:kern w:val="0"/>
                <w:szCs w:val="21"/>
                <w:lang w:val="en-US" w:eastAsia="zh-CN"/>
              </w:rPr>
              <w:t>-2</w:t>
            </w:r>
            <w:r>
              <w:rPr>
                <w:rFonts w:hint="eastAsia" w:ascii="宋体" w:hAnsi="宋体" w:eastAsia="宋体" w:cs="宋体"/>
                <w:kern w:val="0"/>
                <w:szCs w:val="21"/>
              </w:rPr>
              <w:t>分，</w:t>
            </w:r>
            <w:r>
              <w:rPr>
                <w:rFonts w:hint="eastAsia" w:ascii="宋体" w:hAnsi="宋体" w:eastAsia="宋体" w:cs="宋体"/>
                <w:kern w:val="0"/>
                <w:szCs w:val="21"/>
                <w:lang w:val="en-US" w:eastAsia="zh-CN"/>
              </w:rPr>
              <w:t>没有</w:t>
            </w:r>
            <w:r>
              <w:rPr>
                <w:rFonts w:hint="eastAsia" w:ascii="宋体" w:hAnsi="宋体" w:eastAsia="宋体" w:cs="宋体"/>
                <w:kern w:val="0"/>
                <w:szCs w:val="21"/>
              </w:rPr>
              <w:t>不得分。</w:t>
            </w:r>
          </w:p>
        </w:tc>
      </w:tr>
      <w:tr w14:paraId="6267C80F">
        <w:tblPrEx>
          <w:tblCellMar>
            <w:top w:w="0" w:type="dxa"/>
            <w:left w:w="108" w:type="dxa"/>
            <w:bottom w:w="0" w:type="dxa"/>
            <w:right w:w="108" w:type="dxa"/>
          </w:tblCellMar>
        </w:tblPrEx>
        <w:trPr>
          <w:trHeight w:val="461" w:hRule="atLeas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1F7BDB2A">
            <w:pPr>
              <w:keepNext w:val="0"/>
              <w:keepLines w:val="0"/>
              <w:suppressLineNumbers w:val="0"/>
              <w:autoSpaceDE w:val="0"/>
              <w:autoSpaceDN w:val="0"/>
              <w:adjustRightInd w:val="0"/>
              <w:spacing w:before="0" w:beforeAutospacing="0" w:after="0" w:afterAutospacing="0" w:line="360" w:lineRule="auto"/>
              <w:ind w:left="0" w:right="35"/>
              <w:jc w:val="center"/>
              <w:rPr>
                <w:rFonts w:hint="eastAsia" w:ascii="宋体" w:hAnsi="宋体" w:eastAsia="宋体" w:cs="宋体"/>
                <w:sz w:val="21"/>
                <w:szCs w:val="21"/>
                <w:lang w:val="en-US" w:eastAsia="zh-CN"/>
              </w:rPr>
            </w:pPr>
          </w:p>
        </w:tc>
        <w:tc>
          <w:tcPr>
            <w:tcW w:w="2033" w:type="dxa"/>
            <w:tcBorders>
              <w:top w:val="single" w:color="auto" w:sz="4" w:space="0"/>
              <w:left w:val="single" w:color="auto" w:sz="4" w:space="0"/>
              <w:bottom w:val="single" w:color="auto" w:sz="4" w:space="0"/>
              <w:right w:val="single" w:color="auto" w:sz="4" w:space="0"/>
            </w:tcBorders>
            <w:vAlign w:val="center"/>
          </w:tcPr>
          <w:p w14:paraId="62987587">
            <w:pPr>
              <w:spacing w:line="360" w:lineRule="auto"/>
              <w:ind w:firstLine="420" w:firstLineChars="200"/>
              <w:jc w:val="both"/>
              <w:rPr>
                <w:rFonts w:hint="eastAsia" w:ascii="宋体" w:hAnsi="宋体" w:eastAsia="宋体" w:cs="宋体"/>
                <w:color w:val="000000"/>
                <w:szCs w:val="22"/>
                <w:lang w:val="en-US" w:eastAsia="zh-CN"/>
              </w:rPr>
            </w:pPr>
            <w:r>
              <w:rPr>
                <w:rFonts w:hint="eastAsia" w:ascii="宋体" w:hAnsi="宋体" w:cs="宋体"/>
                <w:color w:val="000000"/>
                <w:szCs w:val="22"/>
                <w:lang w:val="en-US" w:eastAsia="zh-CN"/>
              </w:rPr>
              <w:t>9</w:t>
            </w:r>
            <w:r>
              <w:rPr>
                <w:rFonts w:hint="eastAsia" w:ascii="宋体" w:hAnsi="宋体" w:eastAsia="宋体" w:cs="宋体"/>
                <w:color w:val="000000"/>
                <w:szCs w:val="22"/>
                <w:lang w:val="en-US" w:eastAsia="zh-CN"/>
              </w:rPr>
              <w:t>优惠承诺</w:t>
            </w:r>
          </w:p>
          <w:p w14:paraId="3AB21734">
            <w:pPr>
              <w:spacing w:line="36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b w:val="0"/>
                <w:bCs w:val="0"/>
                <w:color w:val="000000"/>
                <w:kern w:val="2"/>
                <w:sz w:val="21"/>
                <w:szCs w:val="24"/>
                <w:lang w:val="en-US" w:eastAsia="zh-CN" w:bidi="ar-SA"/>
              </w:rPr>
              <w:t>（</w:t>
            </w:r>
            <w:r>
              <w:rPr>
                <w:rFonts w:hint="eastAsia" w:ascii="宋体" w:hAnsi="宋体" w:cs="宋体"/>
                <w:b w:val="0"/>
                <w:bCs w:val="0"/>
                <w:color w:val="000000"/>
                <w:kern w:val="2"/>
                <w:sz w:val="21"/>
                <w:szCs w:val="24"/>
                <w:lang w:val="en-US" w:eastAsia="zh-CN" w:bidi="ar-SA"/>
              </w:rPr>
              <w:t>4</w:t>
            </w:r>
            <w:r>
              <w:rPr>
                <w:rFonts w:hint="eastAsia" w:ascii="宋体" w:hAnsi="宋体" w:eastAsia="宋体" w:cs="宋体"/>
                <w:b w:val="0"/>
                <w:bCs w:val="0"/>
                <w:color w:val="000000"/>
                <w:kern w:val="2"/>
                <w:sz w:val="21"/>
                <w:szCs w:val="24"/>
                <w:lang w:val="en-US" w:eastAsia="zh-CN" w:bidi="ar-SA"/>
              </w:rPr>
              <w:t>分）</w:t>
            </w:r>
          </w:p>
        </w:tc>
        <w:tc>
          <w:tcPr>
            <w:tcW w:w="6072" w:type="dxa"/>
            <w:tcBorders>
              <w:top w:val="single" w:color="auto" w:sz="4" w:space="0"/>
              <w:left w:val="single" w:color="auto" w:sz="4" w:space="0"/>
              <w:bottom w:val="single" w:color="auto" w:sz="4" w:space="0"/>
              <w:right w:val="single" w:color="auto" w:sz="4" w:space="0"/>
            </w:tcBorders>
            <w:vAlign w:val="center"/>
          </w:tcPr>
          <w:p w14:paraId="322D2459">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1"/>
              <w:rPr>
                <w:rFonts w:hint="eastAsia" w:ascii="宋体" w:hAnsi="宋体" w:eastAsia="宋体" w:cs="宋体"/>
                <w:b w:val="0"/>
                <w:bCs w:val="0"/>
                <w:color w:val="000000"/>
                <w:kern w:val="2"/>
                <w:sz w:val="21"/>
                <w:szCs w:val="24"/>
                <w:highlight w:val="none"/>
                <w:lang w:val="en-US" w:eastAsia="zh-CN" w:bidi="ar-SA"/>
              </w:rPr>
            </w:pPr>
            <w:r>
              <w:rPr>
                <w:rFonts w:hint="eastAsia" w:ascii="宋体" w:hAnsi="宋体" w:eastAsia="宋体" w:cs="宋体"/>
                <w:b w:val="0"/>
                <w:bCs w:val="0"/>
                <w:color w:val="000000"/>
                <w:kern w:val="2"/>
                <w:sz w:val="21"/>
                <w:szCs w:val="24"/>
                <w:highlight w:val="none"/>
                <w:lang w:val="en-US" w:eastAsia="zh-CN" w:bidi="ar-SA"/>
              </w:rPr>
              <w:t>优惠承诺应是书面的符合工程实际情况，确保依法依规，优惠合理，详实可行。优得3-4分，良得1-2分，一般得0.5分，没有不得分。</w:t>
            </w:r>
          </w:p>
        </w:tc>
      </w:tr>
      <w:tr w14:paraId="0B470BAB">
        <w:tblPrEx>
          <w:tblCellMar>
            <w:top w:w="0" w:type="dxa"/>
            <w:left w:w="108" w:type="dxa"/>
            <w:bottom w:w="0" w:type="dxa"/>
            <w:right w:w="108" w:type="dxa"/>
          </w:tblCellMar>
        </w:tblPrEx>
        <w:trPr>
          <w:trHeight w:val="461" w:hRule="atLeast"/>
        </w:trPr>
        <w:tc>
          <w:tcPr>
            <w:tcW w:w="1044" w:type="dxa"/>
            <w:vMerge w:val="restart"/>
            <w:tcBorders>
              <w:top w:val="single" w:color="auto" w:sz="4" w:space="0"/>
              <w:left w:val="single" w:color="auto" w:sz="4" w:space="0"/>
              <w:right w:val="single" w:color="auto" w:sz="4" w:space="0"/>
            </w:tcBorders>
            <w:vAlign w:val="center"/>
          </w:tcPr>
          <w:p w14:paraId="13732F5E">
            <w:pPr>
              <w:keepNext w:val="0"/>
              <w:keepLines w:val="0"/>
              <w:numPr>
                <w:ilvl w:val="0"/>
                <w:numId w:val="8"/>
              </w:numPr>
              <w:suppressLineNumbers w:val="0"/>
              <w:autoSpaceDE w:val="0"/>
              <w:autoSpaceDN w:val="0"/>
              <w:adjustRightInd w:val="0"/>
              <w:spacing w:before="0" w:beforeAutospacing="0" w:after="0" w:afterAutospacing="0" w:line="360" w:lineRule="auto"/>
              <w:ind w:left="0" w:right="35"/>
              <w:jc w:val="center"/>
              <w:rPr>
                <w:rFonts w:hint="eastAsia" w:ascii="宋体" w:hAnsi="宋体" w:cs="宋体"/>
                <w:sz w:val="21"/>
                <w:szCs w:val="21"/>
                <w:lang w:val="en-US" w:eastAsia="zh-CN"/>
              </w:rPr>
            </w:pPr>
            <w:r>
              <w:rPr>
                <w:rFonts w:hint="eastAsia" w:ascii="宋体" w:hAnsi="宋体" w:cs="宋体"/>
                <w:sz w:val="21"/>
                <w:szCs w:val="21"/>
                <w:lang w:val="en-US" w:eastAsia="zh-CN"/>
              </w:rPr>
              <w:t>综合实力评分</w:t>
            </w:r>
          </w:p>
          <w:p w14:paraId="0DBB5391">
            <w:pPr>
              <w:keepNext w:val="0"/>
              <w:keepLines w:val="0"/>
              <w:numPr>
                <w:ilvl w:val="0"/>
                <w:numId w:val="0"/>
              </w:numPr>
              <w:suppressLineNumbers w:val="0"/>
              <w:autoSpaceDE w:val="0"/>
              <w:autoSpaceDN w:val="0"/>
              <w:adjustRightInd w:val="0"/>
              <w:spacing w:before="0" w:beforeAutospacing="0" w:after="0" w:afterAutospacing="0" w:line="360" w:lineRule="auto"/>
              <w:ind w:right="35" w:rightChars="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（10分）</w:t>
            </w:r>
          </w:p>
        </w:tc>
        <w:tc>
          <w:tcPr>
            <w:tcW w:w="2033" w:type="dxa"/>
            <w:tcBorders>
              <w:top w:val="single" w:color="auto" w:sz="4" w:space="0"/>
              <w:left w:val="single" w:color="auto" w:sz="4" w:space="0"/>
              <w:bottom w:val="single" w:color="auto" w:sz="4" w:space="0"/>
              <w:right w:val="single" w:color="auto" w:sz="4" w:space="0"/>
            </w:tcBorders>
            <w:vAlign w:val="center"/>
          </w:tcPr>
          <w:p w14:paraId="347E2E31">
            <w:pPr>
              <w:wordWrap w:val="0"/>
              <w:topLinePunct/>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企业业绩</w:t>
            </w:r>
          </w:p>
          <w:p w14:paraId="02D03E28">
            <w:pPr>
              <w:wordWrap w:val="0"/>
              <w:topLinePunct/>
              <w:jc w:val="center"/>
              <w:rPr>
                <w:rFonts w:hint="eastAsia" w:ascii="宋体" w:hAnsi="宋体" w:eastAsia="宋体" w:cs="宋体"/>
                <w:b w:val="0"/>
                <w:bCs w:val="0"/>
                <w:color w:val="000000"/>
                <w:kern w:val="2"/>
                <w:sz w:val="21"/>
                <w:szCs w:val="24"/>
                <w:lang w:val="en-US" w:eastAsia="zh-CN" w:bidi="ar-SA"/>
              </w:rPr>
            </w:pP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6</w:t>
            </w:r>
            <w:r>
              <w:rPr>
                <w:rFonts w:hint="default" w:ascii="宋体" w:hAnsi="宋体" w:eastAsia="宋体" w:cs="宋体"/>
                <w:color w:val="auto"/>
                <w:szCs w:val="21"/>
                <w:highlight w:val="none"/>
                <w:lang w:val="en-US" w:eastAsia="zh-CN"/>
              </w:rPr>
              <w:t>分）</w:t>
            </w:r>
          </w:p>
        </w:tc>
        <w:tc>
          <w:tcPr>
            <w:tcW w:w="6072" w:type="dxa"/>
            <w:tcBorders>
              <w:top w:val="single" w:color="auto" w:sz="4" w:space="0"/>
              <w:left w:val="single" w:color="auto" w:sz="4" w:space="0"/>
              <w:bottom w:val="single" w:color="auto" w:sz="4" w:space="0"/>
              <w:right w:val="single" w:color="auto" w:sz="4" w:space="0"/>
            </w:tcBorders>
            <w:vAlign w:val="center"/>
          </w:tcPr>
          <w:p w14:paraId="4971C58D">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宋体" w:hAnsi="宋体" w:eastAsia="宋体" w:cs="宋体"/>
                <w:b w:val="0"/>
                <w:bCs w:val="0"/>
                <w:color w:val="000000"/>
                <w:kern w:val="2"/>
                <w:sz w:val="21"/>
                <w:szCs w:val="24"/>
                <w:highlight w:val="none"/>
                <w:lang w:val="en-US" w:eastAsia="zh-CN" w:bidi="ar-SA"/>
              </w:rPr>
            </w:pP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承担过类似项目的，每有一项得</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分。本项最多得</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分。（需提供中标通知书、施工合同，时间以合同签订日期为准）；</w:t>
            </w:r>
          </w:p>
        </w:tc>
      </w:tr>
      <w:tr w14:paraId="426BA56E">
        <w:tblPrEx>
          <w:tblCellMar>
            <w:top w:w="0" w:type="dxa"/>
            <w:left w:w="108" w:type="dxa"/>
            <w:bottom w:w="0" w:type="dxa"/>
            <w:right w:w="108" w:type="dxa"/>
          </w:tblCellMar>
        </w:tblPrEx>
        <w:trPr>
          <w:trHeight w:val="461" w:hRule="atLeast"/>
        </w:trPr>
        <w:tc>
          <w:tcPr>
            <w:tcW w:w="1044" w:type="dxa"/>
            <w:vMerge w:val="continue"/>
            <w:tcBorders>
              <w:left w:val="single" w:color="auto" w:sz="4" w:space="0"/>
              <w:bottom w:val="single" w:color="auto" w:sz="4" w:space="0"/>
              <w:right w:val="single" w:color="auto" w:sz="4" w:space="0"/>
            </w:tcBorders>
            <w:vAlign w:val="center"/>
          </w:tcPr>
          <w:p w14:paraId="1889E0E9">
            <w:pPr>
              <w:keepNext w:val="0"/>
              <w:keepLines w:val="0"/>
              <w:suppressLineNumbers w:val="0"/>
              <w:autoSpaceDE w:val="0"/>
              <w:autoSpaceDN w:val="0"/>
              <w:adjustRightInd w:val="0"/>
              <w:spacing w:before="0" w:beforeAutospacing="0" w:after="0" w:afterAutospacing="0" w:line="360" w:lineRule="auto"/>
              <w:ind w:left="0" w:right="35"/>
              <w:jc w:val="center"/>
              <w:rPr>
                <w:rFonts w:hint="eastAsia" w:ascii="宋体" w:hAnsi="宋体" w:cs="宋体"/>
                <w:sz w:val="21"/>
                <w:szCs w:val="21"/>
                <w:lang w:val="en-US" w:eastAsia="zh-CN"/>
              </w:rPr>
            </w:pPr>
          </w:p>
        </w:tc>
        <w:tc>
          <w:tcPr>
            <w:tcW w:w="2033" w:type="dxa"/>
            <w:tcBorders>
              <w:top w:val="single" w:color="auto" w:sz="4" w:space="0"/>
              <w:left w:val="single" w:color="auto" w:sz="4" w:space="0"/>
              <w:bottom w:val="single" w:color="auto" w:sz="4" w:space="0"/>
              <w:right w:val="single" w:color="auto" w:sz="4" w:space="0"/>
            </w:tcBorders>
            <w:vAlign w:val="center"/>
          </w:tcPr>
          <w:p w14:paraId="74BD4AC0">
            <w:pPr>
              <w:widowControl/>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“AAA”信用等级证书</w:t>
            </w:r>
          </w:p>
          <w:p w14:paraId="3FA09D62">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4</w:t>
            </w:r>
            <w:r>
              <w:rPr>
                <w:rFonts w:hint="eastAsia" w:ascii="宋体" w:hAnsi="宋体" w:cs="宋体"/>
                <w:color w:val="auto"/>
                <w:kern w:val="0"/>
                <w:sz w:val="21"/>
                <w:szCs w:val="21"/>
              </w:rPr>
              <w:t>分）</w:t>
            </w:r>
          </w:p>
        </w:tc>
        <w:tc>
          <w:tcPr>
            <w:tcW w:w="6072" w:type="dxa"/>
            <w:tcBorders>
              <w:top w:val="single" w:color="auto" w:sz="4" w:space="0"/>
              <w:left w:val="single" w:color="auto" w:sz="4" w:space="0"/>
              <w:bottom w:val="single" w:color="auto" w:sz="4" w:space="0"/>
              <w:right w:val="single" w:color="auto" w:sz="4" w:space="0"/>
            </w:tcBorders>
            <w:vAlign w:val="center"/>
          </w:tcPr>
          <w:p w14:paraId="64982976">
            <w:pPr>
              <w:widowControl/>
              <w:spacing w:line="360" w:lineRule="auto"/>
              <w:jc w:val="left"/>
              <w:rPr>
                <w:rFonts w:hint="eastAsia" w:ascii="宋体" w:hAnsi="宋体" w:eastAsia="宋体" w:cs="宋体"/>
                <w:kern w:val="2"/>
                <w:sz w:val="21"/>
                <w:szCs w:val="21"/>
                <w:lang w:val="en-US" w:eastAsia="zh-CN" w:bidi="ar-SA"/>
              </w:rPr>
            </w:pPr>
            <w:r>
              <w:rPr>
                <w:rFonts w:hint="eastAsia" w:ascii="宋体" w:hAnsi="宋体" w:cs="宋体"/>
                <w:bCs/>
                <w:color w:val="auto"/>
                <w:sz w:val="21"/>
                <w:szCs w:val="21"/>
                <w:lang w:eastAsia="zh-CN"/>
              </w:rPr>
              <w:t>供应商</w:t>
            </w:r>
            <w:r>
              <w:rPr>
                <w:rFonts w:hint="eastAsia" w:ascii="宋体" w:hAnsi="宋体" w:cs="宋体"/>
                <w:bCs/>
                <w:color w:val="auto"/>
                <w:sz w:val="21"/>
                <w:szCs w:val="21"/>
              </w:rPr>
              <w:t>通过社会信用评估机构颁发的信用等级证书</w:t>
            </w:r>
            <w:r>
              <w:rPr>
                <w:rFonts w:hint="eastAsia" w:ascii="宋体" w:hAnsi="宋体" w:cs="宋体"/>
                <w:bCs/>
                <w:color w:val="auto"/>
                <w:sz w:val="21"/>
                <w:szCs w:val="21"/>
                <w:lang w:eastAsia="zh-CN"/>
              </w:rPr>
              <w:t>：</w:t>
            </w:r>
            <w:r>
              <w:rPr>
                <w:rFonts w:hint="eastAsia" w:ascii="宋体" w:hAnsi="宋体" w:cs="宋体"/>
                <w:bCs/>
                <w:color w:val="auto"/>
                <w:sz w:val="21"/>
                <w:szCs w:val="21"/>
              </w:rPr>
              <w:t>“AAA”级的，得</w:t>
            </w:r>
            <w:r>
              <w:rPr>
                <w:rFonts w:hint="eastAsia" w:ascii="宋体" w:hAnsi="宋体" w:cs="宋体"/>
                <w:bCs/>
                <w:color w:val="auto"/>
                <w:sz w:val="21"/>
                <w:szCs w:val="21"/>
                <w:lang w:val="en-US" w:eastAsia="zh-CN"/>
              </w:rPr>
              <w:t>4</w:t>
            </w:r>
            <w:r>
              <w:rPr>
                <w:rFonts w:hint="eastAsia" w:ascii="宋体" w:hAnsi="宋体" w:cs="宋体"/>
                <w:bCs/>
                <w:color w:val="auto"/>
                <w:sz w:val="21"/>
                <w:szCs w:val="21"/>
              </w:rPr>
              <w:t>分，“AA” 的得</w:t>
            </w:r>
            <w:r>
              <w:rPr>
                <w:rFonts w:hint="eastAsia" w:ascii="宋体" w:hAnsi="宋体" w:cs="宋体"/>
                <w:bCs/>
                <w:color w:val="auto"/>
                <w:sz w:val="21"/>
                <w:szCs w:val="21"/>
                <w:lang w:val="en-US" w:eastAsia="zh-CN"/>
              </w:rPr>
              <w:t>3</w:t>
            </w:r>
            <w:r>
              <w:rPr>
                <w:rFonts w:hint="eastAsia" w:ascii="宋体" w:hAnsi="宋体" w:cs="宋体"/>
                <w:bCs/>
                <w:color w:val="auto"/>
                <w:sz w:val="21"/>
                <w:szCs w:val="21"/>
              </w:rPr>
              <w:t>分，“A”级的得</w:t>
            </w:r>
            <w:r>
              <w:rPr>
                <w:rFonts w:hint="eastAsia" w:ascii="宋体" w:hAnsi="宋体" w:cs="宋体"/>
                <w:bCs/>
                <w:color w:val="auto"/>
                <w:sz w:val="21"/>
                <w:szCs w:val="21"/>
                <w:lang w:val="en-US" w:eastAsia="zh-CN"/>
              </w:rPr>
              <w:t>2</w:t>
            </w:r>
            <w:r>
              <w:rPr>
                <w:rFonts w:hint="eastAsia" w:ascii="宋体" w:hAnsi="宋体" w:cs="宋体"/>
                <w:bCs/>
                <w:color w:val="auto"/>
                <w:sz w:val="21"/>
                <w:szCs w:val="21"/>
              </w:rPr>
              <w:t>分，没有不得分的。</w:t>
            </w:r>
          </w:p>
        </w:tc>
      </w:tr>
    </w:tbl>
    <w:p w14:paraId="4401EA07">
      <w:pPr>
        <w:spacing w:line="440" w:lineRule="exact"/>
        <w:rPr>
          <w:rFonts w:hint="eastAsia" w:ascii="Calibri" w:hAnsi="Calibri" w:cs="黑体"/>
          <w:b/>
          <w:bCs/>
          <w:szCs w:val="22"/>
          <w:lang w:val="en-US" w:eastAsia="zh-CN"/>
        </w:rPr>
      </w:pPr>
    </w:p>
    <w:p w14:paraId="4E65E0F2">
      <w:pPr>
        <w:numPr>
          <w:ilvl w:val="0"/>
          <w:numId w:val="9"/>
        </w:numPr>
        <w:spacing w:line="440" w:lineRule="exact"/>
        <w:outlineLvl w:val="1"/>
        <w:rPr>
          <w:rFonts w:hint="eastAsia" w:ascii="Calibri" w:hAnsi="Calibri" w:cs="黑体"/>
          <w:b/>
          <w:bCs/>
          <w:szCs w:val="22"/>
          <w:lang w:val="en-US" w:eastAsia="zh-CN"/>
        </w:rPr>
      </w:pPr>
      <w:r>
        <w:rPr>
          <w:rFonts w:hint="eastAsia" w:ascii="Calibri" w:hAnsi="Calibri" w:cs="黑体"/>
          <w:b/>
          <w:bCs/>
          <w:szCs w:val="22"/>
          <w:lang w:val="en-US" w:eastAsia="zh-CN"/>
        </w:rPr>
        <w:t>磋商程序及方法</w:t>
      </w:r>
    </w:p>
    <w:p w14:paraId="336C9B04">
      <w:pPr>
        <w:numPr>
          <w:ilvl w:val="0"/>
          <w:numId w:val="0"/>
        </w:numPr>
        <w:spacing w:line="440" w:lineRule="exact"/>
        <w:rPr>
          <w:rFonts w:hint="eastAsia" w:ascii="Calibri" w:hAnsi="Calibri" w:cs="黑体"/>
          <w:b w:val="0"/>
          <w:bCs w:val="0"/>
          <w:szCs w:val="22"/>
          <w:lang w:val="en-US" w:eastAsia="zh-CN"/>
        </w:rPr>
      </w:pPr>
      <w:r>
        <w:rPr>
          <w:rFonts w:hint="eastAsia" w:ascii="Calibri" w:hAnsi="Calibri" w:cs="黑体"/>
          <w:b w:val="0"/>
          <w:bCs w:val="0"/>
          <w:szCs w:val="22"/>
          <w:lang w:val="en-US" w:eastAsia="zh-CN"/>
        </w:rPr>
        <w:t xml:space="preserve">  1.1初步评审</w:t>
      </w:r>
    </w:p>
    <w:p w14:paraId="5166E311">
      <w:pPr>
        <w:numPr>
          <w:ilvl w:val="0"/>
          <w:numId w:val="0"/>
        </w:numPr>
        <w:spacing w:line="440" w:lineRule="exact"/>
        <w:rPr>
          <w:rFonts w:hint="eastAsia" w:ascii="Calibri" w:hAnsi="Calibri" w:cs="黑体"/>
          <w:b w:val="0"/>
          <w:bCs w:val="0"/>
          <w:szCs w:val="22"/>
          <w:lang w:val="en-US" w:eastAsia="zh-CN"/>
        </w:rPr>
      </w:pPr>
      <w:r>
        <w:rPr>
          <w:rFonts w:hint="eastAsia" w:ascii="Calibri" w:hAnsi="Calibri" w:cs="黑体"/>
          <w:b w:val="0"/>
          <w:bCs w:val="0"/>
          <w:szCs w:val="22"/>
          <w:lang w:val="en-US" w:eastAsia="zh-CN"/>
        </w:rPr>
        <w:t xml:space="preserve">  1.2磋商</w:t>
      </w:r>
    </w:p>
    <w:p w14:paraId="55C37029">
      <w:pPr>
        <w:numPr>
          <w:ilvl w:val="0"/>
          <w:numId w:val="0"/>
        </w:numPr>
        <w:spacing w:line="440" w:lineRule="exact"/>
        <w:rPr>
          <w:rFonts w:hint="eastAsia" w:ascii="Calibri" w:hAnsi="Calibri" w:cs="黑体"/>
          <w:b w:val="0"/>
          <w:bCs w:val="0"/>
          <w:szCs w:val="22"/>
          <w:lang w:val="en-US" w:eastAsia="zh-CN"/>
        </w:rPr>
      </w:pPr>
      <w:r>
        <w:rPr>
          <w:rFonts w:hint="eastAsia" w:ascii="Calibri" w:hAnsi="Calibri" w:cs="黑体"/>
          <w:b w:val="0"/>
          <w:bCs w:val="0"/>
          <w:szCs w:val="22"/>
          <w:lang w:val="en-US" w:eastAsia="zh-CN"/>
        </w:rPr>
        <w:t xml:space="preserve">  1.3综合评分</w:t>
      </w:r>
    </w:p>
    <w:p w14:paraId="09ACE24D">
      <w:pPr>
        <w:numPr>
          <w:ilvl w:val="0"/>
          <w:numId w:val="9"/>
        </w:numPr>
        <w:spacing w:line="440" w:lineRule="exact"/>
        <w:ind w:left="0" w:leftChars="0" w:firstLine="0" w:firstLineChars="0"/>
        <w:outlineLvl w:val="1"/>
        <w:rPr>
          <w:rFonts w:hint="eastAsia" w:ascii="Calibri" w:hAnsi="Calibri" w:cs="黑体"/>
          <w:b/>
          <w:bCs/>
          <w:szCs w:val="22"/>
          <w:lang w:val="en-US" w:eastAsia="zh-CN"/>
        </w:rPr>
      </w:pPr>
      <w:r>
        <w:rPr>
          <w:rFonts w:hint="eastAsia" w:ascii="Calibri" w:hAnsi="Calibri" w:cs="黑体"/>
          <w:b/>
          <w:bCs/>
          <w:szCs w:val="22"/>
          <w:lang w:val="en-US" w:eastAsia="zh-CN"/>
        </w:rPr>
        <w:t>确定成交供应商原则</w:t>
      </w:r>
    </w:p>
    <w:p w14:paraId="0E281352">
      <w:pPr>
        <w:numPr>
          <w:ilvl w:val="0"/>
          <w:numId w:val="0"/>
        </w:numPr>
        <w:spacing w:line="440" w:lineRule="exact"/>
        <w:ind w:leftChars="0" w:firstLine="420" w:firstLineChars="200"/>
        <w:rPr>
          <w:rFonts w:hint="eastAsia" w:ascii="Calibri" w:hAnsi="Calibri" w:cs="黑体"/>
          <w:b w:val="0"/>
          <w:bCs w:val="0"/>
          <w:szCs w:val="22"/>
          <w:lang w:val="en-US" w:eastAsia="zh-CN"/>
        </w:rPr>
      </w:pPr>
      <w:r>
        <w:rPr>
          <w:rFonts w:hint="eastAsia" w:ascii="Calibri" w:hAnsi="Calibri" w:cs="黑体"/>
          <w:b w:val="0"/>
          <w:bCs w:val="0"/>
          <w:szCs w:val="22"/>
          <w:lang w:val="en-US" w:eastAsia="zh-CN"/>
        </w:rPr>
        <w:t>响应文件满足磋商文件全部实质性要求且按评审因素的量化指标评审得分最高的供应商为成交供应商。</w:t>
      </w:r>
    </w:p>
    <w:p w14:paraId="04EE10BE">
      <w:pPr>
        <w:numPr>
          <w:ilvl w:val="0"/>
          <w:numId w:val="9"/>
        </w:numPr>
        <w:spacing w:line="440" w:lineRule="exact"/>
        <w:ind w:left="0" w:leftChars="0" w:firstLine="0" w:firstLineChars="0"/>
        <w:outlineLvl w:val="1"/>
        <w:rPr>
          <w:rFonts w:hint="eastAsia" w:ascii="Calibri" w:hAnsi="Calibri" w:cs="黑体"/>
          <w:b/>
          <w:bCs/>
          <w:szCs w:val="22"/>
          <w:lang w:val="en-US" w:eastAsia="zh-CN"/>
        </w:rPr>
      </w:pPr>
      <w:r>
        <w:rPr>
          <w:rFonts w:hint="eastAsia" w:ascii="Calibri" w:hAnsi="Calibri" w:cs="黑体"/>
          <w:b/>
          <w:bCs/>
          <w:szCs w:val="22"/>
          <w:lang w:val="en-US" w:eastAsia="zh-CN"/>
        </w:rPr>
        <w:t>初步评审</w:t>
      </w:r>
    </w:p>
    <w:p w14:paraId="15B34703">
      <w:pPr>
        <w:numPr>
          <w:ilvl w:val="0"/>
          <w:numId w:val="0"/>
        </w:numPr>
        <w:spacing w:line="440" w:lineRule="exact"/>
        <w:ind w:leftChars="0"/>
        <w:outlineLvl w:val="2"/>
        <w:rPr>
          <w:rFonts w:hint="eastAsia" w:ascii="Calibri" w:hAnsi="Calibri" w:cs="黑体"/>
          <w:b w:val="0"/>
          <w:bCs w:val="0"/>
          <w:szCs w:val="22"/>
          <w:lang w:val="en-US" w:eastAsia="zh-CN"/>
        </w:rPr>
      </w:pPr>
      <w:r>
        <w:rPr>
          <w:rFonts w:hint="eastAsia" w:ascii="Calibri" w:hAnsi="Calibri" w:cs="黑体"/>
          <w:b w:val="0"/>
          <w:bCs w:val="0"/>
          <w:szCs w:val="22"/>
          <w:lang w:val="en-US" w:eastAsia="zh-CN"/>
        </w:rPr>
        <w:t xml:space="preserve">  3.1初步评审标准</w:t>
      </w:r>
    </w:p>
    <w:p w14:paraId="5451C105">
      <w:pPr>
        <w:numPr>
          <w:ilvl w:val="0"/>
          <w:numId w:val="0"/>
        </w:numPr>
        <w:spacing w:line="440" w:lineRule="exact"/>
        <w:ind w:leftChars="0"/>
        <w:rPr>
          <w:rFonts w:hint="eastAsia" w:ascii="Calibri" w:hAnsi="Calibri" w:cs="黑体"/>
          <w:b w:val="0"/>
          <w:bCs w:val="0"/>
          <w:szCs w:val="22"/>
          <w:lang w:val="en-US" w:eastAsia="zh-CN"/>
        </w:rPr>
      </w:pPr>
      <w:r>
        <w:rPr>
          <w:rFonts w:hint="eastAsia" w:ascii="Calibri" w:hAnsi="Calibri" w:cs="黑体"/>
          <w:b w:val="0"/>
          <w:bCs w:val="0"/>
          <w:szCs w:val="22"/>
          <w:lang w:val="en-US" w:eastAsia="zh-CN"/>
        </w:rPr>
        <w:t xml:space="preserve">  3.1.1资格评审标准：见磋商程序及办法前附表</w:t>
      </w:r>
    </w:p>
    <w:p w14:paraId="4F5BB2E2">
      <w:pPr>
        <w:numPr>
          <w:ilvl w:val="0"/>
          <w:numId w:val="0"/>
        </w:numPr>
        <w:spacing w:line="440" w:lineRule="exact"/>
        <w:ind w:leftChars="0"/>
        <w:rPr>
          <w:rFonts w:hint="eastAsia" w:ascii="Calibri" w:hAnsi="Calibri" w:cs="黑体"/>
          <w:b w:val="0"/>
          <w:bCs w:val="0"/>
          <w:szCs w:val="22"/>
          <w:lang w:val="en-US" w:eastAsia="zh-CN"/>
        </w:rPr>
      </w:pPr>
      <w:r>
        <w:rPr>
          <w:rFonts w:hint="eastAsia" w:ascii="Calibri" w:hAnsi="Calibri" w:cs="黑体"/>
          <w:b w:val="0"/>
          <w:bCs w:val="0"/>
          <w:szCs w:val="22"/>
          <w:lang w:val="en-US" w:eastAsia="zh-CN"/>
        </w:rPr>
        <w:t xml:space="preserve">  3.1.2符合性评审标准：见磋商程序及办法前附表</w:t>
      </w:r>
    </w:p>
    <w:p w14:paraId="1AEEA3D1">
      <w:pPr>
        <w:numPr>
          <w:ilvl w:val="0"/>
          <w:numId w:val="0"/>
        </w:numPr>
        <w:spacing w:line="440" w:lineRule="exact"/>
        <w:ind w:leftChars="0"/>
        <w:rPr>
          <w:rFonts w:hint="eastAsia" w:ascii="Calibri" w:hAnsi="Calibri" w:cs="黑体"/>
          <w:b/>
          <w:bCs/>
          <w:szCs w:val="22"/>
          <w:lang w:val="en-US" w:eastAsia="zh-CN"/>
        </w:rPr>
      </w:pPr>
      <w:r>
        <w:rPr>
          <w:rFonts w:hint="eastAsia" w:ascii="Calibri" w:hAnsi="Calibri" w:cs="黑体"/>
          <w:b w:val="0"/>
          <w:bCs w:val="0"/>
          <w:szCs w:val="22"/>
          <w:lang w:val="en-US" w:eastAsia="zh-CN"/>
        </w:rPr>
        <w:t xml:space="preserve">  3.2磋商小组依据规定的标准对磋商响应文件进行初步评审，</w:t>
      </w:r>
      <w:r>
        <w:rPr>
          <w:rFonts w:hint="eastAsia" w:ascii="Calibri" w:hAnsi="Calibri" w:cs="黑体"/>
          <w:b/>
          <w:bCs/>
          <w:szCs w:val="22"/>
          <w:lang w:val="en-US" w:eastAsia="zh-CN"/>
        </w:rPr>
        <w:t>有一项不符合评审标准的，作废标处理。</w:t>
      </w:r>
    </w:p>
    <w:p w14:paraId="02858777">
      <w:pPr>
        <w:numPr>
          <w:ilvl w:val="0"/>
          <w:numId w:val="0"/>
        </w:numPr>
        <w:spacing w:line="440" w:lineRule="exact"/>
        <w:ind w:leftChars="0" w:firstLine="210" w:firstLineChars="100"/>
        <w:outlineLvl w:val="2"/>
        <w:rPr>
          <w:rFonts w:hint="eastAsia" w:ascii="Calibri" w:hAnsi="Calibri" w:cs="黑体"/>
          <w:b/>
          <w:bCs/>
          <w:szCs w:val="22"/>
          <w:lang w:val="en-US" w:eastAsia="zh-CN"/>
        </w:rPr>
      </w:pPr>
      <w:r>
        <w:rPr>
          <w:rFonts w:hint="eastAsia" w:ascii="Calibri" w:hAnsi="Calibri" w:cs="黑体"/>
          <w:b/>
          <w:bCs/>
          <w:szCs w:val="22"/>
          <w:lang w:val="en-US" w:eastAsia="zh-CN"/>
        </w:rPr>
        <w:t>3.3供应商有以下情形之一的，其磋商响应文件作废标处理：</w:t>
      </w:r>
    </w:p>
    <w:p w14:paraId="10141E88">
      <w:pPr>
        <w:numPr>
          <w:ilvl w:val="0"/>
          <w:numId w:val="10"/>
        </w:numPr>
        <w:spacing w:line="440" w:lineRule="exact"/>
        <w:ind w:leftChars="0" w:firstLine="210" w:firstLineChars="100"/>
        <w:rPr>
          <w:rFonts w:hint="eastAsia" w:ascii="Calibri" w:hAnsi="Calibri" w:cs="黑体"/>
          <w:b w:val="0"/>
          <w:bCs w:val="0"/>
          <w:szCs w:val="22"/>
          <w:lang w:val="en-US" w:eastAsia="zh-CN"/>
        </w:rPr>
      </w:pPr>
      <w:r>
        <w:rPr>
          <w:rFonts w:hint="eastAsia" w:ascii="Calibri" w:hAnsi="Calibri" w:cs="黑体"/>
          <w:b w:val="0"/>
          <w:bCs w:val="0"/>
          <w:szCs w:val="22"/>
          <w:lang w:val="en-US" w:eastAsia="zh-CN"/>
        </w:rPr>
        <w:t>串通投标或弄虚作假或有其他违法行为的；</w:t>
      </w:r>
    </w:p>
    <w:p w14:paraId="551A6CEE">
      <w:pPr>
        <w:numPr>
          <w:ilvl w:val="0"/>
          <w:numId w:val="10"/>
        </w:numPr>
        <w:spacing w:line="440" w:lineRule="exact"/>
        <w:ind w:leftChars="0" w:firstLine="210" w:firstLineChars="100"/>
        <w:rPr>
          <w:rFonts w:hint="default" w:ascii="Calibri" w:hAnsi="Calibri" w:cs="黑体"/>
          <w:b w:val="0"/>
          <w:bCs w:val="0"/>
          <w:szCs w:val="22"/>
          <w:lang w:val="en-US" w:eastAsia="zh-CN"/>
        </w:rPr>
      </w:pPr>
      <w:r>
        <w:rPr>
          <w:rFonts w:hint="eastAsia" w:ascii="Calibri" w:hAnsi="Calibri" w:cs="黑体"/>
          <w:b w:val="0"/>
          <w:bCs w:val="0"/>
          <w:szCs w:val="22"/>
          <w:lang w:val="en-US" w:eastAsia="zh-CN"/>
        </w:rPr>
        <w:t>不按磋商小组要求澄清、说明或补正的。</w:t>
      </w:r>
    </w:p>
    <w:p w14:paraId="2CC334AC">
      <w:pPr>
        <w:numPr>
          <w:ilvl w:val="0"/>
          <w:numId w:val="10"/>
        </w:numPr>
        <w:spacing w:line="440" w:lineRule="exact"/>
        <w:ind w:leftChars="0" w:firstLine="210" w:firstLineChars="100"/>
        <w:rPr>
          <w:rFonts w:hint="eastAsia" w:ascii="Calibri" w:hAnsi="Calibri" w:cs="黑体"/>
          <w:b w:val="0"/>
          <w:bCs w:val="0"/>
          <w:szCs w:val="22"/>
          <w:lang w:val="en-US" w:eastAsia="zh-CN"/>
        </w:rPr>
      </w:pPr>
      <w:r>
        <w:rPr>
          <w:rFonts w:hint="eastAsia" w:ascii="Calibri" w:hAnsi="Calibri" w:cs="黑体"/>
          <w:b w:val="0"/>
          <w:bCs w:val="0"/>
          <w:szCs w:val="22"/>
          <w:lang w:val="en-US" w:eastAsia="zh-CN"/>
        </w:rPr>
        <w:t>如果发现报价超过采购预算、报价文件出现其他错误情形的。</w:t>
      </w:r>
    </w:p>
    <w:p w14:paraId="44D214F9">
      <w:pPr>
        <w:numPr>
          <w:ilvl w:val="0"/>
          <w:numId w:val="10"/>
        </w:numPr>
        <w:spacing w:line="440" w:lineRule="exact"/>
        <w:ind w:leftChars="0" w:firstLine="210" w:firstLineChars="100"/>
        <w:rPr>
          <w:rFonts w:hint="default" w:ascii="Calibri" w:hAnsi="Calibri" w:cs="黑体"/>
          <w:b w:val="0"/>
          <w:bCs w:val="0"/>
          <w:szCs w:val="22"/>
          <w:lang w:val="en-US" w:eastAsia="zh-CN"/>
        </w:rPr>
      </w:pPr>
      <w:r>
        <w:rPr>
          <w:rFonts w:hint="eastAsia" w:ascii="Calibri" w:hAnsi="Calibri" w:cs="黑体"/>
          <w:b w:val="0"/>
          <w:bCs w:val="0"/>
          <w:szCs w:val="22"/>
          <w:lang w:val="en-US" w:eastAsia="zh-CN"/>
        </w:rPr>
        <w:t>二次报价高于一次报价或未进行二次报价的。</w:t>
      </w:r>
    </w:p>
    <w:p w14:paraId="4306E75B">
      <w:pPr>
        <w:numPr>
          <w:ilvl w:val="0"/>
          <w:numId w:val="0"/>
        </w:numPr>
        <w:spacing w:line="440" w:lineRule="exact"/>
        <w:ind w:leftChars="100"/>
        <w:rPr>
          <w:rFonts w:hint="eastAsia" w:ascii="Calibri" w:hAnsi="Calibri" w:cs="黑体"/>
          <w:b w:val="0"/>
          <w:bCs w:val="0"/>
          <w:szCs w:val="22"/>
          <w:lang w:val="en-US" w:eastAsia="zh-CN"/>
        </w:rPr>
      </w:pPr>
      <w:r>
        <w:rPr>
          <w:rFonts w:hint="eastAsia" w:ascii="Calibri" w:hAnsi="Calibri" w:cs="黑体"/>
          <w:b w:val="0"/>
          <w:bCs w:val="0"/>
          <w:szCs w:val="22"/>
          <w:lang w:val="en-US" w:eastAsia="zh-CN"/>
        </w:rPr>
        <w:t>3.4磋商小组在对响应文件的有效性、完整性和响应成都进行审查时，可以要求供应商对响应 文件中含义不明确、同类问题表述不一致或者有明显文件和计算错误的内容等做出必要的澄清、说明或者更正。供应商的澄清、说明或者更正不得超出响应文件的范围或者该表响应文件的实质性内容</w:t>
      </w:r>
    </w:p>
    <w:p w14:paraId="0F04604E">
      <w:pPr>
        <w:numPr>
          <w:ilvl w:val="0"/>
          <w:numId w:val="0"/>
        </w:numPr>
        <w:spacing w:line="440" w:lineRule="exact"/>
        <w:ind w:leftChars="100"/>
        <w:rPr>
          <w:rFonts w:hint="eastAsia" w:ascii="Calibri" w:hAnsi="Calibri" w:cs="黑体"/>
          <w:b w:val="0"/>
          <w:bCs w:val="0"/>
          <w:szCs w:val="22"/>
          <w:lang w:val="en-US" w:eastAsia="zh-CN"/>
        </w:rPr>
      </w:pPr>
      <w:r>
        <w:rPr>
          <w:rFonts w:hint="eastAsia" w:ascii="Calibri" w:hAnsi="Calibri" w:cs="黑体"/>
          <w:b w:val="0"/>
          <w:bCs w:val="0"/>
          <w:szCs w:val="22"/>
          <w:lang w:val="en-US" w:eastAsia="zh-CN"/>
        </w:rPr>
        <w:t>磋商小组要求供应商澄清、说明或者更正响应文件应以评审系统在线提出。供应商的澄清、说 明或者更正应当有法人或其授权人签字或加盖公章</w:t>
      </w:r>
    </w:p>
    <w:p w14:paraId="7E36B32C">
      <w:pPr>
        <w:numPr>
          <w:ilvl w:val="0"/>
          <w:numId w:val="0"/>
        </w:numPr>
        <w:spacing w:line="440" w:lineRule="exact"/>
        <w:ind w:leftChars="100"/>
        <w:rPr>
          <w:rFonts w:hint="eastAsia" w:ascii="Calibri" w:hAnsi="Calibri" w:cs="黑体"/>
          <w:b w:val="0"/>
          <w:bCs w:val="0"/>
          <w:szCs w:val="22"/>
          <w:lang w:val="en-US" w:eastAsia="zh-CN"/>
        </w:rPr>
      </w:pPr>
      <w:r>
        <w:rPr>
          <w:rFonts w:hint="eastAsia" w:ascii="Calibri" w:hAnsi="Calibri" w:cs="黑体"/>
          <w:b w:val="0"/>
          <w:bCs w:val="0"/>
          <w:szCs w:val="22"/>
          <w:lang w:val="en-US" w:eastAsia="zh-CN"/>
        </w:rPr>
        <w:t>3.5磋商报价有算术错误的，磋商小组按以下原则对磋商报价进行修正，修正的价格经供应商 确认后具有约束力。供应商不接受修正价格的，其磋商响应文件作废标处理。</w:t>
      </w:r>
    </w:p>
    <w:p w14:paraId="1DF8CDF3">
      <w:pPr>
        <w:numPr>
          <w:ilvl w:val="0"/>
          <w:numId w:val="11"/>
        </w:numPr>
        <w:spacing w:line="440" w:lineRule="exact"/>
        <w:ind w:leftChars="100"/>
        <w:rPr>
          <w:rFonts w:hint="eastAsia" w:ascii="Calibri" w:hAnsi="Calibri" w:cs="黑体"/>
          <w:b w:val="0"/>
          <w:bCs w:val="0"/>
          <w:szCs w:val="22"/>
          <w:lang w:val="en-US" w:eastAsia="zh-CN"/>
        </w:rPr>
      </w:pPr>
      <w:r>
        <w:rPr>
          <w:rFonts w:hint="eastAsia" w:ascii="Calibri" w:hAnsi="Calibri" w:cs="黑体"/>
          <w:b w:val="0"/>
          <w:bCs w:val="0"/>
          <w:szCs w:val="22"/>
          <w:lang w:val="en-US" w:eastAsia="zh-CN"/>
        </w:rPr>
        <w:t>磋商响应文件中的大写金额与小写金额不一致的，以大写金额为准。</w:t>
      </w:r>
    </w:p>
    <w:p w14:paraId="53F5699B">
      <w:pPr>
        <w:numPr>
          <w:ilvl w:val="0"/>
          <w:numId w:val="11"/>
        </w:numPr>
        <w:spacing w:line="440" w:lineRule="exact"/>
        <w:ind w:leftChars="100"/>
        <w:rPr>
          <w:rFonts w:hint="default" w:ascii="Calibri" w:hAnsi="Calibri" w:cs="黑体"/>
          <w:b w:val="0"/>
          <w:bCs w:val="0"/>
          <w:szCs w:val="22"/>
          <w:lang w:val="en-US" w:eastAsia="zh-CN"/>
        </w:rPr>
      </w:pPr>
      <w:r>
        <w:rPr>
          <w:rFonts w:hint="eastAsia" w:ascii="Calibri" w:hAnsi="Calibri" w:cs="黑体"/>
          <w:b w:val="0"/>
          <w:bCs w:val="0"/>
          <w:szCs w:val="22"/>
          <w:lang w:val="en-US" w:eastAsia="zh-CN"/>
        </w:rPr>
        <w:t>总价金额与依据单价计算出的结果不一致的，以单价金额为准修正总价，但单价金额小数点有明显错误的除外。</w:t>
      </w:r>
    </w:p>
    <w:p w14:paraId="493DAD56">
      <w:pPr>
        <w:numPr>
          <w:ilvl w:val="0"/>
          <w:numId w:val="9"/>
        </w:numPr>
        <w:spacing w:line="440" w:lineRule="exact"/>
        <w:ind w:left="0" w:leftChars="0" w:firstLine="0" w:firstLineChars="0"/>
        <w:outlineLvl w:val="1"/>
        <w:rPr>
          <w:rFonts w:hint="eastAsia" w:ascii="Calibri" w:hAnsi="Calibri" w:cs="黑体"/>
          <w:b w:val="0"/>
          <w:bCs w:val="0"/>
          <w:szCs w:val="22"/>
          <w:lang w:val="en-US" w:eastAsia="zh-CN"/>
        </w:rPr>
      </w:pPr>
      <w:r>
        <w:rPr>
          <w:rFonts w:hint="eastAsia" w:ascii="Calibri" w:hAnsi="Calibri" w:cs="黑体"/>
          <w:b w:val="0"/>
          <w:bCs w:val="0"/>
          <w:szCs w:val="22"/>
          <w:lang w:val="en-US" w:eastAsia="zh-CN"/>
        </w:rPr>
        <w:t>磋商</w:t>
      </w:r>
    </w:p>
    <w:p w14:paraId="3957DF75">
      <w:pPr>
        <w:numPr>
          <w:ilvl w:val="0"/>
          <w:numId w:val="0"/>
        </w:numPr>
        <w:spacing w:line="440" w:lineRule="exact"/>
        <w:ind w:leftChars="0"/>
        <w:rPr>
          <w:rFonts w:hint="eastAsia" w:ascii="Calibri" w:hAnsi="Calibri" w:cs="黑体"/>
          <w:b w:val="0"/>
          <w:bCs w:val="0"/>
          <w:szCs w:val="22"/>
          <w:lang w:val="en-US" w:eastAsia="zh-CN"/>
        </w:rPr>
      </w:pPr>
      <w:r>
        <w:rPr>
          <w:rFonts w:hint="eastAsia" w:ascii="Calibri" w:hAnsi="Calibri" w:cs="黑体"/>
          <w:b w:val="0"/>
          <w:bCs w:val="0"/>
          <w:szCs w:val="22"/>
          <w:lang w:val="en-US" w:eastAsia="zh-CN"/>
        </w:rPr>
        <w:t xml:space="preserve">  4.1磋商小组所有成员应当集中与通过初步评审的单一供应商分别进行磋商，并给与所有通过初步评审的供应商平等的磋商机会。</w:t>
      </w:r>
    </w:p>
    <w:p w14:paraId="12CE612A">
      <w:pPr>
        <w:numPr>
          <w:ilvl w:val="0"/>
          <w:numId w:val="0"/>
        </w:numPr>
        <w:spacing w:line="440" w:lineRule="exact"/>
        <w:ind w:leftChars="0"/>
        <w:rPr>
          <w:rFonts w:hint="eastAsia" w:ascii="Calibri" w:hAnsi="Calibri" w:cs="黑体"/>
          <w:b w:val="0"/>
          <w:bCs w:val="0"/>
          <w:szCs w:val="22"/>
          <w:lang w:val="en-US" w:eastAsia="zh-CN"/>
        </w:rPr>
      </w:pPr>
      <w:r>
        <w:rPr>
          <w:rFonts w:hint="eastAsia" w:ascii="Calibri" w:hAnsi="Calibri" w:cs="黑体"/>
          <w:b w:val="0"/>
          <w:bCs w:val="0"/>
          <w:szCs w:val="22"/>
          <w:lang w:val="en-US" w:eastAsia="zh-CN"/>
        </w:rPr>
        <w:t xml:space="preserve">  </w:t>
      </w:r>
      <w:r>
        <w:rPr>
          <w:rFonts w:hint="eastAsia" w:ascii="Calibri" w:hAnsi="Calibri" w:cs="黑体"/>
          <w:b/>
          <w:bCs/>
          <w:szCs w:val="22"/>
          <w:lang w:val="en-US" w:eastAsia="zh-CN"/>
        </w:rPr>
        <w:t>4.2磋商结束后，磋商小组要求所有通过初步评审的供应商在规定时间内提交最后报价，最后报价必须在磋商小组要求的时间内以交易中心系统上传的形式提交，不得以口头形式报价。最后报价是供应商响应文件的有效组成部分。</w:t>
      </w:r>
    </w:p>
    <w:p w14:paraId="05EB6118">
      <w:pPr>
        <w:numPr>
          <w:ilvl w:val="0"/>
          <w:numId w:val="9"/>
        </w:numPr>
        <w:spacing w:line="440" w:lineRule="exact"/>
        <w:ind w:left="0" w:leftChars="0" w:firstLine="0" w:firstLineChars="0"/>
        <w:outlineLvl w:val="1"/>
        <w:rPr>
          <w:rFonts w:hint="eastAsia" w:ascii="Calibri" w:hAnsi="Calibri" w:cs="黑体"/>
          <w:b w:val="0"/>
          <w:bCs w:val="0"/>
          <w:szCs w:val="22"/>
          <w:lang w:val="en-US" w:eastAsia="zh-CN"/>
        </w:rPr>
      </w:pPr>
      <w:r>
        <w:rPr>
          <w:rFonts w:hint="eastAsia" w:ascii="Calibri" w:hAnsi="Calibri" w:cs="黑体"/>
          <w:b w:val="0"/>
          <w:bCs w:val="0"/>
          <w:szCs w:val="22"/>
          <w:lang w:val="en-US" w:eastAsia="zh-CN"/>
        </w:rPr>
        <w:t>综合评分</w:t>
      </w:r>
    </w:p>
    <w:p w14:paraId="40D87984">
      <w:pPr>
        <w:numPr>
          <w:ilvl w:val="0"/>
          <w:numId w:val="0"/>
        </w:numPr>
        <w:spacing w:line="440" w:lineRule="exact"/>
        <w:ind w:leftChars="0" w:firstLine="420" w:firstLineChars="200"/>
        <w:rPr>
          <w:rFonts w:hint="eastAsia" w:ascii="Calibri" w:hAnsi="Calibri" w:cs="黑体"/>
          <w:b w:val="0"/>
          <w:bCs w:val="0"/>
          <w:szCs w:val="22"/>
          <w:lang w:val="en-US" w:eastAsia="zh-CN"/>
        </w:rPr>
      </w:pPr>
      <w:r>
        <w:rPr>
          <w:rFonts w:hint="eastAsia" w:ascii="Calibri" w:hAnsi="Calibri" w:cs="黑体"/>
          <w:b w:val="0"/>
          <w:bCs w:val="0"/>
          <w:szCs w:val="22"/>
          <w:lang w:val="en-US" w:eastAsia="zh-CN"/>
        </w:rPr>
        <w:t>经磋商确定提交最后报价的供应商后，由磋商小组采用综合评分法对提交最后报价的供应商的 响应文件和最后报价进行综合评分。综合评分办法见磋商程序及办法前附表。</w:t>
      </w:r>
    </w:p>
    <w:p w14:paraId="62D51927">
      <w:pPr>
        <w:numPr>
          <w:ilvl w:val="0"/>
          <w:numId w:val="0"/>
        </w:numPr>
        <w:spacing w:line="440" w:lineRule="exact"/>
        <w:outlineLvl w:val="2"/>
        <w:rPr>
          <w:rFonts w:hint="eastAsia" w:ascii="Calibri" w:hAnsi="Calibri" w:cs="黑体"/>
          <w:b w:val="0"/>
          <w:bCs w:val="0"/>
          <w:szCs w:val="22"/>
          <w:lang w:val="en-US" w:eastAsia="zh-CN"/>
        </w:rPr>
      </w:pPr>
      <w:r>
        <w:rPr>
          <w:rFonts w:hint="eastAsia" w:ascii="Calibri" w:hAnsi="Calibri" w:cs="黑体"/>
          <w:b w:val="0"/>
          <w:bCs w:val="0"/>
          <w:szCs w:val="22"/>
          <w:lang w:val="en-US" w:eastAsia="zh-CN"/>
        </w:rPr>
        <w:t xml:space="preserve">  5.1分值构成</w:t>
      </w:r>
    </w:p>
    <w:p w14:paraId="3D3E6304">
      <w:pPr>
        <w:numPr>
          <w:ilvl w:val="0"/>
          <w:numId w:val="0"/>
        </w:numPr>
        <w:spacing w:line="440" w:lineRule="exact"/>
        <w:rPr>
          <w:rFonts w:hint="eastAsia" w:ascii="Calibri" w:hAnsi="Calibri" w:cs="黑体"/>
          <w:b w:val="0"/>
          <w:bCs w:val="0"/>
          <w:szCs w:val="22"/>
          <w:lang w:val="en-US" w:eastAsia="zh-CN"/>
        </w:rPr>
      </w:pPr>
      <w:r>
        <w:rPr>
          <w:rFonts w:hint="eastAsia" w:ascii="Calibri" w:hAnsi="Calibri" w:cs="黑体"/>
          <w:b w:val="0"/>
          <w:bCs w:val="0"/>
          <w:szCs w:val="22"/>
          <w:lang w:val="en-US" w:eastAsia="zh-CN"/>
        </w:rPr>
        <w:t xml:space="preserve">  分值构成：见磋商程序及办法前附表。</w:t>
      </w:r>
    </w:p>
    <w:p w14:paraId="719FD3FE">
      <w:pPr>
        <w:numPr>
          <w:ilvl w:val="0"/>
          <w:numId w:val="0"/>
        </w:numPr>
        <w:spacing w:line="440" w:lineRule="exact"/>
        <w:outlineLvl w:val="2"/>
        <w:rPr>
          <w:rFonts w:hint="eastAsia" w:ascii="Calibri" w:hAnsi="Calibri" w:cs="黑体"/>
          <w:b w:val="0"/>
          <w:bCs w:val="0"/>
          <w:szCs w:val="22"/>
          <w:lang w:val="en-US" w:eastAsia="zh-CN"/>
        </w:rPr>
      </w:pPr>
      <w:r>
        <w:rPr>
          <w:rFonts w:hint="eastAsia" w:ascii="Calibri" w:hAnsi="Calibri" w:cs="黑体"/>
          <w:b w:val="0"/>
          <w:bCs w:val="0"/>
          <w:szCs w:val="22"/>
          <w:lang w:val="en-US" w:eastAsia="zh-CN"/>
        </w:rPr>
        <w:t xml:space="preserve">  5.2磋商基准价</w:t>
      </w:r>
    </w:p>
    <w:p w14:paraId="263B1DE0">
      <w:pPr>
        <w:numPr>
          <w:ilvl w:val="0"/>
          <w:numId w:val="0"/>
        </w:numPr>
        <w:spacing w:line="440" w:lineRule="exact"/>
        <w:ind w:firstLine="210" w:firstLineChars="100"/>
        <w:rPr>
          <w:rFonts w:hint="eastAsia" w:ascii="Calibri" w:hAnsi="Calibri" w:cs="黑体"/>
          <w:b w:val="0"/>
          <w:bCs w:val="0"/>
          <w:szCs w:val="22"/>
          <w:lang w:val="en-US" w:eastAsia="zh-CN"/>
        </w:rPr>
      </w:pPr>
      <w:r>
        <w:rPr>
          <w:rFonts w:hint="eastAsia" w:ascii="Calibri" w:hAnsi="Calibri" w:cs="黑体"/>
          <w:b w:val="0"/>
          <w:bCs w:val="0"/>
          <w:szCs w:val="22"/>
          <w:lang w:val="en-US" w:eastAsia="zh-CN"/>
        </w:rPr>
        <w:t>磋商基准价：见磋商程序及办法前附表。</w:t>
      </w:r>
    </w:p>
    <w:p w14:paraId="112827D8">
      <w:pPr>
        <w:numPr>
          <w:ilvl w:val="0"/>
          <w:numId w:val="0"/>
        </w:numPr>
        <w:spacing w:line="440" w:lineRule="exact"/>
        <w:ind w:left="210" w:leftChars="100" w:firstLine="0" w:firstLineChars="0"/>
        <w:outlineLvl w:val="2"/>
        <w:rPr>
          <w:rFonts w:hint="eastAsia" w:ascii="Calibri" w:hAnsi="Calibri" w:cs="黑体"/>
          <w:b w:val="0"/>
          <w:bCs w:val="0"/>
          <w:szCs w:val="22"/>
          <w:lang w:val="en-US" w:eastAsia="zh-CN"/>
        </w:rPr>
      </w:pPr>
      <w:r>
        <w:rPr>
          <w:rFonts w:hint="eastAsia" w:ascii="Calibri" w:hAnsi="Calibri" w:cs="黑体"/>
          <w:b w:val="0"/>
          <w:bCs w:val="0"/>
          <w:szCs w:val="22"/>
          <w:lang w:val="en-US" w:eastAsia="zh-CN"/>
        </w:rPr>
        <w:t>5.3评分标准</w:t>
      </w:r>
    </w:p>
    <w:p w14:paraId="2502ABA4">
      <w:pPr>
        <w:numPr>
          <w:ilvl w:val="0"/>
          <w:numId w:val="0"/>
        </w:numPr>
        <w:spacing w:line="440" w:lineRule="exact"/>
        <w:ind w:left="210" w:leftChars="100" w:firstLine="0" w:firstLineChars="0"/>
        <w:rPr>
          <w:rFonts w:hint="eastAsia" w:ascii="Calibri" w:hAnsi="Calibri" w:cs="黑体"/>
          <w:b w:val="0"/>
          <w:bCs w:val="0"/>
          <w:szCs w:val="22"/>
          <w:lang w:val="en-US" w:eastAsia="zh-CN"/>
        </w:rPr>
      </w:pPr>
      <w:r>
        <w:rPr>
          <w:rFonts w:hint="eastAsia" w:ascii="Calibri" w:hAnsi="Calibri" w:cs="黑体"/>
          <w:b w:val="0"/>
          <w:bCs w:val="0"/>
          <w:szCs w:val="22"/>
          <w:lang w:val="en-US" w:eastAsia="zh-CN"/>
        </w:rPr>
        <w:t>评分标准：见磋商程序及办法前附表。</w:t>
      </w:r>
    </w:p>
    <w:p w14:paraId="481C6C2D">
      <w:pPr>
        <w:numPr>
          <w:ilvl w:val="0"/>
          <w:numId w:val="9"/>
        </w:numPr>
        <w:spacing w:line="440" w:lineRule="exact"/>
        <w:ind w:left="0" w:leftChars="0" w:firstLine="0" w:firstLineChars="0"/>
        <w:outlineLvl w:val="1"/>
        <w:rPr>
          <w:rFonts w:hint="eastAsia" w:ascii="Calibri" w:hAnsi="Calibri" w:cs="黑体"/>
          <w:b/>
          <w:bCs/>
          <w:szCs w:val="22"/>
          <w:lang w:val="en-US" w:eastAsia="zh-CN"/>
        </w:rPr>
      </w:pPr>
      <w:r>
        <w:rPr>
          <w:rFonts w:hint="eastAsia" w:ascii="Calibri" w:hAnsi="Calibri" w:cs="黑体"/>
          <w:b/>
          <w:bCs/>
          <w:szCs w:val="22"/>
          <w:lang w:val="en-US" w:eastAsia="zh-CN"/>
        </w:rPr>
        <w:t>磋商结果</w:t>
      </w:r>
    </w:p>
    <w:p w14:paraId="49E63AF1">
      <w:pPr>
        <w:numPr>
          <w:ilvl w:val="0"/>
          <w:numId w:val="0"/>
        </w:numPr>
        <w:spacing w:line="440" w:lineRule="exact"/>
        <w:ind w:leftChars="0" w:firstLine="420" w:firstLineChars="200"/>
        <w:rPr>
          <w:rFonts w:hint="eastAsia" w:ascii="Calibri" w:hAnsi="Calibri" w:cs="黑体"/>
          <w:b w:val="0"/>
          <w:bCs w:val="0"/>
          <w:szCs w:val="22"/>
          <w:lang w:val="en-US" w:eastAsia="zh-CN"/>
        </w:rPr>
      </w:pPr>
      <w:r>
        <w:rPr>
          <w:rFonts w:hint="default" w:ascii="Calibri" w:hAnsi="Calibri" w:cs="黑体"/>
          <w:b w:val="0"/>
          <w:bCs w:val="0"/>
          <w:szCs w:val="22"/>
          <w:lang w:val="en-US" w:eastAsia="zh-CN"/>
        </w:rPr>
        <w:t>磋商结束后，磋商小组编写评审报告，根据综合评分情况，按照评审得分由高到低的顺序向采 购人推荐候选成交供应商</w:t>
      </w:r>
      <w:r>
        <w:rPr>
          <w:rFonts w:hint="eastAsia" w:ascii="Calibri" w:hAnsi="Calibri" w:cs="黑体"/>
          <w:b w:val="0"/>
          <w:bCs w:val="0"/>
          <w:szCs w:val="22"/>
          <w:lang w:val="en-US" w:eastAsia="zh-CN"/>
        </w:rPr>
        <w:t>。</w:t>
      </w:r>
    </w:p>
    <w:p w14:paraId="682C2287">
      <w:pPr>
        <w:ind w:firstLine="420" w:firstLineChars="200"/>
        <w:rPr>
          <w:rFonts w:hint="eastAsia" w:ascii="Calibri" w:hAnsi="Calibri" w:cs="黑体"/>
          <w:b w:val="0"/>
          <w:bCs w:val="0"/>
          <w:szCs w:val="22"/>
          <w:lang w:val="en-US" w:eastAsia="zh-CN"/>
        </w:rPr>
      </w:pPr>
      <w:r>
        <w:rPr>
          <w:rFonts w:hint="default" w:ascii="Calibri" w:hAnsi="Calibri" w:cs="黑体"/>
          <w:b w:val="0"/>
          <w:bCs w:val="0"/>
          <w:szCs w:val="22"/>
          <w:lang w:val="en-US" w:eastAsia="zh-CN"/>
        </w:rPr>
        <w:t>评审报告应当由磋商小组全体人员签字认可。磋商小组成员对评审报告有异议的，磋商小组按 照少数服从多数的原则推荐成交候选供应商，采购程序继续进行。对评审报告有异议的磋商小组成 员，应当在报告上签署不同意见并说明理由，由磋商小组记录相关情况。磋商小组成员拒绝在报告 上签字又不说明其不同意见和理由的，视为同意评审报告</w:t>
      </w:r>
      <w:r>
        <w:rPr>
          <w:rFonts w:hint="eastAsia" w:ascii="Calibri" w:hAnsi="Calibri" w:cs="黑体"/>
          <w:b w:val="0"/>
          <w:bCs w:val="0"/>
          <w:szCs w:val="22"/>
          <w:lang w:val="en-US" w:eastAsia="zh-CN"/>
        </w:rPr>
        <w:t>。</w:t>
      </w:r>
    </w:p>
    <w:p w14:paraId="07204B08">
      <w:pPr>
        <w:rPr>
          <w:rFonts w:hint="eastAsia" w:ascii="Calibri" w:hAnsi="Calibri" w:cs="黑体"/>
          <w:b w:val="0"/>
          <w:bCs w:val="0"/>
          <w:szCs w:val="22"/>
          <w:lang w:val="en-US" w:eastAsia="zh-CN"/>
        </w:rPr>
      </w:pPr>
      <w:r>
        <w:rPr>
          <w:rFonts w:hint="eastAsia" w:ascii="Calibri" w:hAnsi="Calibri" w:cs="黑体"/>
          <w:b w:val="0"/>
          <w:bCs w:val="0"/>
          <w:szCs w:val="22"/>
          <w:lang w:val="en-US" w:eastAsia="zh-CN"/>
        </w:rPr>
        <w:br w:type="page"/>
      </w:r>
    </w:p>
    <w:p w14:paraId="208F80EF">
      <w:pPr>
        <w:rPr>
          <w:rFonts w:hint="eastAsia"/>
          <w:szCs w:val="21"/>
        </w:rPr>
      </w:pPr>
      <w:r>
        <w:rPr>
          <w:rFonts w:hint="eastAsia" w:ascii="宋体" w:hAnsi="宋体" w:cs="黑体"/>
          <w:kern w:val="0"/>
          <w:szCs w:val="21"/>
        </w:rPr>
        <w:t>附件：</w:t>
      </w:r>
    </w:p>
    <w:p w14:paraId="2B5006D5">
      <w:pPr>
        <w:rPr>
          <w:rFonts w:hint="eastAsia"/>
          <w:sz w:val="24"/>
        </w:rPr>
      </w:pPr>
    </w:p>
    <w:p w14:paraId="3094D78B">
      <w:pPr>
        <w:jc w:val="center"/>
        <w:outlineLvl w:val="0"/>
        <w:rPr>
          <w:rFonts w:hint="eastAsia"/>
          <w:b/>
          <w:sz w:val="28"/>
          <w:szCs w:val="28"/>
        </w:rPr>
      </w:pPr>
      <w:bookmarkStart w:id="606" w:name="_Toc18085"/>
      <w:r>
        <w:rPr>
          <w:rFonts w:hint="eastAsia"/>
          <w:b/>
          <w:sz w:val="28"/>
          <w:szCs w:val="28"/>
        </w:rPr>
        <w:t>第二轮报价函（格式）</w:t>
      </w:r>
      <w:bookmarkEnd w:id="606"/>
    </w:p>
    <w:p w14:paraId="510236FD">
      <w:pPr>
        <w:rPr>
          <w:rFonts w:hint="eastAsia"/>
          <w:sz w:val="24"/>
        </w:rPr>
      </w:pPr>
      <w:r>
        <w:rPr>
          <w:rFonts w:hint="eastAsia"/>
          <w:sz w:val="24"/>
        </w:rPr>
        <w:t xml:space="preserve"> </w:t>
      </w:r>
    </w:p>
    <w:p w14:paraId="5E6501EE">
      <w:pPr>
        <w:pStyle w:val="23"/>
        <w:spacing w:line="500" w:lineRule="exact"/>
        <w:ind w:left="1" w:leftChars="0" w:firstLine="420" w:firstLineChars="200"/>
        <w:rPr>
          <w:rFonts w:hint="eastAsia" w:ascii="宋体" w:hAnsi="宋体"/>
          <w:szCs w:val="21"/>
        </w:rPr>
      </w:pPr>
      <w:r>
        <w:rPr>
          <w:rFonts w:hint="eastAsia" w:ascii="宋体" w:hAnsi="宋体"/>
          <w:szCs w:val="21"/>
        </w:rPr>
        <w:t>致 ：</w:t>
      </w:r>
      <w:r>
        <w:rPr>
          <w:rFonts w:hint="eastAsia" w:ascii="宋体" w:hAnsi="宋体"/>
          <w:szCs w:val="21"/>
          <w:u w:val="single"/>
        </w:rPr>
        <w:t xml:space="preserve">                               </w:t>
      </w:r>
      <w:r>
        <w:rPr>
          <w:rFonts w:hint="eastAsia" w:ascii="宋体" w:hAnsi="宋体"/>
          <w:szCs w:val="21"/>
        </w:rPr>
        <w:t>（采购人）</w:t>
      </w:r>
    </w:p>
    <w:p w14:paraId="61C7E189">
      <w:pPr>
        <w:pStyle w:val="23"/>
        <w:spacing w:line="500" w:lineRule="exact"/>
        <w:ind w:left="1" w:leftChars="0" w:firstLine="420" w:firstLineChars="200"/>
        <w:rPr>
          <w:rFonts w:hint="eastAsia" w:ascii="宋体" w:hAnsi="宋体"/>
          <w:szCs w:val="21"/>
        </w:rPr>
      </w:pPr>
      <w:r>
        <w:rPr>
          <w:rFonts w:ascii="宋体" w:hAnsi="宋体"/>
          <w:szCs w:val="21"/>
        </w:rPr>
        <w:t>1</w:t>
      </w:r>
      <w:r>
        <w:rPr>
          <w:rFonts w:hint="eastAsia" w:ascii="宋体" w:hAnsi="宋体"/>
          <w:szCs w:val="21"/>
        </w:rPr>
        <w:t>．根据已收到的</w:t>
      </w:r>
      <w:r>
        <w:rPr>
          <w:rFonts w:hint="eastAsia" w:ascii="宋体" w:hAnsi="宋体"/>
          <w:szCs w:val="21"/>
          <w:u w:val="single"/>
        </w:rPr>
        <w:t xml:space="preserve">                          </w:t>
      </w:r>
      <w:r>
        <w:rPr>
          <w:rFonts w:hint="eastAsia" w:ascii="宋体" w:hAnsi="宋体"/>
          <w:szCs w:val="21"/>
        </w:rPr>
        <w:t>（项目名称）竞争性磋商文件，现对该项目进行第二轮报价，该工程第二轮总报价为（大写）</w:t>
      </w:r>
      <w:r>
        <w:rPr>
          <w:rFonts w:hint="eastAsia" w:ascii="宋体" w:hAnsi="宋体"/>
          <w:szCs w:val="21"/>
          <w:u w:val="single"/>
        </w:rPr>
        <w:t xml:space="preserve">      </w:t>
      </w: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），并承担其任何质量缺陷等问题所造成的任何损失。</w:t>
      </w:r>
    </w:p>
    <w:p w14:paraId="2701D50E">
      <w:pPr>
        <w:pStyle w:val="23"/>
        <w:spacing w:line="500" w:lineRule="exact"/>
        <w:ind w:left="1" w:leftChars="0" w:firstLine="420" w:firstLineChars="200"/>
        <w:rPr>
          <w:rFonts w:hint="eastAsia" w:ascii="宋体" w:hAnsi="宋体"/>
          <w:szCs w:val="21"/>
        </w:rPr>
      </w:pPr>
      <w:r>
        <w:rPr>
          <w:rFonts w:ascii="宋体" w:hAnsi="宋体"/>
          <w:szCs w:val="21"/>
        </w:rPr>
        <w:t>2</w:t>
      </w:r>
      <w:r>
        <w:rPr>
          <w:rFonts w:hint="eastAsia" w:ascii="宋体" w:hAnsi="宋体"/>
          <w:szCs w:val="21"/>
        </w:rPr>
        <w:t>．如果我方中标，我方保证按照我方磋商响应文件中的相关内容完成工程。</w:t>
      </w:r>
    </w:p>
    <w:p w14:paraId="6EB59F63">
      <w:pPr>
        <w:pStyle w:val="23"/>
        <w:spacing w:line="500" w:lineRule="exact"/>
        <w:ind w:left="1" w:leftChars="0" w:firstLine="420" w:firstLineChars="200"/>
        <w:rPr>
          <w:rFonts w:hint="eastAsia" w:ascii="宋体" w:hAnsi="宋体"/>
          <w:szCs w:val="21"/>
        </w:rPr>
      </w:pPr>
      <w:r>
        <w:rPr>
          <w:rFonts w:hint="eastAsia" w:ascii="宋体" w:hAnsi="宋体"/>
          <w:szCs w:val="21"/>
        </w:rPr>
        <w:t>3．除非另外达成协议并生效，贵方的中标通知书、响应文件、磋商过程中对响应文件做出的澄清、解释及本论报价函将成为约束我方的合同文件组成部分。</w:t>
      </w:r>
    </w:p>
    <w:p w14:paraId="4574B44A">
      <w:pPr>
        <w:pStyle w:val="23"/>
        <w:spacing w:line="500" w:lineRule="exact"/>
        <w:ind w:left="1" w:leftChars="0" w:firstLine="420" w:firstLineChars="200"/>
        <w:rPr>
          <w:rFonts w:hint="eastAsia" w:ascii="宋体" w:hAnsi="宋体"/>
          <w:szCs w:val="21"/>
        </w:rPr>
      </w:pPr>
    </w:p>
    <w:p w14:paraId="54279FC0">
      <w:pPr>
        <w:pStyle w:val="23"/>
        <w:spacing w:line="500" w:lineRule="exact"/>
        <w:ind w:left="0" w:leftChars="0" w:firstLine="0" w:firstLineChars="0"/>
        <w:rPr>
          <w:rFonts w:hint="eastAsia" w:ascii="宋体" w:hAnsi="宋体"/>
          <w:szCs w:val="21"/>
        </w:rPr>
      </w:pPr>
    </w:p>
    <w:p w14:paraId="5EC12E79">
      <w:pPr>
        <w:pStyle w:val="23"/>
        <w:spacing w:line="500" w:lineRule="exact"/>
        <w:ind w:left="1" w:leftChars="0" w:firstLine="420" w:firstLineChars="200"/>
        <w:rPr>
          <w:rFonts w:hint="eastAsia" w:ascii="宋体" w:hAnsi="宋体"/>
          <w:szCs w:val="21"/>
        </w:rPr>
      </w:pPr>
    </w:p>
    <w:p w14:paraId="3AE12FB1">
      <w:pPr>
        <w:pStyle w:val="23"/>
        <w:spacing w:line="500" w:lineRule="exact"/>
        <w:ind w:left="1" w:leftChars="0" w:firstLine="420" w:firstLineChars="200"/>
        <w:rPr>
          <w:rFonts w:hint="eastAsia" w:ascii="宋体" w:hAnsi="宋体"/>
          <w:szCs w:val="21"/>
        </w:rPr>
      </w:pPr>
      <w:r>
        <w:rPr>
          <w:rFonts w:hint="eastAsia" w:ascii="宋体" w:hAnsi="宋体"/>
          <w:szCs w:val="21"/>
        </w:rPr>
        <w:t xml:space="preserve">供应商： </w:t>
      </w:r>
      <w:r>
        <w:rPr>
          <w:rFonts w:hint="eastAsia" w:ascii="宋体" w:hAnsi="宋体"/>
          <w:szCs w:val="21"/>
          <w:u w:val="single"/>
        </w:rPr>
        <w:t xml:space="preserve">               </w:t>
      </w:r>
      <w:r>
        <w:rPr>
          <w:rFonts w:hint="eastAsia" w:ascii="宋体" w:hAnsi="宋体"/>
          <w:szCs w:val="21"/>
        </w:rPr>
        <w:t>（全称）</w:t>
      </w:r>
    </w:p>
    <w:p w14:paraId="640FC5B6">
      <w:pPr>
        <w:pStyle w:val="23"/>
        <w:spacing w:line="500" w:lineRule="exact"/>
        <w:ind w:left="1" w:leftChars="0" w:firstLine="420" w:firstLineChars="200"/>
        <w:rPr>
          <w:rFonts w:hint="eastAsia"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（签字或盖章）</w:t>
      </w:r>
    </w:p>
    <w:p w14:paraId="263FA8FB">
      <w:pPr>
        <w:pStyle w:val="23"/>
        <w:spacing w:line="500" w:lineRule="exact"/>
        <w:ind w:left="1" w:leftChars="0" w:firstLine="420" w:firstLineChars="200"/>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9CA901C">
      <w:pPr>
        <w:pStyle w:val="23"/>
        <w:spacing w:line="500" w:lineRule="exact"/>
        <w:ind w:left="1" w:leftChars="0" w:firstLine="420" w:firstLineChars="200"/>
        <w:rPr>
          <w:rFonts w:hint="eastAsia" w:ascii="宋体" w:hAnsi="宋体"/>
          <w:szCs w:val="21"/>
        </w:rPr>
      </w:pPr>
    </w:p>
    <w:p w14:paraId="6E23DDC7">
      <w:pPr>
        <w:rPr>
          <w:rFonts w:hint="eastAsia"/>
          <w:b/>
          <w:bCs/>
          <w:sz w:val="22"/>
          <w:szCs w:val="28"/>
          <w:lang w:eastAsia="zh-CN"/>
        </w:rPr>
      </w:pPr>
    </w:p>
    <w:p w14:paraId="3024F2A3">
      <w:pPr>
        <w:rPr>
          <w:rFonts w:hint="eastAsia"/>
          <w:b/>
          <w:bCs/>
          <w:sz w:val="22"/>
          <w:szCs w:val="28"/>
          <w:lang w:eastAsia="zh-CN"/>
        </w:rPr>
      </w:pPr>
      <w:r>
        <w:rPr>
          <w:rFonts w:hint="eastAsia"/>
          <w:b/>
          <w:bCs/>
          <w:sz w:val="22"/>
          <w:szCs w:val="28"/>
          <w:lang w:eastAsia="zh-CN"/>
        </w:rPr>
        <w:t>备注：如没有在规定时间内完成操作，即视为自动放弃二次报价权利。</w:t>
      </w:r>
    </w:p>
    <w:p w14:paraId="56D98618">
      <w:pPr>
        <w:rPr>
          <w:rFonts w:hint="default"/>
          <w:b/>
          <w:bCs/>
          <w:sz w:val="22"/>
          <w:szCs w:val="28"/>
          <w:lang w:val="en-US"/>
        </w:rPr>
      </w:pPr>
      <w:r>
        <w:rPr>
          <w:rFonts w:hint="default"/>
          <w:b/>
          <w:bCs/>
          <w:sz w:val="22"/>
          <w:szCs w:val="28"/>
          <w:lang w:val="en-US"/>
        </w:rPr>
        <w:br w:type="page"/>
      </w:r>
    </w:p>
    <w:p w14:paraId="12D30590">
      <w:pPr>
        <w:spacing w:line="720" w:lineRule="auto"/>
        <w:jc w:val="center"/>
        <w:outlineLvl w:val="0"/>
        <w:rPr>
          <w:rFonts w:hint="eastAsia" w:ascii="黑体" w:hAnsi="黑体" w:eastAsia="黑体" w:cs="黑体"/>
          <w:b/>
          <w:bCs/>
          <w:sz w:val="32"/>
          <w:szCs w:val="32"/>
          <w:lang w:val="en-US" w:eastAsia="zh-CN"/>
        </w:rPr>
      </w:pPr>
      <w:bookmarkStart w:id="607" w:name="_Toc32472"/>
      <w:r>
        <w:rPr>
          <w:rFonts w:hint="eastAsia" w:ascii="黑体" w:hAnsi="黑体" w:eastAsia="黑体" w:cs="黑体"/>
          <w:b/>
          <w:bCs/>
          <w:sz w:val="32"/>
          <w:szCs w:val="32"/>
          <w:lang w:val="en-US" w:eastAsia="zh-CN"/>
        </w:rPr>
        <w:t>河南省政府采购合同融资政策告知函</w:t>
      </w:r>
      <w:bookmarkEnd w:id="607"/>
    </w:p>
    <w:p w14:paraId="51B0018C">
      <w:pPr>
        <w:spacing w:line="720" w:lineRule="auto"/>
        <w:jc w:val="center"/>
        <w:outlineLvl w:val="0"/>
        <w:rPr>
          <w:rFonts w:hint="eastAsia" w:ascii="黑体" w:hAnsi="黑体" w:eastAsia="黑体" w:cs="黑体"/>
          <w:b/>
          <w:bCs/>
          <w:i/>
          <w:iCs/>
          <w:sz w:val="32"/>
          <w:szCs w:val="32"/>
          <w:u w:val="single"/>
          <w:lang w:val="en-US" w:eastAsia="zh-CN"/>
        </w:rPr>
      </w:pPr>
      <w:bookmarkStart w:id="608" w:name="_Toc23560"/>
      <w:r>
        <w:rPr>
          <w:rFonts w:hint="eastAsia" w:ascii="黑体" w:hAnsi="黑体" w:eastAsia="黑体" w:cs="黑体"/>
          <w:b/>
          <w:bCs/>
          <w:i/>
          <w:iCs/>
          <w:sz w:val="32"/>
          <w:szCs w:val="32"/>
          <w:u w:val="single"/>
          <w:lang w:val="en-US" w:eastAsia="zh-CN"/>
        </w:rPr>
        <w:t>（仅供通知，无须附投标文件中）</w:t>
      </w:r>
      <w:bookmarkEnd w:id="608"/>
    </w:p>
    <w:p w14:paraId="57A4CB30">
      <w:pPr>
        <w:spacing w:line="480" w:lineRule="auto"/>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各供应商： </w:t>
      </w:r>
    </w:p>
    <w:p w14:paraId="2CD2350D">
      <w:pPr>
        <w:spacing w:line="480" w:lineRule="auto"/>
        <w:ind w:firstLine="560" w:firstLineChars="200"/>
        <w:jc w:val="both"/>
        <w:outlineLvl w:val="0"/>
        <w:rPr>
          <w:rFonts w:hint="eastAsia" w:ascii="宋体" w:hAnsi="宋体" w:eastAsia="宋体" w:cs="宋体"/>
          <w:b w:val="0"/>
          <w:bCs w:val="0"/>
          <w:sz w:val="28"/>
          <w:szCs w:val="28"/>
          <w:lang w:val="en-US" w:eastAsia="zh-CN"/>
        </w:rPr>
      </w:pPr>
      <w:bookmarkStart w:id="609" w:name="_Toc21967"/>
      <w:r>
        <w:rPr>
          <w:rFonts w:hint="eastAsia" w:ascii="宋体" w:hAnsi="宋体" w:eastAsia="宋体" w:cs="宋体"/>
          <w:b w:val="0"/>
          <w:bCs w:val="0"/>
          <w:sz w:val="28"/>
          <w:szCs w:val="28"/>
          <w:lang w:val="en-US" w:eastAsia="zh-CN"/>
        </w:rPr>
        <w:t>欢迎贵公司参与河南省政府采购活动！</w:t>
      </w:r>
      <w:bookmarkEnd w:id="609"/>
      <w:r>
        <w:rPr>
          <w:rFonts w:hint="eastAsia" w:ascii="宋体" w:hAnsi="宋体" w:eastAsia="宋体" w:cs="宋体"/>
          <w:b w:val="0"/>
          <w:bCs w:val="0"/>
          <w:sz w:val="28"/>
          <w:szCs w:val="28"/>
          <w:lang w:val="en-US" w:eastAsia="zh-CN"/>
        </w:rPr>
        <w:t xml:space="preserve"> </w:t>
      </w:r>
    </w:p>
    <w:p w14:paraId="00F285D7">
      <w:pPr>
        <w:spacing w:line="480" w:lineRule="auto"/>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w:t>
      </w:r>
    </w:p>
    <w:p w14:paraId="6E12B96A">
      <w:pPr>
        <w:spacing w:line="480" w:lineRule="auto"/>
        <w:ind w:firstLine="560" w:firstLineChars="200"/>
        <w:jc w:val="both"/>
        <w:rPr>
          <w:rFonts w:hint="eastAsia" w:ascii="黑体" w:hAnsi="黑体" w:eastAsia="黑体" w:cs="黑体"/>
          <w:b w:val="0"/>
          <w:bCs w:val="0"/>
          <w:sz w:val="32"/>
          <w:szCs w:val="32"/>
          <w:lang w:val="en-US" w:eastAsia="zh-CN"/>
        </w:rPr>
      </w:pPr>
      <w:r>
        <w:rPr>
          <w:rFonts w:hint="eastAsia" w:ascii="宋体" w:hAnsi="宋体" w:eastAsia="宋体" w:cs="宋体"/>
          <w:b w:val="0"/>
          <w:bCs w:val="0"/>
          <w:sz w:val="28"/>
          <w:szCs w:val="28"/>
          <w:lang w:val="en-US" w:eastAsia="zh-CN"/>
        </w:rPr>
        <w:t>贷款渠道和提供贷款的金融机构，可在河南省政府采购网“河南省政府采购合同融资平台”查询联系。</w:t>
      </w:r>
    </w:p>
    <w:sectPr>
      <w:pgSz w:w="11907" w:h="16840"/>
      <w:pgMar w:top="1400" w:right="1418" w:bottom="1089" w:left="1418" w:header="624" w:footer="747"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C671C">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CF3C70">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Yp4skBAACa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htiniyQEAAJoDAAAOAAAAAAAAAAEAIAAAAB4BAABkcnMvZTJvRG9j&#10;LnhtbFBLBQYAAAAABgAGAFkBAABZBQAAAAA=&#10;">
              <v:fill on="f" focussize="0,0"/>
              <v:stroke on="f"/>
              <v:imagedata o:title=""/>
              <o:lock v:ext="edit" aspectratio="f"/>
              <v:textbox inset="0mm,0mm,0mm,0mm" style="mso-fit-shape-to-text:t;">
                <w:txbxContent>
                  <w:p w14:paraId="63CF3C70">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47A92">
    <w:pPr>
      <w:pStyle w:val="3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FA5FB">
                          <w:pPr>
                            <w:pStyle w:val="3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C8FA5FB">
                    <w:pPr>
                      <w:pStyle w:val="3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2B546">
    <w:pPr>
      <w:pStyle w:val="3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478DA">
                          <w:pPr>
                            <w:pStyle w:val="33"/>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C3478DA">
                    <w:pPr>
                      <w:pStyle w:val="33"/>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8E598">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57CEA">
                          <w:pPr>
                            <w:pStyle w:val="33"/>
                          </w:pPr>
                          <w:r>
                            <w:t xml:space="preserve">第 </w:t>
                          </w:r>
                          <w:r>
                            <w:fldChar w:fldCharType="begin"/>
                          </w:r>
                          <w:r>
                            <w:instrText xml:space="preserve"> PAGE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0657CEA">
                    <w:pPr>
                      <w:pStyle w:val="33"/>
                    </w:pPr>
                    <w:r>
                      <w:t xml:space="preserve">第 </w:t>
                    </w:r>
                    <w:r>
                      <w:fldChar w:fldCharType="begin"/>
                    </w:r>
                    <w:r>
                      <w:instrText xml:space="preserve"> PAGE  \* MERGEFORMAT </w:instrText>
                    </w:r>
                    <w:r>
                      <w:fldChar w:fldCharType="separate"/>
                    </w:r>
                    <w:r>
                      <w:t>22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7A8E2">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4F382"/>
    <w:multiLevelType w:val="singleLevel"/>
    <w:tmpl w:val="8F94F382"/>
    <w:lvl w:ilvl="0" w:tentative="0">
      <w:start w:val="3"/>
      <w:numFmt w:val="decimal"/>
      <w:suff w:val="nothing"/>
      <w:lvlText w:val="%1、"/>
      <w:lvlJc w:val="left"/>
    </w:lvl>
  </w:abstractNum>
  <w:abstractNum w:abstractNumId="1">
    <w:nsid w:val="998384FB"/>
    <w:multiLevelType w:val="singleLevel"/>
    <w:tmpl w:val="998384FB"/>
    <w:lvl w:ilvl="0" w:tentative="0">
      <w:start w:val="1"/>
      <w:numFmt w:val="decimal"/>
      <w:suff w:val="nothing"/>
      <w:lvlText w:val="%1、"/>
      <w:lvlJc w:val="left"/>
    </w:lvl>
  </w:abstractNum>
  <w:abstractNum w:abstractNumId="2">
    <w:nsid w:val="0000000E"/>
    <w:multiLevelType w:val="multilevel"/>
    <w:tmpl w:val="0000000E"/>
    <w:lvl w:ilvl="0" w:tentative="0">
      <w:start w:val="1"/>
      <w:numFmt w:val="decimal"/>
      <w:pStyle w:val="86"/>
      <w:lvlText w:val="%1"/>
      <w:lvlJc w:val="left"/>
      <w:pPr>
        <w:tabs>
          <w:tab w:val="left" w:pos="432"/>
        </w:tabs>
        <w:ind w:left="432" w:hanging="432"/>
      </w:pPr>
      <w:rPr>
        <w:rFonts w:hint="eastAsia"/>
      </w:rPr>
    </w:lvl>
    <w:lvl w:ilvl="1" w:tentative="0">
      <w:start w:val="1"/>
      <w:numFmt w:val="decimal"/>
      <w:pStyle w:val="85"/>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0000016"/>
    <w:multiLevelType w:val="singleLevel"/>
    <w:tmpl w:val="00000016"/>
    <w:lvl w:ilvl="0" w:tentative="0">
      <w:start w:val="1"/>
      <w:numFmt w:val="decimal"/>
      <w:suff w:val="nothing"/>
      <w:lvlText w:val="（%1）"/>
      <w:lvlJc w:val="left"/>
    </w:lvl>
  </w:abstractNum>
  <w:abstractNum w:abstractNumId="4">
    <w:nsid w:val="00F1F6A8"/>
    <w:multiLevelType w:val="singleLevel"/>
    <w:tmpl w:val="00F1F6A8"/>
    <w:lvl w:ilvl="0" w:tentative="0">
      <w:start w:val="1"/>
      <w:numFmt w:val="decimalEnclosedCircleChinese"/>
      <w:suff w:val="space"/>
      <w:lvlText w:val="%1"/>
      <w:lvlJc w:val="left"/>
      <w:rPr>
        <w:rFonts w:hint="eastAsia"/>
      </w:rPr>
    </w:lvl>
  </w:abstractNum>
  <w:abstractNum w:abstractNumId="5">
    <w:nsid w:val="0493A01B"/>
    <w:multiLevelType w:val="singleLevel"/>
    <w:tmpl w:val="0493A01B"/>
    <w:lvl w:ilvl="0" w:tentative="0">
      <w:start w:val="1"/>
      <w:numFmt w:val="decimal"/>
      <w:suff w:val="nothing"/>
      <w:lvlText w:val="%1．"/>
      <w:lvlJc w:val="left"/>
    </w:lvl>
  </w:abstractNum>
  <w:abstractNum w:abstractNumId="6">
    <w:nsid w:val="288B0DE0"/>
    <w:multiLevelType w:val="multilevel"/>
    <w:tmpl w:val="288B0DE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rPr>
        <w:color w:val="auto"/>
      </w:r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7">
    <w:nsid w:val="3220002F"/>
    <w:multiLevelType w:val="singleLevel"/>
    <w:tmpl w:val="3220002F"/>
    <w:lvl w:ilvl="0" w:tentative="0">
      <w:start w:val="1"/>
      <w:numFmt w:val="decimalEnclosedCircleChinese"/>
      <w:suff w:val="space"/>
      <w:lvlText w:val="%1"/>
      <w:lvlJc w:val="left"/>
      <w:rPr>
        <w:rFonts w:hint="eastAsia"/>
      </w:rPr>
    </w:lvl>
  </w:abstractNum>
  <w:abstractNum w:abstractNumId="8">
    <w:nsid w:val="3D727B26"/>
    <w:multiLevelType w:val="multilevel"/>
    <w:tmpl w:val="3D727B26"/>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rPr>
        <w:rFonts w:ascii="宋体" w:hAnsi="宋体" w:eastAsia="宋体"/>
        <w:b w:val="0"/>
        <w:sz w:val="21"/>
        <w:szCs w:val="21"/>
      </w:rPr>
    </w:lvl>
    <w:lvl w:ilvl="2" w:tentative="0">
      <w:start w:val="1"/>
      <w:numFmt w:val="decimal"/>
      <w:lvlText w:val="%1.%2.%3"/>
      <w:lvlJc w:val="left"/>
      <w:pPr>
        <w:tabs>
          <w:tab w:val="left" w:pos="567"/>
        </w:tabs>
        <w:ind w:left="567" w:hanging="567"/>
      </w:pPr>
      <w:rPr>
        <w:color w:val="auto"/>
        <w:sz w:val="21"/>
        <w:szCs w:val="21"/>
      </w:r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9">
    <w:nsid w:val="55BAFEC5"/>
    <w:multiLevelType w:val="singleLevel"/>
    <w:tmpl w:val="55BAFEC5"/>
    <w:lvl w:ilvl="0" w:tentative="0">
      <w:start w:val="1"/>
      <w:numFmt w:val="decimal"/>
      <w:suff w:val="nothing"/>
      <w:lvlText w:val="%1."/>
      <w:lvlJc w:val="left"/>
    </w:lvl>
  </w:abstractNum>
  <w:abstractNum w:abstractNumId="10">
    <w:nsid w:val="5860D87D"/>
    <w:multiLevelType w:val="singleLevel"/>
    <w:tmpl w:val="5860D87D"/>
    <w:lvl w:ilvl="0" w:tentative="0">
      <w:start w:val="1"/>
      <w:numFmt w:val="decimal"/>
      <w:suff w:val="nothing"/>
      <w:lvlText w:val="%1）"/>
      <w:lvlJc w:val="left"/>
    </w:lvl>
  </w:abstractNum>
  <w:num w:numId="1">
    <w:abstractNumId w:val="2"/>
  </w:num>
  <w:num w:numId="2">
    <w:abstractNumId w:val="8"/>
  </w:num>
  <w:num w:numId="3">
    <w:abstractNumId w:val="3"/>
  </w:num>
  <w:num w:numId="4">
    <w:abstractNumId w:val="6"/>
  </w:num>
  <w:num w:numId="5">
    <w:abstractNumId w:val="5"/>
  </w:num>
  <w:num w:numId="6">
    <w:abstractNumId w:val="9"/>
  </w:num>
  <w:num w:numId="7">
    <w:abstractNumId w:val="10"/>
  </w:num>
  <w:num w:numId="8">
    <w:abstractNumId w:val="0"/>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NjI3OWMzZWE5YjgxMzI3NzkyNWFkYTJhOWZkMTEifQ=="/>
  </w:docVars>
  <w:rsids>
    <w:rsidRoot w:val="00172A27"/>
    <w:rsid w:val="000000E3"/>
    <w:rsid w:val="000008AB"/>
    <w:rsid w:val="0000102C"/>
    <w:rsid w:val="00001E66"/>
    <w:rsid w:val="000022E6"/>
    <w:rsid w:val="000026C2"/>
    <w:rsid w:val="0000408E"/>
    <w:rsid w:val="0000548F"/>
    <w:rsid w:val="00005AC8"/>
    <w:rsid w:val="0000610D"/>
    <w:rsid w:val="000065BD"/>
    <w:rsid w:val="0000761F"/>
    <w:rsid w:val="00007813"/>
    <w:rsid w:val="00007FA2"/>
    <w:rsid w:val="00011697"/>
    <w:rsid w:val="00013107"/>
    <w:rsid w:val="00013D52"/>
    <w:rsid w:val="00015B27"/>
    <w:rsid w:val="00015BEE"/>
    <w:rsid w:val="0001646E"/>
    <w:rsid w:val="000179C3"/>
    <w:rsid w:val="00017CB6"/>
    <w:rsid w:val="00021A08"/>
    <w:rsid w:val="00022533"/>
    <w:rsid w:val="00023554"/>
    <w:rsid w:val="00027C6E"/>
    <w:rsid w:val="00032C41"/>
    <w:rsid w:val="00041546"/>
    <w:rsid w:val="0004256A"/>
    <w:rsid w:val="000428CD"/>
    <w:rsid w:val="00044D61"/>
    <w:rsid w:val="00047FA8"/>
    <w:rsid w:val="00050154"/>
    <w:rsid w:val="0005169F"/>
    <w:rsid w:val="00053098"/>
    <w:rsid w:val="0005458A"/>
    <w:rsid w:val="000551FC"/>
    <w:rsid w:val="00055738"/>
    <w:rsid w:val="00056346"/>
    <w:rsid w:val="00060B81"/>
    <w:rsid w:val="00061A6E"/>
    <w:rsid w:val="000631F4"/>
    <w:rsid w:val="00063446"/>
    <w:rsid w:val="00067C3F"/>
    <w:rsid w:val="00070150"/>
    <w:rsid w:val="00070FB5"/>
    <w:rsid w:val="00074E87"/>
    <w:rsid w:val="00076A33"/>
    <w:rsid w:val="00077759"/>
    <w:rsid w:val="00080DB4"/>
    <w:rsid w:val="00080E81"/>
    <w:rsid w:val="00082E76"/>
    <w:rsid w:val="00085CCB"/>
    <w:rsid w:val="00086F7C"/>
    <w:rsid w:val="00087257"/>
    <w:rsid w:val="0009042D"/>
    <w:rsid w:val="00090BC9"/>
    <w:rsid w:val="000918D4"/>
    <w:rsid w:val="000931C9"/>
    <w:rsid w:val="0009364E"/>
    <w:rsid w:val="00093762"/>
    <w:rsid w:val="000948EF"/>
    <w:rsid w:val="00094945"/>
    <w:rsid w:val="0009511B"/>
    <w:rsid w:val="000954B2"/>
    <w:rsid w:val="000A1EFD"/>
    <w:rsid w:val="000A3DB2"/>
    <w:rsid w:val="000A4B07"/>
    <w:rsid w:val="000A5B68"/>
    <w:rsid w:val="000A5BCE"/>
    <w:rsid w:val="000A7D43"/>
    <w:rsid w:val="000B131C"/>
    <w:rsid w:val="000B23DE"/>
    <w:rsid w:val="000B3FEE"/>
    <w:rsid w:val="000B4842"/>
    <w:rsid w:val="000B709D"/>
    <w:rsid w:val="000B73C6"/>
    <w:rsid w:val="000B73EA"/>
    <w:rsid w:val="000C3822"/>
    <w:rsid w:val="000C4A31"/>
    <w:rsid w:val="000C5A29"/>
    <w:rsid w:val="000C5EC5"/>
    <w:rsid w:val="000D16F4"/>
    <w:rsid w:val="000D6DD8"/>
    <w:rsid w:val="000E01DD"/>
    <w:rsid w:val="000E1419"/>
    <w:rsid w:val="000E2276"/>
    <w:rsid w:val="000E35E3"/>
    <w:rsid w:val="000E3EF7"/>
    <w:rsid w:val="000E3F16"/>
    <w:rsid w:val="000E4AD5"/>
    <w:rsid w:val="000E62D8"/>
    <w:rsid w:val="000E63C5"/>
    <w:rsid w:val="000E7B10"/>
    <w:rsid w:val="000F02C9"/>
    <w:rsid w:val="000F1307"/>
    <w:rsid w:val="000F350A"/>
    <w:rsid w:val="000F5B2A"/>
    <w:rsid w:val="000F5D6C"/>
    <w:rsid w:val="000F6040"/>
    <w:rsid w:val="000F646F"/>
    <w:rsid w:val="00107CD4"/>
    <w:rsid w:val="00110E23"/>
    <w:rsid w:val="001124B4"/>
    <w:rsid w:val="00114047"/>
    <w:rsid w:val="00114169"/>
    <w:rsid w:val="00116723"/>
    <w:rsid w:val="00120DCD"/>
    <w:rsid w:val="0012271C"/>
    <w:rsid w:val="0012527B"/>
    <w:rsid w:val="001271AF"/>
    <w:rsid w:val="00127B0D"/>
    <w:rsid w:val="00130FB4"/>
    <w:rsid w:val="0013415A"/>
    <w:rsid w:val="00141177"/>
    <w:rsid w:val="00142815"/>
    <w:rsid w:val="00143089"/>
    <w:rsid w:val="0014361D"/>
    <w:rsid w:val="001456B5"/>
    <w:rsid w:val="00150050"/>
    <w:rsid w:val="001503B3"/>
    <w:rsid w:val="00151FBE"/>
    <w:rsid w:val="0015201C"/>
    <w:rsid w:val="001534CF"/>
    <w:rsid w:val="00153772"/>
    <w:rsid w:val="0015417B"/>
    <w:rsid w:val="0015539F"/>
    <w:rsid w:val="00157E04"/>
    <w:rsid w:val="00160670"/>
    <w:rsid w:val="001619C7"/>
    <w:rsid w:val="00161A8E"/>
    <w:rsid w:val="00162BC3"/>
    <w:rsid w:val="00163FAE"/>
    <w:rsid w:val="00165BDA"/>
    <w:rsid w:val="00165E68"/>
    <w:rsid w:val="00170931"/>
    <w:rsid w:val="00174D2C"/>
    <w:rsid w:val="001753C5"/>
    <w:rsid w:val="00176111"/>
    <w:rsid w:val="0017701C"/>
    <w:rsid w:val="00180069"/>
    <w:rsid w:val="00181823"/>
    <w:rsid w:val="00181F3F"/>
    <w:rsid w:val="00182517"/>
    <w:rsid w:val="00184182"/>
    <w:rsid w:val="00184268"/>
    <w:rsid w:val="001860AF"/>
    <w:rsid w:val="00186C72"/>
    <w:rsid w:val="001872F8"/>
    <w:rsid w:val="001905A5"/>
    <w:rsid w:val="00194721"/>
    <w:rsid w:val="00194851"/>
    <w:rsid w:val="00194AD9"/>
    <w:rsid w:val="00195A86"/>
    <w:rsid w:val="001A07EE"/>
    <w:rsid w:val="001A0FA9"/>
    <w:rsid w:val="001A31DB"/>
    <w:rsid w:val="001A3BED"/>
    <w:rsid w:val="001A4332"/>
    <w:rsid w:val="001A6641"/>
    <w:rsid w:val="001A6FFF"/>
    <w:rsid w:val="001A73C1"/>
    <w:rsid w:val="001A7C2A"/>
    <w:rsid w:val="001B03F9"/>
    <w:rsid w:val="001C04FA"/>
    <w:rsid w:val="001C08F1"/>
    <w:rsid w:val="001C185A"/>
    <w:rsid w:val="001C25E0"/>
    <w:rsid w:val="001C52FD"/>
    <w:rsid w:val="001C6A94"/>
    <w:rsid w:val="001D0970"/>
    <w:rsid w:val="001D0FEA"/>
    <w:rsid w:val="001D1490"/>
    <w:rsid w:val="001D43B3"/>
    <w:rsid w:val="001D48B8"/>
    <w:rsid w:val="001D63DE"/>
    <w:rsid w:val="001D7C79"/>
    <w:rsid w:val="001E0328"/>
    <w:rsid w:val="001E20B2"/>
    <w:rsid w:val="001E2DD2"/>
    <w:rsid w:val="001E3CF8"/>
    <w:rsid w:val="001E61A1"/>
    <w:rsid w:val="001E6AB0"/>
    <w:rsid w:val="001E6EDA"/>
    <w:rsid w:val="001E716F"/>
    <w:rsid w:val="001F0FCC"/>
    <w:rsid w:val="001F1A5C"/>
    <w:rsid w:val="001F5971"/>
    <w:rsid w:val="001F696E"/>
    <w:rsid w:val="00204968"/>
    <w:rsid w:val="00205375"/>
    <w:rsid w:val="0020779A"/>
    <w:rsid w:val="00207853"/>
    <w:rsid w:val="002117D0"/>
    <w:rsid w:val="00211B98"/>
    <w:rsid w:val="00213586"/>
    <w:rsid w:val="00213CD0"/>
    <w:rsid w:val="0022067F"/>
    <w:rsid w:val="00221707"/>
    <w:rsid w:val="00223083"/>
    <w:rsid w:val="0022553D"/>
    <w:rsid w:val="00225769"/>
    <w:rsid w:val="00226ADB"/>
    <w:rsid w:val="0022719A"/>
    <w:rsid w:val="002271A5"/>
    <w:rsid w:val="002272A9"/>
    <w:rsid w:val="00227AF5"/>
    <w:rsid w:val="0023018B"/>
    <w:rsid w:val="00230473"/>
    <w:rsid w:val="00231B3E"/>
    <w:rsid w:val="00231EC7"/>
    <w:rsid w:val="00231F06"/>
    <w:rsid w:val="0023325F"/>
    <w:rsid w:val="00234D36"/>
    <w:rsid w:val="002354F1"/>
    <w:rsid w:val="00236AC2"/>
    <w:rsid w:val="00236F1C"/>
    <w:rsid w:val="0024018A"/>
    <w:rsid w:val="00240F10"/>
    <w:rsid w:val="0024198C"/>
    <w:rsid w:val="00241B28"/>
    <w:rsid w:val="00242038"/>
    <w:rsid w:val="002509D3"/>
    <w:rsid w:val="00251950"/>
    <w:rsid w:val="00253A7A"/>
    <w:rsid w:val="00254207"/>
    <w:rsid w:val="00254B34"/>
    <w:rsid w:val="00255644"/>
    <w:rsid w:val="00256C45"/>
    <w:rsid w:val="00257191"/>
    <w:rsid w:val="002610FA"/>
    <w:rsid w:val="0026614C"/>
    <w:rsid w:val="0026664F"/>
    <w:rsid w:val="00267851"/>
    <w:rsid w:val="00270CBE"/>
    <w:rsid w:val="00272305"/>
    <w:rsid w:val="002738A8"/>
    <w:rsid w:val="00273C2F"/>
    <w:rsid w:val="00274857"/>
    <w:rsid w:val="00275BDB"/>
    <w:rsid w:val="00276FF0"/>
    <w:rsid w:val="00277301"/>
    <w:rsid w:val="002776FC"/>
    <w:rsid w:val="002803B4"/>
    <w:rsid w:val="00280E0F"/>
    <w:rsid w:val="00280FE9"/>
    <w:rsid w:val="002817EB"/>
    <w:rsid w:val="0028225A"/>
    <w:rsid w:val="002858FB"/>
    <w:rsid w:val="0028594A"/>
    <w:rsid w:val="00286315"/>
    <w:rsid w:val="00286414"/>
    <w:rsid w:val="00290388"/>
    <w:rsid w:val="00290B6A"/>
    <w:rsid w:val="00292B1F"/>
    <w:rsid w:val="00292B5F"/>
    <w:rsid w:val="0029370D"/>
    <w:rsid w:val="00295604"/>
    <w:rsid w:val="00296990"/>
    <w:rsid w:val="002A04ED"/>
    <w:rsid w:val="002A083F"/>
    <w:rsid w:val="002A23E2"/>
    <w:rsid w:val="002A2B48"/>
    <w:rsid w:val="002A2EC9"/>
    <w:rsid w:val="002A4CCB"/>
    <w:rsid w:val="002A4DDE"/>
    <w:rsid w:val="002A6E74"/>
    <w:rsid w:val="002B0047"/>
    <w:rsid w:val="002B11CA"/>
    <w:rsid w:val="002B2547"/>
    <w:rsid w:val="002B3450"/>
    <w:rsid w:val="002B3FD9"/>
    <w:rsid w:val="002B4628"/>
    <w:rsid w:val="002B6C8D"/>
    <w:rsid w:val="002C0AC9"/>
    <w:rsid w:val="002C12B9"/>
    <w:rsid w:val="002C1511"/>
    <w:rsid w:val="002C2E5B"/>
    <w:rsid w:val="002C37A1"/>
    <w:rsid w:val="002C517A"/>
    <w:rsid w:val="002C5CF0"/>
    <w:rsid w:val="002C71FD"/>
    <w:rsid w:val="002D02FB"/>
    <w:rsid w:val="002D111D"/>
    <w:rsid w:val="002D2281"/>
    <w:rsid w:val="002D2985"/>
    <w:rsid w:val="002D4340"/>
    <w:rsid w:val="002D4EC6"/>
    <w:rsid w:val="002D557A"/>
    <w:rsid w:val="002D5B02"/>
    <w:rsid w:val="002D6209"/>
    <w:rsid w:val="002D750B"/>
    <w:rsid w:val="002E2F62"/>
    <w:rsid w:val="002E5F59"/>
    <w:rsid w:val="002E66AF"/>
    <w:rsid w:val="002E6B05"/>
    <w:rsid w:val="002F0B01"/>
    <w:rsid w:val="002F2EB3"/>
    <w:rsid w:val="002F61F1"/>
    <w:rsid w:val="002F685A"/>
    <w:rsid w:val="002F6B3D"/>
    <w:rsid w:val="002F6CF9"/>
    <w:rsid w:val="002F7C43"/>
    <w:rsid w:val="00300794"/>
    <w:rsid w:val="00300D93"/>
    <w:rsid w:val="0030181A"/>
    <w:rsid w:val="00303956"/>
    <w:rsid w:val="00307F64"/>
    <w:rsid w:val="00312A70"/>
    <w:rsid w:val="00312A93"/>
    <w:rsid w:val="00314554"/>
    <w:rsid w:val="003156EF"/>
    <w:rsid w:val="0031680D"/>
    <w:rsid w:val="00317DEE"/>
    <w:rsid w:val="0032267D"/>
    <w:rsid w:val="00326AD2"/>
    <w:rsid w:val="00327F71"/>
    <w:rsid w:val="00331455"/>
    <w:rsid w:val="003321E2"/>
    <w:rsid w:val="00332E33"/>
    <w:rsid w:val="00334339"/>
    <w:rsid w:val="00334D4D"/>
    <w:rsid w:val="003355E9"/>
    <w:rsid w:val="00335869"/>
    <w:rsid w:val="00335E16"/>
    <w:rsid w:val="00336479"/>
    <w:rsid w:val="003365C4"/>
    <w:rsid w:val="00337106"/>
    <w:rsid w:val="00337686"/>
    <w:rsid w:val="00337B6D"/>
    <w:rsid w:val="00337BF4"/>
    <w:rsid w:val="00344E18"/>
    <w:rsid w:val="00345816"/>
    <w:rsid w:val="00346BD2"/>
    <w:rsid w:val="00347736"/>
    <w:rsid w:val="0035167E"/>
    <w:rsid w:val="00351825"/>
    <w:rsid w:val="00352141"/>
    <w:rsid w:val="003548E8"/>
    <w:rsid w:val="00354B90"/>
    <w:rsid w:val="00356240"/>
    <w:rsid w:val="00356792"/>
    <w:rsid w:val="003610D4"/>
    <w:rsid w:val="00362770"/>
    <w:rsid w:val="00363FD6"/>
    <w:rsid w:val="00363FEF"/>
    <w:rsid w:val="00364CCE"/>
    <w:rsid w:val="00365928"/>
    <w:rsid w:val="00367777"/>
    <w:rsid w:val="003678E2"/>
    <w:rsid w:val="003749F2"/>
    <w:rsid w:val="00375908"/>
    <w:rsid w:val="00375993"/>
    <w:rsid w:val="00380D38"/>
    <w:rsid w:val="0038105C"/>
    <w:rsid w:val="00382C45"/>
    <w:rsid w:val="003830A7"/>
    <w:rsid w:val="00383126"/>
    <w:rsid w:val="00383272"/>
    <w:rsid w:val="00383B87"/>
    <w:rsid w:val="00385D5B"/>
    <w:rsid w:val="00386169"/>
    <w:rsid w:val="00386D73"/>
    <w:rsid w:val="0038761E"/>
    <w:rsid w:val="00387E1C"/>
    <w:rsid w:val="00391D64"/>
    <w:rsid w:val="003929B6"/>
    <w:rsid w:val="00393947"/>
    <w:rsid w:val="00393BAD"/>
    <w:rsid w:val="00397151"/>
    <w:rsid w:val="003973DF"/>
    <w:rsid w:val="003A0983"/>
    <w:rsid w:val="003A1C30"/>
    <w:rsid w:val="003A1FC5"/>
    <w:rsid w:val="003A3346"/>
    <w:rsid w:val="003A661B"/>
    <w:rsid w:val="003A7290"/>
    <w:rsid w:val="003B00B6"/>
    <w:rsid w:val="003B122C"/>
    <w:rsid w:val="003B1D15"/>
    <w:rsid w:val="003B251F"/>
    <w:rsid w:val="003B25A0"/>
    <w:rsid w:val="003B4036"/>
    <w:rsid w:val="003B4CB8"/>
    <w:rsid w:val="003B5BFD"/>
    <w:rsid w:val="003C0139"/>
    <w:rsid w:val="003C03A1"/>
    <w:rsid w:val="003C0F52"/>
    <w:rsid w:val="003C1389"/>
    <w:rsid w:val="003C276F"/>
    <w:rsid w:val="003C280A"/>
    <w:rsid w:val="003C28EF"/>
    <w:rsid w:val="003C39E2"/>
    <w:rsid w:val="003C3D05"/>
    <w:rsid w:val="003C3DD8"/>
    <w:rsid w:val="003C447F"/>
    <w:rsid w:val="003C7B72"/>
    <w:rsid w:val="003D1DAF"/>
    <w:rsid w:val="003D2CE3"/>
    <w:rsid w:val="003D32E4"/>
    <w:rsid w:val="003D3FD6"/>
    <w:rsid w:val="003D7B35"/>
    <w:rsid w:val="003E286B"/>
    <w:rsid w:val="003E4EF6"/>
    <w:rsid w:val="003E54A6"/>
    <w:rsid w:val="003F2E2E"/>
    <w:rsid w:val="003F4957"/>
    <w:rsid w:val="003F5E06"/>
    <w:rsid w:val="003F6D57"/>
    <w:rsid w:val="003F7991"/>
    <w:rsid w:val="00400360"/>
    <w:rsid w:val="00400F8D"/>
    <w:rsid w:val="0040164C"/>
    <w:rsid w:val="00402087"/>
    <w:rsid w:val="00404797"/>
    <w:rsid w:val="00406D91"/>
    <w:rsid w:val="0041081F"/>
    <w:rsid w:val="00411D90"/>
    <w:rsid w:val="004120BB"/>
    <w:rsid w:val="0041217F"/>
    <w:rsid w:val="00413E42"/>
    <w:rsid w:val="004230B5"/>
    <w:rsid w:val="00423F9E"/>
    <w:rsid w:val="004248F9"/>
    <w:rsid w:val="00426CD8"/>
    <w:rsid w:val="004305B7"/>
    <w:rsid w:val="0043325A"/>
    <w:rsid w:val="00433E53"/>
    <w:rsid w:val="00441229"/>
    <w:rsid w:val="00441458"/>
    <w:rsid w:val="00441AD5"/>
    <w:rsid w:val="0044286A"/>
    <w:rsid w:val="00444479"/>
    <w:rsid w:val="004462EB"/>
    <w:rsid w:val="00453324"/>
    <w:rsid w:val="00453762"/>
    <w:rsid w:val="00455B43"/>
    <w:rsid w:val="00457364"/>
    <w:rsid w:val="00457986"/>
    <w:rsid w:val="00457A14"/>
    <w:rsid w:val="004600B4"/>
    <w:rsid w:val="00460D72"/>
    <w:rsid w:val="00461078"/>
    <w:rsid w:val="00462EB8"/>
    <w:rsid w:val="004658D0"/>
    <w:rsid w:val="004669AD"/>
    <w:rsid w:val="00467EC8"/>
    <w:rsid w:val="004747B0"/>
    <w:rsid w:val="00476727"/>
    <w:rsid w:val="00477325"/>
    <w:rsid w:val="0047761F"/>
    <w:rsid w:val="00477BB4"/>
    <w:rsid w:val="00480729"/>
    <w:rsid w:val="004816C3"/>
    <w:rsid w:val="00484D8E"/>
    <w:rsid w:val="004851E3"/>
    <w:rsid w:val="0048628F"/>
    <w:rsid w:val="00492017"/>
    <w:rsid w:val="00494568"/>
    <w:rsid w:val="00494B93"/>
    <w:rsid w:val="00494E20"/>
    <w:rsid w:val="0049620B"/>
    <w:rsid w:val="00496D7D"/>
    <w:rsid w:val="004A04F2"/>
    <w:rsid w:val="004A0A90"/>
    <w:rsid w:val="004A0F99"/>
    <w:rsid w:val="004A40C0"/>
    <w:rsid w:val="004A66FC"/>
    <w:rsid w:val="004A7C94"/>
    <w:rsid w:val="004B0096"/>
    <w:rsid w:val="004B1567"/>
    <w:rsid w:val="004B316C"/>
    <w:rsid w:val="004B3575"/>
    <w:rsid w:val="004B43B9"/>
    <w:rsid w:val="004B6416"/>
    <w:rsid w:val="004B656B"/>
    <w:rsid w:val="004B658A"/>
    <w:rsid w:val="004C0734"/>
    <w:rsid w:val="004C1209"/>
    <w:rsid w:val="004C200A"/>
    <w:rsid w:val="004C4F26"/>
    <w:rsid w:val="004C6029"/>
    <w:rsid w:val="004C70A0"/>
    <w:rsid w:val="004C757B"/>
    <w:rsid w:val="004C7C30"/>
    <w:rsid w:val="004C7FCC"/>
    <w:rsid w:val="004D02FF"/>
    <w:rsid w:val="004D2211"/>
    <w:rsid w:val="004D5567"/>
    <w:rsid w:val="004D564B"/>
    <w:rsid w:val="004D67F3"/>
    <w:rsid w:val="004D738E"/>
    <w:rsid w:val="004E1539"/>
    <w:rsid w:val="004E2CAF"/>
    <w:rsid w:val="004E2CB7"/>
    <w:rsid w:val="004E3CD4"/>
    <w:rsid w:val="004E5750"/>
    <w:rsid w:val="004E5A16"/>
    <w:rsid w:val="004E6221"/>
    <w:rsid w:val="004E65C8"/>
    <w:rsid w:val="004F0111"/>
    <w:rsid w:val="004F7CE6"/>
    <w:rsid w:val="0050018A"/>
    <w:rsid w:val="00501F48"/>
    <w:rsid w:val="00503211"/>
    <w:rsid w:val="00505429"/>
    <w:rsid w:val="00505BC4"/>
    <w:rsid w:val="00506079"/>
    <w:rsid w:val="00506D65"/>
    <w:rsid w:val="00507926"/>
    <w:rsid w:val="005118C8"/>
    <w:rsid w:val="005125D8"/>
    <w:rsid w:val="00512D8A"/>
    <w:rsid w:val="00515A1B"/>
    <w:rsid w:val="0051646B"/>
    <w:rsid w:val="005169F6"/>
    <w:rsid w:val="0052034F"/>
    <w:rsid w:val="00521948"/>
    <w:rsid w:val="00521ADC"/>
    <w:rsid w:val="00526FEC"/>
    <w:rsid w:val="005279BE"/>
    <w:rsid w:val="0053006E"/>
    <w:rsid w:val="00534928"/>
    <w:rsid w:val="005352D1"/>
    <w:rsid w:val="00535443"/>
    <w:rsid w:val="005361A7"/>
    <w:rsid w:val="005361BF"/>
    <w:rsid w:val="00540B2E"/>
    <w:rsid w:val="00541037"/>
    <w:rsid w:val="00541721"/>
    <w:rsid w:val="00542F09"/>
    <w:rsid w:val="00543A02"/>
    <w:rsid w:val="005440C7"/>
    <w:rsid w:val="0054459A"/>
    <w:rsid w:val="00544CE6"/>
    <w:rsid w:val="00546213"/>
    <w:rsid w:val="0054744F"/>
    <w:rsid w:val="00551167"/>
    <w:rsid w:val="00551BBC"/>
    <w:rsid w:val="005525BF"/>
    <w:rsid w:val="00552D38"/>
    <w:rsid w:val="00557864"/>
    <w:rsid w:val="00557A78"/>
    <w:rsid w:val="005603C2"/>
    <w:rsid w:val="00561EAB"/>
    <w:rsid w:val="005642A2"/>
    <w:rsid w:val="00566860"/>
    <w:rsid w:val="00567070"/>
    <w:rsid w:val="00571343"/>
    <w:rsid w:val="00571AC8"/>
    <w:rsid w:val="00572311"/>
    <w:rsid w:val="00572586"/>
    <w:rsid w:val="00572F9D"/>
    <w:rsid w:val="005730EC"/>
    <w:rsid w:val="00575059"/>
    <w:rsid w:val="00575932"/>
    <w:rsid w:val="005771C0"/>
    <w:rsid w:val="005771CF"/>
    <w:rsid w:val="005778FE"/>
    <w:rsid w:val="00580164"/>
    <w:rsid w:val="0058033F"/>
    <w:rsid w:val="00581AEE"/>
    <w:rsid w:val="00581DBB"/>
    <w:rsid w:val="00582E4F"/>
    <w:rsid w:val="0058372D"/>
    <w:rsid w:val="00583F6A"/>
    <w:rsid w:val="00585BED"/>
    <w:rsid w:val="00585DC1"/>
    <w:rsid w:val="00586A75"/>
    <w:rsid w:val="005877FF"/>
    <w:rsid w:val="00587A84"/>
    <w:rsid w:val="00587C66"/>
    <w:rsid w:val="00590991"/>
    <w:rsid w:val="00591867"/>
    <w:rsid w:val="00595C2B"/>
    <w:rsid w:val="005A0C65"/>
    <w:rsid w:val="005A23E3"/>
    <w:rsid w:val="005A78B0"/>
    <w:rsid w:val="005B2BAA"/>
    <w:rsid w:val="005B3879"/>
    <w:rsid w:val="005B4849"/>
    <w:rsid w:val="005B5259"/>
    <w:rsid w:val="005B571D"/>
    <w:rsid w:val="005B6D95"/>
    <w:rsid w:val="005B7540"/>
    <w:rsid w:val="005C10A2"/>
    <w:rsid w:val="005C1EC2"/>
    <w:rsid w:val="005C2153"/>
    <w:rsid w:val="005C3FD4"/>
    <w:rsid w:val="005C4AC2"/>
    <w:rsid w:val="005C5880"/>
    <w:rsid w:val="005C73CA"/>
    <w:rsid w:val="005D30C1"/>
    <w:rsid w:val="005D3F1D"/>
    <w:rsid w:val="005D42F7"/>
    <w:rsid w:val="005D681B"/>
    <w:rsid w:val="005E220B"/>
    <w:rsid w:val="005E322D"/>
    <w:rsid w:val="005E3607"/>
    <w:rsid w:val="005E421E"/>
    <w:rsid w:val="005E50EF"/>
    <w:rsid w:val="005E73AB"/>
    <w:rsid w:val="005E757F"/>
    <w:rsid w:val="005F04F0"/>
    <w:rsid w:val="005F0528"/>
    <w:rsid w:val="005F0B8D"/>
    <w:rsid w:val="005F2246"/>
    <w:rsid w:val="005F2AF8"/>
    <w:rsid w:val="005F5E70"/>
    <w:rsid w:val="005F688B"/>
    <w:rsid w:val="005F6FB1"/>
    <w:rsid w:val="005F7B44"/>
    <w:rsid w:val="00600F7B"/>
    <w:rsid w:val="006015D3"/>
    <w:rsid w:val="006047FA"/>
    <w:rsid w:val="006074C6"/>
    <w:rsid w:val="0061256A"/>
    <w:rsid w:val="00612F38"/>
    <w:rsid w:val="006158DF"/>
    <w:rsid w:val="00615B92"/>
    <w:rsid w:val="00616078"/>
    <w:rsid w:val="006160DA"/>
    <w:rsid w:val="00616E2C"/>
    <w:rsid w:val="00620448"/>
    <w:rsid w:val="00621998"/>
    <w:rsid w:val="0062259D"/>
    <w:rsid w:val="00622B22"/>
    <w:rsid w:val="00624403"/>
    <w:rsid w:val="00624F3D"/>
    <w:rsid w:val="006254BA"/>
    <w:rsid w:val="00630B7C"/>
    <w:rsid w:val="00632686"/>
    <w:rsid w:val="00633115"/>
    <w:rsid w:val="00633660"/>
    <w:rsid w:val="00633B9E"/>
    <w:rsid w:val="00633D04"/>
    <w:rsid w:val="00635D86"/>
    <w:rsid w:val="006367AC"/>
    <w:rsid w:val="00637F0A"/>
    <w:rsid w:val="00640A28"/>
    <w:rsid w:val="006416C1"/>
    <w:rsid w:val="00642C22"/>
    <w:rsid w:val="0064307F"/>
    <w:rsid w:val="00643E1A"/>
    <w:rsid w:val="00644EC2"/>
    <w:rsid w:val="00646543"/>
    <w:rsid w:val="00646DF5"/>
    <w:rsid w:val="00650397"/>
    <w:rsid w:val="006515D7"/>
    <w:rsid w:val="00653605"/>
    <w:rsid w:val="006544D1"/>
    <w:rsid w:val="00655EA3"/>
    <w:rsid w:val="00656AAC"/>
    <w:rsid w:val="00661A2D"/>
    <w:rsid w:val="00662186"/>
    <w:rsid w:val="00663382"/>
    <w:rsid w:val="0066350D"/>
    <w:rsid w:val="006635B3"/>
    <w:rsid w:val="006637C0"/>
    <w:rsid w:val="00663F6C"/>
    <w:rsid w:val="00664479"/>
    <w:rsid w:val="00664D2C"/>
    <w:rsid w:val="0066555B"/>
    <w:rsid w:val="00666619"/>
    <w:rsid w:val="0066670C"/>
    <w:rsid w:val="00670E09"/>
    <w:rsid w:val="00671890"/>
    <w:rsid w:val="00672FD8"/>
    <w:rsid w:val="00673D4A"/>
    <w:rsid w:val="00673D55"/>
    <w:rsid w:val="006742CF"/>
    <w:rsid w:val="0067446A"/>
    <w:rsid w:val="00674701"/>
    <w:rsid w:val="006748FD"/>
    <w:rsid w:val="006769AD"/>
    <w:rsid w:val="00680CE7"/>
    <w:rsid w:val="0068344A"/>
    <w:rsid w:val="0068474A"/>
    <w:rsid w:val="00684853"/>
    <w:rsid w:val="0068485F"/>
    <w:rsid w:val="00684E6F"/>
    <w:rsid w:val="00686A3A"/>
    <w:rsid w:val="006874A1"/>
    <w:rsid w:val="00687939"/>
    <w:rsid w:val="006902C9"/>
    <w:rsid w:val="00691A3C"/>
    <w:rsid w:val="00691BB8"/>
    <w:rsid w:val="00692738"/>
    <w:rsid w:val="006930A5"/>
    <w:rsid w:val="00693224"/>
    <w:rsid w:val="006955F0"/>
    <w:rsid w:val="00695867"/>
    <w:rsid w:val="00696749"/>
    <w:rsid w:val="00697F46"/>
    <w:rsid w:val="00697FBA"/>
    <w:rsid w:val="006A14B6"/>
    <w:rsid w:val="006A1854"/>
    <w:rsid w:val="006A23EC"/>
    <w:rsid w:val="006A30C8"/>
    <w:rsid w:val="006A542C"/>
    <w:rsid w:val="006A6000"/>
    <w:rsid w:val="006A660B"/>
    <w:rsid w:val="006A74EB"/>
    <w:rsid w:val="006B05F9"/>
    <w:rsid w:val="006B0FB0"/>
    <w:rsid w:val="006B4A10"/>
    <w:rsid w:val="006B57F4"/>
    <w:rsid w:val="006B61E8"/>
    <w:rsid w:val="006B6483"/>
    <w:rsid w:val="006B662A"/>
    <w:rsid w:val="006C0ABC"/>
    <w:rsid w:val="006C1474"/>
    <w:rsid w:val="006C179F"/>
    <w:rsid w:val="006C25C7"/>
    <w:rsid w:val="006C52E7"/>
    <w:rsid w:val="006C6A02"/>
    <w:rsid w:val="006D0033"/>
    <w:rsid w:val="006D063E"/>
    <w:rsid w:val="006D11FF"/>
    <w:rsid w:val="006D12B0"/>
    <w:rsid w:val="006D15D4"/>
    <w:rsid w:val="006D4528"/>
    <w:rsid w:val="006D49F1"/>
    <w:rsid w:val="006D4B04"/>
    <w:rsid w:val="006D5AAE"/>
    <w:rsid w:val="006D779F"/>
    <w:rsid w:val="006E0391"/>
    <w:rsid w:val="006E139F"/>
    <w:rsid w:val="006E3DF9"/>
    <w:rsid w:val="006E578D"/>
    <w:rsid w:val="006E5AA6"/>
    <w:rsid w:val="006E5DFF"/>
    <w:rsid w:val="006E7422"/>
    <w:rsid w:val="006E754A"/>
    <w:rsid w:val="006E7744"/>
    <w:rsid w:val="006E7DA9"/>
    <w:rsid w:val="006F0883"/>
    <w:rsid w:val="006F0B13"/>
    <w:rsid w:val="006F1016"/>
    <w:rsid w:val="006F30AA"/>
    <w:rsid w:val="006F3C76"/>
    <w:rsid w:val="006F4E4C"/>
    <w:rsid w:val="006F56CF"/>
    <w:rsid w:val="006F6084"/>
    <w:rsid w:val="006F6405"/>
    <w:rsid w:val="006F7F75"/>
    <w:rsid w:val="0070011E"/>
    <w:rsid w:val="00700AB9"/>
    <w:rsid w:val="00701211"/>
    <w:rsid w:val="007012CE"/>
    <w:rsid w:val="00703228"/>
    <w:rsid w:val="00704481"/>
    <w:rsid w:val="00704A63"/>
    <w:rsid w:val="00705156"/>
    <w:rsid w:val="007051A3"/>
    <w:rsid w:val="00705F80"/>
    <w:rsid w:val="007066B6"/>
    <w:rsid w:val="00707384"/>
    <w:rsid w:val="00711ED9"/>
    <w:rsid w:val="00715C5B"/>
    <w:rsid w:val="00716402"/>
    <w:rsid w:val="007201EC"/>
    <w:rsid w:val="00720435"/>
    <w:rsid w:val="007210D8"/>
    <w:rsid w:val="007213B9"/>
    <w:rsid w:val="00721AA2"/>
    <w:rsid w:val="0072315D"/>
    <w:rsid w:val="00723EDC"/>
    <w:rsid w:val="00725506"/>
    <w:rsid w:val="00725529"/>
    <w:rsid w:val="007264B1"/>
    <w:rsid w:val="00730598"/>
    <w:rsid w:val="0073215A"/>
    <w:rsid w:val="00733A48"/>
    <w:rsid w:val="007357BA"/>
    <w:rsid w:val="00735A41"/>
    <w:rsid w:val="00735BC2"/>
    <w:rsid w:val="00735E6D"/>
    <w:rsid w:val="00736CDB"/>
    <w:rsid w:val="0074023A"/>
    <w:rsid w:val="00740C32"/>
    <w:rsid w:val="00741018"/>
    <w:rsid w:val="00744FE4"/>
    <w:rsid w:val="007455E4"/>
    <w:rsid w:val="00745F3E"/>
    <w:rsid w:val="007460FC"/>
    <w:rsid w:val="00751B54"/>
    <w:rsid w:val="00751FBD"/>
    <w:rsid w:val="00753535"/>
    <w:rsid w:val="00755D2B"/>
    <w:rsid w:val="0076104B"/>
    <w:rsid w:val="007630F0"/>
    <w:rsid w:val="00765242"/>
    <w:rsid w:val="00766D50"/>
    <w:rsid w:val="00770367"/>
    <w:rsid w:val="007722CC"/>
    <w:rsid w:val="00773E36"/>
    <w:rsid w:val="007750C5"/>
    <w:rsid w:val="007755CA"/>
    <w:rsid w:val="0077672D"/>
    <w:rsid w:val="00777C14"/>
    <w:rsid w:val="007808C1"/>
    <w:rsid w:val="00782026"/>
    <w:rsid w:val="00782BAF"/>
    <w:rsid w:val="00785321"/>
    <w:rsid w:val="0078723D"/>
    <w:rsid w:val="00787308"/>
    <w:rsid w:val="00787643"/>
    <w:rsid w:val="00790EE8"/>
    <w:rsid w:val="00793CDE"/>
    <w:rsid w:val="00794B04"/>
    <w:rsid w:val="007959B6"/>
    <w:rsid w:val="007959E0"/>
    <w:rsid w:val="007A2108"/>
    <w:rsid w:val="007A21D9"/>
    <w:rsid w:val="007A5C5E"/>
    <w:rsid w:val="007B4D3A"/>
    <w:rsid w:val="007B6945"/>
    <w:rsid w:val="007B6C77"/>
    <w:rsid w:val="007B724E"/>
    <w:rsid w:val="007C24A2"/>
    <w:rsid w:val="007C2A7B"/>
    <w:rsid w:val="007C7649"/>
    <w:rsid w:val="007C7794"/>
    <w:rsid w:val="007C7A95"/>
    <w:rsid w:val="007D1272"/>
    <w:rsid w:val="007D2A67"/>
    <w:rsid w:val="007D3D70"/>
    <w:rsid w:val="007D626D"/>
    <w:rsid w:val="007D7BAB"/>
    <w:rsid w:val="007E0EE2"/>
    <w:rsid w:val="007E1450"/>
    <w:rsid w:val="007E20EA"/>
    <w:rsid w:val="007E3023"/>
    <w:rsid w:val="007E7484"/>
    <w:rsid w:val="007F1A7E"/>
    <w:rsid w:val="007F3549"/>
    <w:rsid w:val="007F4DF9"/>
    <w:rsid w:val="007F4F3D"/>
    <w:rsid w:val="007F5D82"/>
    <w:rsid w:val="007F620D"/>
    <w:rsid w:val="007F6C25"/>
    <w:rsid w:val="00800C76"/>
    <w:rsid w:val="008047B3"/>
    <w:rsid w:val="008070D5"/>
    <w:rsid w:val="00807A33"/>
    <w:rsid w:val="00812EE5"/>
    <w:rsid w:val="008142CE"/>
    <w:rsid w:val="008152C5"/>
    <w:rsid w:val="00820225"/>
    <w:rsid w:val="00820BF2"/>
    <w:rsid w:val="00820CFC"/>
    <w:rsid w:val="00824851"/>
    <w:rsid w:val="0082590A"/>
    <w:rsid w:val="00826C76"/>
    <w:rsid w:val="00826EB5"/>
    <w:rsid w:val="00827AB8"/>
    <w:rsid w:val="00830280"/>
    <w:rsid w:val="00830C37"/>
    <w:rsid w:val="00830D38"/>
    <w:rsid w:val="00830DF0"/>
    <w:rsid w:val="008315D4"/>
    <w:rsid w:val="008315D5"/>
    <w:rsid w:val="008331A9"/>
    <w:rsid w:val="00833BE5"/>
    <w:rsid w:val="0083583E"/>
    <w:rsid w:val="008375C8"/>
    <w:rsid w:val="008404A7"/>
    <w:rsid w:val="008411C9"/>
    <w:rsid w:val="0084184D"/>
    <w:rsid w:val="00842326"/>
    <w:rsid w:val="00842943"/>
    <w:rsid w:val="00846993"/>
    <w:rsid w:val="0085034F"/>
    <w:rsid w:val="0085162C"/>
    <w:rsid w:val="008524CD"/>
    <w:rsid w:val="00855831"/>
    <w:rsid w:val="00855C57"/>
    <w:rsid w:val="00856983"/>
    <w:rsid w:val="00856B31"/>
    <w:rsid w:val="00860A98"/>
    <w:rsid w:val="008616E3"/>
    <w:rsid w:val="008654F8"/>
    <w:rsid w:val="0086589B"/>
    <w:rsid w:val="00865B93"/>
    <w:rsid w:val="00865D7A"/>
    <w:rsid w:val="00870C0A"/>
    <w:rsid w:val="00872884"/>
    <w:rsid w:val="00873456"/>
    <w:rsid w:val="00875457"/>
    <w:rsid w:val="00876E92"/>
    <w:rsid w:val="008776B9"/>
    <w:rsid w:val="00880170"/>
    <w:rsid w:val="00880BD9"/>
    <w:rsid w:val="00882E64"/>
    <w:rsid w:val="00884E2E"/>
    <w:rsid w:val="00884EB5"/>
    <w:rsid w:val="00892771"/>
    <w:rsid w:val="008928FB"/>
    <w:rsid w:val="008949C1"/>
    <w:rsid w:val="00895834"/>
    <w:rsid w:val="00895C0D"/>
    <w:rsid w:val="00895FD2"/>
    <w:rsid w:val="00897620"/>
    <w:rsid w:val="00897CF7"/>
    <w:rsid w:val="008A1B02"/>
    <w:rsid w:val="008A4913"/>
    <w:rsid w:val="008A74A7"/>
    <w:rsid w:val="008B13E4"/>
    <w:rsid w:val="008B28E7"/>
    <w:rsid w:val="008B36FF"/>
    <w:rsid w:val="008B381B"/>
    <w:rsid w:val="008B3C81"/>
    <w:rsid w:val="008B3C94"/>
    <w:rsid w:val="008B5D3A"/>
    <w:rsid w:val="008C0518"/>
    <w:rsid w:val="008C24DF"/>
    <w:rsid w:val="008C29CA"/>
    <w:rsid w:val="008C2E0D"/>
    <w:rsid w:val="008C48B6"/>
    <w:rsid w:val="008C5477"/>
    <w:rsid w:val="008C637B"/>
    <w:rsid w:val="008C7BC0"/>
    <w:rsid w:val="008D16CA"/>
    <w:rsid w:val="008D2DCF"/>
    <w:rsid w:val="008D4B2A"/>
    <w:rsid w:val="008D5455"/>
    <w:rsid w:val="008D5C7D"/>
    <w:rsid w:val="008D5D52"/>
    <w:rsid w:val="008D75B7"/>
    <w:rsid w:val="008E09C9"/>
    <w:rsid w:val="008E156A"/>
    <w:rsid w:val="008E1A5B"/>
    <w:rsid w:val="008E1C9A"/>
    <w:rsid w:val="008E1D22"/>
    <w:rsid w:val="008E1D41"/>
    <w:rsid w:val="008E2314"/>
    <w:rsid w:val="008E6929"/>
    <w:rsid w:val="008F1059"/>
    <w:rsid w:val="008F18E4"/>
    <w:rsid w:val="008F27F0"/>
    <w:rsid w:val="008F286B"/>
    <w:rsid w:val="008F3375"/>
    <w:rsid w:val="008F54BB"/>
    <w:rsid w:val="008F7F45"/>
    <w:rsid w:val="00900CB7"/>
    <w:rsid w:val="00901D4A"/>
    <w:rsid w:val="00902D96"/>
    <w:rsid w:val="00903FB9"/>
    <w:rsid w:val="00906567"/>
    <w:rsid w:val="00906A10"/>
    <w:rsid w:val="009075CB"/>
    <w:rsid w:val="00907CC2"/>
    <w:rsid w:val="00910C9F"/>
    <w:rsid w:val="00912B32"/>
    <w:rsid w:val="0091458F"/>
    <w:rsid w:val="00915894"/>
    <w:rsid w:val="009165DA"/>
    <w:rsid w:val="00917E0B"/>
    <w:rsid w:val="00920F42"/>
    <w:rsid w:val="00921685"/>
    <w:rsid w:val="0092532D"/>
    <w:rsid w:val="00926A57"/>
    <w:rsid w:val="00927219"/>
    <w:rsid w:val="009309FB"/>
    <w:rsid w:val="009317E9"/>
    <w:rsid w:val="00932B8B"/>
    <w:rsid w:val="00932C38"/>
    <w:rsid w:val="009339A8"/>
    <w:rsid w:val="00935F6B"/>
    <w:rsid w:val="00937822"/>
    <w:rsid w:val="0094271D"/>
    <w:rsid w:val="009432FC"/>
    <w:rsid w:val="009433A2"/>
    <w:rsid w:val="009440B6"/>
    <w:rsid w:val="009464D3"/>
    <w:rsid w:val="00951AC8"/>
    <w:rsid w:val="009522CA"/>
    <w:rsid w:val="0095231E"/>
    <w:rsid w:val="00954E96"/>
    <w:rsid w:val="0095792C"/>
    <w:rsid w:val="009618FD"/>
    <w:rsid w:val="00962A8A"/>
    <w:rsid w:val="009646A6"/>
    <w:rsid w:val="00965AAC"/>
    <w:rsid w:val="00965C61"/>
    <w:rsid w:val="00967FED"/>
    <w:rsid w:val="00972C7C"/>
    <w:rsid w:val="00974B53"/>
    <w:rsid w:val="00975FC9"/>
    <w:rsid w:val="0097699F"/>
    <w:rsid w:val="0097755B"/>
    <w:rsid w:val="00980F40"/>
    <w:rsid w:val="00982AB9"/>
    <w:rsid w:val="00983592"/>
    <w:rsid w:val="009852AA"/>
    <w:rsid w:val="009856F4"/>
    <w:rsid w:val="009858A1"/>
    <w:rsid w:val="009861A6"/>
    <w:rsid w:val="0098669D"/>
    <w:rsid w:val="009868F3"/>
    <w:rsid w:val="00987D12"/>
    <w:rsid w:val="009917C4"/>
    <w:rsid w:val="00991826"/>
    <w:rsid w:val="009918BE"/>
    <w:rsid w:val="00993D7E"/>
    <w:rsid w:val="00994095"/>
    <w:rsid w:val="009943CC"/>
    <w:rsid w:val="00995827"/>
    <w:rsid w:val="00996C8C"/>
    <w:rsid w:val="009A07B7"/>
    <w:rsid w:val="009A2234"/>
    <w:rsid w:val="009A47D4"/>
    <w:rsid w:val="009A52BD"/>
    <w:rsid w:val="009A58CF"/>
    <w:rsid w:val="009B122D"/>
    <w:rsid w:val="009B487E"/>
    <w:rsid w:val="009B57A8"/>
    <w:rsid w:val="009B6A54"/>
    <w:rsid w:val="009B7808"/>
    <w:rsid w:val="009C0674"/>
    <w:rsid w:val="009C1450"/>
    <w:rsid w:val="009C25F0"/>
    <w:rsid w:val="009C38BA"/>
    <w:rsid w:val="009C5A4E"/>
    <w:rsid w:val="009C6304"/>
    <w:rsid w:val="009D174C"/>
    <w:rsid w:val="009D1963"/>
    <w:rsid w:val="009D2E79"/>
    <w:rsid w:val="009D3998"/>
    <w:rsid w:val="009D7210"/>
    <w:rsid w:val="009E4799"/>
    <w:rsid w:val="009E517C"/>
    <w:rsid w:val="009E7985"/>
    <w:rsid w:val="009F21B5"/>
    <w:rsid w:val="009F2FE9"/>
    <w:rsid w:val="009F3C80"/>
    <w:rsid w:val="009F40F3"/>
    <w:rsid w:val="009F468A"/>
    <w:rsid w:val="009F7E87"/>
    <w:rsid w:val="009F7F39"/>
    <w:rsid w:val="00A0304D"/>
    <w:rsid w:val="00A033AC"/>
    <w:rsid w:val="00A03A4A"/>
    <w:rsid w:val="00A049F7"/>
    <w:rsid w:val="00A0538E"/>
    <w:rsid w:val="00A129E0"/>
    <w:rsid w:val="00A134E3"/>
    <w:rsid w:val="00A13776"/>
    <w:rsid w:val="00A14DB0"/>
    <w:rsid w:val="00A15654"/>
    <w:rsid w:val="00A15A58"/>
    <w:rsid w:val="00A168B1"/>
    <w:rsid w:val="00A23774"/>
    <w:rsid w:val="00A24B2B"/>
    <w:rsid w:val="00A271DB"/>
    <w:rsid w:val="00A309AD"/>
    <w:rsid w:val="00A320E1"/>
    <w:rsid w:val="00A32EEF"/>
    <w:rsid w:val="00A33CC5"/>
    <w:rsid w:val="00A3423C"/>
    <w:rsid w:val="00A346B7"/>
    <w:rsid w:val="00A379A7"/>
    <w:rsid w:val="00A37B97"/>
    <w:rsid w:val="00A40ADF"/>
    <w:rsid w:val="00A41DFB"/>
    <w:rsid w:val="00A42B90"/>
    <w:rsid w:val="00A433A2"/>
    <w:rsid w:val="00A448CD"/>
    <w:rsid w:val="00A44A5F"/>
    <w:rsid w:val="00A45E2C"/>
    <w:rsid w:val="00A4625C"/>
    <w:rsid w:val="00A52A5F"/>
    <w:rsid w:val="00A549BA"/>
    <w:rsid w:val="00A5513A"/>
    <w:rsid w:val="00A56C56"/>
    <w:rsid w:val="00A604BB"/>
    <w:rsid w:val="00A60FDA"/>
    <w:rsid w:val="00A61F31"/>
    <w:rsid w:val="00A64525"/>
    <w:rsid w:val="00A6610B"/>
    <w:rsid w:val="00A66587"/>
    <w:rsid w:val="00A66E16"/>
    <w:rsid w:val="00A671D2"/>
    <w:rsid w:val="00A67A81"/>
    <w:rsid w:val="00A70142"/>
    <w:rsid w:val="00A70503"/>
    <w:rsid w:val="00A74E14"/>
    <w:rsid w:val="00A757B3"/>
    <w:rsid w:val="00A76099"/>
    <w:rsid w:val="00A7620C"/>
    <w:rsid w:val="00A82BD8"/>
    <w:rsid w:val="00A856E5"/>
    <w:rsid w:val="00A85E5A"/>
    <w:rsid w:val="00A85EB2"/>
    <w:rsid w:val="00A921BD"/>
    <w:rsid w:val="00A92842"/>
    <w:rsid w:val="00A93435"/>
    <w:rsid w:val="00A93916"/>
    <w:rsid w:val="00A93D93"/>
    <w:rsid w:val="00A941D1"/>
    <w:rsid w:val="00A96180"/>
    <w:rsid w:val="00A9644D"/>
    <w:rsid w:val="00A97E7D"/>
    <w:rsid w:val="00AA4938"/>
    <w:rsid w:val="00AA4B48"/>
    <w:rsid w:val="00AA5599"/>
    <w:rsid w:val="00AA624C"/>
    <w:rsid w:val="00AA71D7"/>
    <w:rsid w:val="00AA7E72"/>
    <w:rsid w:val="00AA7F8B"/>
    <w:rsid w:val="00AB4A30"/>
    <w:rsid w:val="00AB5CCC"/>
    <w:rsid w:val="00AB657B"/>
    <w:rsid w:val="00AC29AB"/>
    <w:rsid w:val="00AC3198"/>
    <w:rsid w:val="00AC39DE"/>
    <w:rsid w:val="00AC5AB3"/>
    <w:rsid w:val="00AC7D05"/>
    <w:rsid w:val="00AC7DA4"/>
    <w:rsid w:val="00AD3471"/>
    <w:rsid w:val="00AD5696"/>
    <w:rsid w:val="00AD6DE8"/>
    <w:rsid w:val="00AE13CE"/>
    <w:rsid w:val="00AE215C"/>
    <w:rsid w:val="00AE26F3"/>
    <w:rsid w:val="00AE3E43"/>
    <w:rsid w:val="00AE40DF"/>
    <w:rsid w:val="00AE5696"/>
    <w:rsid w:val="00AE72B2"/>
    <w:rsid w:val="00AE7DE2"/>
    <w:rsid w:val="00AF31B7"/>
    <w:rsid w:val="00AF3DC4"/>
    <w:rsid w:val="00AF4871"/>
    <w:rsid w:val="00AF4BD8"/>
    <w:rsid w:val="00AF4C9B"/>
    <w:rsid w:val="00AF514F"/>
    <w:rsid w:val="00AF5B31"/>
    <w:rsid w:val="00AF6E7F"/>
    <w:rsid w:val="00B01E49"/>
    <w:rsid w:val="00B023EB"/>
    <w:rsid w:val="00B0371C"/>
    <w:rsid w:val="00B039FC"/>
    <w:rsid w:val="00B046E1"/>
    <w:rsid w:val="00B05CA0"/>
    <w:rsid w:val="00B07858"/>
    <w:rsid w:val="00B0786D"/>
    <w:rsid w:val="00B07B3B"/>
    <w:rsid w:val="00B07DDB"/>
    <w:rsid w:val="00B14675"/>
    <w:rsid w:val="00B14DFB"/>
    <w:rsid w:val="00B1645B"/>
    <w:rsid w:val="00B17734"/>
    <w:rsid w:val="00B17BFA"/>
    <w:rsid w:val="00B17CE2"/>
    <w:rsid w:val="00B202F4"/>
    <w:rsid w:val="00B20585"/>
    <w:rsid w:val="00B213BB"/>
    <w:rsid w:val="00B23140"/>
    <w:rsid w:val="00B236BD"/>
    <w:rsid w:val="00B25B35"/>
    <w:rsid w:val="00B2651A"/>
    <w:rsid w:val="00B27B60"/>
    <w:rsid w:val="00B35165"/>
    <w:rsid w:val="00B35A4A"/>
    <w:rsid w:val="00B36B58"/>
    <w:rsid w:val="00B409CF"/>
    <w:rsid w:val="00B43A85"/>
    <w:rsid w:val="00B4616A"/>
    <w:rsid w:val="00B46522"/>
    <w:rsid w:val="00B50AED"/>
    <w:rsid w:val="00B5104D"/>
    <w:rsid w:val="00B52C3C"/>
    <w:rsid w:val="00B52E36"/>
    <w:rsid w:val="00B562FD"/>
    <w:rsid w:val="00B57AC6"/>
    <w:rsid w:val="00B64065"/>
    <w:rsid w:val="00B667B1"/>
    <w:rsid w:val="00B66BD6"/>
    <w:rsid w:val="00B7054D"/>
    <w:rsid w:val="00B715AD"/>
    <w:rsid w:val="00B742EC"/>
    <w:rsid w:val="00B746B3"/>
    <w:rsid w:val="00B7474B"/>
    <w:rsid w:val="00B77089"/>
    <w:rsid w:val="00B802CE"/>
    <w:rsid w:val="00B8255A"/>
    <w:rsid w:val="00B82C32"/>
    <w:rsid w:val="00B85790"/>
    <w:rsid w:val="00B85EA6"/>
    <w:rsid w:val="00B87FFA"/>
    <w:rsid w:val="00B9072C"/>
    <w:rsid w:val="00B92B62"/>
    <w:rsid w:val="00B94201"/>
    <w:rsid w:val="00B9501C"/>
    <w:rsid w:val="00B95C5D"/>
    <w:rsid w:val="00BA0003"/>
    <w:rsid w:val="00BA0F8C"/>
    <w:rsid w:val="00BA1159"/>
    <w:rsid w:val="00BA1387"/>
    <w:rsid w:val="00BA26D0"/>
    <w:rsid w:val="00BA649F"/>
    <w:rsid w:val="00BA7243"/>
    <w:rsid w:val="00BA79BB"/>
    <w:rsid w:val="00BB040B"/>
    <w:rsid w:val="00BB112F"/>
    <w:rsid w:val="00BB66BB"/>
    <w:rsid w:val="00BB68B1"/>
    <w:rsid w:val="00BC131C"/>
    <w:rsid w:val="00BC2FBD"/>
    <w:rsid w:val="00BC68AE"/>
    <w:rsid w:val="00BD2C9C"/>
    <w:rsid w:val="00BD3E62"/>
    <w:rsid w:val="00BD5487"/>
    <w:rsid w:val="00BD591C"/>
    <w:rsid w:val="00BD5985"/>
    <w:rsid w:val="00BD5C52"/>
    <w:rsid w:val="00BD5CC5"/>
    <w:rsid w:val="00BD66E7"/>
    <w:rsid w:val="00BE1ABD"/>
    <w:rsid w:val="00BE5F2F"/>
    <w:rsid w:val="00BE5F55"/>
    <w:rsid w:val="00BE67B9"/>
    <w:rsid w:val="00BE750A"/>
    <w:rsid w:val="00BF1E21"/>
    <w:rsid w:val="00BF3C78"/>
    <w:rsid w:val="00BF5D30"/>
    <w:rsid w:val="00BF5DF5"/>
    <w:rsid w:val="00BF65E8"/>
    <w:rsid w:val="00BF6625"/>
    <w:rsid w:val="00BF6D8E"/>
    <w:rsid w:val="00C01A76"/>
    <w:rsid w:val="00C01A9C"/>
    <w:rsid w:val="00C03594"/>
    <w:rsid w:val="00C04078"/>
    <w:rsid w:val="00C045FA"/>
    <w:rsid w:val="00C0489E"/>
    <w:rsid w:val="00C04D30"/>
    <w:rsid w:val="00C13431"/>
    <w:rsid w:val="00C13502"/>
    <w:rsid w:val="00C1383B"/>
    <w:rsid w:val="00C145AC"/>
    <w:rsid w:val="00C1703C"/>
    <w:rsid w:val="00C17643"/>
    <w:rsid w:val="00C17863"/>
    <w:rsid w:val="00C204D0"/>
    <w:rsid w:val="00C24A01"/>
    <w:rsid w:val="00C265EC"/>
    <w:rsid w:val="00C26FE5"/>
    <w:rsid w:val="00C27464"/>
    <w:rsid w:val="00C3067B"/>
    <w:rsid w:val="00C30FD1"/>
    <w:rsid w:val="00C31533"/>
    <w:rsid w:val="00C3182D"/>
    <w:rsid w:val="00C33CAB"/>
    <w:rsid w:val="00C36696"/>
    <w:rsid w:val="00C3699B"/>
    <w:rsid w:val="00C36FB4"/>
    <w:rsid w:val="00C4051A"/>
    <w:rsid w:val="00C41258"/>
    <w:rsid w:val="00C43159"/>
    <w:rsid w:val="00C444B1"/>
    <w:rsid w:val="00C55470"/>
    <w:rsid w:val="00C55ACD"/>
    <w:rsid w:val="00C568BE"/>
    <w:rsid w:val="00C56E6B"/>
    <w:rsid w:val="00C56EA8"/>
    <w:rsid w:val="00C60F36"/>
    <w:rsid w:val="00C624B9"/>
    <w:rsid w:val="00C63269"/>
    <w:rsid w:val="00C63C4E"/>
    <w:rsid w:val="00C66E2E"/>
    <w:rsid w:val="00C70778"/>
    <w:rsid w:val="00C70AD5"/>
    <w:rsid w:val="00C71623"/>
    <w:rsid w:val="00C71842"/>
    <w:rsid w:val="00C748C5"/>
    <w:rsid w:val="00C7630D"/>
    <w:rsid w:val="00C76C8F"/>
    <w:rsid w:val="00C7786E"/>
    <w:rsid w:val="00C80B6E"/>
    <w:rsid w:val="00C82389"/>
    <w:rsid w:val="00C83D85"/>
    <w:rsid w:val="00C84F28"/>
    <w:rsid w:val="00C8678A"/>
    <w:rsid w:val="00C86EE6"/>
    <w:rsid w:val="00C8727D"/>
    <w:rsid w:val="00C90F9A"/>
    <w:rsid w:val="00C91741"/>
    <w:rsid w:val="00C92F1C"/>
    <w:rsid w:val="00C94DD4"/>
    <w:rsid w:val="00C95483"/>
    <w:rsid w:val="00C96DB7"/>
    <w:rsid w:val="00CA040F"/>
    <w:rsid w:val="00CA0618"/>
    <w:rsid w:val="00CA078C"/>
    <w:rsid w:val="00CA19A9"/>
    <w:rsid w:val="00CA1AAF"/>
    <w:rsid w:val="00CA1E0B"/>
    <w:rsid w:val="00CA42CF"/>
    <w:rsid w:val="00CB10A8"/>
    <w:rsid w:val="00CB2453"/>
    <w:rsid w:val="00CB26DA"/>
    <w:rsid w:val="00CB297A"/>
    <w:rsid w:val="00CB556B"/>
    <w:rsid w:val="00CB58F2"/>
    <w:rsid w:val="00CB6C17"/>
    <w:rsid w:val="00CC24DE"/>
    <w:rsid w:val="00CC492A"/>
    <w:rsid w:val="00CC5AE3"/>
    <w:rsid w:val="00CC7181"/>
    <w:rsid w:val="00CD04ED"/>
    <w:rsid w:val="00CD04F0"/>
    <w:rsid w:val="00CD1D4A"/>
    <w:rsid w:val="00CD2E94"/>
    <w:rsid w:val="00CD32D8"/>
    <w:rsid w:val="00CD4023"/>
    <w:rsid w:val="00CD4350"/>
    <w:rsid w:val="00CD53F1"/>
    <w:rsid w:val="00CD6062"/>
    <w:rsid w:val="00CE1F00"/>
    <w:rsid w:val="00CE2218"/>
    <w:rsid w:val="00CE42CB"/>
    <w:rsid w:val="00CE5767"/>
    <w:rsid w:val="00CE770C"/>
    <w:rsid w:val="00CF0FE5"/>
    <w:rsid w:val="00CF462F"/>
    <w:rsid w:val="00CF56FF"/>
    <w:rsid w:val="00CF6064"/>
    <w:rsid w:val="00D01FBF"/>
    <w:rsid w:val="00D0437B"/>
    <w:rsid w:val="00D06B96"/>
    <w:rsid w:val="00D07522"/>
    <w:rsid w:val="00D104C0"/>
    <w:rsid w:val="00D10FEB"/>
    <w:rsid w:val="00D11932"/>
    <w:rsid w:val="00D124DB"/>
    <w:rsid w:val="00D12A67"/>
    <w:rsid w:val="00D221D3"/>
    <w:rsid w:val="00D22E2C"/>
    <w:rsid w:val="00D23560"/>
    <w:rsid w:val="00D2420A"/>
    <w:rsid w:val="00D314F0"/>
    <w:rsid w:val="00D32F0E"/>
    <w:rsid w:val="00D35109"/>
    <w:rsid w:val="00D35FE0"/>
    <w:rsid w:val="00D3698D"/>
    <w:rsid w:val="00D36C57"/>
    <w:rsid w:val="00D4089B"/>
    <w:rsid w:val="00D42A33"/>
    <w:rsid w:val="00D5565B"/>
    <w:rsid w:val="00D55EED"/>
    <w:rsid w:val="00D5618E"/>
    <w:rsid w:val="00D61650"/>
    <w:rsid w:val="00D623C5"/>
    <w:rsid w:val="00D63913"/>
    <w:rsid w:val="00D658F4"/>
    <w:rsid w:val="00D66D1B"/>
    <w:rsid w:val="00D67FA9"/>
    <w:rsid w:val="00D736E5"/>
    <w:rsid w:val="00D749A0"/>
    <w:rsid w:val="00D758FA"/>
    <w:rsid w:val="00D75A6C"/>
    <w:rsid w:val="00D76917"/>
    <w:rsid w:val="00D77E9F"/>
    <w:rsid w:val="00D80843"/>
    <w:rsid w:val="00D820E4"/>
    <w:rsid w:val="00D82DF3"/>
    <w:rsid w:val="00D8306D"/>
    <w:rsid w:val="00D83A53"/>
    <w:rsid w:val="00D840EE"/>
    <w:rsid w:val="00D843EF"/>
    <w:rsid w:val="00D84975"/>
    <w:rsid w:val="00D912C9"/>
    <w:rsid w:val="00D914D6"/>
    <w:rsid w:val="00D91647"/>
    <w:rsid w:val="00D91DC6"/>
    <w:rsid w:val="00D91DDD"/>
    <w:rsid w:val="00D94A47"/>
    <w:rsid w:val="00D95472"/>
    <w:rsid w:val="00D9551D"/>
    <w:rsid w:val="00D95C78"/>
    <w:rsid w:val="00D97BE0"/>
    <w:rsid w:val="00DA1F85"/>
    <w:rsid w:val="00DA3BFD"/>
    <w:rsid w:val="00DA3F4D"/>
    <w:rsid w:val="00DA5360"/>
    <w:rsid w:val="00DA702D"/>
    <w:rsid w:val="00DB2878"/>
    <w:rsid w:val="00DB4A2C"/>
    <w:rsid w:val="00DB4E55"/>
    <w:rsid w:val="00DB5407"/>
    <w:rsid w:val="00DC0BBA"/>
    <w:rsid w:val="00DC1D25"/>
    <w:rsid w:val="00DC31A7"/>
    <w:rsid w:val="00DC338D"/>
    <w:rsid w:val="00DC33D5"/>
    <w:rsid w:val="00DC40E7"/>
    <w:rsid w:val="00DC48AA"/>
    <w:rsid w:val="00DC7C7A"/>
    <w:rsid w:val="00DD27DA"/>
    <w:rsid w:val="00DD426B"/>
    <w:rsid w:val="00DD5EEC"/>
    <w:rsid w:val="00DE1793"/>
    <w:rsid w:val="00DE1968"/>
    <w:rsid w:val="00DE1A79"/>
    <w:rsid w:val="00DE2E68"/>
    <w:rsid w:val="00DE3995"/>
    <w:rsid w:val="00DE51CA"/>
    <w:rsid w:val="00DE6B4E"/>
    <w:rsid w:val="00DE7A10"/>
    <w:rsid w:val="00DE7A6D"/>
    <w:rsid w:val="00DF5A80"/>
    <w:rsid w:val="00DF5B2F"/>
    <w:rsid w:val="00DF7F84"/>
    <w:rsid w:val="00E00011"/>
    <w:rsid w:val="00E002C8"/>
    <w:rsid w:val="00E0045C"/>
    <w:rsid w:val="00E01301"/>
    <w:rsid w:val="00E04923"/>
    <w:rsid w:val="00E050E3"/>
    <w:rsid w:val="00E059EC"/>
    <w:rsid w:val="00E05D86"/>
    <w:rsid w:val="00E10037"/>
    <w:rsid w:val="00E12604"/>
    <w:rsid w:val="00E20E91"/>
    <w:rsid w:val="00E21407"/>
    <w:rsid w:val="00E22051"/>
    <w:rsid w:val="00E221B3"/>
    <w:rsid w:val="00E24131"/>
    <w:rsid w:val="00E26637"/>
    <w:rsid w:val="00E273F9"/>
    <w:rsid w:val="00E30D27"/>
    <w:rsid w:val="00E314A6"/>
    <w:rsid w:val="00E31917"/>
    <w:rsid w:val="00E3353B"/>
    <w:rsid w:val="00E3416E"/>
    <w:rsid w:val="00E34EDF"/>
    <w:rsid w:val="00E40199"/>
    <w:rsid w:val="00E42AAB"/>
    <w:rsid w:val="00E47FA6"/>
    <w:rsid w:val="00E5244F"/>
    <w:rsid w:val="00E52501"/>
    <w:rsid w:val="00E5473E"/>
    <w:rsid w:val="00E54E23"/>
    <w:rsid w:val="00E55259"/>
    <w:rsid w:val="00E56C84"/>
    <w:rsid w:val="00E6009E"/>
    <w:rsid w:val="00E61532"/>
    <w:rsid w:val="00E61B6D"/>
    <w:rsid w:val="00E62D2E"/>
    <w:rsid w:val="00E6570F"/>
    <w:rsid w:val="00E65DF6"/>
    <w:rsid w:val="00E7386E"/>
    <w:rsid w:val="00E74594"/>
    <w:rsid w:val="00E7497F"/>
    <w:rsid w:val="00E769E9"/>
    <w:rsid w:val="00E8026E"/>
    <w:rsid w:val="00E80B0F"/>
    <w:rsid w:val="00E8138A"/>
    <w:rsid w:val="00E818DC"/>
    <w:rsid w:val="00E82141"/>
    <w:rsid w:val="00E82FD8"/>
    <w:rsid w:val="00E840F5"/>
    <w:rsid w:val="00E84EA1"/>
    <w:rsid w:val="00E84FFB"/>
    <w:rsid w:val="00E8663C"/>
    <w:rsid w:val="00E87373"/>
    <w:rsid w:val="00E877F3"/>
    <w:rsid w:val="00E91E80"/>
    <w:rsid w:val="00E92017"/>
    <w:rsid w:val="00E921A0"/>
    <w:rsid w:val="00E92FEE"/>
    <w:rsid w:val="00E963BE"/>
    <w:rsid w:val="00E96F39"/>
    <w:rsid w:val="00EA0A02"/>
    <w:rsid w:val="00EA0B83"/>
    <w:rsid w:val="00EA1808"/>
    <w:rsid w:val="00EA2993"/>
    <w:rsid w:val="00EA5A47"/>
    <w:rsid w:val="00EA6A3C"/>
    <w:rsid w:val="00EA6DC1"/>
    <w:rsid w:val="00EB0293"/>
    <w:rsid w:val="00EB37E6"/>
    <w:rsid w:val="00EB38CA"/>
    <w:rsid w:val="00EB3CB1"/>
    <w:rsid w:val="00EB5F8D"/>
    <w:rsid w:val="00EB7473"/>
    <w:rsid w:val="00ED093E"/>
    <w:rsid w:val="00ED0FF7"/>
    <w:rsid w:val="00ED2CDB"/>
    <w:rsid w:val="00ED4BBB"/>
    <w:rsid w:val="00ED5216"/>
    <w:rsid w:val="00ED5CD3"/>
    <w:rsid w:val="00ED67C8"/>
    <w:rsid w:val="00EE3A1A"/>
    <w:rsid w:val="00EE49CE"/>
    <w:rsid w:val="00EF06B2"/>
    <w:rsid w:val="00EF1F16"/>
    <w:rsid w:val="00EF2E70"/>
    <w:rsid w:val="00EF3D57"/>
    <w:rsid w:val="00EF4640"/>
    <w:rsid w:val="00EF59E3"/>
    <w:rsid w:val="00EF7150"/>
    <w:rsid w:val="00F003A1"/>
    <w:rsid w:val="00F0108C"/>
    <w:rsid w:val="00F01538"/>
    <w:rsid w:val="00F01696"/>
    <w:rsid w:val="00F03377"/>
    <w:rsid w:val="00F07AA9"/>
    <w:rsid w:val="00F10C25"/>
    <w:rsid w:val="00F10E4E"/>
    <w:rsid w:val="00F126CB"/>
    <w:rsid w:val="00F12FB4"/>
    <w:rsid w:val="00F13592"/>
    <w:rsid w:val="00F13687"/>
    <w:rsid w:val="00F14364"/>
    <w:rsid w:val="00F15067"/>
    <w:rsid w:val="00F163F9"/>
    <w:rsid w:val="00F2138C"/>
    <w:rsid w:val="00F2317C"/>
    <w:rsid w:val="00F262DF"/>
    <w:rsid w:val="00F2680D"/>
    <w:rsid w:val="00F27590"/>
    <w:rsid w:val="00F27B35"/>
    <w:rsid w:val="00F27CD3"/>
    <w:rsid w:val="00F27D61"/>
    <w:rsid w:val="00F313B0"/>
    <w:rsid w:val="00F31B85"/>
    <w:rsid w:val="00F3282E"/>
    <w:rsid w:val="00F32E54"/>
    <w:rsid w:val="00F37BFA"/>
    <w:rsid w:val="00F424A0"/>
    <w:rsid w:val="00F42B35"/>
    <w:rsid w:val="00F44CE4"/>
    <w:rsid w:val="00F45C53"/>
    <w:rsid w:val="00F45FFB"/>
    <w:rsid w:val="00F53988"/>
    <w:rsid w:val="00F53A0A"/>
    <w:rsid w:val="00F54DF6"/>
    <w:rsid w:val="00F54F4F"/>
    <w:rsid w:val="00F555C7"/>
    <w:rsid w:val="00F55B6B"/>
    <w:rsid w:val="00F56D41"/>
    <w:rsid w:val="00F629A9"/>
    <w:rsid w:val="00F63A8B"/>
    <w:rsid w:val="00F64F5C"/>
    <w:rsid w:val="00F67180"/>
    <w:rsid w:val="00F678A3"/>
    <w:rsid w:val="00F71BA6"/>
    <w:rsid w:val="00F74BB4"/>
    <w:rsid w:val="00F75173"/>
    <w:rsid w:val="00F754BE"/>
    <w:rsid w:val="00F75ED8"/>
    <w:rsid w:val="00F76064"/>
    <w:rsid w:val="00F76942"/>
    <w:rsid w:val="00F76B82"/>
    <w:rsid w:val="00F7715E"/>
    <w:rsid w:val="00F813C4"/>
    <w:rsid w:val="00F82C71"/>
    <w:rsid w:val="00F833D5"/>
    <w:rsid w:val="00F83854"/>
    <w:rsid w:val="00F838F6"/>
    <w:rsid w:val="00F85D25"/>
    <w:rsid w:val="00F867D1"/>
    <w:rsid w:val="00F908C1"/>
    <w:rsid w:val="00F9175B"/>
    <w:rsid w:val="00F93145"/>
    <w:rsid w:val="00F9513E"/>
    <w:rsid w:val="00F9575C"/>
    <w:rsid w:val="00F96DE0"/>
    <w:rsid w:val="00F97CF2"/>
    <w:rsid w:val="00FA0A3E"/>
    <w:rsid w:val="00FA2D02"/>
    <w:rsid w:val="00FA2F25"/>
    <w:rsid w:val="00FA56A9"/>
    <w:rsid w:val="00FA5784"/>
    <w:rsid w:val="00FA74A9"/>
    <w:rsid w:val="00FB219E"/>
    <w:rsid w:val="00FB4159"/>
    <w:rsid w:val="00FB500A"/>
    <w:rsid w:val="00FB5E34"/>
    <w:rsid w:val="00FB643C"/>
    <w:rsid w:val="00FB71B0"/>
    <w:rsid w:val="00FB78AC"/>
    <w:rsid w:val="00FC0189"/>
    <w:rsid w:val="00FC0F86"/>
    <w:rsid w:val="00FC1EAF"/>
    <w:rsid w:val="00FC3675"/>
    <w:rsid w:val="00FC457A"/>
    <w:rsid w:val="00FC49A0"/>
    <w:rsid w:val="00FC49FE"/>
    <w:rsid w:val="00FC50F3"/>
    <w:rsid w:val="00FC6CA9"/>
    <w:rsid w:val="00FD0283"/>
    <w:rsid w:val="00FD0C84"/>
    <w:rsid w:val="00FD1D26"/>
    <w:rsid w:val="00FD1E00"/>
    <w:rsid w:val="00FD1E27"/>
    <w:rsid w:val="00FD2367"/>
    <w:rsid w:val="00FE0D87"/>
    <w:rsid w:val="00FE0DC4"/>
    <w:rsid w:val="00FE0F96"/>
    <w:rsid w:val="00FE1EC3"/>
    <w:rsid w:val="00FE345C"/>
    <w:rsid w:val="00FE465E"/>
    <w:rsid w:val="00FE493E"/>
    <w:rsid w:val="00FE4B74"/>
    <w:rsid w:val="00FE4CA7"/>
    <w:rsid w:val="00FE4E12"/>
    <w:rsid w:val="00FE68A8"/>
    <w:rsid w:val="00FE7E1D"/>
    <w:rsid w:val="00FF0A56"/>
    <w:rsid w:val="00FF1C1C"/>
    <w:rsid w:val="00FF449F"/>
    <w:rsid w:val="00FF4A1F"/>
    <w:rsid w:val="00FF549A"/>
    <w:rsid w:val="00FF5709"/>
    <w:rsid w:val="00FF75C1"/>
    <w:rsid w:val="00FF7D9A"/>
    <w:rsid w:val="01124CC5"/>
    <w:rsid w:val="011C4500"/>
    <w:rsid w:val="012A32BE"/>
    <w:rsid w:val="014055B6"/>
    <w:rsid w:val="01440B7E"/>
    <w:rsid w:val="014D33EB"/>
    <w:rsid w:val="017165B7"/>
    <w:rsid w:val="017B4431"/>
    <w:rsid w:val="018F30C8"/>
    <w:rsid w:val="01B375B9"/>
    <w:rsid w:val="01BC2E60"/>
    <w:rsid w:val="01C5349F"/>
    <w:rsid w:val="01E44191"/>
    <w:rsid w:val="01E52732"/>
    <w:rsid w:val="01F040A5"/>
    <w:rsid w:val="01F05E96"/>
    <w:rsid w:val="01FC4717"/>
    <w:rsid w:val="020F627A"/>
    <w:rsid w:val="02313F25"/>
    <w:rsid w:val="023630EE"/>
    <w:rsid w:val="02393CE3"/>
    <w:rsid w:val="023E05FC"/>
    <w:rsid w:val="024141DC"/>
    <w:rsid w:val="0245208B"/>
    <w:rsid w:val="02575F8B"/>
    <w:rsid w:val="02892310"/>
    <w:rsid w:val="029040BA"/>
    <w:rsid w:val="02B5566B"/>
    <w:rsid w:val="02BF5312"/>
    <w:rsid w:val="02C01269"/>
    <w:rsid w:val="02C41E42"/>
    <w:rsid w:val="02CB1358"/>
    <w:rsid w:val="02D31099"/>
    <w:rsid w:val="02ED2B4E"/>
    <w:rsid w:val="02F26D50"/>
    <w:rsid w:val="030F50DB"/>
    <w:rsid w:val="031C1E80"/>
    <w:rsid w:val="031D15C0"/>
    <w:rsid w:val="031F58A5"/>
    <w:rsid w:val="03231902"/>
    <w:rsid w:val="03434D5B"/>
    <w:rsid w:val="03457C25"/>
    <w:rsid w:val="03583547"/>
    <w:rsid w:val="03657677"/>
    <w:rsid w:val="037D5FD2"/>
    <w:rsid w:val="039447DF"/>
    <w:rsid w:val="03BA2836"/>
    <w:rsid w:val="03C25B9F"/>
    <w:rsid w:val="03CA0B8E"/>
    <w:rsid w:val="03CF6648"/>
    <w:rsid w:val="03EC4D43"/>
    <w:rsid w:val="03F2369C"/>
    <w:rsid w:val="03FC16E5"/>
    <w:rsid w:val="040177FA"/>
    <w:rsid w:val="04186ACF"/>
    <w:rsid w:val="042564BC"/>
    <w:rsid w:val="043869C8"/>
    <w:rsid w:val="043F0C88"/>
    <w:rsid w:val="04422D35"/>
    <w:rsid w:val="04565F9C"/>
    <w:rsid w:val="047318B2"/>
    <w:rsid w:val="048B7BCE"/>
    <w:rsid w:val="04925DE1"/>
    <w:rsid w:val="04AB66FE"/>
    <w:rsid w:val="04DA1126"/>
    <w:rsid w:val="04E0248E"/>
    <w:rsid w:val="04ED3E13"/>
    <w:rsid w:val="04F62DA6"/>
    <w:rsid w:val="04FD7C0E"/>
    <w:rsid w:val="0529416E"/>
    <w:rsid w:val="05296BAF"/>
    <w:rsid w:val="05353DA0"/>
    <w:rsid w:val="053E55B0"/>
    <w:rsid w:val="05432782"/>
    <w:rsid w:val="05453BB2"/>
    <w:rsid w:val="0553147B"/>
    <w:rsid w:val="05561C9B"/>
    <w:rsid w:val="0566708A"/>
    <w:rsid w:val="056C5087"/>
    <w:rsid w:val="057C552B"/>
    <w:rsid w:val="05890046"/>
    <w:rsid w:val="05962FC4"/>
    <w:rsid w:val="05A21A1E"/>
    <w:rsid w:val="05B71C8D"/>
    <w:rsid w:val="05BB4ADA"/>
    <w:rsid w:val="05C4415C"/>
    <w:rsid w:val="05D13AC9"/>
    <w:rsid w:val="05D36D4B"/>
    <w:rsid w:val="05D91D3B"/>
    <w:rsid w:val="05F65441"/>
    <w:rsid w:val="05F71D30"/>
    <w:rsid w:val="060F2A34"/>
    <w:rsid w:val="065C0B2A"/>
    <w:rsid w:val="066447AA"/>
    <w:rsid w:val="06716DD5"/>
    <w:rsid w:val="068D2EB4"/>
    <w:rsid w:val="06A22357"/>
    <w:rsid w:val="06D84066"/>
    <w:rsid w:val="06DA4BFF"/>
    <w:rsid w:val="06E76D48"/>
    <w:rsid w:val="06E87E87"/>
    <w:rsid w:val="06EB451D"/>
    <w:rsid w:val="06FB2C54"/>
    <w:rsid w:val="07081FD2"/>
    <w:rsid w:val="070B17E3"/>
    <w:rsid w:val="070E2005"/>
    <w:rsid w:val="07184C29"/>
    <w:rsid w:val="07271276"/>
    <w:rsid w:val="07321C3C"/>
    <w:rsid w:val="07370E03"/>
    <w:rsid w:val="077869D4"/>
    <w:rsid w:val="077E6212"/>
    <w:rsid w:val="0788472F"/>
    <w:rsid w:val="07990175"/>
    <w:rsid w:val="07A658CA"/>
    <w:rsid w:val="07A65E6E"/>
    <w:rsid w:val="07A67634"/>
    <w:rsid w:val="07AC0173"/>
    <w:rsid w:val="07D80A2F"/>
    <w:rsid w:val="07D8229B"/>
    <w:rsid w:val="07E35348"/>
    <w:rsid w:val="07F25F78"/>
    <w:rsid w:val="07F55D52"/>
    <w:rsid w:val="07FB6BDB"/>
    <w:rsid w:val="0811287F"/>
    <w:rsid w:val="08244F35"/>
    <w:rsid w:val="08264627"/>
    <w:rsid w:val="08312278"/>
    <w:rsid w:val="08497F0B"/>
    <w:rsid w:val="084F5152"/>
    <w:rsid w:val="085D5FB4"/>
    <w:rsid w:val="086E3851"/>
    <w:rsid w:val="08D535CC"/>
    <w:rsid w:val="08DF1128"/>
    <w:rsid w:val="08E34358"/>
    <w:rsid w:val="08EE2D07"/>
    <w:rsid w:val="08F04926"/>
    <w:rsid w:val="08F46C59"/>
    <w:rsid w:val="08FC3167"/>
    <w:rsid w:val="090146C5"/>
    <w:rsid w:val="09081FF3"/>
    <w:rsid w:val="09216B15"/>
    <w:rsid w:val="092708D3"/>
    <w:rsid w:val="092D3869"/>
    <w:rsid w:val="09371671"/>
    <w:rsid w:val="09523172"/>
    <w:rsid w:val="09566C38"/>
    <w:rsid w:val="095E38C5"/>
    <w:rsid w:val="096323E5"/>
    <w:rsid w:val="096A0203"/>
    <w:rsid w:val="09993FA9"/>
    <w:rsid w:val="099E3CC2"/>
    <w:rsid w:val="09B45D2D"/>
    <w:rsid w:val="09BB1406"/>
    <w:rsid w:val="09C22FA5"/>
    <w:rsid w:val="09C74B98"/>
    <w:rsid w:val="09CA06E6"/>
    <w:rsid w:val="09DA356A"/>
    <w:rsid w:val="09DE11B9"/>
    <w:rsid w:val="09F52C2E"/>
    <w:rsid w:val="09F935EE"/>
    <w:rsid w:val="0A0B50CF"/>
    <w:rsid w:val="0A0D3C44"/>
    <w:rsid w:val="0A145ED1"/>
    <w:rsid w:val="0A150D99"/>
    <w:rsid w:val="0A2C1844"/>
    <w:rsid w:val="0A2D14EA"/>
    <w:rsid w:val="0A4725AB"/>
    <w:rsid w:val="0A486E72"/>
    <w:rsid w:val="0A4879C4"/>
    <w:rsid w:val="0A530F50"/>
    <w:rsid w:val="0A6450BF"/>
    <w:rsid w:val="0A694BF1"/>
    <w:rsid w:val="0A727538"/>
    <w:rsid w:val="0A814614"/>
    <w:rsid w:val="0A8F7DDB"/>
    <w:rsid w:val="0AAF6A9B"/>
    <w:rsid w:val="0AB35AB2"/>
    <w:rsid w:val="0ABA7D4C"/>
    <w:rsid w:val="0ABB70EA"/>
    <w:rsid w:val="0AC062BA"/>
    <w:rsid w:val="0AC42277"/>
    <w:rsid w:val="0ACB1E4E"/>
    <w:rsid w:val="0ADD356E"/>
    <w:rsid w:val="0AFC23AB"/>
    <w:rsid w:val="0B272AC7"/>
    <w:rsid w:val="0B283A26"/>
    <w:rsid w:val="0B30099E"/>
    <w:rsid w:val="0B3D70C7"/>
    <w:rsid w:val="0B3F3C9B"/>
    <w:rsid w:val="0B45244B"/>
    <w:rsid w:val="0B576BAE"/>
    <w:rsid w:val="0B6A1BFD"/>
    <w:rsid w:val="0B7E5B88"/>
    <w:rsid w:val="0B876B82"/>
    <w:rsid w:val="0B983645"/>
    <w:rsid w:val="0B9C05FE"/>
    <w:rsid w:val="0B9F33DB"/>
    <w:rsid w:val="0BB837FF"/>
    <w:rsid w:val="0BBA7CEA"/>
    <w:rsid w:val="0BCB0091"/>
    <w:rsid w:val="0BCE0FF1"/>
    <w:rsid w:val="0BDF560F"/>
    <w:rsid w:val="0BE21384"/>
    <w:rsid w:val="0BE551D6"/>
    <w:rsid w:val="0BEF1AB8"/>
    <w:rsid w:val="0C1175D7"/>
    <w:rsid w:val="0C232C55"/>
    <w:rsid w:val="0C246F82"/>
    <w:rsid w:val="0C2710AB"/>
    <w:rsid w:val="0C3575D4"/>
    <w:rsid w:val="0C3E50A8"/>
    <w:rsid w:val="0C450B89"/>
    <w:rsid w:val="0C462CE3"/>
    <w:rsid w:val="0C475CAC"/>
    <w:rsid w:val="0C61782A"/>
    <w:rsid w:val="0C652A9C"/>
    <w:rsid w:val="0C6948F0"/>
    <w:rsid w:val="0C6D2071"/>
    <w:rsid w:val="0C787EBF"/>
    <w:rsid w:val="0C95328F"/>
    <w:rsid w:val="0C96552E"/>
    <w:rsid w:val="0CA66ED6"/>
    <w:rsid w:val="0CC9374C"/>
    <w:rsid w:val="0CD014BE"/>
    <w:rsid w:val="0CE71E24"/>
    <w:rsid w:val="0CFB50F8"/>
    <w:rsid w:val="0CFF716D"/>
    <w:rsid w:val="0D1449DC"/>
    <w:rsid w:val="0D1A2A5E"/>
    <w:rsid w:val="0D210D1F"/>
    <w:rsid w:val="0D215582"/>
    <w:rsid w:val="0D2C4EDD"/>
    <w:rsid w:val="0D3D7C96"/>
    <w:rsid w:val="0D4841F2"/>
    <w:rsid w:val="0D494065"/>
    <w:rsid w:val="0D5D1265"/>
    <w:rsid w:val="0D771B21"/>
    <w:rsid w:val="0D9666D9"/>
    <w:rsid w:val="0DA375CA"/>
    <w:rsid w:val="0DB241E0"/>
    <w:rsid w:val="0DB56CB0"/>
    <w:rsid w:val="0DCB2B36"/>
    <w:rsid w:val="0DD642BB"/>
    <w:rsid w:val="0DE50E48"/>
    <w:rsid w:val="0E0407B3"/>
    <w:rsid w:val="0E0B7D94"/>
    <w:rsid w:val="0E0C2FD9"/>
    <w:rsid w:val="0E156F29"/>
    <w:rsid w:val="0E1837F4"/>
    <w:rsid w:val="0E22778F"/>
    <w:rsid w:val="0E244CB5"/>
    <w:rsid w:val="0E4565B8"/>
    <w:rsid w:val="0E526AF1"/>
    <w:rsid w:val="0E796AAB"/>
    <w:rsid w:val="0E815086"/>
    <w:rsid w:val="0E8D7234"/>
    <w:rsid w:val="0EC031C6"/>
    <w:rsid w:val="0F075760"/>
    <w:rsid w:val="0F0C5B71"/>
    <w:rsid w:val="0F16342C"/>
    <w:rsid w:val="0F213404"/>
    <w:rsid w:val="0F29391A"/>
    <w:rsid w:val="0F387BC6"/>
    <w:rsid w:val="0F3E56AF"/>
    <w:rsid w:val="0F41491B"/>
    <w:rsid w:val="0F476BAA"/>
    <w:rsid w:val="0F4F2E60"/>
    <w:rsid w:val="0F52741E"/>
    <w:rsid w:val="0F65560C"/>
    <w:rsid w:val="0F657090"/>
    <w:rsid w:val="0F6707D4"/>
    <w:rsid w:val="0F827BE2"/>
    <w:rsid w:val="0F9D155F"/>
    <w:rsid w:val="0FA624FD"/>
    <w:rsid w:val="0FA660EA"/>
    <w:rsid w:val="0FA8561F"/>
    <w:rsid w:val="0FD57DF7"/>
    <w:rsid w:val="0FF21002"/>
    <w:rsid w:val="0FF24D67"/>
    <w:rsid w:val="0FF274C7"/>
    <w:rsid w:val="10000711"/>
    <w:rsid w:val="100150AD"/>
    <w:rsid w:val="100D367C"/>
    <w:rsid w:val="10141DEE"/>
    <w:rsid w:val="10165B6B"/>
    <w:rsid w:val="102214BC"/>
    <w:rsid w:val="10265B41"/>
    <w:rsid w:val="103F26CA"/>
    <w:rsid w:val="104E10BB"/>
    <w:rsid w:val="104E7412"/>
    <w:rsid w:val="10575094"/>
    <w:rsid w:val="1075560A"/>
    <w:rsid w:val="10757A1A"/>
    <w:rsid w:val="10776797"/>
    <w:rsid w:val="107E7F4A"/>
    <w:rsid w:val="108B7C85"/>
    <w:rsid w:val="108E06DD"/>
    <w:rsid w:val="109945D2"/>
    <w:rsid w:val="10B50D97"/>
    <w:rsid w:val="10C146D9"/>
    <w:rsid w:val="10D8518E"/>
    <w:rsid w:val="10DE52DC"/>
    <w:rsid w:val="10E26FF7"/>
    <w:rsid w:val="10E63D85"/>
    <w:rsid w:val="11012BD8"/>
    <w:rsid w:val="11070D37"/>
    <w:rsid w:val="110D23C5"/>
    <w:rsid w:val="110D5AA7"/>
    <w:rsid w:val="11244A0C"/>
    <w:rsid w:val="1126033C"/>
    <w:rsid w:val="113A29C7"/>
    <w:rsid w:val="1147698D"/>
    <w:rsid w:val="114E2190"/>
    <w:rsid w:val="114E52FC"/>
    <w:rsid w:val="115630D4"/>
    <w:rsid w:val="11620B1F"/>
    <w:rsid w:val="11680FA7"/>
    <w:rsid w:val="116D36D7"/>
    <w:rsid w:val="119F23B1"/>
    <w:rsid w:val="11AC648D"/>
    <w:rsid w:val="11B02CA7"/>
    <w:rsid w:val="11C93192"/>
    <w:rsid w:val="11CA6419"/>
    <w:rsid w:val="11D24E50"/>
    <w:rsid w:val="11D94FF4"/>
    <w:rsid w:val="11DB21B1"/>
    <w:rsid w:val="11E132A3"/>
    <w:rsid w:val="11E235F2"/>
    <w:rsid w:val="11E7628E"/>
    <w:rsid w:val="11F578C5"/>
    <w:rsid w:val="11FB5111"/>
    <w:rsid w:val="120828D2"/>
    <w:rsid w:val="120E6E02"/>
    <w:rsid w:val="12130873"/>
    <w:rsid w:val="1229616F"/>
    <w:rsid w:val="12323B41"/>
    <w:rsid w:val="123F00B0"/>
    <w:rsid w:val="12473B60"/>
    <w:rsid w:val="1247669B"/>
    <w:rsid w:val="126E0D75"/>
    <w:rsid w:val="12720243"/>
    <w:rsid w:val="129D6909"/>
    <w:rsid w:val="12A915D6"/>
    <w:rsid w:val="12AC5875"/>
    <w:rsid w:val="12B731F9"/>
    <w:rsid w:val="12C233F2"/>
    <w:rsid w:val="12CC1CB6"/>
    <w:rsid w:val="12CC44EC"/>
    <w:rsid w:val="12DA307B"/>
    <w:rsid w:val="12E46BBA"/>
    <w:rsid w:val="13052AC8"/>
    <w:rsid w:val="13160BED"/>
    <w:rsid w:val="131B7F29"/>
    <w:rsid w:val="132C3D88"/>
    <w:rsid w:val="133B10E0"/>
    <w:rsid w:val="13543B31"/>
    <w:rsid w:val="13561AB1"/>
    <w:rsid w:val="135D2E08"/>
    <w:rsid w:val="1360337C"/>
    <w:rsid w:val="13622204"/>
    <w:rsid w:val="13726E92"/>
    <w:rsid w:val="13731786"/>
    <w:rsid w:val="137A77D3"/>
    <w:rsid w:val="1389585B"/>
    <w:rsid w:val="13A10AA0"/>
    <w:rsid w:val="13A64BD9"/>
    <w:rsid w:val="13A712F4"/>
    <w:rsid w:val="13AA5686"/>
    <w:rsid w:val="13B32A60"/>
    <w:rsid w:val="13BB1021"/>
    <w:rsid w:val="13C04304"/>
    <w:rsid w:val="13D34C5E"/>
    <w:rsid w:val="13D622F3"/>
    <w:rsid w:val="13DD38EF"/>
    <w:rsid w:val="13ED1383"/>
    <w:rsid w:val="13F7678F"/>
    <w:rsid w:val="14190A5A"/>
    <w:rsid w:val="14250965"/>
    <w:rsid w:val="14276FAA"/>
    <w:rsid w:val="14364A61"/>
    <w:rsid w:val="143962D3"/>
    <w:rsid w:val="143A4F2F"/>
    <w:rsid w:val="143C3258"/>
    <w:rsid w:val="1449333D"/>
    <w:rsid w:val="144B166A"/>
    <w:rsid w:val="144D04D9"/>
    <w:rsid w:val="14574525"/>
    <w:rsid w:val="146038EA"/>
    <w:rsid w:val="14616E5E"/>
    <w:rsid w:val="14650F45"/>
    <w:rsid w:val="14685DDA"/>
    <w:rsid w:val="14695C3F"/>
    <w:rsid w:val="147177AB"/>
    <w:rsid w:val="147C1BE2"/>
    <w:rsid w:val="148E0DD7"/>
    <w:rsid w:val="14A23354"/>
    <w:rsid w:val="14A34EC6"/>
    <w:rsid w:val="14A66C6D"/>
    <w:rsid w:val="14A74BF9"/>
    <w:rsid w:val="14A756D7"/>
    <w:rsid w:val="14AD6447"/>
    <w:rsid w:val="14C111AC"/>
    <w:rsid w:val="14C30C11"/>
    <w:rsid w:val="14CB19AC"/>
    <w:rsid w:val="14CF2A54"/>
    <w:rsid w:val="14D66379"/>
    <w:rsid w:val="14E47416"/>
    <w:rsid w:val="15050E6C"/>
    <w:rsid w:val="151D4A82"/>
    <w:rsid w:val="15323D54"/>
    <w:rsid w:val="153773B0"/>
    <w:rsid w:val="153C19E8"/>
    <w:rsid w:val="15515A6C"/>
    <w:rsid w:val="15696C72"/>
    <w:rsid w:val="158E265E"/>
    <w:rsid w:val="1591642B"/>
    <w:rsid w:val="159602DB"/>
    <w:rsid w:val="159A4EFE"/>
    <w:rsid w:val="15AC7766"/>
    <w:rsid w:val="15D62EA3"/>
    <w:rsid w:val="15DE144A"/>
    <w:rsid w:val="15E4208F"/>
    <w:rsid w:val="15E478AE"/>
    <w:rsid w:val="160053A1"/>
    <w:rsid w:val="160164C5"/>
    <w:rsid w:val="16107311"/>
    <w:rsid w:val="163A024B"/>
    <w:rsid w:val="163A4041"/>
    <w:rsid w:val="163C0707"/>
    <w:rsid w:val="16482398"/>
    <w:rsid w:val="164B3E37"/>
    <w:rsid w:val="16556F81"/>
    <w:rsid w:val="165C0301"/>
    <w:rsid w:val="165D2C59"/>
    <w:rsid w:val="166530B3"/>
    <w:rsid w:val="169D3309"/>
    <w:rsid w:val="16A26CDF"/>
    <w:rsid w:val="16BD39FA"/>
    <w:rsid w:val="16BD7E93"/>
    <w:rsid w:val="16D05712"/>
    <w:rsid w:val="16D059CE"/>
    <w:rsid w:val="16E1170A"/>
    <w:rsid w:val="16FC3E76"/>
    <w:rsid w:val="170E25DA"/>
    <w:rsid w:val="1720040C"/>
    <w:rsid w:val="17215F32"/>
    <w:rsid w:val="17244113"/>
    <w:rsid w:val="1743234C"/>
    <w:rsid w:val="17444370"/>
    <w:rsid w:val="17516C5A"/>
    <w:rsid w:val="1766321E"/>
    <w:rsid w:val="17724EAC"/>
    <w:rsid w:val="17785C6F"/>
    <w:rsid w:val="177A36EB"/>
    <w:rsid w:val="178A738D"/>
    <w:rsid w:val="1791364D"/>
    <w:rsid w:val="179B44BA"/>
    <w:rsid w:val="17A535FD"/>
    <w:rsid w:val="17CF46B9"/>
    <w:rsid w:val="17D06747"/>
    <w:rsid w:val="180342B2"/>
    <w:rsid w:val="180F5F46"/>
    <w:rsid w:val="18200AB0"/>
    <w:rsid w:val="18254B0B"/>
    <w:rsid w:val="18295500"/>
    <w:rsid w:val="182F508D"/>
    <w:rsid w:val="18412C9E"/>
    <w:rsid w:val="185365BF"/>
    <w:rsid w:val="18617751"/>
    <w:rsid w:val="187F71B7"/>
    <w:rsid w:val="188815E1"/>
    <w:rsid w:val="189A7B53"/>
    <w:rsid w:val="18A76FEA"/>
    <w:rsid w:val="18AD3F21"/>
    <w:rsid w:val="18B077DF"/>
    <w:rsid w:val="18B352B0"/>
    <w:rsid w:val="18B74C81"/>
    <w:rsid w:val="18BD7EDC"/>
    <w:rsid w:val="18D13405"/>
    <w:rsid w:val="18D80BE7"/>
    <w:rsid w:val="18F338FE"/>
    <w:rsid w:val="19032BE6"/>
    <w:rsid w:val="192D0BBE"/>
    <w:rsid w:val="19417F49"/>
    <w:rsid w:val="19481A38"/>
    <w:rsid w:val="195235C3"/>
    <w:rsid w:val="1966265C"/>
    <w:rsid w:val="1979340B"/>
    <w:rsid w:val="197E73EB"/>
    <w:rsid w:val="19805192"/>
    <w:rsid w:val="198B63CB"/>
    <w:rsid w:val="199346DB"/>
    <w:rsid w:val="19946E8F"/>
    <w:rsid w:val="19A11003"/>
    <w:rsid w:val="19AE0BD8"/>
    <w:rsid w:val="19B05C2A"/>
    <w:rsid w:val="19B05F17"/>
    <w:rsid w:val="19B95E7D"/>
    <w:rsid w:val="19BC115A"/>
    <w:rsid w:val="19BE14B0"/>
    <w:rsid w:val="19C12B8F"/>
    <w:rsid w:val="19C25ACC"/>
    <w:rsid w:val="19C31D15"/>
    <w:rsid w:val="19CB34D2"/>
    <w:rsid w:val="19CF3FFF"/>
    <w:rsid w:val="19E60EBD"/>
    <w:rsid w:val="1A004525"/>
    <w:rsid w:val="1A047F55"/>
    <w:rsid w:val="1A0B5FF5"/>
    <w:rsid w:val="1A0D7983"/>
    <w:rsid w:val="1A0F5218"/>
    <w:rsid w:val="1A110661"/>
    <w:rsid w:val="1A127FD2"/>
    <w:rsid w:val="1A1B06E4"/>
    <w:rsid w:val="1A2B64A7"/>
    <w:rsid w:val="1A2D4385"/>
    <w:rsid w:val="1A327AA5"/>
    <w:rsid w:val="1A334BEE"/>
    <w:rsid w:val="1A3A4FFD"/>
    <w:rsid w:val="1A4F0A03"/>
    <w:rsid w:val="1A530A2D"/>
    <w:rsid w:val="1A5E04D5"/>
    <w:rsid w:val="1A5F26BC"/>
    <w:rsid w:val="1A626167"/>
    <w:rsid w:val="1A7035B1"/>
    <w:rsid w:val="1A726A03"/>
    <w:rsid w:val="1A942AB4"/>
    <w:rsid w:val="1A970A05"/>
    <w:rsid w:val="1AA020A4"/>
    <w:rsid w:val="1AAC5391"/>
    <w:rsid w:val="1AC431BD"/>
    <w:rsid w:val="1AC72721"/>
    <w:rsid w:val="1AC966F3"/>
    <w:rsid w:val="1AD957B8"/>
    <w:rsid w:val="1B0A01BD"/>
    <w:rsid w:val="1B102545"/>
    <w:rsid w:val="1B156C86"/>
    <w:rsid w:val="1B1664CE"/>
    <w:rsid w:val="1B184204"/>
    <w:rsid w:val="1B1B7F71"/>
    <w:rsid w:val="1B1E632F"/>
    <w:rsid w:val="1B236217"/>
    <w:rsid w:val="1B2B7745"/>
    <w:rsid w:val="1B310204"/>
    <w:rsid w:val="1B333A33"/>
    <w:rsid w:val="1B3C0060"/>
    <w:rsid w:val="1B4051F5"/>
    <w:rsid w:val="1B445856"/>
    <w:rsid w:val="1B5D14A0"/>
    <w:rsid w:val="1B694366"/>
    <w:rsid w:val="1B7557D1"/>
    <w:rsid w:val="1B783861"/>
    <w:rsid w:val="1B795A15"/>
    <w:rsid w:val="1B7F14E9"/>
    <w:rsid w:val="1B885BFD"/>
    <w:rsid w:val="1B8A374C"/>
    <w:rsid w:val="1B8B4E33"/>
    <w:rsid w:val="1B9670CD"/>
    <w:rsid w:val="1BA3160C"/>
    <w:rsid w:val="1BB521F1"/>
    <w:rsid w:val="1BC03C3B"/>
    <w:rsid w:val="1BD0046F"/>
    <w:rsid w:val="1BD9327F"/>
    <w:rsid w:val="1BE80A70"/>
    <w:rsid w:val="1BFB6930"/>
    <w:rsid w:val="1C187440"/>
    <w:rsid w:val="1C1B7EA0"/>
    <w:rsid w:val="1C2F73A2"/>
    <w:rsid w:val="1C355079"/>
    <w:rsid w:val="1C3C687E"/>
    <w:rsid w:val="1C3D4856"/>
    <w:rsid w:val="1C3D736A"/>
    <w:rsid w:val="1C56099C"/>
    <w:rsid w:val="1C5B63E0"/>
    <w:rsid w:val="1C6935F8"/>
    <w:rsid w:val="1C6A4200"/>
    <w:rsid w:val="1C7272E9"/>
    <w:rsid w:val="1C784A5D"/>
    <w:rsid w:val="1C823A70"/>
    <w:rsid w:val="1C950A26"/>
    <w:rsid w:val="1C9C78B9"/>
    <w:rsid w:val="1CAA5EC4"/>
    <w:rsid w:val="1CAC73F1"/>
    <w:rsid w:val="1CB145A4"/>
    <w:rsid w:val="1CB40B69"/>
    <w:rsid w:val="1CCA4C24"/>
    <w:rsid w:val="1CDB56CB"/>
    <w:rsid w:val="1CE324AB"/>
    <w:rsid w:val="1CE47AC3"/>
    <w:rsid w:val="1CE94979"/>
    <w:rsid w:val="1CF145A7"/>
    <w:rsid w:val="1CFB4A94"/>
    <w:rsid w:val="1CFB7D1F"/>
    <w:rsid w:val="1D007357"/>
    <w:rsid w:val="1D0D7176"/>
    <w:rsid w:val="1D1D719C"/>
    <w:rsid w:val="1D215396"/>
    <w:rsid w:val="1D263A55"/>
    <w:rsid w:val="1D342089"/>
    <w:rsid w:val="1D381A8C"/>
    <w:rsid w:val="1D3A4B55"/>
    <w:rsid w:val="1D3D4AEA"/>
    <w:rsid w:val="1D4B050F"/>
    <w:rsid w:val="1D4C2A3C"/>
    <w:rsid w:val="1D610FC5"/>
    <w:rsid w:val="1D7124A8"/>
    <w:rsid w:val="1D736DEC"/>
    <w:rsid w:val="1D787D31"/>
    <w:rsid w:val="1D7B4BB1"/>
    <w:rsid w:val="1D7C75F8"/>
    <w:rsid w:val="1D7E762B"/>
    <w:rsid w:val="1D8B1DF6"/>
    <w:rsid w:val="1DA657AD"/>
    <w:rsid w:val="1DC57C38"/>
    <w:rsid w:val="1DD0420E"/>
    <w:rsid w:val="1DD31BE7"/>
    <w:rsid w:val="1DD61A6E"/>
    <w:rsid w:val="1DEB3BDF"/>
    <w:rsid w:val="1DEE04F1"/>
    <w:rsid w:val="1E106FBF"/>
    <w:rsid w:val="1E1D12AF"/>
    <w:rsid w:val="1E256491"/>
    <w:rsid w:val="1E2D179C"/>
    <w:rsid w:val="1E2E11E6"/>
    <w:rsid w:val="1E3E1186"/>
    <w:rsid w:val="1E3E4DE0"/>
    <w:rsid w:val="1E4F5A7B"/>
    <w:rsid w:val="1E567940"/>
    <w:rsid w:val="1E5A7910"/>
    <w:rsid w:val="1E5C7F1C"/>
    <w:rsid w:val="1E6A08B9"/>
    <w:rsid w:val="1E752A2C"/>
    <w:rsid w:val="1E856C26"/>
    <w:rsid w:val="1E907536"/>
    <w:rsid w:val="1E912475"/>
    <w:rsid w:val="1E9C58ED"/>
    <w:rsid w:val="1E9E58BE"/>
    <w:rsid w:val="1EAB4FB6"/>
    <w:rsid w:val="1EAB7596"/>
    <w:rsid w:val="1EB44D6F"/>
    <w:rsid w:val="1EC04283"/>
    <w:rsid w:val="1EDE4FE5"/>
    <w:rsid w:val="1EF8190E"/>
    <w:rsid w:val="1F056F9E"/>
    <w:rsid w:val="1F0A638E"/>
    <w:rsid w:val="1F310708"/>
    <w:rsid w:val="1F346081"/>
    <w:rsid w:val="1F48190C"/>
    <w:rsid w:val="1F5119C9"/>
    <w:rsid w:val="1F774245"/>
    <w:rsid w:val="1F864334"/>
    <w:rsid w:val="1FA70AE4"/>
    <w:rsid w:val="1FB827FA"/>
    <w:rsid w:val="1FBE3CAB"/>
    <w:rsid w:val="1FD75B51"/>
    <w:rsid w:val="1FDA423C"/>
    <w:rsid w:val="1FDF154F"/>
    <w:rsid w:val="1FED72F9"/>
    <w:rsid w:val="1FF620FB"/>
    <w:rsid w:val="20026EB8"/>
    <w:rsid w:val="2006372F"/>
    <w:rsid w:val="20093D26"/>
    <w:rsid w:val="200D6254"/>
    <w:rsid w:val="200F7CD1"/>
    <w:rsid w:val="20270A63"/>
    <w:rsid w:val="20313AEC"/>
    <w:rsid w:val="20357301"/>
    <w:rsid w:val="20442068"/>
    <w:rsid w:val="204C730B"/>
    <w:rsid w:val="204C79D8"/>
    <w:rsid w:val="20521E8D"/>
    <w:rsid w:val="20545CDA"/>
    <w:rsid w:val="206A0948"/>
    <w:rsid w:val="20726D32"/>
    <w:rsid w:val="2073185F"/>
    <w:rsid w:val="20784748"/>
    <w:rsid w:val="207B3351"/>
    <w:rsid w:val="207B6324"/>
    <w:rsid w:val="2088296F"/>
    <w:rsid w:val="209A0B0E"/>
    <w:rsid w:val="20AC2CDA"/>
    <w:rsid w:val="20AE0ED9"/>
    <w:rsid w:val="20B56531"/>
    <w:rsid w:val="20C466CA"/>
    <w:rsid w:val="20CB7C1B"/>
    <w:rsid w:val="20D14BC5"/>
    <w:rsid w:val="20E80E3E"/>
    <w:rsid w:val="20FF6905"/>
    <w:rsid w:val="21063677"/>
    <w:rsid w:val="210868D6"/>
    <w:rsid w:val="2109769F"/>
    <w:rsid w:val="21097D9E"/>
    <w:rsid w:val="210B44DC"/>
    <w:rsid w:val="211E138F"/>
    <w:rsid w:val="214C7FC0"/>
    <w:rsid w:val="214E2366"/>
    <w:rsid w:val="21537ED1"/>
    <w:rsid w:val="21552D79"/>
    <w:rsid w:val="21637FEA"/>
    <w:rsid w:val="2166388F"/>
    <w:rsid w:val="216D7922"/>
    <w:rsid w:val="217B112C"/>
    <w:rsid w:val="21840B57"/>
    <w:rsid w:val="21880FC6"/>
    <w:rsid w:val="2188552B"/>
    <w:rsid w:val="21AE2AB8"/>
    <w:rsid w:val="21B369F5"/>
    <w:rsid w:val="21BA087F"/>
    <w:rsid w:val="21C516AD"/>
    <w:rsid w:val="21D85178"/>
    <w:rsid w:val="21EA0948"/>
    <w:rsid w:val="21ED73BE"/>
    <w:rsid w:val="21F04234"/>
    <w:rsid w:val="21F05478"/>
    <w:rsid w:val="21F70979"/>
    <w:rsid w:val="2203031B"/>
    <w:rsid w:val="22153139"/>
    <w:rsid w:val="22205522"/>
    <w:rsid w:val="22377503"/>
    <w:rsid w:val="22393D74"/>
    <w:rsid w:val="224D2506"/>
    <w:rsid w:val="22532671"/>
    <w:rsid w:val="22546C1C"/>
    <w:rsid w:val="225B6ABF"/>
    <w:rsid w:val="2262759A"/>
    <w:rsid w:val="226E147A"/>
    <w:rsid w:val="228B202A"/>
    <w:rsid w:val="229473A2"/>
    <w:rsid w:val="22AA1F5E"/>
    <w:rsid w:val="22AB76E7"/>
    <w:rsid w:val="22B076E6"/>
    <w:rsid w:val="22D16BD5"/>
    <w:rsid w:val="22D60519"/>
    <w:rsid w:val="22EB130B"/>
    <w:rsid w:val="22EB1893"/>
    <w:rsid w:val="23222AED"/>
    <w:rsid w:val="2326264B"/>
    <w:rsid w:val="232E2103"/>
    <w:rsid w:val="23356FED"/>
    <w:rsid w:val="23440000"/>
    <w:rsid w:val="23495888"/>
    <w:rsid w:val="23566F63"/>
    <w:rsid w:val="235E5D1E"/>
    <w:rsid w:val="236001EA"/>
    <w:rsid w:val="238143F2"/>
    <w:rsid w:val="23971ACE"/>
    <w:rsid w:val="23B05255"/>
    <w:rsid w:val="23B65957"/>
    <w:rsid w:val="23B716FE"/>
    <w:rsid w:val="23D01B45"/>
    <w:rsid w:val="23D43F8D"/>
    <w:rsid w:val="23D519FB"/>
    <w:rsid w:val="23F00FBB"/>
    <w:rsid w:val="23F23130"/>
    <w:rsid w:val="24091482"/>
    <w:rsid w:val="241035B6"/>
    <w:rsid w:val="241574E7"/>
    <w:rsid w:val="241675CD"/>
    <w:rsid w:val="241F2450"/>
    <w:rsid w:val="243D65D9"/>
    <w:rsid w:val="245F2B19"/>
    <w:rsid w:val="24782EE4"/>
    <w:rsid w:val="24826CBD"/>
    <w:rsid w:val="248572ED"/>
    <w:rsid w:val="24861EE8"/>
    <w:rsid w:val="24946793"/>
    <w:rsid w:val="249E1F2B"/>
    <w:rsid w:val="24A21517"/>
    <w:rsid w:val="24A3442A"/>
    <w:rsid w:val="24AE16BA"/>
    <w:rsid w:val="24B03E61"/>
    <w:rsid w:val="24B16BC3"/>
    <w:rsid w:val="24B865E5"/>
    <w:rsid w:val="24BE65F4"/>
    <w:rsid w:val="24C46BE7"/>
    <w:rsid w:val="24C96330"/>
    <w:rsid w:val="24CC572F"/>
    <w:rsid w:val="24E3463B"/>
    <w:rsid w:val="24EE7BB7"/>
    <w:rsid w:val="24FE721C"/>
    <w:rsid w:val="25032719"/>
    <w:rsid w:val="25187DB4"/>
    <w:rsid w:val="25372D94"/>
    <w:rsid w:val="2541410B"/>
    <w:rsid w:val="254B58EF"/>
    <w:rsid w:val="256000EE"/>
    <w:rsid w:val="256572B0"/>
    <w:rsid w:val="257A4C8F"/>
    <w:rsid w:val="257C646B"/>
    <w:rsid w:val="25C95094"/>
    <w:rsid w:val="25D03442"/>
    <w:rsid w:val="25F07509"/>
    <w:rsid w:val="25F767DC"/>
    <w:rsid w:val="261438AB"/>
    <w:rsid w:val="26217EDD"/>
    <w:rsid w:val="26383936"/>
    <w:rsid w:val="263B2370"/>
    <w:rsid w:val="264D0666"/>
    <w:rsid w:val="265F3983"/>
    <w:rsid w:val="26617C12"/>
    <w:rsid w:val="266412BB"/>
    <w:rsid w:val="266779CE"/>
    <w:rsid w:val="266D528B"/>
    <w:rsid w:val="26763242"/>
    <w:rsid w:val="267D7165"/>
    <w:rsid w:val="267E2483"/>
    <w:rsid w:val="26942096"/>
    <w:rsid w:val="26960378"/>
    <w:rsid w:val="26A82A80"/>
    <w:rsid w:val="26AA28EA"/>
    <w:rsid w:val="26AA2B3C"/>
    <w:rsid w:val="26D60E92"/>
    <w:rsid w:val="26D82E39"/>
    <w:rsid w:val="26E31456"/>
    <w:rsid w:val="26EC2161"/>
    <w:rsid w:val="26F55F5D"/>
    <w:rsid w:val="270A4871"/>
    <w:rsid w:val="270F069C"/>
    <w:rsid w:val="27243753"/>
    <w:rsid w:val="27444169"/>
    <w:rsid w:val="27475541"/>
    <w:rsid w:val="27525FC0"/>
    <w:rsid w:val="275309E2"/>
    <w:rsid w:val="27651E6B"/>
    <w:rsid w:val="276B33C5"/>
    <w:rsid w:val="276C257F"/>
    <w:rsid w:val="27723602"/>
    <w:rsid w:val="277E7AE2"/>
    <w:rsid w:val="27856069"/>
    <w:rsid w:val="27856D25"/>
    <w:rsid w:val="279013B1"/>
    <w:rsid w:val="27BC1E12"/>
    <w:rsid w:val="27BC45D8"/>
    <w:rsid w:val="27BE2731"/>
    <w:rsid w:val="27CC3E09"/>
    <w:rsid w:val="27F201AC"/>
    <w:rsid w:val="2807712D"/>
    <w:rsid w:val="2815563F"/>
    <w:rsid w:val="28365F22"/>
    <w:rsid w:val="28476C94"/>
    <w:rsid w:val="2860271F"/>
    <w:rsid w:val="28646122"/>
    <w:rsid w:val="2898550E"/>
    <w:rsid w:val="28AE5D4C"/>
    <w:rsid w:val="28BE57A5"/>
    <w:rsid w:val="28BE7E40"/>
    <w:rsid w:val="28C9023B"/>
    <w:rsid w:val="28CB3F50"/>
    <w:rsid w:val="28DF066B"/>
    <w:rsid w:val="28E374EB"/>
    <w:rsid w:val="28E5712B"/>
    <w:rsid w:val="28F16EF1"/>
    <w:rsid w:val="28F3516F"/>
    <w:rsid w:val="293B57B9"/>
    <w:rsid w:val="29455428"/>
    <w:rsid w:val="294A6221"/>
    <w:rsid w:val="294B7F99"/>
    <w:rsid w:val="29536226"/>
    <w:rsid w:val="295A4D74"/>
    <w:rsid w:val="29607C4F"/>
    <w:rsid w:val="29746340"/>
    <w:rsid w:val="29A73E09"/>
    <w:rsid w:val="29A7676B"/>
    <w:rsid w:val="29CD01B3"/>
    <w:rsid w:val="29D56FE9"/>
    <w:rsid w:val="29D71D0D"/>
    <w:rsid w:val="29F14596"/>
    <w:rsid w:val="2A155A85"/>
    <w:rsid w:val="2A613AFC"/>
    <w:rsid w:val="2A6E77E3"/>
    <w:rsid w:val="2A701657"/>
    <w:rsid w:val="2A736529"/>
    <w:rsid w:val="2A815B98"/>
    <w:rsid w:val="2A8C65E2"/>
    <w:rsid w:val="2A911618"/>
    <w:rsid w:val="2A9B34BA"/>
    <w:rsid w:val="2AA6445D"/>
    <w:rsid w:val="2AA66A22"/>
    <w:rsid w:val="2AA73CED"/>
    <w:rsid w:val="2AB729B7"/>
    <w:rsid w:val="2ABA794F"/>
    <w:rsid w:val="2AC45C76"/>
    <w:rsid w:val="2ACC321C"/>
    <w:rsid w:val="2AD046DA"/>
    <w:rsid w:val="2AD34B43"/>
    <w:rsid w:val="2ADB5DE9"/>
    <w:rsid w:val="2AE4105E"/>
    <w:rsid w:val="2AF24AAB"/>
    <w:rsid w:val="2AF9575E"/>
    <w:rsid w:val="2B053749"/>
    <w:rsid w:val="2B0D6651"/>
    <w:rsid w:val="2B0D6AA1"/>
    <w:rsid w:val="2B190614"/>
    <w:rsid w:val="2B2C6998"/>
    <w:rsid w:val="2B301FE5"/>
    <w:rsid w:val="2B4C75CA"/>
    <w:rsid w:val="2B55081A"/>
    <w:rsid w:val="2B790767"/>
    <w:rsid w:val="2B801021"/>
    <w:rsid w:val="2B9C1991"/>
    <w:rsid w:val="2BA07853"/>
    <w:rsid w:val="2BA529B9"/>
    <w:rsid w:val="2BB37B7D"/>
    <w:rsid w:val="2BB43DF9"/>
    <w:rsid w:val="2BCB6A28"/>
    <w:rsid w:val="2BCC38EC"/>
    <w:rsid w:val="2BEC2E31"/>
    <w:rsid w:val="2BEC4909"/>
    <w:rsid w:val="2BEF6E32"/>
    <w:rsid w:val="2BF41F04"/>
    <w:rsid w:val="2BFA54D0"/>
    <w:rsid w:val="2C022D68"/>
    <w:rsid w:val="2C1662DB"/>
    <w:rsid w:val="2C1A587F"/>
    <w:rsid w:val="2C1D2A53"/>
    <w:rsid w:val="2C1D506F"/>
    <w:rsid w:val="2C262724"/>
    <w:rsid w:val="2C29199C"/>
    <w:rsid w:val="2C2E4F21"/>
    <w:rsid w:val="2C533D6B"/>
    <w:rsid w:val="2C801123"/>
    <w:rsid w:val="2C80549D"/>
    <w:rsid w:val="2C8A24B1"/>
    <w:rsid w:val="2C8C39F6"/>
    <w:rsid w:val="2C8D4243"/>
    <w:rsid w:val="2CA358F7"/>
    <w:rsid w:val="2CA552D6"/>
    <w:rsid w:val="2CB77B64"/>
    <w:rsid w:val="2CC118F2"/>
    <w:rsid w:val="2CC43BD3"/>
    <w:rsid w:val="2CCA1121"/>
    <w:rsid w:val="2CCD59AC"/>
    <w:rsid w:val="2CD31625"/>
    <w:rsid w:val="2CEC0274"/>
    <w:rsid w:val="2CEF4ADC"/>
    <w:rsid w:val="2CFF001B"/>
    <w:rsid w:val="2D021A60"/>
    <w:rsid w:val="2D047A30"/>
    <w:rsid w:val="2D195041"/>
    <w:rsid w:val="2D3A16A4"/>
    <w:rsid w:val="2D3D7EA4"/>
    <w:rsid w:val="2D3E34B8"/>
    <w:rsid w:val="2D4E47A8"/>
    <w:rsid w:val="2D59082B"/>
    <w:rsid w:val="2D606171"/>
    <w:rsid w:val="2D6D58B7"/>
    <w:rsid w:val="2D6F0FD6"/>
    <w:rsid w:val="2D7626DC"/>
    <w:rsid w:val="2D793FC1"/>
    <w:rsid w:val="2D7C70ED"/>
    <w:rsid w:val="2D83203C"/>
    <w:rsid w:val="2D872760"/>
    <w:rsid w:val="2DAC2704"/>
    <w:rsid w:val="2DAE68A5"/>
    <w:rsid w:val="2DB41EF1"/>
    <w:rsid w:val="2DBB4972"/>
    <w:rsid w:val="2DC4358B"/>
    <w:rsid w:val="2DCA5887"/>
    <w:rsid w:val="2DCB28DA"/>
    <w:rsid w:val="2DCB2953"/>
    <w:rsid w:val="2DE627CF"/>
    <w:rsid w:val="2DED02B8"/>
    <w:rsid w:val="2E006889"/>
    <w:rsid w:val="2E073E0D"/>
    <w:rsid w:val="2E08570D"/>
    <w:rsid w:val="2E0F4D70"/>
    <w:rsid w:val="2E320F09"/>
    <w:rsid w:val="2E492081"/>
    <w:rsid w:val="2E563FC9"/>
    <w:rsid w:val="2E573775"/>
    <w:rsid w:val="2E595107"/>
    <w:rsid w:val="2E661271"/>
    <w:rsid w:val="2E6727BF"/>
    <w:rsid w:val="2E682E0F"/>
    <w:rsid w:val="2E692C68"/>
    <w:rsid w:val="2E6A5276"/>
    <w:rsid w:val="2E6E082F"/>
    <w:rsid w:val="2E7538A5"/>
    <w:rsid w:val="2E7B497A"/>
    <w:rsid w:val="2EA22A88"/>
    <w:rsid w:val="2EA82DC5"/>
    <w:rsid w:val="2EAB5DD2"/>
    <w:rsid w:val="2EB9220E"/>
    <w:rsid w:val="2EC738AD"/>
    <w:rsid w:val="2ECA02E1"/>
    <w:rsid w:val="2ECF2C17"/>
    <w:rsid w:val="2ED05931"/>
    <w:rsid w:val="2EDB7F4C"/>
    <w:rsid w:val="2EE22E7F"/>
    <w:rsid w:val="2EEF4A36"/>
    <w:rsid w:val="2EF14033"/>
    <w:rsid w:val="2F1A12C5"/>
    <w:rsid w:val="2F200F03"/>
    <w:rsid w:val="2F262E07"/>
    <w:rsid w:val="2F2C56BE"/>
    <w:rsid w:val="2F4A02C4"/>
    <w:rsid w:val="2F4C7028"/>
    <w:rsid w:val="2F583B7F"/>
    <w:rsid w:val="2F59444C"/>
    <w:rsid w:val="2F5A1C10"/>
    <w:rsid w:val="2F714C9E"/>
    <w:rsid w:val="2F763058"/>
    <w:rsid w:val="2F7B047E"/>
    <w:rsid w:val="2F7B222C"/>
    <w:rsid w:val="2F801109"/>
    <w:rsid w:val="2F827A5E"/>
    <w:rsid w:val="2F920DA6"/>
    <w:rsid w:val="2F9D341E"/>
    <w:rsid w:val="2FB30E9E"/>
    <w:rsid w:val="2FBF42E3"/>
    <w:rsid w:val="2FE70007"/>
    <w:rsid w:val="2FE9188B"/>
    <w:rsid w:val="2FF21155"/>
    <w:rsid w:val="2FFB15BE"/>
    <w:rsid w:val="302F4890"/>
    <w:rsid w:val="30357536"/>
    <w:rsid w:val="304B042D"/>
    <w:rsid w:val="305310DF"/>
    <w:rsid w:val="305E4969"/>
    <w:rsid w:val="30757489"/>
    <w:rsid w:val="30760C45"/>
    <w:rsid w:val="307753A4"/>
    <w:rsid w:val="309F1034"/>
    <w:rsid w:val="30A12A62"/>
    <w:rsid w:val="30A51CC4"/>
    <w:rsid w:val="30A87085"/>
    <w:rsid w:val="30B63BC5"/>
    <w:rsid w:val="30BF083E"/>
    <w:rsid w:val="30C421CD"/>
    <w:rsid w:val="30C776F3"/>
    <w:rsid w:val="30D62E99"/>
    <w:rsid w:val="30D91EBE"/>
    <w:rsid w:val="30E03A94"/>
    <w:rsid w:val="30FC0907"/>
    <w:rsid w:val="31007B3F"/>
    <w:rsid w:val="31083F93"/>
    <w:rsid w:val="310A62D1"/>
    <w:rsid w:val="310E3D62"/>
    <w:rsid w:val="3115170C"/>
    <w:rsid w:val="311731C6"/>
    <w:rsid w:val="311F12DD"/>
    <w:rsid w:val="31213F74"/>
    <w:rsid w:val="312F2326"/>
    <w:rsid w:val="313603FC"/>
    <w:rsid w:val="31472626"/>
    <w:rsid w:val="31520986"/>
    <w:rsid w:val="315520F1"/>
    <w:rsid w:val="31777A1D"/>
    <w:rsid w:val="31795B7C"/>
    <w:rsid w:val="318250A8"/>
    <w:rsid w:val="31887760"/>
    <w:rsid w:val="318F3D0A"/>
    <w:rsid w:val="3199108F"/>
    <w:rsid w:val="31A679EB"/>
    <w:rsid w:val="31AE4EDF"/>
    <w:rsid w:val="31B03D4D"/>
    <w:rsid w:val="31B046AA"/>
    <w:rsid w:val="31BA7139"/>
    <w:rsid w:val="31C17067"/>
    <w:rsid w:val="31C83722"/>
    <w:rsid w:val="31F518A0"/>
    <w:rsid w:val="32023F05"/>
    <w:rsid w:val="32247AB3"/>
    <w:rsid w:val="322634ED"/>
    <w:rsid w:val="322F5CD3"/>
    <w:rsid w:val="323F507F"/>
    <w:rsid w:val="32473BD1"/>
    <w:rsid w:val="32476D3D"/>
    <w:rsid w:val="324803BF"/>
    <w:rsid w:val="324B3018"/>
    <w:rsid w:val="324D69B8"/>
    <w:rsid w:val="324F01C0"/>
    <w:rsid w:val="325425FB"/>
    <w:rsid w:val="325D2AF6"/>
    <w:rsid w:val="325F5090"/>
    <w:rsid w:val="32637642"/>
    <w:rsid w:val="3268280F"/>
    <w:rsid w:val="32807B9E"/>
    <w:rsid w:val="32851613"/>
    <w:rsid w:val="32954666"/>
    <w:rsid w:val="329D51B1"/>
    <w:rsid w:val="32AD5286"/>
    <w:rsid w:val="32B662F0"/>
    <w:rsid w:val="32BC3287"/>
    <w:rsid w:val="32C95387"/>
    <w:rsid w:val="32D5471A"/>
    <w:rsid w:val="330926E1"/>
    <w:rsid w:val="332237B5"/>
    <w:rsid w:val="33267872"/>
    <w:rsid w:val="33715542"/>
    <w:rsid w:val="33780A1A"/>
    <w:rsid w:val="337A7877"/>
    <w:rsid w:val="337B4C5C"/>
    <w:rsid w:val="3380650B"/>
    <w:rsid w:val="338E0F62"/>
    <w:rsid w:val="33E34843"/>
    <w:rsid w:val="340824FC"/>
    <w:rsid w:val="341C3D38"/>
    <w:rsid w:val="3430306D"/>
    <w:rsid w:val="34322477"/>
    <w:rsid w:val="343C3F54"/>
    <w:rsid w:val="34572B3B"/>
    <w:rsid w:val="34597631"/>
    <w:rsid w:val="345A2D08"/>
    <w:rsid w:val="34682BCC"/>
    <w:rsid w:val="34864FF7"/>
    <w:rsid w:val="34865B6B"/>
    <w:rsid w:val="348C7079"/>
    <w:rsid w:val="349A1827"/>
    <w:rsid w:val="34A07451"/>
    <w:rsid w:val="34A456D5"/>
    <w:rsid w:val="34A548D7"/>
    <w:rsid w:val="34AE05C9"/>
    <w:rsid w:val="34B60510"/>
    <w:rsid w:val="34B658E0"/>
    <w:rsid w:val="34C06F05"/>
    <w:rsid w:val="34CC063E"/>
    <w:rsid w:val="34CF04F8"/>
    <w:rsid w:val="34D1142C"/>
    <w:rsid w:val="34D15128"/>
    <w:rsid w:val="35032FA3"/>
    <w:rsid w:val="350E03AF"/>
    <w:rsid w:val="350F4CB9"/>
    <w:rsid w:val="351D5BC9"/>
    <w:rsid w:val="35255C20"/>
    <w:rsid w:val="3535118C"/>
    <w:rsid w:val="35494036"/>
    <w:rsid w:val="355220FE"/>
    <w:rsid w:val="35532FC7"/>
    <w:rsid w:val="35630DC9"/>
    <w:rsid w:val="356D1E4E"/>
    <w:rsid w:val="35725B9E"/>
    <w:rsid w:val="357A11D7"/>
    <w:rsid w:val="357B61F8"/>
    <w:rsid w:val="358431E6"/>
    <w:rsid w:val="359C2EFC"/>
    <w:rsid w:val="35AA2733"/>
    <w:rsid w:val="35B22915"/>
    <w:rsid w:val="35B2396B"/>
    <w:rsid w:val="35C006B0"/>
    <w:rsid w:val="35C7556C"/>
    <w:rsid w:val="35D5174D"/>
    <w:rsid w:val="35DE2C3C"/>
    <w:rsid w:val="35F15CCE"/>
    <w:rsid w:val="360B3202"/>
    <w:rsid w:val="36193C8D"/>
    <w:rsid w:val="361A65C9"/>
    <w:rsid w:val="363510E1"/>
    <w:rsid w:val="363F6CED"/>
    <w:rsid w:val="366068D7"/>
    <w:rsid w:val="366326C4"/>
    <w:rsid w:val="36633A19"/>
    <w:rsid w:val="366B2F28"/>
    <w:rsid w:val="366F208E"/>
    <w:rsid w:val="366F588A"/>
    <w:rsid w:val="36726A24"/>
    <w:rsid w:val="3676199F"/>
    <w:rsid w:val="368A619C"/>
    <w:rsid w:val="36A906EE"/>
    <w:rsid w:val="36AA7D18"/>
    <w:rsid w:val="36AC716F"/>
    <w:rsid w:val="36B254F5"/>
    <w:rsid w:val="36C21B0E"/>
    <w:rsid w:val="36D44917"/>
    <w:rsid w:val="36D604FC"/>
    <w:rsid w:val="36E07E35"/>
    <w:rsid w:val="36E14232"/>
    <w:rsid w:val="36F1702E"/>
    <w:rsid w:val="37053D0B"/>
    <w:rsid w:val="371B1379"/>
    <w:rsid w:val="372A0138"/>
    <w:rsid w:val="372C1337"/>
    <w:rsid w:val="373D5248"/>
    <w:rsid w:val="374B7F94"/>
    <w:rsid w:val="37563EEC"/>
    <w:rsid w:val="37655B9C"/>
    <w:rsid w:val="37790B61"/>
    <w:rsid w:val="377A726D"/>
    <w:rsid w:val="378352F2"/>
    <w:rsid w:val="3798143E"/>
    <w:rsid w:val="37B9389D"/>
    <w:rsid w:val="37C029E4"/>
    <w:rsid w:val="37C0326A"/>
    <w:rsid w:val="37E400CB"/>
    <w:rsid w:val="37FA4AD4"/>
    <w:rsid w:val="38013C97"/>
    <w:rsid w:val="381B3BA8"/>
    <w:rsid w:val="38211579"/>
    <w:rsid w:val="383438BF"/>
    <w:rsid w:val="38426BDF"/>
    <w:rsid w:val="38433B03"/>
    <w:rsid w:val="38447AC2"/>
    <w:rsid w:val="38502436"/>
    <w:rsid w:val="385F3146"/>
    <w:rsid w:val="38736EBE"/>
    <w:rsid w:val="38771263"/>
    <w:rsid w:val="387B5426"/>
    <w:rsid w:val="388112E2"/>
    <w:rsid w:val="38A85C11"/>
    <w:rsid w:val="38B6741F"/>
    <w:rsid w:val="38C57FA1"/>
    <w:rsid w:val="38CA66F0"/>
    <w:rsid w:val="38D94467"/>
    <w:rsid w:val="38E3705F"/>
    <w:rsid w:val="38E62CF4"/>
    <w:rsid w:val="38E71D83"/>
    <w:rsid w:val="38F01ECC"/>
    <w:rsid w:val="38F1355F"/>
    <w:rsid w:val="39070D87"/>
    <w:rsid w:val="39292820"/>
    <w:rsid w:val="39333AC3"/>
    <w:rsid w:val="39393F87"/>
    <w:rsid w:val="39685670"/>
    <w:rsid w:val="396F26D5"/>
    <w:rsid w:val="397B1394"/>
    <w:rsid w:val="3985032C"/>
    <w:rsid w:val="3988337B"/>
    <w:rsid w:val="39980666"/>
    <w:rsid w:val="39A55A4C"/>
    <w:rsid w:val="39B05E47"/>
    <w:rsid w:val="39B06F76"/>
    <w:rsid w:val="39B8361C"/>
    <w:rsid w:val="39B91955"/>
    <w:rsid w:val="39BA1C5A"/>
    <w:rsid w:val="39C02293"/>
    <w:rsid w:val="39C724FD"/>
    <w:rsid w:val="39D569DC"/>
    <w:rsid w:val="39DA3320"/>
    <w:rsid w:val="3A025982"/>
    <w:rsid w:val="3A186253"/>
    <w:rsid w:val="3A251404"/>
    <w:rsid w:val="3A255BB6"/>
    <w:rsid w:val="3A260D3F"/>
    <w:rsid w:val="3A3E5802"/>
    <w:rsid w:val="3A4461BF"/>
    <w:rsid w:val="3A461CE0"/>
    <w:rsid w:val="3A49123F"/>
    <w:rsid w:val="3A7C09D0"/>
    <w:rsid w:val="3A7C154E"/>
    <w:rsid w:val="3A816B64"/>
    <w:rsid w:val="3A832472"/>
    <w:rsid w:val="3AA64EC6"/>
    <w:rsid w:val="3AB46994"/>
    <w:rsid w:val="3AB51446"/>
    <w:rsid w:val="3AC22322"/>
    <w:rsid w:val="3AC94BB8"/>
    <w:rsid w:val="3AD30BFD"/>
    <w:rsid w:val="3AD63D9A"/>
    <w:rsid w:val="3AEF3D25"/>
    <w:rsid w:val="3AFC736B"/>
    <w:rsid w:val="3B2220F5"/>
    <w:rsid w:val="3B2822CC"/>
    <w:rsid w:val="3B38206F"/>
    <w:rsid w:val="3B3C700E"/>
    <w:rsid w:val="3B4D40AE"/>
    <w:rsid w:val="3B5013F4"/>
    <w:rsid w:val="3B622409"/>
    <w:rsid w:val="3B7010B2"/>
    <w:rsid w:val="3B703524"/>
    <w:rsid w:val="3B7364AD"/>
    <w:rsid w:val="3B9A0E3F"/>
    <w:rsid w:val="3BA13238"/>
    <w:rsid w:val="3BBD2B93"/>
    <w:rsid w:val="3BC545D7"/>
    <w:rsid w:val="3BDB173D"/>
    <w:rsid w:val="3BE2411A"/>
    <w:rsid w:val="3BE7696A"/>
    <w:rsid w:val="3BEC4C4F"/>
    <w:rsid w:val="3BF52B05"/>
    <w:rsid w:val="3BFC47CA"/>
    <w:rsid w:val="3BFC5148"/>
    <w:rsid w:val="3C0D0F09"/>
    <w:rsid w:val="3C1C46F5"/>
    <w:rsid w:val="3C270BE9"/>
    <w:rsid w:val="3C3465C8"/>
    <w:rsid w:val="3C37705C"/>
    <w:rsid w:val="3C3D3202"/>
    <w:rsid w:val="3C486B67"/>
    <w:rsid w:val="3C530D2D"/>
    <w:rsid w:val="3C555A4B"/>
    <w:rsid w:val="3C5822B1"/>
    <w:rsid w:val="3C704DD7"/>
    <w:rsid w:val="3C7A02FF"/>
    <w:rsid w:val="3C80691E"/>
    <w:rsid w:val="3C8301DE"/>
    <w:rsid w:val="3C8A6A69"/>
    <w:rsid w:val="3C8A7F52"/>
    <w:rsid w:val="3CAC2BF0"/>
    <w:rsid w:val="3CB03487"/>
    <w:rsid w:val="3CB772DB"/>
    <w:rsid w:val="3CC52D38"/>
    <w:rsid w:val="3CF00E91"/>
    <w:rsid w:val="3D150B88"/>
    <w:rsid w:val="3D373A52"/>
    <w:rsid w:val="3D44127D"/>
    <w:rsid w:val="3D5C6BB6"/>
    <w:rsid w:val="3D6F7BC8"/>
    <w:rsid w:val="3D751344"/>
    <w:rsid w:val="3D8B086B"/>
    <w:rsid w:val="3DA40C38"/>
    <w:rsid w:val="3DB17760"/>
    <w:rsid w:val="3DB50235"/>
    <w:rsid w:val="3DBA6615"/>
    <w:rsid w:val="3DBB6FCA"/>
    <w:rsid w:val="3DC431B3"/>
    <w:rsid w:val="3DD268F8"/>
    <w:rsid w:val="3DDD2303"/>
    <w:rsid w:val="3DEC52BB"/>
    <w:rsid w:val="3DF01951"/>
    <w:rsid w:val="3DF37D79"/>
    <w:rsid w:val="3DFA297C"/>
    <w:rsid w:val="3DFA2EB5"/>
    <w:rsid w:val="3DFD6D68"/>
    <w:rsid w:val="3E0B267F"/>
    <w:rsid w:val="3E11206A"/>
    <w:rsid w:val="3E171A6B"/>
    <w:rsid w:val="3E1A74C6"/>
    <w:rsid w:val="3E297ECE"/>
    <w:rsid w:val="3E42258D"/>
    <w:rsid w:val="3E4325D3"/>
    <w:rsid w:val="3E463D51"/>
    <w:rsid w:val="3E48104D"/>
    <w:rsid w:val="3E504EE2"/>
    <w:rsid w:val="3E5228C7"/>
    <w:rsid w:val="3E5C2326"/>
    <w:rsid w:val="3E6611A8"/>
    <w:rsid w:val="3E6F2E65"/>
    <w:rsid w:val="3E717E34"/>
    <w:rsid w:val="3E7F6BF7"/>
    <w:rsid w:val="3E876B4B"/>
    <w:rsid w:val="3E883730"/>
    <w:rsid w:val="3E8845AB"/>
    <w:rsid w:val="3EB454E8"/>
    <w:rsid w:val="3EC3736F"/>
    <w:rsid w:val="3ED61F86"/>
    <w:rsid w:val="3EDC6F97"/>
    <w:rsid w:val="3EF80DB1"/>
    <w:rsid w:val="3EFE4835"/>
    <w:rsid w:val="3F073780"/>
    <w:rsid w:val="3F1D3ABB"/>
    <w:rsid w:val="3F1D72F6"/>
    <w:rsid w:val="3F265BE3"/>
    <w:rsid w:val="3F2909FF"/>
    <w:rsid w:val="3F2B6CA8"/>
    <w:rsid w:val="3F2D0CFE"/>
    <w:rsid w:val="3F342FB6"/>
    <w:rsid w:val="3F373C95"/>
    <w:rsid w:val="3F403389"/>
    <w:rsid w:val="3F447A3C"/>
    <w:rsid w:val="3F4E673C"/>
    <w:rsid w:val="3F7F4278"/>
    <w:rsid w:val="3F820131"/>
    <w:rsid w:val="3F9827F2"/>
    <w:rsid w:val="3F9F3D6D"/>
    <w:rsid w:val="3FAB5DC4"/>
    <w:rsid w:val="3FB75B49"/>
    <w:rsid w:val="3FBC5E34"/>
    <w:rsid w:val="3FCD4B44"/>
    <w:rsid w:val="3FD250F1"/>
    <w:rsid w:val="3FD67A25"/>
    <w:rsid w:val="3FD87226"/>
    <w:rsid w:val="3FE14323"/>
    <w:rsid w:val="3FE43718"/>
    <w:rsid w:val="3FE71217"/>
    <w:rsid w:val="3FE8035B"/>
    <w:rsid w:val="3FE91433"/>
    <w:rsid w:val="3FE92490"/>
    <w:rsid w:val="3FF67FFC"/>
    <w:rsid w:val="40031126"/>
    <w:rsid w:val="400B08DE"/>
    <w:rsid w:val="400E4BF7"/>
    <w:rsid w:val="40156415"/>
    <w:rsid w:val="40242C1E"/>
    <w:rsid w:val="4027070D"/>
    <w:rsid w:val="402B03AB"/>
    <w:rsid w:val="40311602"/>
    <w:rsid w:val="404B4CED"/>
    <w:rsid w:val="405C4938"/>
    <w:rsid w:val="4066063F"/>
    <w:rsid w:val="409E3497"/>
    <w:rsid w:val="40A424D7"/>
    <w:rsid w:val="40A86BF9"/>
    <w:rsid w:val="40B57568"/>
    <w:rsid w:val="40D80510"/>
    <w:rsid w:val="40E82B80"/>
    <w:rsid w:val="4101292C"/>
    <w:rsid w:val="41082FB2"/>
    <w:rsid w:val="41110E34"/>
    <w:rsid w:val="412C782A"/>
    <w:rsid w:val="414025CB"/>
    <w:rsid w:val="417C31B0"/>
    <w:rsid w:val="41827849"/>
    <w:rsid w:val="41990130"/>
    <w:rsid w:val="419C0A1B"/>
    <w:rsid w:val="41C136F7"/>
    <w:rsid w:val="41D24FC2"/>
    <w:rsid w:val="41D50F25"/>
    <w:rsid w:val="41D7042D"/>
    <w:rsid w:val="41F7374C"/>
    <w:rsid w:val="41FA05C7"/>
    <w:rsid w:val="42024578"/>
    <w:rsid w:val="420863B2"/>
    <w:rsid w:val="421B5050"/>
    <w:rsid w:val="421E72AE"/>
    <w:rsid w:val="42276243"/>
    <w:rsid w:val="4240044E"/>
    <w:rsid w:val="42494A73"/>
    <w:rsid w:val="424B1F31"/>
    <w:rsid w:val="425B09F8"/>
    <w:rsid w:val="42617634"/>
    <w:rsid w:val="42621029"/>
    <w:rsid w:val="426374A8"/>
    <w:rsid w:val="4282609D"/>
    <w:rsid w:val="429C278D"/>
    <w:rsid w:val="42A647F7"/>
    <w:rsid w:val="42BF0286"/>
    <w:rsid w:val="42C80F45"/>
    <w:rsid w:val="42CE66BF"/>
    <w:rsid w:val="42D67A24"/>
    <w:rsid w:val="42DF20F3"/>
    <w:rsid w:val="42E238A4"/>
    <w:rsid w:val="42ED180D"/>
    <w:rsid w:val="42F9107D"/>
    <w:rsid w:val="42FB2D61"/>
    <w:rsid w:val="43065B36"/>
    <w:rsid w:val="430B75E0"/>
    <w:rsid w:val="433353B3"/>
    <w:rsid w:val="43410E16"/>
    <w:rsid w:val="434A61D0"/>
    <w:rsid w:val="43502C04"/>
    <w:rsid w:val="4365297A"/>
    <w:rsid w:val="43741075"/>
    <w:rsid w:val="43776313"/>
    <w:rsid w:val="437E4E43"/>
    <w:rsid w:val="43806765"/>
    <w:rsid w:val="438F2378"/>
    <w:rsid w:val="4397223F"/>
    <w:rsid w:val="43A16618"/>
    <w:rsid w:val="43B27103"/>
    <w:rsid w:val="43B276B8"/>
    <w:rsid w:val="43B47990"/>
    <w:rsid w:val="43B6186A"/>
    <w:rsid w:val="43C014E4"/>
    <w:rsid w:val="43C9167F"/>
    <w:rsid w:val="43E91B7A"/>
    <w:rsid w:val="43F81C45"/>
    <w:rsid w:val="43FE7408"/>
    <w:rsid w:val="44003A29"/>
    <w:rsid w:val="440D4234"/>
    <w:rsid w:val="44146615"/>
    <w:rsid w:val="4416031D"/>
    <w:rsid w:val="441946EF"/>
    <w:rsid w:val="44215B22"/>
    <w:rsid w:val="44250CC4"/>
    <w:rsid w:val="442B201A"/>
    <w:rsid w:val="442B6074"/>
    <w:rsid w:val="44412C12"/>
    <w:rsid w:val="444C1F91"/>
    <w:rsid w:val="444C73B7"/>
    <w:rsid w:val="445B0426"/>
    <w:rsid w:val="446D0DA9"/>
    <w:rsid w:val="447710E5"/>
    <w:rsid w:val="447B4624"/>
    <w:rsid w:val="44804451"/>
    <w:rsid w:val="448A327B"/>
    <w:rsid w:val="448E3309"/>
    <w:rsid w:val="448E4DEC"/>
    <w:rsid w:val="44902E7E"/>
    <w:rsid w:val="449D2666"/>
    <w:rsid w:val="44A354EA"/>
    <w:rsid w:val="44A53E9E"/>
    <w:rsid w:val="44B06161"/>
    <w:rsid w:val="44B1204D"/>
    <w:rsid w:val="44C1276E"/>
    <w:rsid w:val="44D40789"/>
    <w:rsid w:val="44DF7677"/>
    <w:rsid w:val="44E022BE"/>
    <w:rsid w:val="44E20FAD"/>
    <w:rsid w:val="44F14EE9"/>
    <w:rsid w:val="450B59A8"/>
    <w:rsid w:val="451735B9"/>
    <w:rsid w:val="451F3201"/>
    <w:rsid w:val="45253385"/>
    <w:rsid w:val="453C3DB3"/>
    <w:rsid w:val="45450968"/>
    <w:rsid w:val="454629FA"/>
    <w:rsid w:val="45471E91"/>
    <w:rsid w:val="455479C0"/>
    <w:rsid w:val="45570BED"/>
    <w:rsid w:val="455F0C29"/>
    <w:rsid w:val="4561381A"/>
    <w:rsid w:val="45623E31"/>
    <w:rsid w:val="456502E2"/>
    <w:rsid w:val="4582210E"/>
    <w:rsid w:val="45992BA6"/>
    <w:rsid w:val="459C726F"/>
    <w:rsid w:val="45B52C14"/>
    <w:rsid w:val="45BA369A"/>
    <w:rsid w:val="45C179DA"/>
    <w:rsid w:val="45D639C5"/>
    <w:rsid w:val="45D726BE"/>
    <w:rsid w:val="45E83F3B"/>
    <w:rsid w:val="46072613"/>
    <w:rsid w:val="460E39A2"/>
    <w:rsid w:val="46144A91"/>
    <w:rsid w:val="461D7F8B"/>
    <w:rsid w:val="462A5D93"/>
    <w:rsid w:val="462F05D4"/>
    <w:rsid w:val="463332CF"/>
    <w:rsid w:val="46364CA7"/>
    <w:rsid w:val="46387CA4"/>
    <w:rsid w:val="463D6DEE"/>
    <w:rsid w:val="464D0599"/>
    <w:rsid w:val="466A50EF"/>
    <w:rsid w:val="467A3618"/>
    <w:rsid w:val="46897D42"/>
    <w:rsid w:val="46983025"/>
    <w:rsid w:val="469A63F7"/>
    <w:rsid w:val="46A10B59"/>
    <w:rsid w:val="46B63068"/>
    <w:rsid w:val="46C21899"/>
    <w:rsid w:val="46E00EB3"/>
    <w:rsid w:val="46FB7E03"/>
    <w:rsid w:val="47024C6C"/>
    <w:rsid w:val="471C150A"/>
    <w:rsid w:val="47223C04"/>
    <w:rsid w:val="47256189"/>
    <w:rsid w:val="47393A70"/>
    <w:rsid w:val="474117C7"/>
    <w:rsid w:val="47451335"/>
    <w:rsid w:val="4755272E"/>
    <w:rsid w:val="476532BE"/>
    <w:rsid w:val="4772495E"/>
    <w:rsid w:val="47775577"/>
    <w:rsid w:val="477D25FD"/>
    <w:rsid w:val="477E6245"/>
    <w:rsid w:val="47982DD6"/>
    <w:rsid w:val="47A53D94"/>
    <w:rsid w:val="47A63B15"/>
    <w:rsid w:val="47A859FD"/>
    <w:rsid w:val="47AD0F98"/>
    <w:rsid w:val="47B75D6B"/>
    <w:rsid w:val="47DD619D"/>
    <w:rsid w:val="47E237E8"/>
    <w:rsid w:val="47EC69E2"/>
    <w:rsid w:val="47F35A21"/>
    <w:rsid w:val="47F534B0"/>
    <w:rsid w:val="47F86AE7"/>
    <w:rsid w:val="480E5EDB"/>
    <w:rsid w:val="480F3CA7"/>
    <w:rsid w:val="48264B62"/>
    <w:rsid w:val="482F0B1A"/>
    <w:rsid w:val="48471D42"/>
    <w:rsid w:val="484B64F7"/>
    <w:rsid w:val="48533D15"/>
    <w:rsid w:val="4859672E"/>
    <w:rsid w:val="4860450F"/>
    <w:rsid w:val="48700110"/>
    <w:rsid w:val="487E1318"/>
    <w:rsid w:val="48894BB5"/>
    <w:rsid w:val="48A12028"/>
    <w:rsid w:val="48A56114"/>
    <w:rsid w:val="48B77253"/>
    <w:rsid w:val="48B8224C"/>
    <w:rsid w:val="48BC11F4"/>
    <w:rsid w:val="48CC31B9"/>
    <w:rsid w:val="48E14C28"/>
    <w:rsid w:val="48F227C6"/>
    <w:rsid w:val="490723CD"/>
    <w:rsid w:val="4911031A"/>
    <w:rsid w:val="49125B31"/>
    <w:rsid w:val="493A7BD9"/>
    <w:rsid w:val="49424C51"/>
    <w:rsid w:val="494F0942"/>
    <w:rsid w:val="49500144"/>
    <w:rsid w:val="49517B7D"/>
    <w:rsid w:val="49557AE4"/>
    <w:rsid w:val="496E63D6"/>
    <w:rsid w:val="497D6C8F"/>
    <w:rsid w:val="49A247A8"/>
    <w:rsid w:val="49B943F1"/>
    <w:rsid w:val="49CB04B5"/>
    <w:rsid w:val="49D91CA2"/>
    <w:rsid w:val="49FE26D7"/>
    <w:rsid w:val="4A04223F"/>
    <w:rsid w:val="4A2A45A2"/>
    <w:rsid w:val="4A302E79"/>
    <w:rsid w:val="4A3355EC"/>
    <w:rsid w:val="4A3741D4"/>
    <w:rsid w:val="4A5D541E"/>
    <w:rsid w:val="4A624669"/>
    <w:rsid w:val="4A6670B1"/>
    <w:rsid w:val="4A6D3B09"/>
    <w:rsid w:val="4A965D14"/>
    <w:rsid w:val="4AB1764C"/>
    <w:rsid w:val="4AB80190"/>
    <w:rsid w:val="4AB97C54"/>
    <w:rsid w:val="4AD61838"/>
    <w:rsid w:val="4AD6322C"/>
    <w:rsid w:val="4AE93C47"/>
    <w:rsid w:val="4AFE46B6"/>
    <w:rsid w:val="4B040F80"/>
    <w:rsid w:val="4B09474D"/>
    <w:rsid w:val="4B0F2E6D"/>
    <w:rsid w:val="4B127866"/>
    <w:rsid w:val="4B141FD5"/>
    <w:rsid w:val="4B1D3CEE"/>
    <w:rsid w:val="4B20100E"/>
    <w:rsid w:val="4B272AFC"/>
    <w:rsid w:val="4B346E6C"/>
    <w:rsid w:val="4B404591"/>
    <w:rsid w:val="4B5B208F"/>
    <w:rsid w:val="4B5C1498"/>
    <w:rsid w:val="4B60035E"/>
    <w:rsid w:val="4B8E4268"/>
    <w:rsid w:val="4BB01057"/>
    <w:rsid w:val="4BB24DCF"/>
    <w:rsid w:val="4BC05617"/>
    <w:rsid w:val="4BC36FDC"/>
    <w:rsid w:val="4BC845BE"/>
    <w:rsid w:val="4BEF60FB"/>
    <w:rsid w:val="4C007878"/>
    <w:rsid w:val="4C257843"/>
    <w:rsid w:val="4C333802"/>
    <w:rsid w:val="4C396B7A"/>
    <w:rsid w:val="4C4243A5"/>
    <w:rsid w:val="4C472A46"/>
    <w:rsid w:val="4C4774DE"/>
    <w:rsid w:val="4C766BE1"/>
    <w:rsid w:val="4C803F9D"/>
    <w:rsid w:val="4C81005D"/>
    <w:rsid w:val="4C89473F"/>
    <w:rsid w:val="4C8D1CE3"/>
    <w:rsid w:val="4C927A2A"/>
    <w:rsid w:val="4C987391"/>
    <w:rsid w:val="4CB415B0"/>
    <w:rsid w:val="4CC70A27"/>
    <w:rsid w:val="4CD174D7"/>
    <w:rsid w:val="4CD91706"/>
    <w:rsid w:val="4CEA4C22"/>
    <w:rsid w:val="4CEB30C0"/>
    <w:rsid w:val="4CFA69F4"/>
    <w:rsid w:val="4CFD4469"/>
    <w:rsid w:val="4D01133A"/>
    <w:rsid w:val="4D062999"/>
    <w:rsid w:val="4D074C81"/>
    <w:rsid w:val="4D130F05"/>
    <w:rsid w:val="4D2D16C0"/>
    <w:rsid w:val="4D3123F7"/>
    <w:rsid w:val="4D3A5285"/>
    <w:rsid w:val="4D3B1341"/>
    <w:rsid w:val="4D447A09"/>
    <w:rsid w:val="4D5A15FB"/>
    <w:rsid w:val="4D5C1113"/>
    <w:rsid w:val="4D691BB1"/>
    <w:rsid w:val="4D7209E7"/>
    <w:rsid w:val="4D762EB5"/>
    <w:rsid w:val="4D816485"/>
    <w:rsid w:val="4D8207D1"/>
    <w:rsid w:val="4D9A3161"/>
    <w:rsid w:val="4DA92C10"/>
    <w:rsid w:val="4DC902C0"/>
    <w:rsid w:val="4DDC02E8"/>
    <w:rsid w:val="4E016700"/>
    <w:rsid w:val="4E022932"/>
    <w:rsid w:val="4E030315"/>
    <w:rsid w:val="4E0A0EF3"/>
    <w:rsid w:val="4E185BEB"/>
    <w:rsid w:val="4E1F41B3"/>
    <w:rsid w:val="4E240C46"/>
    <w:rsid w:val="4E355663"/>
    <w:rsid w:val="4E47121A"/>
    <w:rsid w:val="4E47615A"/>
    <w:rsid w:val="4E617896"/>
    <w:rsid w:val="4E6B0836"/>
    <w:rsid w:val="4E920181"/>
    <w:rsid w:val="4EBE69ED"/>
    <w:rsid w:val="4ED37474"/>
    <w:rsid w:val="4EE2777A"/>
    <w:rsid w:val="4EEF0BA4"/>
    <w:rsid w:val="4EEF4102"/>
    <w:rsid w:val="4EF6192B"/>
    <w:rsid w:val="4F11208F"/>
    <w:rsid w:val="4F1C387F"/>
    <w:rsid w:val="4F1D7F76"/>
    <w:rsid w:val="4F2501AA"/>
    <w:rsid w:val="4F2A6A35"/>
    <w:rsid w:val="4F2E5E48"/>
    <w:rsid w:val="4F321CF8"/>
    <w:rsid w:val="4F4A0E2B"/>
    <w:rsid w:val="4F4D27A5"/>
    <w:rsid w:val="4F4F1030"/>
    <w:rsid w:val="4F56412B"/>
    <w:rsid w:val="4F5C0944"/>
    <w:rsid w:val="4F6341DF"/>
    <w:rsid w:val="4F6E0DF1"/>
    <w:rsid w:val="4F7F32EB"/>
    <w:rsid w:val="4F852BAA"/>
    <w:rsid w:val="4F8C6EA1"/>
    <w:rsid w:val="4F8D2D63"/>
    <w:rsid w:val="4F997907"/>
    <w:rsid w:val="4F9D2AA9"/>
    <w:rsid w:val="4FA04BF4"/>
    <w:rsid w:val="4FA33FD8"/>
    <w:rsid w:val="4FA70496"/>
    <w:rsid w:val="4FA83D15"/>
    <w:rsid w:val="4FAB40CE"/>
    <w:rsid w:val="4FBB4B44"/>
    <w:rsid w:val="4FBE24D4"/>
    <w:rsid w:val="4FD01CC8"/>
    <w:rsid w:val="4FE4726A"/>
    <w:rsid w:val="4FE50529"/>
    <w:rsid w:val="4FEC2B32"/>
    <w:rsid w:val="4FFA5C69"/>
    <w:rsid w:val="500C40DE"/>
    <w:rsid w:val="50210270"/>
    <w:rsid w:val="502611D6"/>
    <w:rsid w:val="503E607D"/>
    <w:rsid w:val="504F57F8"/>
    <w:rsid w:val="50657297"/>
    <w:rsid w:val="50666E98"/>
    <w:rsid w:val="50844F1D"/>
    <w:rsid w:val="508C5825"/>
    <w:rsid w:val="509C6FA3"/>
    <w:rsid w:val="50AF5D81"/>
    <w:rsid w:val="50B043B0"/>
    <w:rsid w:val="50B2312F"/>
    <w:rsid w:val="50E625D8"/>
    <w:rsid w:val="50EC15CF"/>
    <w:rsid w:val="510A5321"/>
    <w:rsid w:val="511C1106"/>
    <w:rsid w:val="511D538A"/>
    <w:rsid w:val="51387B25"/>
    <w:rsid w:val="513A0B4C"/>
    <w:rsid w:val="514801BA"/>
    <w:rsid w:val="51491D32"/>
    <w:rsid w:val="515F4C58"/>
    <w:rsid w:val="516528E4"/>
    <w:rsid w:val="516D10FA"/>
    <w:rsid w:val="516E26EB"/>
    <w:rsid w:val="516F69F9"/>
    <w:rsid w:val="51776CBE"/>
    <w:rsid w:val="51777111"/>
    <w:rsid w:val="51781629"/>
    <w:rsid w:val="51812C58"/>
    <w:rsid w:val="5191468F"/>
    <w:rsid w:val="51984924"/>
    <w:rsid w:val="51B35982"/>
    <w:rsid w:val="51BF4B8A"/>
    <w:rsid w:val="51D06BAC"/>
    <w:rsid w:val="51D86507"/>
    <w:rsid w:val="51EB2C51"/>
    <w:rsid w:val="521C5071"/>
    <w:rsid w:val="521E7500"/>
    <w:rsid w:val="52204E08"/>
    <w:rsid w:val="52371DC3"/>
    <w:rsid w:val="524A2724"/>
    <w:rsid w:val="5253183C"/>
    <w:rsid w:val="525D21EA"/>
    <w:rsid w:val="52782470"/>
    <w:rsid w:val="52980F6C"/>
    <w:rsid w:val="529F3F5A"/>
    <w:rsid w:val="52A1794C"/>
    <w:rsid w:val="52AA2E5B"/>
    <w:rsid w:val="52B81C94"/>
    <w:rsid w:val="52B85E27"/>
    <w:rsid w:val="52C73221"/>
    <w:rsid w:val="52C90C95"/>
    <w:rsid w:val="52CB1D9E"/>
    <w:rsid w:val="52CC5AB6"/>
    <w:rsid w:val="52DE6197"/>
    <w:rsid w:val="53027DDE"/>
    <w:rsid w:val="53180A1C"/>
    <w:rsid w:val="53203A1C"/>
    <w:rsid w:val="53487DC7"/>
    <w:rsid w:val="53650979"/>
    <w:rsid w:val="536E098B"/>
    <w:rsid w:val="53AF1641"/>
    <w:rsid w:val="53B10EFF"/>
    <w:rsid w:val="53B8319F"/>
    <w:rsid w:val="53C57A1E"/>
    <w:rsid w:val="53CC15DE"/>
    <w:rsid w:val="53D16BCF"/>
    <w:rsid w:val="53E61418"/>
    <w:rsid w:val="53EE0B9B"/>
    <w:rsid w:val="53F0150D"/>
    <w:rsid w:val="540074C5"/>
    <w:rsid w:val="54011C2A"/>
    <w:rsid w:val="540F1211"/>
    <w:rsid w:val="5423510A"/>
    <w:rsid w:val="54257B89"/>
    <w:rsid w:val="542B70A1"/>
    <w:rsid w:val="542B759B"/>
    <w:rsid w:val="54303C2D"/>
    <w:rsid w:val="54334E84"/>
    <w:rsid w:val="54383F40"/>
    <w:rsid w:val="543C6987"/>
    <w:rsid w:val="544339BE"/>
    <w:rsid w:val="544B3BF7"/>
    <w:rsid w:val="544D2FB3"/>
    <w:rsid w:val="544F180D"/>
    <w:rsid w:val="54772A41"/>
    <w:rsid w:val="54805F31"/>
    <w:rsid w:val="54856692"/>
    <w:rsid w:val="54935CE3"/>
    <w:rsid w:val="54A215FB"/>
    <w:rsid w:val="54C73D4E"/>
    <w:rsid w:val="54DA0EF3"/>
    <w:rsid w:val="54EA0EFE"/>
    <w:rsid w:val="54FA5F8B"/>
    <w:rsid w:val="54FE6850"/>
    <w:rsid w:val="55024449"/>
    <w:rsid w:val="55033157"/>
    <w:rsid w:val="550F6DEF"/>
    <w:rsid w:val="55241206"/>
    <w:rsid w:val="55300A1A"/>
    <w:rsid w:val="553C3F90"/>
    <w:rsid w:val="55467C7D"/>
    <w:rsid w:val="554E44D2"/>
    <w:rsid w:val="555E38D2"/>
    <w:rsid w:val="5561436A"/>
    <w:rsid w:val="55BA4D37"/>
    <w:rsid w:val="55C04E11"/>
    <w:rsid w:val="55C53723"/>
    <w:rsid w:val="55DD65FC"/>
    <w:rsid w:val="56034BF9"/>
    <w:rsid w:val="56091A90"/>
    <w:rsid w:val="56254254"/>
    <w:rsid w:val="56262D5D"/>
    <w:rsid w:val="56292132"/>
    <w:rsid w:val="562F45FB"/>
    <w:rsid w:val="563D5398"/>
    <w:rsid w:val="56534A0D"/>
    <w:rsid w:val="565F4B30"/>
    <w:rsid w:val="566C1158"/>
    <w:rsid w:val="567A0BDF"/>
    <w:rsid w:val="567F1A5A"/>
    <w:rsid w:val="568D6358"/>
    <w:rsid w:val="56953222"/>
    <w:rsid w:val="56AF5D4F"/>
    <w:rsid w:val="56E04EE6"/>
    <w:rsid w:val="56EA7B13"/>
    <w:rsid w:val="56F05944"/>
    <w:rsid w:val="56FB2556"/>
    <w:rsid w:val="56FB5DFE"/>
    <w:rsid w:val="5703016E"/>
    <w:rsid w:val="57167097"/>
    <w:rsid w:val="572C66BA"/>
    <w:rsid w:val="573967B5"/>
    <w:rsid w:val="57505B1C"/>
    <w:rsid w:val="575136EE"/>
    <w:rsid w:val="575710CE"/>
    <w:rsid w:val="57624E2B"/>
    <w:rsid w:val="57686E25"/>
    <w:rsid w:val="57695BD7"/>
    <w:rsid w:val="57966C74"/>
    <w:rsid w:val="5798756F"/>
    <w:rsid w:val="579B49DC"/>
    <w:rsid w:val="57B6538B"/>
    <w:rsid w:val="57BF7717"/>
    <w:rsid w:val="57CB63E3"/>
    <w:rsid w:val="57D1203B"/>
    <w:rsid w:val="57D53B36"/>
    <w:rsid w:val="57E02CC4"/>
    <w:rsid w:val="57E82910"/>
    <w:rsid w:val="57F638E5"/>
    <w:rsid w:val="57FA30DD"/>
    <w:rsid w:val="58017048"/>
    <w:rsid w:val="580A1290"/>
    <w:rsid w:val="581B0827"/>
    <w:rsid w:val="582245DD"/>
    <w:rsid w:val="58377467"/>
    <w:rsid w:val="584B3554"/>
    <w:rsid w:val="58591837"/>
    <w:rsid w:val="58596B1C"/>
    <w:rsid w:val="585B5FFA"/>
    <w:rsid w:val="58685E6E"/>
    <w:rsid w:val="586B09A2"/>
    <w:rsid w:val="587D2B82"/>
    <w:rsid w:val="58947CEE"/>
    <w:rsid w:val="58A41F44"/>
    <w:rsid w:val="58AC10F4"/>
    <w:rsid w:val="58B90ED0"/>
    <w:rsid w:val="58B94155"/>
    <w:rsid w:val="58BF2602"/>
    <w:rsid w:val="58CE33D6"/>
    <w:rsid w:val="58D7154E"/>
    <w:rsid w:val="59034EBC"/>
    <w:rsid w:val="59380693"/>
    <w:rsid w:val="59442B2D"/>
    <w:rsid w:val="594E58DE"/>
    <w:rsid w:val="5999312B"/>
    <w:rsid w:val="599D70BF"/>
    <w:rsid w:val="59A55F73"/>
    <w:rsid w:val="59B83784"/>
    <w:rsid w:val="59B91297"/>
    <w:rsid w:val="59CC3649"/>
    <w:rsid w:val="59D14FBA"/>
    <w:rsid w:val="59E41F31"/>
    <w:rsid w:val="59ED3836"/>
    <w:rsid w:val="59F36E38"/>
    <w:rsid w:val="59F45DC1"/>
    <w:rsid w:val="59F532E8"/>
    <w:rsid w:val="59F60B71"/>
    <w:rsid w:val="59FE18E3"/>
    <w:rsid w:val="5A017EC5"/>
    <w:rsid w:val="5A076B0E"/>
    <w:rsid w:val="5A137FA2"/>
    <w:rsid w:val="5A2C0443"/>
    <w:rsid w:val="5A2D5ABC"/>
    <w:rsid w:val="5A3F4E0F"/>
    <w:rsid w:val="5A5542CD"/>
    <w:rsid w:val="5A6574B1"/>
    <w:rsid w:val="5A6A3685"/>
    <w:rsid w:val="5A7C7089"/>
    <w:rsid w:val="5A7F47D6"/>
    <w:rsid w:val="5A8309AB"/>
    <w:rsid w:val="5A860BA7"/>
    <w:rsid w:val="5AA47501"/>
    <w:rsid w:val="5AA601F5"/>
    <w:rsid w:val="5AAF08EB"/>
    <w:rsid w:val="5AB021BB"/>
    <w:rsid w:val="5AB8746E"/>
    <w:rsid w:val="5ACA0189"/>
    <w:rsid w:val="5AD10820"/>
    <w:rsid w:val="5AD60E78"/>
    <w:rsid w:val="5ADC754F"/>
    <w:rsid w:val="5AFF60FA"/>
    <w:rsid w:val="5B0B15AE"/>
    <w:rsid w:val="5B0C2A3E"/>
    <w:rsid w:val="5B0D2022"/>
    <w:rsid w:val="5B0D587A"/>
    <w:rsid w:val="5B1A0C93"/>
    <w:rsid w:val="5B21701F"/>
    <w:rsid w:val="5B2D5620"/>
    <w:rsid w:val="5B36238E"/>
    <w:rsid w:val="5B4E5A90"/>
    <w:rsid w:val="5B55572A"/>
    <w:rsid w:val="5B5D296D"/>
    <w:rsid w:val="5B6873FF"/>
    <w:rsid w:val="5B6A5AA0"/>
    <w:rsid w:val="5B77749C"/>
    <w:rsid w:val="5B8901D2"/>
    <w:rsid w:val="5B8F2A37"/>
    <w:rsid w:val="5B94004E"/>
    <w:rsid w:val="5B9E0ECC"/>
    <w:rsid w:val="5BA74242"/>
    <w:rsid w:val="5BB150D4"/>
    <w:rsid w:val="5BB27AED"/>
    <w:rsid w:val="5BBD3EF4"/>
    <w:rsid w:val="5BC00F33"/>
    <w:rsid w:val="5BD207FE"/>
    <w:rsid w:val="5BF71945"/>
    <w:rsid w:val="5BFD3F6A"/>
    <w:rsid w:val="5C076A71"/>
    <w:rsid w:val="5C0F3B78"/>
    <w:rsid w:val="5C1A6133"/>
    <w:rsid w:val="5C21628F"/>
    <w:rsid w:val="5C566FBE"/>
    <w:rsid w:val="5C5B556F"/>
    <w:rsid w:val="5C671DA5"/>
    <w:rsid w:val="5C6F4617"/>
    <w:rsid w:val="5C6F51D6"/>
    <w:rsid w:val="5C72725B"/>
    <w:rsid w:val="5C734600"/>
    <w:rsid w:val="5C761E49"/>
    <w:rsid w:val="5C821D98"/>
    <w:rsid w:val="5C960B0D"/>
    <w:rsid w:val="5C960C53"/>
    <w:rsid w:val="5C97193F"/>
    <w:rsid w:val="5C977F0B"/>
    <w:rsid w:val="5CE173E2"/>
    <w:rsid w:val="5CE9261B"/>
    <w:rsid w:val="5CEF73FE"/>
    <w:rsid w:val="5CFD4951"/>
    <w:rsid w:val="5D057363"/>
    <w:rsid w:val="5D0A471E"/>
    <w:rsid w:val="5D0C00B7"/>
    <w:rsid w:val="5D0D4643"/>
    <w:rsid w:val="5D170F36"/>
    <w:rsid w:val="5D18611C"/>
    <w:rsid w:val="5D1A54AB"/>
    <w:rsid w:val="5D1A7EEE"/>
    <w:rsid w:val="5D316B24"/>
    <w:rsid w:val="5D4B6A0E"/>
    <w:rsid w:val="5D4F5AA7"/>
    <w:rsid w:val="5D4F76B9"/>
    <w:rsid w:val="5D506F37"/>
    <w:rsid w:val="5D5264A3"/>
    <w:rsid w:val="5D581D64"/>
    <w:rsid w:val="5D5A2F86"/>
    <w:rsid w:val="5D752101"/>
    <w:rsid w:val="5D77155C"/>
    <w:rsid w:val="5D837D30"/>
    <w:rsid w:val="5D995DEF"/>
    <w:rsid w:val="5D9E315E"/>
    <w:rsid w:val="5DA754B5"/>
    <w:rsid w:val="5DB05C94"/>
    <w:rsid w:val="5DC5548A"/>
    <w:rsid w:val="5DCD77BF"/>
    <w:rsid w:val="5DD25325"/>
    <w:rsid w:val="5DD519C7"/>
    <w:rsid w:val="5DE332F3"/>
    <w:rsid w:val="5DEC57D0"/>
    <w:rsid w:val="5DF002D3"/>
    <w:rsid w:val="5DF26F5F"/>
    <w:rsid w:val="5E1C78F0"/>
    <w:rsid w:val="5E2C7736"/>
    <w:rsid w:val="5E457806"/>
    <w:rsid w:val="5E6C312F"/>
    <w:rsid w:val="5E6D5E2A"/>
    <w:rsid w:val="5E717088"/>
    <w:rsid w:val="5E8740BD"/>
    <w:rsid w:val="5E8D4648"/>
    <w:rsid w:val="5E9A1FAA"/>
    <w:rsid w:val="5E9C3F9F"/>
    <w:rsid w:val="5E9C3FCB"/>
    <w:rsid w:val="5E9D53B0"/>
    <w:rsid w:val="5EAE2A47"/>
    <w:rsid w:val="5EAF519E"/>
    <w:rsid w:val="5EB66C88"/>
    <w:rsid w:val="5EBD3D5F"/>
    <w:rsid w:val="5EC86F85"/>
    <w:rsid w:val="5ED54006"/>
    <w:rsid w:val="5ED6097D"/>
    <w:rsid w:val="5EFA5D57"/>
    <w:rsid w:val="5EFB3AE3"/>
    <w:rsid w:val="5F0B4BE5"/>
    <w:rsid w:val="5F110EE4"/>
    <w:rsid w:val="5F247D21"/>
    <w:rsid w:val="5F292315"/>
    <w:rsid w:val="5F4B3F31"/>
    <w:rsid w:val="5F5A6BEC"/>
    <w:rsid w:val="5F5E2C0B"/>
    <w:rsid w:val="5F976AFA"/>
    <w:rsid w:val="5FAF32F9"/>
    <w:rsid w:val="5FB121C2"/>
    <w:rsid w:val="5FB136E9"/>
    <w:rsid w:val="5FB605A7"/>
    <w:rsid w:val="5FB75D25"/>
    <w:rsid w:val="5FDA52B8"/>
    <w:rsid w:val="5FDE6D76"/>
    <w:rsid w:val="5FE25988"/>
    <w:rsid w:val="60100CEB"/>
    <w:rsid w:val="60191591"/>
    <w:rsid w:val="601E25DC"/>
    <w:rsid w:val="601E4AC8"/>
    <w:rsid w:val="60230DB7"/>
    <w:rsid w:val="60274812"/>
    <w:rsid w:val="602C3436"/>
    <w:rsid w:val="602D017B"/>
    <w:rsid w:val="602D3152"/>
    <w:rsid w:val="603D6017"/>
    <w:rsid w:val="604233FC"/>
    <w:rsid w:val="60606A2D"/>
    <w:rsid w:val="6063448E"/>
    <w:rsid w:val="60773FC1"/>
    <w:rsid w:val="607F4493"/>
    <w:rsid w:val="60945816"/>
    <w:rsid w:val="609C557A"/>
    <w:rsid w:val="60A7370A"/>
    <w:rsid w:val="60B13546"/>
    <w:rsid w:val="60B94573"/>
    <w:rsid w:val="60E012BC"/>
    <w:rsid w:val="60E56B30"/>
    <w:rsid w:val="60EF61E1"/>
    <w:rsid w:val="60F74389"/>
    <w:rsid w:val="60F8548C"/>
    <w:rsid w:val="60FF3132"/>
    <w:rsid w:val="61156919"/>
    <w:rsid w:val="61241E74"/>
    <w:rsid w:val="612C2394"/>
    <w:rsid w:val="613100ED"/>
    <w:rsid w:val="61391AF7"/>
    <w:rsid w:val="61421600"/>
    <w:rsid w:val="614327D9"/>
    <w:rsid w:val="61665FE8"/>
    <w:rsid w:val="617821BF"/>
    <w:rsid w:val="618E7876"/>
    <w:rsid w:val="61900ECE"/>
    <w:rsid w:val="619B19DB"/>
    <w:rsid w:val="61AF6277"/>
    <w:rsid w:val="61C16D61"/>
    <w:rsid w:val="61C251E9"/>
    <w:rsid w:val="61CA4598"/>
    <w:rsid w:val="61E379FD"/>
    <w:rsid w:val="61F0599A"/>
    <w:rsid w:val="61F17166"/>
    <w:rsid w:val="620553BA"/>
    <w:rsid w:val="62057762"/>
    <w:rsid w:val="62136FEC"/>
    <w:rsid w:val="62195750"/>
    <w:rsid w:val="622104E9"/>
    <w:rsid w:val="622E4737"/>
    <w:rsid w:val="623460E6"/>
    <w:rsid w:val="62373011"/>
    <w:rsid w:val="624B52F2"/>
    <w:rsid w:val="62532EAD"/>
    <w:rsid w:val="6260512D"/>
    <w:rsid w:val="6280189F"/>
    <w:rsid w:val="62883DD5"/>
    <w:rsid w:val="628927D1"/>
    <w:rsid w:val="629F56DA"/>
    <w:rsid w:val="62A5703A"/>
    <w:rsid w:val="62B33E1A"/>
    <w:rsid w:val="62B55D67"/>
    <w:rsid w:val="62BD6B95"/>
    <w:rsid w:val="62C456BC"/>
    <w:rsid w:val="62CC1714"/>
    <w:rsid w:val="62DD2940"/>
    <w:rsid w:val="62E62CA1"/>
    <w:rsid w:val="62E84659"/>
    <w:rsid w:val="62FD755E"/>
    <w:rsid w:val="63054781"/>
    <w:rsid w:val="6307644E"/>
    <w:rsid w:val="63094F72"/>
    <w:rsid w:val="630D78A9"/>
    <w:rsid w:val="630F3BDE"/>
    <w:rsid w:val="6312589D"/>
    <w:rsid w:val="631B7591"/>
    <w:rsid w:val="632A20A1"/>
    <w:rsid w:val="63351F9D"/>
    <w:rsid w:val="63360237"/>
    <w:rsid w:val="63481D89"/>
    <w:rsid w:val="635269C6"/>
    <w:rsid w:val="63565EA3"/>
    <w:rsid w:val="636F404A"/>
    <w:rsid w:val="637A0F67"/>
    <w:rsid w:val="637B71B0"/>
    <w:rsid w:val="637F0DEC"/>
    <w:rsid w:val="638258A8"/>
    <w:rsid w:val="63872D68"/>
    <w:rsid w:val="638B61DA"/>
    <w:rsid w:val="63A2410B"/>
    <w:rsid w:val="63D00FE0"/>
    <w:rsid w:val="63D63454"/>
    <w:rsid w:val="63D81CD3"/>
    <w:rsid w:val="63D8497C"/>
    <w:rsid w:val="63E3587B"/>
    <w:rsid w:val="6402094F"/>
    <w:rsid w:val="641A649B"/>
    <w:rsid w:val="641C4108"/>
    <w:rsid w:val="64296DCF"/>
    <w:rsid w:val="642F684B"/>
    <w:rsid w:val="644B5EF3"/>
    <w:rsid w:val="645E6690"/>
    <w:rsid w:val="64625345"/>
    <w:rsid w:val="6464454E"/>
    <w:rsid w:val="64673BE0"/>
    <w:rsid w:val="646B48B3"/>
    <w:rsid w:val="647153D0"/>
    <w:rsid w:val="6488118D"/>
    <w:rsid w:val="64A530B5"/>
    <w:rsid w:val="64A77A68"/>
    <w:rsid w:val="64A94329"/>
    <w:rsid w:val="64AA4DA6"/>
    <w:rsid w:val="64B27B27"/>
    <w:rsid w:val="64BB7D27"/>
    <w:rsid w:val="64BC5967"/>
    <w:rsid w:val="64C40335"/>
    <w:rsid w:val="64C52205"/>
    <w:rsid w:val="64CB151F"/>
    <w:rsid w:val="64CE1644"/>
    <w:rsid w:val="64D049E6"/>
    <w:rsid w:val="64D7059F"/>
    <w:rsid w:val="64DE490E"/>
    <w:rsid w:val="64E4244C"/>
    <w:rsid w:val="64E631EE"/>
    <w:rsid w:val="64E85FAE"/>
    <w:rsid w:val="64EE13ED"/>
    <w:rsid w:val="64F47DAF"/>
    <w:rsid w:val="64FD41BE"/>
    <w:rsid w:val="650173B8"/>
    <w:rsid w:val="65062A20"/>
    <w:rsid w:val="65136815"/>
    <w:rsid w:val="65297716"/>
    <w:rsid w:val="652E7C69"/>
    <w:rsid w:val="655905C7"/>
    <w:rsid w:val="65596836"/>
    <w:rsid w:val="656071F2"/>
    <w:rsid w:val="65746F8E"/>
    <w:rsid w:val="6578491E"/>
    <w:rsid w:val="658D448B"/>
    <w:rsid w:val="659640F8"/>
    <w:rsid w:val="65AD25A3"/>
    <w:rsid w:val="65AF062D"/>
    <w:rsid w:val="65BE5CBA"/>
    <w:rsid w:val="65C37691"/>
    <w:rsid w:val="65EA5B9F"/>
    <w:rsid w:val="65FB4D7F"/>
    <w:rsid w:val="65FF6A0B"/>
    <w:rsid w:val="660E39B6"/>
    <w:rsid w:val="66175DA4"/>
    <w:rsid w:val="661F552E"/>
    <w:rsid w:val="663310B5"/>
    <w:rsid w:val="665E7874"/>
    <w:rsid w:val="667770C8"/>
    <w:rsid w:val="66893264"/>
    <w:rsid w:val="66943114"/>
    <w:rsid w:val="66A05346"/>
    <w:rsid w:val="66AE6EB1"/>
    <w:rsid w:val="66B91595"/>
    <w:rsid w:val="66C537B1"/>
    <w:rsid w:val="66CD491A"/>
    <w:rsid w:val="66D11AE0"/>
    <w:rsid w:val="66E071CA"/>
    <w:rsid w:val="66F47B29"/>
    <w:rsid w:val="66F72411"/>
    <w:rsid w:val="66FC4686"/>
    <w:rsid w:val="6704099E"/>
    <w:rsid w:val="67123FA7"/>
    <w:rsid w:val="672E1E7C"/>
    <w:rsid w:val="673F4FEB"/>
    <w:rsid w:val="67424A9D"/>
    <w:rsid w:val="67463AE1"/>
    <w:rsid w:val="674F0EF1"/>
    <w:rsid w:val="67541089"/>
    <w:rsid w:val="675431A8"/>
    <w:rsid w:val="675D37BA"/>
    <w:rsid w:val="67766449"/>
    <w:rsid w:val="679602B3"/>
    <w:rsid w:val="679D79C6"/>
    <w:rsid w:val="67BA00FE"/>
    <w:rsid w:val="67BD2859"/>
    <w:rsid w:val="67CD59E1"/>
    <w:rsid w:val="67E64718"/>
    <w:rsid w:val="67E663F4"/>
    <w:rsid w:val="680150A3"/>
    <w:rsid w:val="681616A8"/>
    <w:rsid w:val="682063F4"/>
    <w:rsid w:val="682B1D3A"/>
    <w:rsid w:val="6838196E"/>
    <w:rsid w:val="683B006F"/>
    <w:rsid w:val="68460921"/>
    <w:rsid w:val="6853303E"/>
    <w:rsid w:val="686C0750"/>
    <w:rsid w:val="68751259"/>
    <w:rsid w:val="687B3BF4"/>
    <w:rsid w:val="687F4A4A"/>
    <w:rsid w:val="6886628D"/>
    <w:rsid w:val="6889642B"/>
    <w:rsid w:val="689F4EFF"/>
    <w:rsid w:val="68AB4814"/>
    <w:rsid w:val="68B22BB1"/>
    <w:rsid w:val="68D92120"/>
    <w:rsid w:val="68E43D0F"/>
    <w:rsid w:val="68F154E9"/>
    <w:rsid w:val="68FF69A3"/>
    <w:rsid w:val="69036813"/>
    <w:rsid w:val="691E7DAD"/>
    <w:rsid w:val="69217422"/>
    <w:rsid w:val="692547AA"/>
    <w:rsid w:val="69283B0C"/>
    <w:rsid w:val="69307153"/>
    <w:rsid w:val="69361846"/>
    <w:rsid w:val="69436B19"/>
    <w:rsid w:val="694877C2"/>
    <w:rsid w:val="6949691B"/>
    <w:rsid w:val="69586FD5"/>
    <w:rsid w:val="69686F17"/>
    <w:rsid w:val="697B6DE5"/>
    <w:rsid w:val="699F2601"/>
    <w:rsid w:val="699F4B8E"/>
    <w:rsid w:val="69AF7E62"/>
    <w:rsid w:val="69B4216A"/>
    <w:rsid w:val="69B940FF"/>
    <w:rsid w:val="69C05D43"/>
    <w:rsid w:val="69C510B5"/>
    <w:rsid w:val="69C77B31"/>
    <w:rsid w:val="69CE6936"/>
    <w:rsid w:val="69E142D6"/>
    <w:rsid w:val="69FC4F90"/>
    <w:rsid w:val="6A10655E"/>
    <w:rsid w:val="6A184540"/>
    <w:rsid w:val="6A1D3904"/>
    <w:rsid w:val="6A380393"/>
    <w:rsid w:val="6A3B727C"/>
    <w:rsid w:val="6A486BD3"/>
    <w:rsid w:val="6A4B4635"/>
    <w:rsid w:val="6A5052F7"/>
    <w:rsid w:val="6A5C7BA7"/>
    <w:rsid w:val="6A667955"/>
    <w:rsid w:val="6A6923D4"/>
    <w:rsid w:val="6A6C326E"/>
    <w:rsid w:val="6A733ABE"/>
    <w:rsid w:val="6A820BD7"/>
    <w:rsid w:val="6A865D5A"/>
    <w:rsid w:val="6A917BA6"/>
    <w:rsid w:val="6A962ABC"/>
    <w:rsid w:val="6A966E76"/>
    <w:rsid w:val="6AA466AF"/>
    <w:rsid w:val="6AA46CD4"/>
    <w:rsid w:val="6AA656A7"/>
    <w:rsid w:val="6AAE27AE"/>
    <w:rsid w:val="6AAF7DED"/>
    <w:rsid w:val="6ABD36E0"/>
    <w:rsid w:val="6AC36259"/>
    <w:rsid w:val="6AD57EEA"/>
    <w:rsid w:val="6AE334A7"/>
    <w:rsid w:val="6AF41623"/>
    <w:rsid w:val="6AFF1BD7"/>
    <w:rsid w:val="6B2C25A3"/>
    <w:rsid w:val="6B2E74D5"/>
    <w:rsid w:val="6B3059C9"/>
    <w:rsid w:val="6B3A1B18"/>
    <w:rsid w:val="6B3A249E"/>
    <w:rsid w:val="6B5D10F2"/>
    <w:rsid w:val="6B686DD0"/>
    <w:rsid w:val="6B7636FD"/>
    <w:rsid w:val="6B873380"/>
    <w:rsid w:val="6B8754D9"/>
    <w:rsid w:val="6B8935E3"/>
    <w:rsid w:val="6B8B3974"/>
    <w:rsid w:val="6B936CBA"/>
    <w:rsid w:val="6BA06B48"/>
    <w:rsid w:val="6BAD4A8E"/>
    <w:rsid w:val="6BC42A06"/>
    <w:rsid w:val="6BC563BE"/>
    <w:rsid w:val="6BD30581"/>
    <w:rsid w:val="6BD73784"/>
    <w:rsid w:val="6C0104AD"/>
    <w:rsid w:val="6C04098F"/>
    <w:rsid w:val="6C0924C8"/>
    <w:rsid w:val="6C184B65"/>
    <w:rsid w:val="6C1D03B1"/>
    <w:rsid w:val="6C31323E"/>
    <w:rsid w:val="6C433FB2"/>
    <w:rsid w:val="6C476C5F"/>
    <w:rsid w:val="6C4C5772"/>
    <w:rsid w:val="6C7757EC"/>
    <w:rsid w:val="6C77790A"/>
    <w:rsid w:val="6C783074"/>
    <w:rsid w:val="6C861C34"/>
    <w:rsid w:val="6C880067"/>
    <w:rsid w:val="6C897051"/>
    <w:rsid w:val="6C897DF4"/>
    <w:rsid w:val="6C910003"/>
    <w:rsid w:val="6C936F62"/>
    <w:rsid w:val="6C96061D"/>
    <w:rsid w:val="6C9767BE"/>
    <w:rsid w:val="6C983E41"/>
    <w:rsid w:val="6CCD5DA4"/>
    <w:rsid w:val="6CD27E81"/>
    <w:rsid w:val="6CD6590E"/>
    <w:rsid w:val="6D1F2DC9"/>
    <w:rsid w:val="6D1F3432"/>
    <w:rsid w:val="6D391095"/>
    <w:rsid w:val="6D39258A"/>
    <w:rsid w:val="6D57537F"/>
    <w:rsid w:val="6D5D1AEB"/>
    <w:rsid w:val="6D6C6303"/>
    <w:rsid w:val="6D7678CB"/>
    <w:rsid w:val="6D8725C9"/>
    <w:rsid w:val="6D923390"/>
    <w:rsid w:val="6DB4632D"/>
    <w:rsid w:val="6DC124D6"/>
    <w:rsid w:val="6DC725C4"/>
    <w:rsid w:val="6DCF13B9"/>
    <w:rsid w:val="6DD153DD"/>
    <w:rsid w:val="6DD646D2"/>
    <w:rsid w:val="6DF92720"/>
    <w:rsid w:val="6E0077C5"/>
    <w:rsid w:val="6E160805"/>
    <w:rsid w:val="6E1719C5"/>
    <w:rsid w:val="6E1D27E4"/>
    <w:rsid w:val="6E243769"/>
    <w:rsid w:val="6E2F4B25"/>
    <w:rsid w:val="6E736953"/>
    <w:rsid w:val="6E7D0E15"/>
    <w:rsid w:val="6E7E56E5"/>
    <w:rsid w:val="6E8B3532"/>
    <w:rsid w:val="6E9A6655"/>
    <w:rsid w:val="6EA168B2"/>
    <w:rsid w:val="6EA56413"/>
    <w:rsid w:val="6EA66BA1"/>
    <w:rsid w:val="6EA83778"/>
    <w:rsid w:val="6EAE6153"/>
    <w:rsid w:val="6EBC3111"/>
    <w:rsid w:val="6EBE6CA1"/>
    <w:rsid w:val="6ED177DA"/>
    <w:rsid w:val="6ED94D24"/>
    <w:rsid w:val="6EE22EA3"/>
    <w:rsid w:val="6EEB39A3"/>
    <w:rsid w:val="6EF1395B"/>
    <w:rsid w:val="6F184EDD"/>
    <w:rsid w:val="6F1F462F"/>
    <w:rsid w:val="6F2127F1"/>
    <w:rsid w:val="6F340438"/>
    <w:rsid w:val="6F362328"/>
    <w:rsid w:val="6F456BCF"/>
    <w:rsid w:val="6F640CA1"/>
    <w:rsid w:val="6F68428C"/>
    <w:rsid w:val="6F6A1FD2"/>
    <w:rsid w:val="6F6C0941"/>
    <w:rsid w:val="6F6F1CDB"/>
    <w:rsid w:val="6F794E65"/>
    <w:rsid w:val="6F7B0D27"/>
    <w:rsid w:val="6F7C10CD"/>
    <w:rsid w:val="6F7F0896"/>
    <w:rsid w:val="6F8826E6"/>
    <w:rsid w:val="6FB033C5"/>
    <w:rsid w:val="6FB62D05"/>
    <w:rsid w:val="6FBF2891"/>
    <w:rsid w:val="6FBF7594"/>
    <w:rsid w:val="6FC82171"/>
    <w:rsid w:val="6FCF56A0"/>
    <w:rsid w:val="6FDD6E0A"/>
    <w:rsid w:val="6FF31B41"/>
    <w:rsid w:val="700D4B3B"/>
    <w:rsid w:val="701B02D2"/>
    <w:rsid w:val="70242DD6"/>
    <w:rsid w:val="703C0A4B"/>
    <w:rsid w:val="704756A7"/>
    <w:rsid w:val="704C4F43"/>
    <w:rsid w:val="705821AE"/>
    <w:rsid w:val="705B5186"/>
    <w:rsid w:val="705C58C2"/>
    <w:rsid w:val="706551F1"/>
    <w:rsid w:val="70657DB3"/>
    <w:rsid w:val="706867DC"/>
    <w:rsid w:val="706F364A"/>
    <w:rsid w:val="707575E2"/>
    <w:rsid w:val="70841738"/>
    <w:rsid w:val="708741CD"/>
    <w:rsid w:val="708A454F"/>
    <w:rsid w:val="709220C0"/>
    <w:rsid w:val="70A71A7C"/>
    <w:rsid w:val="70C11A65"/>
    <w:rsid w:val="70C95E1F"/>
    <w:rsid w:val="70CF5564"/>
    <w:rsid w:val="70DD78D4"/>
    <w:rsid w:val="70DE78F6"/>
    <w:rsid w:val="70F02E64"/>
    <w:rsid w:val="70F4393A"/>
    <w:rsid w:val="70FD7BBD"/>
    <w:rsid w:val="710571C5"/>
    <w:rsid w:val="71077AAA"/>
    <w:rsid w:val="71224102"/>
    <w:rsid w:val="71310932"/>
    <w:rsid w:val="713D0E7A"/>
    <w:rsid w:val="714F371C"/>
    <w:rsid w:val="71550BD1"/>
    <w:rsid w:val="717255AB"/>
    <w:rsid w:val="71773872"/>
    <w:rsid w:val="717958C4"/>
    <w:rsid w:val="718129CA"/>
    <w:rsid w:val="71823757"/>
    <w:rsid w:val="71823AE6"/>
    <w:rsid w:val="719C3BFC"/>
    <w:rsid w:val="719D68B5"/>
    <w:rsid w:val="71A1306D"/>
    <w:rsid w:val="71AD1364"/>
    <w:rsid w:val="71E9023A"/>
    <w:rsid w:val="71F17B50"/>
    <w:rsid w:val="71F23ACC"/>
    <w:rsid w:val="71F8729E"/>
    <w:rsid w:val="720869BE"/>
    <w:rsid w:val="721528CF"/>
    <w:rsid w:val="721970A7"/>
    <w:rsid w:val="722E6C34"/>
    <w:rsid w:val="7239220A"/>
    <w:rsid w:val="72406B13"/>
    <w:rsid w:val="72461F6E"/>
    <w:rsid w:val="72521F17"/>
    <w:rsid w:val="72573BE6"/>
    <w:rsid w:val="72576F4B"/>
    <w:rsid w:val="725D14A0"/>
    <w:rsid w:val="725F19AD"/>
    <w:rsid w:val="72607175"/>
    <w:rsid w:val="7279311D"/>
    <w:rsid w:val="727D609F"/>
    <w:rsid w:val="729430D8"/>
    <w:rsid w:val="729D1E8E"/>
    <w:rsid w:val="72AA7CFF"/>
    <w:rsid w:val="72AD5040"/>
    <w:rsid w:val="72BD3ED6"/>
    <w:rsid w:val="72E2741E"/>
    <w:rsid w:val="72EA40C2"/>
    <w:rsid w:val="731C379C"/>
    <w:rsid w:val="734E6DC5"/>
    <w:rsid w:val="73585235"/>
    <w:rsid w:val="7363682B"/>
    <w:rsid w:val="73744FD1"/>
    <w:rsid w:val="73750185"/>
    <w:rsid w:val="73770E6E"/>
    <w:rsid w:val="737A7E15"/>
    <w:rsid w:val="738665A9"/>
    <w:rsid w:val="738F2F5B"/>
    <w:rsid w:val="739369E5"/>
    <w:rsid w:val="7393782D"/>
    <w:rsid w:val="739A3915"/>
    <w:rsid w:val="73A2139D"/>
    <w:rsid w:val="73A557C7"/>
    <w:rsid w:val="73C75C65"/>
    <w:rsid w:val="73CE266A"/>
    <w:rsid w:val="73D2575F"/>
    <w:rsid w:val="73F67EEE"/>
    <w:rsid w:val="73F87BC9"/>
    <w:rsid w:val="73FA3B6C"/>
    <w:rsid w:val="740B67B8"/>
    <w:rsid w:val="74327BAF"/>
    <w:rsid w:val="7445677F"/>
    <w:rsid w:val="745D20BC"/>
    <w:rsid w:val="7477361A"/>
    <w:rsid w:val="747F0519"/>
    <w:rsid w:val="748A7AD8"/>
    <w:rsid w:val="749D5D6D"/>
    <w:rsid w:val="74AA5094"/>
    <w:rsid w:val="74AB4236"/>
    <w:rsid w:val="74B34636"/>
    <w:rsid w:val="74BD44DD"/>
    <w:rsid w:val="74C64D47"/>
    <w:rsid w:val="74D767C8"/>
    <w:rsid w:val="74E84A98"/>
    <w:rsid w:val="74E90FB2"/>
    <w:rsid w:val="74F35815"/>
    <w:rsid w:val="75044279"/>
    <w:rsid w:val="75120F5C"/>
    <w:rsid w:val="75243D99"/>
    <w:rsid w:val="752723EB"/>
    <w:rsid w:val="753541F8"/>
    <w:rsid w:val="753F1F1C"/>
    <w:rsid w:val="75423F7C"/>
    <w:rsid w:val="75432FAA"/>
    <w:rsid w:val="75482155"/>
    <w:rsid w:val="754D324A"/>
    <w:rsid w:val="75536A1F"/>
    <w:rsid w:val="75633692"/>
    <w:rsid w:val="75711E21"/>
    <w:rsid w:val="75755BB9"/>
    <w:rsid w:val="758522C1"/>
    <w:rsid w:val="758E1144"/>
    <w:rsid w:val="7597644F"/>
    <w:rsid w:val="75A87308"/>
    <w:rsid w:val="75A91EC8"/>
    <w:rsid w:val="75AB4618"/>
    <w:rsid w:val="75AC08E0"/>
    <w:rsid w:val="75AE51B3"/>
    <w:rsid w:val="75C042BA"/>
    <w:rsid w:val="75C25481"/>
    <w:rsid w:val="75C61618"/>
    <w:rsid w:val="75C95155"/>
    <w:rsid w:val="75CB58BA"/>
    <w:rsid w:val="75D96C6A"/>
    <w:rsid w:val="75DF38D5"/>
    <w:rsid w:val="75E0015B"/>
    <w:rsid w:val="75EA3234"/>
    <w:rsid w:val="75F0092C"/>
    <w:rsid w:val="75F14B1E"/>
    <w:rsid w:val="76094B02"/>
    <w:rsid w:val="761078AA"/>
    <w:rsid w:val="76173EFC"/>
    <w:rsid w:val="76385C7A"/>
    <w:rsid w:val="766A29C6"/>
    <w:rsid w:val="76813338"/>
    <w:rsid w:val="76900054"/>
    <w:rsid w:val="76A55F2D"/>
    <w:rsid w:val="76A923A3"/>
    <w:rsid w:val="76F040FD"/>
    <w:rsid w:val="76FD79C4"/>
    <w:rsid w:val="7703296C"/>
    <w:rsid w:val="77083305"/>
    <w:rsid w:val="771A4B76"/>
    <w:rsid w:val="77223669"/>
    <w:rsid w:val="772F2CBC"/>
    <w:rsid w:val="77351705"/>
    <w:rsid w:val="773A4CFA"/>
    <w:rsid w:val="77456248"/>
    <w:rsid w:val="7746095F"/>
    <w:rsid w:val="77547606"/>
    <w:rsid w:val="7785424B"/>
    <w:rsid w:val="77925897"/>
    <w:rsid w:val="77957034"/>
    <w:rsid w:val="7797336B"/>
    <w:rsid w:val="779A6594"/>
    <w:rsid w:val="77A638B5"/>
    <w:rsid w:val="77BB0FA0"/>
    <w:rsid w:val="77CF5253"/>
    <w:rsid w:val="77D30B89"/>
    <w:rsid w:val="77D973B5"/>
    <w:rsid w:val="77DB6466"/>
    <w:rsid w:val="77E048EF"/>
    <w:rsid w:val="77EC5440"/>
    <w:rsid w:val="7807210A"/>
    <w:rsid w:val="780A42AA"/>
    <w:rsid w:val="78105461"/>
    <w:rsid w:val="78142461"/>
    <w:rsid w:val="78153B69"/>
    <w:rsid w:val="781F49FE"/>
    <w:rsid w:val="782D1B94"/>
    <w:rsid w:val="782E7F5E"/>
    <w:rsid w:val="78300B62"/>
    <w:rsid w:val="783F0D89"/>
    <w:rsid w:val="784453B1"/>
    <w:rsid w:val="784C632F"/>
    <w:rsid w:val="78582397"/>
    <w:rsid w:val="78616928"/>
    <w:rsid w:val="78670E69"/>
    <w:rsid w:val="786945D2"/>
    <w:rsid w:val="786C568C"/>
    <w:rsid w:val="786D3F28"/>
    <w:rsid w:val="786E1F18"/>
    <w:rsid w:val="78725933"/>
    <w:rsid w:val="78802398"/>
    <w:rsid w:val="78850FF2"/>
    <w:rsid w:val="788662D2"/>
    <w:rsid w:val="788F5188"/>
    <w:rsid w:val="789749E5"/>
    <w:rsid w:val="789D70E2"/>
    <w:rsid w:val="78AF0452"/>
    <w:rsid w:val="78E633E4"/>
    <w:rsid w:val="78E7313F"/>
    <w:rsid w:val="78F17A35"/>
    <w:rsid w:val="79063A1D"/>
    <w:rsid w:val="7909498E"/>
    <w:rsid w:val="79164AEA"/>
    <w:rsid w:val="791F5CB6"/>
    <w:rsid w:val="7950462F"/>
    <w:rsid w:val="797E028B"/>
    <w:rsid w:val="79895A78"/>
    <w:rsid w:val="799123B3"/>
    <w:rsid w:val="799264E3"/>
    <w:rsid w:val="799F7B20"/>
    <w:rsid w:val="79A21090"/>
    <w:rsid w:val="79A835A2"/>
    <w:rsid w:val="79AC4AA2"/>
    <w:rsid w:val="79B56904"/>
    <w:rsid w:val="79BF3372"/>
    <w:rsid w:val="79C21932"/>
    <w:rsid w:val="79DE4837"/>
    <w:rsid w:val="79F60AE8"/>
    <w:rsid w:val="7A1420B7"/>
    <w:rsid w:val="7A356A48"/>
    <w:rsid w:val="7A382686"/>
    <w:rsid w:val="7A480529"/>
    <w:rsid w:val="7A545120"/>
    <w:rsid w:val="7A7942A3"/>
    <w:rsid w:val="7AA65754"/>
    <w:rsid w:val="7AA718CF"/>
    <w:rsid w:val="7AB90CF3"/>
    <w:rsid w:val="7AB93BC7"/>
    <w:rsid w:val="7AC47915"/>
    <w:rsid w:val="7AC91772"/>
    <w:rsid w:val="7ACC1F20"/>
    <w:rsid w:val="7AD05D04"/>
    <w:rsid w:val="7AD90BF5"/>
    <w:rsid w:val="7AED4B30"/>
    <w:rsid w:val="7AFC7288"/>
    <w:rsid w:val="7B192A37"/>
    <w:rsid w:val="7B2F16E9"/>
    <w:rsid w:val="7B342A76"/>
    <w:rsid w:val="7B370FE9"/>
    <w:rsid w:val="7B3C2130"/>
    <w:rsid w:val="7B4156BF"/>
    <w:rsid w:val="7B5F59A0"/>
    <w:rsid w:val="7B605DDE"/>
    <w:rsid w:val="7B85670A"/>
    <w:rsid w:val="7B8660B9"/>
    <w:rsid w:val="7B9559F0"/>
    <w:rsid w:val="7BAE3032"/>
    <w:rsid w:val="7BB86E69"/>
    <w:rsid w:val="7BCB1412"/>
    <w:rsid w:val="7BCB5462"/>
    <w:rsid w:val="7BD561AA"/>
    <w:rsid w:val="7BD639CF"/>
    <w:rsid w:val="7BEF65B0"/>
    <w:rsid w:val="7BF72207"/>
    <w:rsid w:val="7C0B7DB2"/>
    <w:rsid w:val="7C15268D"/>
    <w:rsid w:val="7C256C1E"/>
    <w:rsid w:val="7C266648"/>
    <w:rsid w:val="7C293FF5"/>
    <w:rsid w:val="7C38035E"/>
    <w:rsid w:val="7C451CFE"/>
    <w:rsid w:val="7C4670AD"/>
    <w:rsid w:val="7C46731F"/>
    <w:rsid w:val="7C4816BD"/>
    <w:rsid w:val="7C6F2F1C"/>
    <w:rsid w:val="7C703D67"/>
    <w:rsid w:val="7C7477B1"/>
    <w:rsid w:val="7C7E4222"/>
    <w:rsid w:val="7C9E590D"/>
    <w:rsid w:val="7CA04ED8"/>
    <w:rsid w:val="7CB408C1"/>
    <w:rsid w:val="7CBE5463"/>
    <w:rsid w:val="7CC32ABC"/>
    <w:rsid w:val="7CC35745"/>
    <w:rsid w:val="7CCA5903"/>
    <w:rsid w:val="7CDF1429"/>
    <w:rsid w:val="7CE47FFC"/>
    <w:rsid w:val="7CE90812"/>
    <w:rsid w:val="7CEB7F62"/>
    <w:rsid w:val="7D0559F2"/>
    <w:rsid w:val="7D0E04CD"/>
    <w:rsid w:val="7D186F42"/>
    <w:rsid w:val="7D19642F"/>
    <w:rsid w:val="7D227F83"/>
    <w:rsid w:val="7D2B1AD8"/>
    <w:rsid w:val="7D323D2A"/>
    <w:rsid w:val="7D3F56B8"/>
    <w:rsid w:val="7D4061CE"/>
    <w:rsid w:val="7D5611AF"/>
    <w:rsid w:val="7D69061B"/>
    <w:rsid w:val="7D950DB7"/>
    <w:rsid w:val="7D9975BB"/>
    <w:rsid w:val="7DA63076"/>
    <w:rsid w:val="7DB73333"/>
    <w:rsid w:val="7DC744C5"/>
    <w:rsid w:val="7DCD0A53"/>
    <w:rsid w:val="7DCD25A4"/>
    <w:rsid w:val="7DD160FA"/>
    <w:rsid w:val="7DD636D5"/>
    <w:rsid w:val="7DED73CF"/>
    <w:rsid w:val="7DF23C1F"/>
    <w:rsid w:val="7DF61C76"/>
    <w:rsid w:val="7DFE066D"/>
    <w:rsid w:val="7E0E0427"/>
    <w:rsid w:val="7E205D0D"/>
    <w:rsid w:val="7E2730D4"/>
    <w:rsid w:val="7E385817"/>
    <w:rsid w:val="7E593D9E"/>
    <w:rsid w:val="7E616603"/>
    <w:rsid w:val="7E6C506E"/>
    <w:rsid w:val="7E787D7E"/>
    <w:rsid w:val="7E7E09BD"/>
    <w:rsid w:val="7E8161B4"/>
    <w:rsid w:val="7E880357"/>
    <w:rsid w:val="7E926217"/>
    <w:rsid w:val="7E9C6F9B"/>
    <w:rsid w:val="7EB80E6D"/>
    <w:rsid w:val="7EB9700E"/>
    <w:rsid w:val="7EBC3E79"/>
    <w:rsid w:val="7EBE49FD"/>
    <w:rsid w:val="7EC655B5"/>
    <w:rsid w:val="7ED24F4B"/>
    <w:rsid w:val="7F00014B"/>
    <w:rsid w:val="7F133CBF"/>
    <w:rsid w:val="7F1940E6"/>
    <w:rsid w:val="7F1F4BEA"/>
    <w:rsid w:val="7F257398"/>
    <w:rsid w:val="7F3B68AE"/>
    <w:rsid w:val="7F484BEB"/>
    <w:rsid w:val="7F650E1F"/>
    <w:rsid w:val="7F653B65"/>
    <w:rsid w:val="7F6D07F6"/>
    <w:rsid w:val="7F7A10A4"/>
    <w:rsid w:val="7F7E6412"/>
    <w:rsid w:val="7F893FE5"/>
    <w:rsid w:val="7F922307"/>
    <w:rsid w:val="7F9308E6"/>
    <w:rsid w:val="7FAE1781"/>
    <w:rsid w:val="7FB02AC8"/>
    <w:rsid w:val="7FC70975"/>
    <w:rsid w:val="7FF07D2D"/>
    <w:rsid w:val="7FF12A9E"/>
    <w:rsid w:val="7FFD7B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150"/>
    <w:qFormat/>
    <w:uiPriority w:val="0"/>
    <w:pPr>
      <w:keepNext/>
      <w:keepLines/>
      <w:spacing w:line="360" w:lineRule="auto"/>
      <w:outlineLvl w:val="0"/>
    </w:pPr>
    <w:rPr>
      <w:b/>
      <w:bCs/>
      <w:kern w:val="44"/>
      <w:sz w:val="32"/>
      <w:szCs w:val="44"/>
    </w:rPr>
  </w:style>
  <w:style w:type="paragraph" w:styleId="8">
    <w:name w:val="heading 2"/>
    <w:basedOn w:val="1"/>
    <w:next w:val="1"/>
    <w:link w:val="144"/>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link w:val="105"/>
    <w:qFormat/>
    <w:uiPriority w:val="0"/>
    <w:pPr>
      <w:keepNext/>
      <w:keepLines/>
      <w:spacing w:before="260" w:after="260" w:line="416" w:lineRule="auto"/>
      <w:outlineLvl w:val="2"/>
    </w:pPr>
    <w:rPr>
      <w:b/>
      <w:bCs/>
      <w:sz w:val="32"/>
      <w:szCs w:val="32"/>
    </w:rPr>
  </w:style>
  <w:style w:type="paragraph" w:styleId="10">
    <w:name w:val="heading 4"/>
    <w:basedOn w:val="1"/>
    <w:next w:val="1"/>
    <w:link w:val="107"/>
    <w:qFormat/>
    <w:uiPriority w:val="0"/>
    <w:pPr>
      <w:keepNext/>
      <w:keepLines/>
      <w:spacing w:before="280" w:after="290" w:line="376" w:lineRule="auto"/>
      <w:outlineLvl w:val="3"/>
    </w:pPr>
    <w:rPr>
      <w:rFonts w:ascii="Cambria" w:hAnsi="Cambria"/>
      <w:b/>
      <w:bCs/>
      <w:sz w:val="28"/>
      <w:szCs w:val="28"/>
    </w:rPr>
  </w:style>
  <w:style w:type="paragraph" w:styleId="11">
    <w:name w:val="heading 5"/>
    <w:basedOn w:val="1"/>
    <w:next w:val="1"/>
    <w:link w:val="127"/>
    <w:qFormat/>
    <w:uiPriority w:val="0"/>
    <w:pPr>
      <w:keepNext/>
      <w:keepLines/>
      <w:spacing w:before="280" w:after="290" w:line="372" w:lineRule="auto"/>
      <w:outlineLvl w:val="4"/>
    </w:pPr>
    <w:rPr>
      <w:rFonts w:ascii="Calibri" w:hAnsi="Calibri"/>
      <w:b/>
      <w:bCs/>
      <w:sz w:val="28"/>
      <w:szCs w:val="28"/>
    </w:rPr>
  </w:style>
  <w:style w:type="paragraph" w:styleId="12">
    <w:name w:val="heading 6"/>
    <w:basedOn w:val="1"/>
    <w:next w:val="1"/>
    <w:link w:val="153"/>
    <w:qFormat/>
    <w:uiPriority w:val="0"/>
    <w:pPr>
      <w:keepNext/>
      <w:keepLines/>
      <w:spacing w:before="240" w:after="64" w:line="317" w:lineRule="auto"/>
      <w:outlineLvl w:val="5"/>
    </w:pPr>
    <w:rPr>
      <w:rFonts w:ascii="Cambria" w:hAnsi="Cambria"/>
      <w:b/>
      <w:bCs/>
      <w:sz w:val="24"/>
    </w:rPr>
  </w:style>
  <w:style w:type="paragraph" w:styleId="13">
    <w:name w:val="heading 7"/>
    <w:basedOn w:val="1"/>
    <w:next w:val="1"/>
    <w:link w:val="135"/>
    <w:qFormat/>
    <w:uiPriority w:val="0"/>
    <w:pPr>
      <w:keepNext/>
      <w:keepLines/>
      <w:spacing w:before="240" w:after="64" w:line="317" w:lineRule="auto"/>
      <w:outlineLvl w:val="6"/>
    </w:pPr>
    <w:rPr>
      <w:rFonts w:ascii="Calibri" w:hAnsi="Calibri"/>
      <w:b/>
      <w:bCs/>
      <w:sz w:val="24"/>
    </w:rPr>
  </w:style>
  <w:style w:type="paragraph" w:styleId="14">
    <w:name w:val="heading 8"/>
    <w:basedOn w:val="1"/>
    <w:next w:val="1"/>
    <w:link w:val="108"/>
    <w:qFormat/>
    <w:uiPriority w:val="0"/>
    <w:pPr>
      <w:keepNext/>
      <w:keepLines/>
      <w:spacing w:before="240" w:after="64" w:line="317" w:lineRule="auto"/>
      <w:outlineLvl w:val="7"/>
    </w:pPr>
    <w:rPr>
      <w:rFonts w:ascii="Cambria" w:hAnsi="Cambria"/>
      <w:sz w:val="24"/>
    </w:rPr>
  </w:style>
  <w:style w:type="paragraph" w:styleId="15">
    <w:name w:val="heading 9"/>
    <w:basedOn w:val="1"/>
    <w:next w:val="1"/>
    <w:link w:val="152"/>
    <w:qFormat/>
    <w:uiPriority w:val="0"/>
    <w:pPr>
      <w:keepNext/>
      <w:keepLines/>
      <w:spacing w:before="240" w:after="64" w:line="317" w:lineRule="auto"/>
      <w:outlineLvl w:val="8"/>
    </w:pPr>
    <w:rPr>
      <w:rFonts w:ascii="Cambria" w:hAnsi="Cambria"/>
      <w:szCs w:val="21"/>
    </w:rPr>
  </w:style>
  <w:style w:type="character" w:default="1" w:styleId="48">
    <w:name w:val="Default Paragraph Font"/>
    <w:link w:val="49"/>
    <w:semiHidden/>
    <w:qFormat/>
    <w:uiPriority w:val="0"/>
    <w:rPr>
      <w:rFonts w:ascii="仿宋_GB2312" w:eastAsia="仿宋_GB2312"/>
      <w:kern w:val="2"/>
      <w:sz w:val="24"/>
      <w:szCs w:val="24"/>
      <w:lang w:val="en-US" w:eastAsia="zh-CN" w:bidi="ar-SA"/>
    </w:rPr>
  </w:style>
  <w:style w:type="table" w:default="1" w:styleId="4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link w:val="132"/>
    <w:qFormat/>
    <w:uiPriority w:val="99"/>
    <w:pPr>
      <w:adjustRightInd w:val="0"/>
      <w:spacing w:after="60" w:line="360" w:lineRule="atLeast"/>
      <w:ind w:left="72" w:leftChars="30" w:right="30" w:rightChars="30"/>
      <w:jc w:val="center"/>
      <w:textAlignment w:val="baseline"/>
    </w:pPr>
  </w:style>
  <w:style w:type="paragraph" w:styleId="4">
    <w:name w:val="Body Text 2"/>
    <w:basedOn w:val="1"/>
    <w:next w:val="3"/>
    <w:link w:val="113"/>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next w:val="1"/>
    <w:link w:val="111"/>
    <w:qFormat/>
    <w:uiPriority w:val="0"/>
    <w:pPr>
      <w:ind w:firstLine="420" w:firstLineChars="200"/>
    </w:pPr>
  </w:style>
  <w:style w:type="paragraph" w:styleId="6">
    <w:name w:val="Body Text Indent"/>
    <w:basedOn w:val="1"/>
    <w:next w:val="1"/>
    <w:link w:val="119"/>
    <w:qFormat/>
    <w:uiPriority w:val="0"/>
    <w:pPr>
      <w:spacing w:after="120"/>
      <w:ind w:left="420" w:leftChars="200"/>
    </w:pPr>
  </w:style>
  <w:style w:type="paragraph" w:styleId="16">
    <w:name w:val="toc 7"/>
    <w:basedOn w:val="1"/>
    <w:next w:val="1"/>
    <w:qFormat/>
    <w:uiPriority w:val="39"/>
    <w:pPr>
      <w:ind w:left="2520" w:leftChars="1200"/>
    </w:pPr>
    <w:rPr>
      <w:rFonts w:ascii="Calibri" w:hAnsi="Calibri"/>
      <w:szCs w:val="22"/>
    </w:rPr>
  </w:style>
  <w:style w:type="paragraph" w:styleId="17">
    <w:name w:val="Normal Indent"/>
    <w:basedOn w:val="1"/>
    <w:link w:val="156"/>
    <w:qFormat/>
    <w:uiPriority w:val="0"/>
    <w:pPr>
      <w:ind w:firstLine="420" w:firstLineChars="200"/>
    </w:pPr>
    <w:rPr>
      <w:szCs w:val="20"/>
    </w:rPr>
  </w:style>
  <w:style w:type="paragraph" w:styleId="18">
    <w:name w:val="caption"/>
    <w:basedOn w:val="1"/>
    <w:next w:val="1"/>
    <w:qFormat/>
    <w:uiPriority w:val="0"/>
    <w:rPr>
      <w:rFonts w:ascii="Cambria" w:hAnsi="Cambria" w:eastAsia="黑体"/>
      <w:sz w:val="20"/>
      <w:szCs w:val="20"/>
    </w:rPr>
  </w:style>
  <w:style w:type="paragraph" w:styleId="19">
    <w:name w:val="Document Map"/>
    <w:basedOn w:val="1"/>
    <w:link w:val="147"/>
    <w:qFormat/>
    <w:uiPriority w:val="0"/>
    <w:pPr>
      <w:shd w:val="clear" w:color="auto" w:fill="000080"/>
    </w:pPr>
  </w:style>
  <w:style w:type="paragraph" w:styleId="20">
    <w:name w:val="toa heading"/>
    <w:basedOn w:val="1"/>
    <w:next w:val="1"/>
    <w:qFormat/>
    <w:uiPriority w:val="0"/>
    <w:pPr>
      <w:spacing w:before="120"/>
    </w:pPr>
    <w:rPr>
      <w:rFonts w:ascii="Arial" w:hAnsi="Arial" w:cs="Arial"/>
      <w:sz w:val="24"/>
    </w:rPr>
  </w:style>
  <w:style w:type="paragraph" w:styleId="21">
    <w:name w:val="annotation text"/>
    <w:basedOn w:val="1"/>
    <w:link w:val="109"/>
    <w:qFormat/>
    <w:uiPriority w:val="99"/>
    <w:pPr>
      <w:jc w:val="left"/>
    </w:pPr>
  </w:style>
  <w:style w:type="paragraph" w:styleId="22">
    <w:name w:val="Body Text 3"/>
    <w:basedOn w:val="1"/>
    <w:link w:val="117"/>
    <w:qFormat/>
    <w:uiPriority w:val="0"/>
    <w:pPr>
      <w:spacing w:after="120"/>
    </w:pPr>
    <w:rPr>
      <w:sz w:val="16"/>
      <w:szCs w:val="16"/>
    </w:r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widowControl/>
      <w:spacing w:before="100" w:beforeAutospacing="1" w:after="100" w:afterAutospacing="1"/>
      <w:jc w:val="left"/>
    </w:pPr>
    <w:rPr>
      <w:rFonts w:ascii="宋体" w:hAnsi="宋体"/>
      <w:kern w:val="0"/>
      <w:sz w:val="24"/>
    </w:rPr>
  </w:style>
  <w:style w:type="paragraph" w:styleId="25">
    <w:name w:val="index 4"/>
    <w:basedOn w:val="1"/>
    <w:next w:val="1"/>
    <w:qFormat/>
    <w:uiPriority w:val="0"/>
    <w:pPr>
      <w:ind w:left="600" w:leftChars="600"/>
    </w:pPr>
  </w:style>
  <w:style w:type="paragraph" w:styleId="26">
    <w:name w:val="toc 5"/>
    <w:basedOn w:val="1"/>
    <w:next w:val="1"/>
    <w:qFormat/>
    <w:uiPriority w:val="39"/>
    <w:pPr>
      <w:tabs>
        <w:tab w:val="right" w:leader="dot" w:pos="8296"/>
      </w:tabs>
      <w:ind w:left="1050" w:leftChars="500"/>
    </w:pPr>
    <w:rPr>
      <w:rFonts w:ascii="Calibri" w:hAnsi="Calibri"/>
      <w:szCs w:val="22"/>
    </w:rPr>
  </w:style>
  <w:style w:type="paragraph" w:styleId="27">
    <w:name w:val="toc 3"/>
    <w:basedOn w:val="1"/>
    <w:next w:val="1"/>
    <w:qFormat/>
    <w:uiPriority w:val="39"/>
    <w:pPr>
      <w:ind w:left="840" w:leftChars="400"/>
    </w:pPr>
  </w:style>
  <w:style w:type="paragraph" w:styleId="28">
    <w:name w:val="Plain Text"/>
    <w:basedOn w:val="1"/>
    <w:link w:val="148"/>
    <w:qFormat/>
    <w:uiPriority w:val="0"/>
    <w:rPr>
      <w:rFonts w:ascii="宋体" w:hAnsi="Courier New"/>
      <w:szCs w:val="21"/>
    </w:rPr>
  </w:style>
  <w:style w:type="paragraph" w:styleId="29">
    <w:name w:val="toc 8"/>
    <w:basedOn w:val="1"/>
    <w:next w:val="1"/>
    <w:qFormat/>
    <w:uiPriority w:val="39"/>
    <w:pPr>
      <w:ind w:left="2940" w:leftChars="1400"/>
    </w:pPr>
    <w:rPr>
      <w:rFonts w:ascii="Calibri" w:hAnsi="Calibri"/>
      <w:szCs w:val="22"/>
    </w:rPr>
  </w:style>
  <w:style w:type="paragraph" w:styleId="30">
    <w:name w:val="Date"/>
    <w:basedOn w:val="1"/>
    <w:next w:val="1"/>
    <w:link w:val="96"/>
    <w:qFormat/>
    <w:uiPriority w:val="0"/>
    <w:pPr>
      <w:ind w:left="100" w:leftChars="2500"/>
    </w:pPr>
  </w:style>
  <w:style w:type="paragraph" w:styleId="31">
    <w:name w:val="Body Text Indent 2"/>
    <w:basedOn w:val="1"/>
    <w:link w:val="151"/>
    <w:qFormat/>
    <w:uiPriority w:val="0"/>
    <w:pPr>
      <w:ind w:firstLine="538" w:firstLineChars="192"/>
    </w:pPr>
    <w:rPr>
      <w:sz w:val="28"/>
      <w:szCs w:val="20"/>
    </w:rPr>
  </w:style>
  <w:style w:type="paragraph" w:styleId="32">
    <w:name w:val="Balloon Text"/>
    <w:basedOn w:val="1"/>
    <w:link w:val="155"/>
    <w:qFormat/>
    <w:uiPriority w:val="0"/>
    <w:rPr>
      <w:sz w:val="18"/>
      <w:szCs w:val="18"/>
    </w:rPr>
  </w:style>
  <w:style w:type="paragraph" w:styleId="33">
    <w:name w:val="footer"/>
    <w:basedOn w:val="1"/>
    <w:link w:val="114"/>
    <w:qFormat/>
    <w:uiPriority w:val="99"/>
    <w:pPr>
      <w:tabs>
        <w:tab w:val="center" w:pos="4153"/>
        <w:tab w:val="right" w:pos="8306"/>
      </w:tabs>
      <w:snapToGrid w:val="0"/>
      <w:jc w:val="left"/>
    </w:pPr>
    <w:rPr>
      <w:sz w:val="18"/>
      <w:szCs w:val="18"/>
    </w:rPr>
  </w:style>
  <w:style w:type="paragraph" w:styleId="34">
    <w:name w:val="header"/>
    <w:basedOn w:val="1"/>
    <w:link w:val="139"/>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style>
  <w:style w:type="paragraph" w:styleId="36">
    <w:name w:val="toc 4"/>
    <w:basedOn w:val="1"/>
    <w:next w:val="1"/>
    <w:qFormat/>
    <w:uiPriority w:val="39"/>
    <w:pPr>
      <w:tabs>
        <w:tab w:val="left" w:pos="1890"/>
        <w:tab w:val="right" w:leader="dot" w:pos="8296"/>
      </w:tabs>
      <w:ind w:left="630" w:leftChars="300"/>
    </w:pPr>
    <w:rPr>
      <w:rFonts w:ascii="Calibri" w:hAnsi="Calibri"/>
      <w:szCs w:val="22"/>
    </w:rPr>
  </w:style>
  <w:style w:type="paragraph" w:styleId="37">
    <w:name w:val="Subtitle"/>
    <w:basedOn w:val="1"/>
    <w:next w:val="1"/>
    <w:link w:val="95"/>
    <w:qFormat/>
    <w:uiPriority w:val="0"/>
    <w:pPr>
      <w:spacing w:before="240" w:after="60" w:line="312" w:lineRule="auto"/>
      <w:jc w:val="center"/>
      <w:outlineLvl w:val="1"/>
    </w:pPr>
    <w:rPr>
      <w:rFonts w:ascii="Cambria" w:hAnsi="Cambria"/>
      <w:b/>
      <w:bCs/>
      <w:kern w:val="28"/>
      <w:sz w:val="32"/>
      <w:szCs w:val="32"/>
    </w:rPr>
  </w:style>
  <w:style w:type="paragraph" w:styleId="38">
    <w:name w:val="toc 6"/>
    <w:basedOn w:val="1"/>
    <w:next w:val="1"/>
    <w:qFormat/>
    <w:uiPriority w:val="39"/>
    <w:pPr>
      <w:ind w:left="1050"/>
      <w:jc w:val="left"/>
    </w:pPr>
    <w:rPr>
      <w:sz w:val="20"/>
      <w:szCs w:val="20"/>
    </w:rPr>
  </w:style>
  <w:style w:type="paragraph" w:styleId="39">
    <w:name w:val="Body Text Indent 3"/>
    <w:basedOn w:val="1"/>
    <w:link w:val="128"/>
    <w:qFormat/>
    <w:uiPriority w:val="0"/>
    <w:pPr>
      <w:spacing w:after="120"/>
      <w:ind w:left="420" w:leftChars="200"/>
    </w:pPr>
    <w:rPr>
      <w:sz w:val="16"/>
      <w:szCs w:val="16"/>
    </w:rPr>
  </w:style>
  <w:style w:type="paragraph" w:styleId="40">
    <w:name w:val="toc 2"/>
    <w:basedOn w:val="1"/>
    <w:next w:val="1"/>
    <w:qFormat/>
    <w:uiPriority w:val="39"/>
    <w:pPr>
      <w:tabs>
        <w:tab w:val="left" w:pos="840"/>
        <w:tab w:val="right" w:leader="dot" w:pos="9061"/>
      </w:tabs>
      <w:ind w:left="420" w:leftChars="200"/>
    </w:pPr>
  </w:style>
  <w:style w:type="paragraph" w:styleId="41">
    <w:name w:val="toc 9"/>
    <w:basedOn w:val="1"/>
    <w:next w:val="1"/>
    <w:qFormat/>
    <w:uiPriority w:val="39"/>
    <w:pPr>
      <w:ind w:left="3360" w:leftChars="1600"/>
    </w:pPr>
    <w:rPr>
      <w:rFonts w:ascii="Calibri" w:hAnsi="Calibri"/>
      <w:szCs w:val="22"/>
    </w:rPr>
  </w:style>
  <w:style w:type="paragraph" w:styleId="4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43">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4">
    <w:name w:val="Title"/>
    <w:basedOn w:val="1"/>
    <w:link w:val="123"/>
    <w:qFormat/>
    <w:uiPriority w:val="0"/>
    <w:pPr>
      <w:spacing w:before="240" w:after="60"/>
      <w:jc w:val="center"/>
      <w:outlineLvl w:val="0"/>
    </w:pPr>
    <w:rPr>
      <w:rFonts w:ascii="Arial" w:hAnsi="Arial"/>
      <w:b/>
      <w:bCs/>
      <w:sz w:val="32"/>
      <w:szCs w:val="32"/>
    </w:rPr>
  </w:style>
  <w:style w:type="paragraph" w:styleId="45">
    <w:name w:val="annotation subject"/>
    <w:basedOn w:val="21"/>
    <w:next w:val="21"/>
    <w:link w:val="102"/>
    <w:qFormat/>
    <w:uiPriority w:val="99"/>
    <w:rPr>
      <w:b/>
      <w:bCs/>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
    <w:name w:val="Char Char Char Char"/>
    <w:basedOn w:val="19"/>
    <w:link w:val="48"/>
    <w:qFormat/>
    <w:uiPriority w:val="0"/>
    <w:pPr>
      <w:adjustRightInd w:val="0"/>
      <w:snapToGrid w:val="0"/>
      <w:spacing w:line="360" w:lineRule="auto"/>
    </w:pPr>
    <w:rPr>
      <w:rFonts w:ascii="仿宋_GB2312" w:eastAsia="仿宋_GB2312"/>
      <w:kern w:val="2"/>
      <w:sz w:val="24"/>
      <w:szCs w:val="24"/>
      <w:lang w:val="en-US" w:eastAsia="zh-CN" w:bidi="ar-SA"/>
    </w:rPr>
  </w:style>
  <w:style w:type="character" w:styleId="50">
    <w:name w:val="Strong"/>
    <w:basedOn w:val="48"/>
    <w:qFormat/>
    <w:uiPriority w:val="0"/>
    <w:rPr>
      <w:b/>
      <w:bCs/>
    </w:rPr>
  </w:style>
  <w:style w:type="character" w:styleId="51">
    <w:name w:val="page number"/>
    <w:basedOn w:val="48"/>
    <w:qFormat/>
    <w:uiPriority w:val="0"/>
  </w:style>
  <w:style w:type="character" w:styleId="52">
    <w:name w:val="FollowedHyperlink"/>
    <w:qFormat/>
    <w:uiPriority w:val="0"/>
    <w:rPr>
      <w:color w:val="333333"/>
      <w:sz w:val="18"/>
      <w:szCs w:val="18"/>
      <w:u w:val="none"/>
    </w:rPr>
  </w:style>
  <w:style w:type="character" w:styleId="53">
    <w:name w:val="Emphasis"/>
    <w:qFormat/>
    <w:uiPriority w:val="0"/>
    <w:rPr>
      <w:i/>
      <w:iCs/>
    </w:rPr>
  </w:style>
  <w:style w:type="character" w:styleId="54">
    <w:name w:val="HTML Definition"/>
    <w:basedOn w:val="48"/>
    <w:qFormat/>
    <w:uiPriority w:val="0"/>
  </w:style>
  <w:style w:type="character" w:styleId="55">
    <w:name w:val="HTML Variable"/>
    <w:basedOn w:val="48"/>
    <w:qFormat/>
    <w:uiPriority w:val="0"/>
  </w:style>
  <w:style w:type="character" w:styleId="56">
    <w:name w:val="Hyperlink"/>
    <w:basedOn w:val="48"/>
    <w:qFormat/>
    <w:uiPriority w:val="99"/>
    <w:rPr>
      <w:color w:val="333333"/>
      <w:sz w:val="18"/>
      <w:szCs w:val="18"/>
      <w:u w:val="none"/>
    </w:rPr>
  </w:style>
  <w:style w:type="character" w:styleId="57">
    <w:name w:val="HTML Code"/>
    <w:basedOn w:val="48"/>
    <w:qFormat/>
    <w:uiPriority w:val="0"/>
    <w:rPr>
      <w:rFonts w:ascii="Helvetica" w:hAnsi="Helvetica" w:eastAsia="Helvetica" w:cs="Helvetica"/>
      <w:color w:val="333333"/>
      <w:sz w:val="21"/>
      <w:szCs w:val="21"/>
      <w:bdr w:val="single" w:color="999999" w:sz="6" w:space="0"/>
      <w:shd w:val="clear" w:fill="FFFFFF"/>
    </w:rPr>
  </w:style>
  <w:style w:type="character" w:styleId="58">
    <w:name w:val="annotation reference"/>
    <w:qFormat/>
    <w:uiPriority w:val="0"/>
    <w:rPr>
      <w:rFonts w:cs="Times New Roman"/>
      <w:sz w:val="21"/>
      <w:szCs w:val="21"/>
    </w:rPr>
  </w:style>
  <w:style w:type="character" w:styleId="59">
    <w:name w:val="HTML Cite"/>
    <w:basedOn w:val="48"/>
    <w:qFormat/>
    <w:uiPriority w:val="0"/>
  </w:style>
  <w:style w:type="paragraph" w:customStyle="1" w:styleId="60">
    <w:name w:val=" Char"/>
    <w:basedOn w:val="1"/>
    <w:qFormat/>
    <w:uiPriority w:val="0"/>
  </w:style>
  <w:style w:type="paragraph" w:styleId="61">
    <w:name w:val="Quote"/>
    <w:basedOn w:val="1"/>
    <w:next w:val="1"/>
    <w:link w:val="104"/>
    <w:qFormat/>
    <w:uiPriority w:val="29"/>
    <w:rPr>
      <w:i/>
      <w:iCs/>
      <w:color w:val="000000"/>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3">
    <w:name w:val="样式 标题 2 + Times New Roman 四号 非加粗 段前: 5 磅 段后: 0 磅 行距: 固定值 20..."/>
    <w:basedOn w:val="8"/>
    <w:qFormat/>
    <w:uiPriority w:val="0"/>
    <w:pPr>
      <w:spacing w:before="100" w:after="0" w:line="400" w:lineRule="exact"/>
    </w:pPr>
    <w:rPr>
      <w:rFonts w:ascii="Times New Roman" w:hAnsi="Times New Roman" w:cs="宋体"/>
      <w:b w:val="0"/>
      <w:bCs w:val="0"/>
      <w:kern w:val="0"/>
      <w:sz w:val="28"/>
      <w:szCs w:val="20"/>
    </w:rPr>
  </w:style>
  <w:style w:type="paragraph" w:customStyle="1" w:styleId="64">
    <w:name w:val=" Char Char Char Char"/>
    <w:basedOn w:val="19"/>
    <w:qFormat/>
    <w:uiPriority w:val="0"/>
    <w:rPr>
      <w:szCs w:val="20"/>
    </w:rPr>
  </w:style>
  <w:style w:type="paragraph" w:customStyle="1" w:styleId="65">
    <w:name w:val="表格"/>
    <w:basedOn w:val="1"/>
    <w:qFormat/>
    <w:uiPriority w:val="0"/>
    <w:pPr>
      <w:jc w:val="center"/>
      <w:textAlignment w:val="center"/>
    </w:pPr>
    <w:rPr>
      <w:rFonts w:ascii="华文细黑" w:hAnsi="华文细黑"/>
      <w:kern w:val="0"/>
      <w:szCs w:val="20"/>
    </w:rPr>
  </w:style>
  <w:style w:type="paragraph" w:customStyle="1" w:styleId="66">
    <w:name w:val="列出段落1"/>
    <w:basedOn w:val="1"/>
    <w:qFormat/>
    <w:uiPriority w:val="0"/>
    <w:pPr>
      <w:ind w:firstLine="420" w:firstLineChars="200"/>
    </w:pPr>
    <w:rPr>
      <w:rFonts w:ascii="Calibri" w:hAnsi="Calibri" w:cs="黑体"/>
      <w:szCs w:val="21"/>
    </w:rPr>
  </w:style>
  <w:style w:type="paragraph" w:customStyle="1" w:styleId="67">
    <w:name w:val="_Style 65"/>
    <w:qFormat/>
    <w:uiPriority w:val="0"/>
    <w:rPr>
      <w:rFonts w:ascii="Times New Roman" w:hAnsi="Times New Roman" w:eastAsia="宋体" w:cs="Times New Roman"/>
      <w:kern w:val="2"/>
      <w:sz w:val="21"/>
      <w:szCs w:val="24"/>
      <w:lang w:val="en-US" w:eastAsia="zh-CN" w:bidi="ar-SA"/>
    </w:rPr>
  </w:style>
  <w:style w:type="paragraph" w:styleId="68">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69">
    <w:name w:val="List Paragraph"/>
    <w:basedOn w:val="1"/>
    <w:qFormat/>
    <w:uiPriority w:val="99"/>
    <w:pPr>
      <w:ind w:firstLine="420" w:firstLineChars="200"/>
    </w:pPr>
    <w:rPr>
      <w:rFonts w:ascii="Calibri" w:hAnsi="Calibri"/>
      <w:szCs w:val="22"/>
    </w:rPr>
  </w:style>
  <w:style w:type="paragraph" w:customStyle="1" w:styleId="70">
    <w:name w:val=" Char2 Char Char Char Char Char Char"/>
    <w:basedOn w:val="1"/>
    <w:qFormat/>
    <w:uiPriority w:val="0"/>
    <w:rPr>
      <w:rFonts w:ascii="仿宋_GB2312"/>
      <w:b/>
      <w:sz w:val="30"/>
      <w:szCs w:val="32"/>
    </w:rPr>
  </w:style>
  <w:style w:type="paragraph" w:customStyle="1" w:styleId="71">
    <w:name w:val="标题5"/>
    <w:basedOn w:val="9"/>
    <w:link w:val="130"/>
    <w:qFormat/>
    <w:uiPriority w:val="0"/>
    <w:pPr>
      <w:spacing w:line="413" w:lineRule="auto"/>
    </w:pPr>
    <w:rPr>
      <w:rFonts w:ascii="Arial" w:hAnsi="Arial"/>
      <w:kern w:val="0"/>
      <w:sz w:val="24"/>
    </w:rPr>
  </w:style>
  <w:style w:type="paragraph" w:customStyle="1" w:styleId="72">
    <w:name w:val="默认段落字体 Para Char Char Char Char"/>
    <w:basedOn w:val="1"/>
    <w:qFormat/>
    <w:uiPriority w:val="0"/>
  </w:style>
  <w:style w:type="paragraph" w:customStyle="1" w:styleId="7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74">
    <w:name w:val="样式 标题 1 + 黑体 三号 非加粗 居中 段前: 6 磅 段后: 6 磅 行距: 固定值 20 磅"/>
    <w:basedOn w:val="7"/>
    <w:qFormat/>
    <w:uiPriority w:val="0"/>
    <w:pPr>
      <w:spacing w:before="120" w:after="120" w:line="400" w:lineRule="exact"/>
      <w:jc w:val="center"/>
    </w:pPr>
    <w:rPr>
      <w:rFonts w:ascii="黑体" w:hAnsi="黑体" w:eastAsia="黑体" w:cs="宋体"/>
      <w:b w:val="0"/>
      <w:bCs w:val="0"/>
      <w:szCs w:val="20"/>
      <w:lang w:val="en-US" w:eastAsia="zh-CN"/>
    </w:rPr>
  </w:style>
  <w:style w:type="paragraph" w:customStyle="1" w:styleId="75">
    <w:name w:val="表格文字"/>
    <w:basedOn w:val="1"/>
    <w:qFormat/>
    <w:uiPriority w:val="0"/>
    <w:pPr>
      <w:adjustRightInd w:val="0"/>
      <w:spacing w:line="420" w:lineRule="atLeast"/>
      <w:jc w:val="left"/>
      <w:textAlignment w:val="baseline"/>
    </w:pPr>
    <w:rPr>
      <w:kern w:val="0"/>
      <w:szCs w:val="20"/>
    </w:rPr>
  </w:style>
  <w:style w:type="paragraph" w:customStyle="1" w:styleId="76">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样式 标题 3 + (中文) 黑体 小四 非加粗 段前: 7.8 磅 段后: 0 磅 行距: 固定值 20 磅"/>
    <w:basedOn w:val="9"/>
    <w:qFormat/>
    <w:uiPriority w:val="0"/>
    <w:pPr>
      <w:spacing w:before="0" w:after="0" w:line="400" w:lineRule="exact"/>
    </w:pPr>
    <w:rPr>
      <w:rFonts w:eastAsia="黑体" w:cs="宋体"/>
      <w:b w:val="0"/>
      <w:bCs w:val="0"/>
      <w:sz w:val="24"/>
      <w:szCs w:val="20"/>
    </w:rPr>
  </w:style>
  <w:style w:type="paragraph" w:customStyle="1" w:styleId="78">
    <w:name w:val="Char1"/>
    <w:basedOn w:val="1"/>
    <w:qFormat/>
    <w:uiPriority w:val="0"/>
    <w:rPr>
      <w:rFonts w:ascii="Tahoma" w:hAnsi="Tahoma"/>
      <w:sz w:val="24"/>
      <w:szCs w:val="20"/>
    </w:rPr>
  </w:style>
  <w:style w:type="paragraph" w:customStyle="1" w:styleId="79">
    <w:name w:val="dash6b63_65871"/>
    <w:basedOn w:val="1"/>
    <w:qFormat/>
    <w:uiPriority w:val="0"/>
    <w:pPr>
      <w:widowControl/>
    </w:pPr>
    <w:rPr>
      <w:rFonts w:ascii="Calibri" w:hAnsi="Calibri" w:cs="Calibri"/>
      <w:kern w:val="0"/>
      <w:sz w:val="20"/>
      <w:szCs w:val="20"/>
    </w:rPr>
  </w:style>
  <w:style w:type="paragraph" w:customStyle="1" w:styleId="80">
    <w:name w:val="_Style 1"/>
    <w:basedOn w:val="1"/>
    <w:qFormat/>
    <w:uiPriority w:val="34"/>
    <w:pPr>
      <w:ind w:firstLine="420" w:firstLineChars="200"/>
    </w:pPr>
  </w:style>
  <w:style w:type="paragraph" w:customStyle="1" w:styleId="81">
    <w:name w:val="_Style 79"/>
    <w:basedOn w:val="7"/>
    <w:next w:val="1"/>
    <w:qFormat/>
    <w:uiPriority w:val="0"/>
    <w:pPr>
      <w:spacing w:before="340" w:after="330" w:line="576" w:lineRule="auto"/>
      <w:outlineLvl w:val="9"/>
    </w:pPr>
    <w:rPr>
      <w:rFonts w:ascii="Calibri" w:hAnsi="Calibri"/>
      <w:sz w:val="44"/>
    </w:rPr>
  </w:style>
  <w:style w:type="paragraph" w:customStyle="1" w:styleId="82">
    <w:name w:val="外网"/>
    <w:basedOn w:val="7"/>
    <w:qFormat/>
    <w:uiPriority w:val="0"/>
    <w:pPr>
      <w:spacing w:beforeLines="50" w:afterLines="50" w:line="520" w:lineRule="exact"/>
      <w:ind w:firstLine="200" w:firstLineChars="200"/>
    </w:pPr>
    <w:rPr>
      <w:rFonts w:eastAsia="黑体"/>
      <w:b w:val="0"/>
      <w:sz w:val="32"/>
    </w:rPr>
  </w:style>
  <w:style w:type="paragraph" w:customStyle="1" w:styleId="8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84">
    <w:name w:val="正文2"/>
    <w:basedOn w:val="1"/>
    <w:qFormat/>
    <w:uiPriority w:val="0"/>
    <w:pPr>
      <w:widowControl/>
      <w:spacing w:after="160" w:line="360" w:lineRule="auto"/>
      <w:ind w:firstLine="200" w:firstLineChars="200"/>
      <w:jc w:val="left"/>
    </w:pPr>
    <w:rPr>
      <w:szCs w:val="20"/>
    </w:rPr>
  </w:style>
  <w:style w:type="paragraph" w:customStyle="1" w:styleId="85">
    <w:name w:val="大纲二"/>
    <w:basedOn w:val="1"/>
    <w:qFormat/>
    <w:uiPriority w:val="99"/>
    <w:pPr>
      <w:numPr>
        <w:ilvl w:val="1"/>
        <w:numId w:val="1"/>
      </w:numPr>
      <w:tabs>
        <w:tab w:val="left" w:pos="432"/>
      </w:tabs>
      <w:spacing w:beforeLines="50" w:line="360" w:lineRule="auto"/>
      <w:outlineLvl w:val="1"/>
    </w:pPr>
    <w:rPr>
      <w:rFonts w:ascii="微软雅黑" w:hAnsi="微软雅黑" w:eastAsia="微软雅黑"/>
      <w:b/>
      <w:sz w:val="28"/>
      <w:szCs w:val="30"/>
    </w:rPr>
  </w:style>
  <w:style w:type="paragraph" w:customStyle="1" w:styleId="86">
    <w:name w:val="大纲一"/>
    <w:basedOn w:val="1"/>
    <w:qFormat/>
    <w:uiPriority w:val="99"/>
    <w:pPr>
      <w:numPr>
        <w:ilvl w:val="0"/>
        <w:numId w:val="1"/>
      </w:numPr>
      <w:spacing w:beforeLines="50" w:line="360" w:lineRule="auto"/>
      <w:outlineLvl w:val="0"/>
    </w:pPr>
    <w:rPr>
      <w:rFonts w:ascii="微软雅黑" w:hAnsi="微软雅黑" w:eastAsia="微软雅黑"/>
      <w:b/>
      <w:sz w:val="32"/>
      <w:szCs w:val="22"/>
    </w:rPr>
  </w:style>
  <w:style w:type="paragraph" w:customStyle="1" w:styleId="87">
    <w:name w:val="样式 标题 1 + 居中"/>
    <w:basedOn w:val="7"/>
    <w:qFormat/>
    <w:uiPriority w:val="0"/>
    <w:pPr>
      <w:spacing w:before="340" w:after="330" w:line="578" w:lineRule="auto"/>
      <w:jc w:val="center"/>
    </w:pPr>
    <w:rPr>
      <w:rFonts w:cs="宋体"/>
      <w:szCs w:val="20"/>
    </w:rPr>
  </w:style>
  <w:style w:type="paragraph" w:customStyle="1" w:styleId="88">
    <w:name w:val="p0"/>
    <w:basedOn w:val="1"/>
    <w:qFormat/>
    <w:uiPriority w:val="0"/>
    <w:pPr>
      <w:widowControl/>
    </w:pPr>
    <w:rPr>
      <w:kern w:val="0"/>
      <w:szCs w:val="21"/>
    </w:rPr>
  </w:style>
  <w:style w:type="paragraph" w:customStyle="1" w:styleId="8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0">
    <w:name w:val="外网二级标题"/>
    <w:basedOn w:val="8"/>
    <w:next w:val="82"/>
    <w:qFormat/>
    <w:uiPriority w:val="0"/>
    <w:pPr>
      <w:spacing w:before="0" w:after="0" w:line="520" w:lineRule="exact"/>
      <w:ind w:firstLine="200" w:firstLineChars="200"/>
    </w:pPr>
    <w:rPr>
      <w:rFonts w:ascii="Arial" w:hAnsi="Arial" w:eastAsia="楷体" w:cs="Times New Roman"/>
      <w:b w:val="0"/>
    </w:rPr>
  </w:style>
  <w:style w:type="paragraph" w:customStyle="1" w:styleId="91">
    <w:name w:val="1"/>
    <w:basedOn w:val="1"/>
    <w:qFormat/>
    <w:uiPriority w:val="0"/>
  </w:style>
  <w:style w:type="paragraph" w:customStyle="1" w:styleId="92">
    <w:name w:val=" Char Char10 Char Char Char Char"/>
    <w:basedOn w:val="1"/>
    <w:qFormat/>
    <w:uiPriority w:val="0"/>
  </w:style>
  <w:style w:type="paragraph" w:customStyle="1" w:styleId="93">
    <w:name w:val="标题4"/>
    <w:basedOn w:val="8"/>
    <w:next w:val="25"/>
    <w:link w:val="159"/>
    <w:qFormat/>
    <w:uiPriority w:val="0"/>
    <w:pPr>
      <w:spacing w:line="413" w:lineRule="auto"/>
    </w:pPr>
    <w:rPr>
      <w:rFonts w:eastAsia="宋体"/>
      <w:kern w:val="0"/>
      <w:sz w:val="24"/>
    </w:rPr>
  </w:style>
  <w:style w:type="paragraph" w:styleId="94">
    <w:name w:val="Intense Quote"/>
    <w:basedOn w:val="1"/>
    <w:next w:val="1"/>
    <w:link w:val="120"/>
    <w:qFormat/>
    <w:uiPriority w:val="0"/>
    <w:pPr>
      <w:pBdr>
        <w:bottom w:val="single" w:color="4F81BD" w:sz="4" w:space="4"/>
      </w:pBdr>
      <w:spacing w:before="200" w:after="280"/>
      <w:ind w:left="936" w:right="936"/>
    </w:pPr>
    <w:rPr>
      <w:b/>
      <w:bCs/>
      <w:i/>
      <w:iCs/>
      <w:color w:val="4F81BD"/>
      <w:szCs w:val="22"/>
    </w:rPr>
  </w:style>
  <w:style w:type="character" w:customStyle="1" w:styleId="95">
    <w:name w:val="副标题 Char"/>
    <w:link w:val="37"/>
    <w:qFormat/>
    <w:uiPriority w:val="0"/>
    <w:rPr>
      <w:rFonts w:ascii="Cambria" w:hAnsi="Cambria"/>
      <w:b/>
      <w:bCs/>
      <w:kern w:val="28"/>
      <w:sz w:val="32"/>
      <w:szCs w:val="32"/>
    </w:rPr>
  </w:style>
  <w:style w:type="character" w:customStyle="1" w:styleId="96">
    <w:name w:val="日期 Char"/>
    <w:link w:val="30"/>
    <w:qFormat/>
    <w:uiPriority w:val="0"/>
    <w:rPr>
      <w:kern w:val="2"/>
      <w:sz w:val="21"/>
      <w:szCs w:val="24"/>
    </w:rPr>
  </w:style>
  <w:style w:type="character" w:customStyle="1" w:styleId="97">
    <w:name w:val="_Style 95"/>
    <w:qFormat/>
    <w:uiPriority w:val="0"/>
    <w:rPr>
      <w:b/>
      <w:bCs/>
      <w:smallCaps/>
      <w:spacing w:val="5"/>
    </w:rPr>
  </w:style>
  <w:style w:type="character" w:customStyle="1" w:styleId="98">
    <w:name w:val="_Style 96"/>
    <w:qFormat/>
    <w:uiPriority w:val="0"/>
    <w:rPr>
      <w:smallCaps/>
      <w:color w:val="C0504D"/>
      <w:u w:val="single"/>
    </w:rPr>
  </w:style>
  <w:style w:type="character" w:customStyle="1" w:styleId="99">
    <w:name w:val="文档结构图 Char1"/>
    <w:qFormat/>
    <w:uiPriority w:val="0"/>
    <w:rPr>
      <w:rFonts w:ascii="宋体"/>
      <w:kern w:val="2"/>
      <w:sz w:val="18"/>
      <w:szCs w:val="18"/>
    </w:rPr>
  </w:style>
  <w:style w:type="character" w:customStyle="1" w:styleId="100">
    <w:name w:val="font51"/>
    <w:qFormat/>
    <w:uiPriority w:val="0"/>
    <w:rPr>
      <w:rFonts w:hint="eastAsia" w:ascii="宋体" w:hAnsi="宋体" w:eastAsia="宋体" w:cs="宋体"/>
      <w:color w:val="000000"/>
      <w:sz w:val="24"/>
      <w:szCs w:val="24"/>
      <w:u w:val="none"/>
    </w:rPr>
  </w:style>
  <w:style w:type="character" w:customStyle="1" w:styleId="101">
    <w:name w:val="_Style 99"/>
    <w:qFormat/>
    <w:uiPriority w:val="0"/>
    <w:rPr>
      <w:b/>
      <w:bCs/>
      <w:smallCaps/>
      <w:color w:val="C0504D"/>
      <w:spacing w:val="5"/>
      <w:u w:val="single"/>
    </w:rPr>
  </w:style>
  <w:style w:type="character" w:customStyle="1" w:styleId="102">
    <w:name w:val="批注主题 Char"/>
    <w:link w:val="45"/>
    <w:qFormat/>
    <w:uiPriority w:val="0"/>
    <w:rPr>
      <w:rFonts w:ascii="宋体"/>
      <w:b/>
      <w:bCs/>
      <w:sz w:val="28"/>
    </w:rPr>
  </w:style>
  <w:style w:type="character" w:customStyle="1" w:styleId="103">
    <w:name w:val="批注文字 Char1"/>
    <w:qFormat/>
    <w:uiPriority w:val="99"/>
    <w:rPr>
      <w:kern w:val="2"/>
      <w:sz w:val="21"/>
      <w:szCs w:val="24"/>
    </w:rPr>
  </w:style>
  <w:style w:type="character" w:customStyle="1" w:styleId="104">
    <w:name w:val="引用 Char"/>
    <w:link w:val="61"/>
    <w:qFormat/>
    <w:uiPriority w:val="0"/>
    <w:rPr>
      <w:i/>
      <w:iCs/>
      <w:color w:val="000000"/>
      <w:kern w:val="2"/>
      <w:sz w:val="21"/>
      <w:szCs w:val="22"/>
    </w:rPr>
  </w:style>
  <w:style w:type="character" w:customStyle="1" w:styleId="105">
    <w:name w:val="标题 3 Char"/>
    <w:link w:val="9"/>
    <w:qFormat/>
    <w:uiPriority w:val="0"/>
    <w:rPr>
      <w:b/>
      <w:bCs/>
      <w:kern w:val="2"/>
      <w:sz w:val="32"/>
      <w:szCs w:val="32"/>
    </w:rPr>
  </w:style>
  <w:style w:type="character" w:customStyle="1" w:styleId="106">
    <w:name w:val="标题 2 Char Char"/>
    <w:link w:val="8"/>
    <w:qFormat/>
    <w:uiPriority w:val="0"/>
    <w:rPr>
      <w:rFonts w:ascii="Arial" w:hAnsi="Arial" w:eastAsia="黑体"/>
      <w:b/>
      <w:bCs/>
      <w:kern w:val="2"/>
      <w:sz w:val="32"/>
      <w:szCs w:val="32"/>
      <w:lang w:val="en-US" w:eastAsia="zh-CN" w:bidi="ar-SA"/>
    </w:rPr>
  </w:style>
  <w:style w:type="character" w:customStyle="1" w:styleId="107">
    <w:name w:val="标题 4 Char"/>
    <w:link w:val="10"/>
    <w:qFormat/>
    <w:uiPriority w:val="0"/>
    <w:rPr>
      <w:rFonts w:ascii="Cambria" w:hAnsi="Cambria" w:eastAsia="宋体" w:cs="Times New Roman"/>
      <w:b/>
      <w:bCs/>
      <w:kern w:val="2"/>
      <w:sz w:val="28"/>
      <w:szCs w:val="28"/>
    </w:rPr>
  </w:style>
  <w:style w:type="character" w:customStyle="1" w:styleId="108">
    <w:name w:val="标题 8 Char"/>
    <w:link w:val="14"/>
    <w:qFormat/>
    <w:uiPriority w:val="0"/>
    <w:rPr>
      <w:rFonts w:ascii="Cambria" w:hAnsi="Cambria"/>
      <w:kern w:val="2"/>
      <w:sz w:val="24"/>
      <w:szCs w:val="24"/>
    </w:rPr>
  </w:style>
  <w:style w:type="character" w:customStyle="1" w:styleId="109">
    <w:name w:val="批注文字 Char"/>
    <w:link w:val="21"/>
    <w:qFormat/>
    <w:uiPriority w:val="0"/>
    <w:rPr>
      <w:kern w:val="2"/>
      <w:sz w:val="21"/>
      <w:szCs w:val="24"/>
    </w:rPr>
  </w:style>
  <w:style w:type="character" w:customStyle="1" w:styleId="110">
    <w:name w:val="正文文本 3 Char1"/>
    <w:qFormat/>
    <w:uiPriority w:val="0"/>
    <w:rPr>
      <w:kern w:val="2"/>
      <w:sz w:val="16"/>
      <w:szCs w:val="16"/>
    </w:rPr>
  </w:style>
  <w:style w:type="character" w:customStyle="1" w:styleId="111">
    <w:name w:val="正文首行缩进 2 Char"/>
    <w:link w:val="5"/>
    <w:qFormat/>
    <w:uiPriority w:val="0"/>
    <w:rPr>
      <w:rFonts w:eastAsia="宋体"/>
      <w:kern w:val="2"/>
      <w:sz w:val="21"/>
      <w:szCs w:val="24"/>
    </w:rPr>
  </w:style>
  <w:style w:type="character" w:customStyle="1" w:styleId="112">
    <w:name w:val="标题 Char1"/>
    <w:qFormat/>
    <w:uiPriority w:val="10"/>
    <w:rPr>
      <w:rFonts w:ascii="Cambria" w:hAnsi="Cambria" w:cs="Times New Roman"/>
      <w:b/>
      <w:bCs/>
      <w:kern w:val="2"/>
      <w:sz w:val="32"/>
      <w:szCs w:val="32"/>
    </w:rPr>
  </w:style>
  <w:style w:type="character" w:customStyle="1" w:styleId="113">
    <w:name w:val="正文文本 2 Char"/>
    <w:link w:val="4"/>
    <w:qFormat/>
    <w:uiPriority w:val="0"/>
    <w:rPr>
      <w:rFonts w:ascii="宋体" w:hAnsi="宋体" w:cs="宋体"/>
      <w:sz w:val="24"/>
      <w:szCs w:val="24"/>
    </w:rPr>
  </w:style>
  <w:style w:type="character" w:customStyle="1" w:styleId="114">
    <w:name w:val="页脚 Char"/>
    <w:link w:val="33"/>
    <w:qFormat/>
    <w:uiPriority w:val="99"/>
    <w:rPr>
      <w:kern w:val="2"/>
      <w:sz w:val="18"/>
      <w:szCs w:val="18"/>
    </w:rPr>
  </w:style>
  <w:style w:type="character" w:customStyle="1" w:styleId="115">
    <w:name w:val="_Style 113"/>
    <w:qFormat/>
    <w:uiPriority w:val="0"/>
    <w:rPr>
      <w:i/>
      <w:iCs/>
      <w:color w:val="808080"/>
    </w:rPr>
  </w:style>
  <w:style w:type="character" w:customStyle="1" w:styleId="116">
    <w:name w:val="普通文字 Char"/>
    <w:qFormat/>
    <w:uiPriority w:val="0"/>
    <w:rPr>
      <w:rFonts w:ascii="宋体" w:hAnsi="Courier New" w:eastAsia="幼圆"/>
      <w:kern w:val="2"/>
      <w:sz w:val="21"/>
      <w:lang w:val="en-US" w:eastAsia="zh-CN" w:bidi="ar-SA"/>
    </w:rPr>
  </w:style>
  <w:style w:type="character" w:customStyle="1" w:styleId="117">
    <w:name w:val="正文文本 3 Char"/>
    <w:link w:val="22"/>
    <w:qFormat/>
    <w:uiPriority w:val="0"/>
    <w:rPr>
      <w:kern w:val="2"/>
      <w:sz w:val="16"/>
      <w:szCs w:val="16"/>
    </w:rPr>
  </w:style>
  <w:style w:type="character" w:customStyle="1" w:styleId="118">
    <w:name w:val="批注框文本 Char2"/>
    <w:qFormat/>
    <w:uiPriority w:val="99"/>
    <w:rPr>
      <w:kern w:val="2"/>
      <w:sz w:val="18"/>
      <w:szCs w:val="18"/>
    </w:rPr>
  </w:style>
  <w:style w:type="character" w:customStyle="1" w:styleId="119">
    <w:name w:val="正文文本缩进 Char"/>
    <w:link w:val="6"/>
    <w:qFormat/>
    <w:uiPriority w:val="0"/>
    <w:rPr>
      <w:kern w:val="2"/>
      <w:sz w:val="21"/>
      <w:szCs w:val="24"/>
    </w:rPr>
  </w:style>
  <w:style w:type="character" w:customStyle="1" w:styleId="120">
    <w:name w:val="明显引用 Char"/>
    <w:link w:val="94"/>
    <w:qFormat/>
    <w:uiPriority w:val="0"/>
    <w:rPr>
      <w:b/>
      <w:bCs/>
      <w:i/>
      <w:iCs/>
      <w:color w:val="4F81BD"/>
      <w:kern w:val="2"/>
      <w:sz w:val="21"/>
      <w:szCs w:val="22"/>
    </w:rPr>
  </w:style>
  <w:style w:type="character" w:customStyle="1" w:styleId="121">
    <w:name w:val="页眉 Char1"/>
    <w:semiHidden/>
    <w:qFormat/>
    <w:uiPriority w:val="99"/>
    <w:rPr>
      <w:kern w:val="2"/>
      <w:sz w:val="18"/>
      <w:szCs w:val="18"/>
    </w:rPr>
  </w:style>
  <w:style w:type="character" w:customStyle="1" w:styleId="122">
    <w:name w:val="批注框文本 Char1"/>
    <w:qFormat/>
    <w:uiPriority w:val="0"/>
    <w:rPr>
      <w:kern w:val="2"/>
      <w:sz w:val="18"/>
      <w:szCs w:val="18"/>
    </w:rPr>
  </w:style>
  <w:style w:type="character" w:customStyle="1" w:styleId="123">
    <w:name w:val="标题 Char"/>
    <w:link w:val="44"/>
    <w:qFormat/>
    <w:uiPriority w:val="0"/>
    <w:rPr>
      <w:rFonts w:ascii="Arial" w:hAnsi="Arial" w:cs="Arial"/>
      <w:b/>
      <w:bCs/>
      <w:kern w:val="2"/>
      <w:sz w:val="32"/>
      <w:szCs w:val="32"/>
    </w:rPr>
  </w:style>
  <w:style w:type="character" w:customStyle="1" w:styleId="124">
    <w:name w:val="font31"/>
    <w:qFormat/>
    <w:uiPriority w:val="0"/>
    <w:rPr>
      <w:rFonts w:hint="default" w:ascii="Times New Roman" w:hAnsi="Times New Roman" w:cs="Times New Roman"/>
      <w:color w:val="000000"/>
      <w:sz w:val="24"/>
      <w:szCs w:val="24"/>
      <w:u w:val="none"/>
    </w:rPr>
  </w:style>
  <w:style w:type="character" w:customStyle="1" w:styleId="125">
    <w:name w:val="textcontents"/>
    <w:qFormat/>
    <w:uiPriority w:val="0"/>
    <w:rPr>
      <w:rFonts w:cs="Times New Roman"/>
    </w:rPr>
  </w:style>
  <w:style w:type="character" w:customStyle="1" w:styleId="126">
    <w:name w:val="正文文本 Char1"/>
    <w:qFormat/>
    <w:uiPriority w:val="0"/>
    <w:rPr>
      <w:kern w:val="2"/>
      <w:sz w:val="21"/>
      <w:szCs w:val="22"/>
    </w:rPr>
  </w:style>
  <w:style w:type="character" w:customStyle="1" w:styleId="127">
    <w:name w:val="标题 5 Char"/>
    <w:link w:val="11"/>
    <w:qFormat/>
    <w:uiPriority w:val="0"/>
    <w:rPr>
      <w:rFonts w:ascii="Calibri" w:hAnsi="Calibri"/>
      <w:b/>
      <w:bCs/>
      <w:kern w:val="2"/>
      <w:sz w:val="28"/>
      <w:szCs w:val="28"/>
    </w:rPr>
  </w:style>
  <w:style w:type="character" w:customStyle="1" w:styleId="128">
    <w:name w:val="正文文本缩进 3 Char"/>
    <w:link w:val="39"/>
    <w:qFormat/>
    <w:uiPriority w:val="0"/>
    <w:rPr>
      <w:kern w:val="2"/>
      <w:sz w:val="16"/>
      <w:szCs w:val="16"/>
    </w:rPr>
  </w:style>
  <w:style w:type="character" w:customStyle="1" w:styleId="129">
    <w:name w:val="mail-contents"/>
    <w:basedOn w:val="48"/>
    <w:qFormat/>
    <w:uiPriority w:val="0"/>
  </w:style>
  <w:style w:type="character" w:customStyle="1" w:styleId="130">
    <w:name w:val="标题5 Char Char"/>
    <w:link w:val="71"/>
    <w:qFormat/>
    <w:uiPriority w:val="0"/>
    <w:rPr>
      <w:rFonts w:ascii="Arial" w:hAnsi="Arial"/>
      <w:b/>
      <w:bCs/>
      <w:sz w:val="24"/>
      <w:szCs w:val="32"/>
    </w:rPr>
  </w:style>
  <w:style w:type="character" w:customStyle="1" w:styleId="131">
    <w:name w:val="批注主题 Char1"/>
    <w:qFormat/>
    <w:uiPriority w:val="0"/>
    <w:rPr>
      <w:b/>
      <w:bCs/>
      <w:kern w:val="2"/>
      <w:sz w:val="21"/>
      <w:szCs w:val="22"/>
    </w:rPr>
  </w:style>
  <w:style w:type="character" w:customStyle="1" w:styleId="132">
    <w:name w:val="正文文本 Char"/>
    <w:link w:val="3"/>
    <w:qFormat/>
    <w:uiPriority w:val="0"/>
  </w:style>
  <w:style w:type="character" w:customStyle="1" w:styleId="133">
    <w:name w:val="副标题 Char1"/>
    <w:qFormat/>
    <w:uiPriority w:val="11"/>
    <w:rPr>
      <w:rFonts w:ascii="Cambria" w:hAnsi="Cambria" w:cs="Times New Roman"/>
      <w:b/>
      <w:bCs/>
      <w:kern w:val="28"/>
      <w:sz w:val="32"/>
      <w:szCs w:val="32"/>
    </w:rPr>
  </w:style>
  <w:style w:type="character" w:customStyle="1" w:styleId="134">
    <w:name w:val="apple-converted-space"/>
    <w:basedOn w:val="48"/>
    <w:qFormat/>
    <w:uiPriority w:val="99"/>
  </w:style>
  <w:style w:type="character" w:customStyle="1" w:styleId="135">
    <w:name w:val="标题 7 Char"/>
    <w:link w:val="13"/>
    <w:qFormat/>
    <w:uiPriority w:val="0"/>
    <w:rPr>
      <w:rFonts w:ascii="Calibri" w:hAnsi="Calibri"/>
      <w:b/>
      <w:bCs/>
      <w:kern w:val="2"/>
      <w:sz w:val="24"/>
      <w:szCs w:val="24"/>
    </w:rPr>
  </w:style>
  <w:style w:type="character" w:customStyle="1" w:styleId="136">
    <w:name w:val=" Char Char17"/>
    <w:qFormat/>
    <w:uiPriority w:val="0"/>
    <w:rPr>
      <w:rFonts w:ascii="Cambria" w:hAnsi="Cambria" w:eastAsia="宋体"/>
      <w:b/>
      <w:bCs/>
      <w:kern w:val="2"/>
      <w:sz w:val="32"/>
      <w:szCs w:val="32"/>
      <w:lang w:val="en-US" w:eastAsia="zh-CN" w:bidi="ar-SA"/>
    </w:rPr>
  </w:style>
  <w:style w:type="character" w:customStyle="1" w:styleId="137">
    <w:name w:val="日期 Char1"/>
    <w:qFormat/>
    <w:uiPriority w:val="0"/>
    <w:rPr>
      <w:kern w:val="2"/>
      <w:sz w:val="21"/>
      <w:szCs w:val="22"/>
    </w:rPr>
  </w:style>
  <w:style w:type="character" w:customStyle="1" w:styleId="138">
    <w:name w:val="正文文本 Char2"/>
    <w:qFormat/>
    <w:uiPriority w:val="99"/>
    <w:rPr>
      <w:kern w:val="2"/>
      <w:sz w:val="21"/>
      <w:szCs w:val="24"/>
    </w:rPr>
  </w:style>
  <w:style w:type="character" w:customStyle="1" w:styleId="139">
    <w:name w:val="页眉 Char"/>
    <w:link w:val="34"/>
    <w:qFormat/>
    <w:uiPriority w:val="0"/>
    <w:rPr>
      <w:kern w:val="2"/>
      <w:sz w:val="18"/>
      <w:szCs w:val="18"/>
    </w:rPr>
  </w:style>
  <w:style w:type="character" w:customStyle="1" w:styleId="140">
    <w:name w:val="明显引用 Char1"/>
    <w:qFormat/>
    <w:uiPriority w:val="30"/>
    <w:rPr>
      <w:b/>
      <w:bCs/>
      <w:i/>
      <w:iCs/>
      <w:color w:val="4F81BD"/>
      <w:kern w:val="2"/>
      <w:sz w:val="21"/>
      <w:szCs w:val="24"/>
    </w:rPr>
  </w:style>
  <w:style w:type="character" w:customStyle="1" w:styleId="141">
    <w:name w:val="引用 Char1"/>
    <w:qFormat/>
    <w:uiPriority w:val="29"/>
    <w:rPr>
      <w:i/>
      <w:iCs/>
      <w:color w:val="000000"/>
      <w:kern w:val="2"/>
      <w:sz w:val="21"/>
      <w:szCs w:val="24"/>
    </w:rPr>
  </w:style>
  <w:style w:type="character" w:customStyle="1" w:styleId="142">
    <w:name w:val="日期 Char2"/>
    <w:semiHidden/>
    <w:qFormat/>
    <w:uiPriority w:val="99"/>
    <w:rPr>
      <w:kern w:val="2"/>
      <w:sz w:val="21"/>
      <w:szCs w:val="22"/>
    </w:rPr>
  </w:style>
  <w:style w:type="character" w:customStyle="1" w:styleId="143">
    <w:name w:val=" Char Char18"/>
    <w:qFormat/>
    <w:uiPriority w:val="0"/>
    <w:rPr>
      <w:rFonts w:ascii="Calibri" w:hAnsi="Calibri" w:eastAsia="宋体"/>
      <w:b/>
      <w:bCs/>
      <w:kern w:val="44"/>
      <w:sz w:val="44"/>
      <w:szCs w:val="44"/>
      <w:lang w:val="en-US" w:eastAsia="zh-CN" w:bidi="ar-SA"/>
    </w:rPr>
  </w:style>
  <w:style w:type="character" w:customStyle="1" w:styleId="144">
    <w:name w:val="标题 2 Char"/>
    <w:link w:val="8"/>
    <w:qFormat/>
    <w:uiPriority w:val="0"/>
    <w:rPr>
      <w:rFonts w:ascii="Arial" w:hAnsi="Arial" w:eastAsia="黑体"/>
      <w:b/>
      <w:bCs/>
      <w:kern w:val="2"/>
      <w:sz w:val="32"/>
      <w:szCs w:val="32"/>
    </w:rPr>
  </w:style>
  <w:style w:type="character" w:customStyle="1" w:styleId="145">
    <w:name w:val="批注主题 Char2"/>
    <w:qFormat/>
    <w:uiPriority w:val="99"/>
    <w:rPr>
      <w:b/>
      <w:bCs/>
      <w:kern w:val="2"/>
      <w:sz w:val="21"/>
      <w:szCs w:val="24"/>
    </w:rPr>
  </w:style>
  <w:style w:type="character" w:customStyle="1" w:styleId="146">
    <w:name w:val="_Style 144"/>
    <w:qFormat/>
    <w:uiPriority w:val="0"/>
    <w:rPr>
      <w:b/>
      <w:bCs/>
      <w:i/>
      <w:iCs/>
      <w:color w:val="4F81BD"/>
    </w:rPr>
  </w:style>
  <w:style w:type="character" w:customStyle="1" w:styleId="147">
    <w:name w:val="文档结构图 Char"/>
    <w:link w:val="19"/>
    <w:qFormat/>
    <w:uiPriority w:val="0"/>
    <w:rPr>
      <w:rFonts w:eastAsia="宋体"/>
      <w:kern w:val="2"/>
      <w:sz w:val="21"/>
      <w:szCs w:val="24"/>
      <w:lang w:val="en-US" w:eastAsia="zh-CN" w:bidi="ar-SA"/>
    </w:rPr>
  </w:style>
  <w:style w:type="character" w:customStyle="1" w:styleId="148">
    <w:name w:val="纯文本 Char"/>
    <w:link w:val="28"/>
    <w:qFormat/>
    <w:uiPriority w:val="0"/>
    <w:rPr>
      <w:rFonts w:ascii="宋体" w:hAnsi="Courier New" w:cs="Courier New"/>
      <w:kern w:val="2"/>
      <w:sz w:val="21"/>
      <w:szCs w:val="21"/>
    </w:rPr>
  </w:style>
  <w:style w:type="character" w:customStyle="1" w:styleId="149">
    <w:name w:val="font161"/>
    <w:qFormat/>
    <w:uiPriority w:val="0"/>
    <w:rPr>
      <w:b/>
      <w:bCs/>
      <w:sz w:val="32"/>
      <w:szCs w:val="32"/>
    </w:rPr>
  </w:style>
  <w:style w:type="character" w:customStyle="1" w:styleId="150">
    <w:name w:val="标题 1 Char"/>
    <w:link w:val="7"/>
    <w:qFormat/>
    <w:uiPriority w:val="0"/>
    <w:rPr>
      <w:b/>
      <w:bCs/>
      <w:kern w:val="44"/>
      <w:sz w:val="32"/>
      <w:szCs w:val="44"/>
    </w:rPr>
  </w:style>
  <w:style w:type="character" w:customStyle="1" w:styleId="151">
    <w:name w:val="正文文本缩进 2 Char"/>
    <w:link w:val="31"/>
    <w:qFormat/>
    <w:uiPriority w:val="0"/>
    <w:rPr>
      <w:kern w:val="2"/>
      <w:sz w:val="28"/>
    </w:rPr>
  </w:style>
  <w:style w:type="character" w:customStyle="1" w:styleId="152">
    <w:name w:val="标题 9 Char"/>
    <w:link w:val="15"/>
    <w:qFormat/>
    <w:uiPriority w:val="0"/>
    <w:rPr>
      <w:rFonts w:ascii="Cambria" w:hAnsi="Cambria"/>
      <w:kern w:val="2"/>
      <w:sz w:val="21"/>
      <w:szCs w:val="21"/>
    </w:rPr>
  </w:style>
  <w:style w:type="character" w:customStyle="1" w:styleId="153">
    <w:name w:val="标题 6 Char"/>
    <w:link w:val="12"/>
    <w:qFormat/>
    <w:uiPriority w:val="0"/>
    <w:rPr>
      <w:rFonts w:ascii="Cambria" w:hAnsi="Cambria"/>
      <w:b/>
      <w:bCs/>
      <w:kern w:val="2"/>
      <w:sz w:val="24"/>
      <w:szCs w:val="24"/>
    </w:rPr>
  </w:style>
  <w:style w:type="character" w:customStyle="1" w:styleId="154">
    <w:name w:val="页脚 Char1"/>
    <w:semiHidden/>
    <w:qFormat/>
    <w:uiPriority w:val="99"/>
    <w:rPr>
      <w:kern w:val="2"/>
      <w:sz w:val="18"/>
      <w:szCs w:val="18"/>
    </w:rPr>
  </w:style>
  <w:style w:type="character" w:customStyle="1" w:styleId="155">
    <w:name w:val="批注框文本 Char"/>
    <w:link w:val="32"/>
    <w:qFormat/>
    <w:uiPriority w:val="0"/>
    <w:rPr>
      <w:kern w:val="2"/>
      <w:sz w:val="18"/>
      <w:szCs w:val="18"/>
    </w:rPr>
  </w:style>
  <w:style w:type="character" w:customStyle="1" w:styleId="156">
    <w:name w:val="正文缩进 Char"/>
    <w:link w:val="17"/>
    <w:qFormat/>
    <w:uiPriority w:val="0"/>
    <w:rPr>
      <w:kern w:val="2"/>
      <w:sz w:val="21"/>
    </w:rPr>
  </w:style>
  <w:style w:type="character" w:customStyle="1" w:styleId="157">
    <w:name w:val="文档结构图 Char2"/>
    <w:semiHidden/>
    <w:qFormat/>
    <w:uiPriority w:val="99"/>
    <w:rPr>
      <w:rFonts w:ascii="宋体"/>
      <w:kern w:val="2"/>
      <w:sz w:val="18"/>
      <w:szCs w:val="18"/>
    </w:rPr>
  </w:style>
  <w:style w:type="character" w:customStyle="1" w:styleId="158">
    <w:name w:val="font41"/>
    <w:qFormat/>
    <w:uiPriority w:val="0"/>
    <w:rPr>
      <w:rFonts w:hint="eastAsia" w:ascii="宋体" w:hAnsi="宋体" w:eastAsia="宋体" w:cs="宋体"/>
      <w:b/>
      <w:color w:val="000000"/>
      <w:sz w:val="20"/>
      <w:szCs w:val="20"/>
      <w:u w:val="none"/>
    </w:rPr>
  </w:style>
  <w:style w:type="character" w:customStyle="1" w:styleId="159">
    <w:name w:val="标题4 Char Char"/>
    <w:link w:val="93"/>
    <w:qFormat/>
    <w:uiPriority w:val="0"/>
    <w:rPr>
      <w:rFonts w:ascii="Arial" w:hAnsi="Arial"/>
      <w:b/>
      <w:bCs/>
      <w:sz w:val="24"/>
      <w:szCs w:val="32"/>
    </w:rPr>
  </w:style>
  <w:style w:type="character" w:customStyle="1" w:styleId="160">
    <w:name w:val="批注文字 Char Char"/>
    <w:qFormat/>
    <w:uiPriority w:val="0"/>
    <w:rPr>
      <w:rFonts w:ascii="宋体" w:hAnsi="Times New Roman" w:eastAsia="宋体" w:cs="Times New Roman"/>
      <w:sz w:val="28"/>
      <w:szCs w:val="20"/>
    </w:rPr>
  </w:style>
  <w:style w:type="character" w:customStyle="1" w:styleId="161">
    <w:name w:val="layui-this"/>
    <w:basedOn w:val="48"/>
    <w:qFormat/>
    <w:uiPriority w:val="0"/>
    <w:rPr>
      <w:bdr w:val="single" w:color="EEEEEE" w:sz="6" w:space="0"/>
      <w:shd w:val="clear" w:fill="FFFFFF"/>
    </w:rPr>
  </w:style>
  <w:style w:type="character" w:customStyle="1" w:styleId="162">
    <w:name w:val="first-child"/>
    <w:basedOn w:val="48"/>
    <w:qFormat/>
    <w:uiPriority w:val="0"/>
  </w:style>
  <w:style w:type="character" w:customStyle="1" w:styleId="163">
    <w:name w:val="hover"/>
    <w:basedOn w:val="48"/>
    <w:qFormat/>
    <w:uiPriority w:val="0"/>
    <w:rPr>
      <w:color w:val="5FB878"/>
    </w:rPr>
  </w:style>
  <w:style w:type="character" w:customStyle="1" w:styleId="164">
    <w:name w:val="hover1"/>
    <w:basedOn w:val="48"/>
    <w:qFormat/>
    <w:uiPriority w:val="0"/>
    <w:rPr>
      <w:color w:val="FFFFFF"/>
    </w:rPr>
  </w:style>
  <w:style w:type="character" w:customStyle="1" w:styleId="165">
    <w:name w:val="hover2"/>
    <w:basedOn w:val="48"/>
    <w:qFormat/>
    <w:uiPriority w:val="0"/>
    <w:rPr>
      <w:color w:val="5FB878"/>
    </w:rPr>
  </w:style>
  <w:style w:type="character" w:customStyle="1" w:styleId="166">
    <w:name w:val="hover21"/>
    <w:basedOn w:val="48"/>
    <w:qFormat/>
    <w:uiPriority w:val="0"/>
    <w:rPr>
      <w:color w:val="5FB878"/>
    </w:rPr>
  </w:style>
  <w:style w:type="character" w:customStyle="1" w:styleId="167">
    <w:name w:val="hover22"/>
    <w:basedOn w:val="48"/>
    <w:qFormat/>
    <w:uiPriority w:val="0"/>
    <w:rPr>
      <w:color w:val="FFFFFF"/>
    </w:rPr>
  </w:style>
  <w:style w:type="character" w:customStyle="1" w:styleId="168">
    <w:name w:val="hover23"/>
    <w:basedOn w:val="48"/>
    <w:qFormat/>
    <w:uiPriority w:val="0"/>
    <w:rPr>
      <w:color w:val="5FB878"/>
    </w:rPr>
  </w:style>
  <w:style w:type="character" w:customStyle="1" w:styleId="169">
    <w:name w:val="layui-this2"/>
    <w:basedOn w:val="48"/>
    <w:qFormat/>
    <w:uiPriority w:val="0"/>
    <w:rPr>
      <w:bdr w:val="single" w:color="EEEEEE" w:sz="6" w:space="0"/>
      <w:shd w:val="clear" w:fill="FFFFFF"/>
    </w:rPr>
  </w:style>
  <w:style w:type="character" w:customStyle="1" w:styleId="170">
    <w:name w:val="last-child"/>
    <w:basedOn w:val="48"/>
    <w:qFormat/>
    <w:uiPriority w:val="0"/>
  </w:style>
  <w:style w:type="character" w:customStyle="1" w:styleId="171">
    <w:name w:val="wp"/>
    <w:basedOn w:val="48"/>
    <w:qFormat/>
    <w:uiPriority w:val="0"/>
  </w:style>
  <w:style w:type="character" w:customStyle="1" w:styleId="172">
    <w:name w:val="w49b"/>
    <w:basedOn w:val="48"/>
    <w:qFormat/>
    <w:uiPriority w:val="0"/>
  </w:style>
  <w:style w:type="character" w:customStyle="1" w:styleId="173">
    <w:name w:val="more"/>
    <w:basedOn w:val="48"/>
    <w:qFormat/>
    <w:uiPriority w:val="0"/>
  </w:style>
  <w:style w:type="character" w:customStyle="1" w:styleId="174">
    <w:name w:val="ux"/>
    <w:basedOn w:val="48"/>
    <w:qFormat/>
    <w:uiPriority w:val="0"/>
    <w:rPr>
      <w:b/>
      <w:u w:val="single"/>
    </w:rPr>
  </w:style>
  <w:style w:type="character" w:customStyle="1" w:styleId="175">
    <w:name w:val="spacing5"/>
    <w:basedOn w:val="48"/>
    <w:qFormat/>
    <w:uiPriority w:val="0"/>
    <w:rPr>
      <w:spacing w:val="60"/>
    </w:rPr>
  </w:style>
  <w:style w:type="character" w:customStyle="1" w:styleId="176">
    <w:name w:val="time"/>
    <w:basedOn w:val="48"/>
    <w:qFormat/>
    <w:uiPriority w:val="0"/>
    <w:rPr>
      <w:color w:val="FFFFFF"/>
      <w:sz w:val="31"/>
      <w:szCs w:val="31"/>
      <w:shd w:val="clear" w:fill="3B84CD"/>
    </w:rPr>
  </w:style>
  <w:style w:type="character" w:customStyle="1" w:styleId="177">
    <w:name w:val="w40b"/>
    <w:basedOn w:val="48"/>
    <w:qFormat/>
    <w:uiPriority w:val="0"/>
  </w:style>
  <w:style w:type="character" w:customStyle="1" w:styleId="178">
    <w:name w:val="ck"/>
    <w:basedOn w:val="48"/>
    <w:qFormat/>
    <w:uiPriority w:val="0"/>
  </w:style>
  <w:style w:type="character" w:customStyle="1" w:styleId="179">
    <w:name w:val="ck1"/>
    <w:basedOn w:val="48"/>
    <w:qFormat/>
    <w:uiPriority w:val="0"/>
  </w:style>
  <w:style w:type="character" w:customStyle="1" w:styleId="180">
    <w:name w:val="pt"/>
    <w:basedOn w:val="48"/>
    <w:qFormat/>
    <w:uiPriority w:val="0"/>
  </w:style>
  <w:style w:type="character" w:customStyle="1" w:styleId="181">
    <w:name w:val="pt1"/>
    <w:basedOn w:val="48"/>
    <w:qFormat/>
    <w:uiPriority w:val="0"/>
  </w:style>
  <w:style w:type="character" w:customStyle="1" w:styleId="182">
    <w:name w:val="pt2"/>
    <w:basedOn w:val="48"/>
    <w:qFormat/>
    <w:uiPriority w:val="0"/>
  </w:style>
  <w:style w:type="character" w:customStyle="1" w:styleId="183">
    <w:name w:val="sc"/>
    <w:basedOn w:val="48"/>
    <w:qFormat/>
    <w:uiPriority w:val="0"/>
  </w:style>
  <w:style w:type="character" w:customStyle="1" w:styleId="184">
    <w:name w:val="sc1"/>
    <w:basedOn w:val="48"/>
    <w:qFormat/>
    <w:uiPriority w:val="0"/>
  </w:style>
  <w:style w:type="character" w:customStyle="1" w:styleId="185">
    <w:name w:val="w32b"/>
    <w:basedOn w:val="48"/>
    <w:qFormat/>
    <w:uiPriority w:val="0"/>
  </w:style>
  <w:style w:type="character" w:customStyle="1" w:styleId="186">
    <w:name w:val="w29b"/>
    <w:basedOn w:val="48"/>
    <w:qFormat/>
    <w:uiPriority w:val="0"/>
  </w:style>
  <w:style w:type="character" w:customStyle="1" w:styleId="187">
    <w:name w:val="w80b"/>
    <w:basedOn w:val="48"/>
    <w:qFormat/>
    <w:uiPriority w:val="0"/>
  </w:style>
  <w:style w:type="character" w:customStyle="1" w:styleId="188">
    <w:name w:val="w55b"/>
    <w:basedOn w:val="48"/>
    <w:qFormat/>
    <w:uiPriority w:val="0"/>
  </w:style>
  <w:style w:type="character" w:customStyle="1" w:styleId="189">
    <w:name w:val="w50b"/>
    <w:basedOn w:val="48"/>
    <w:qFormat/>
    <w:uiPriority w:val="0"/>
  </w:style>
  <w:style w:type="character" w:customStyle="1" w:styleId="190">
    <w:name w:val="w35b"/>
    <w:basedOn w:val="48"/>
    <w:qFormat/>
    <w:uiPriority w:val="0"/>
  </w:style>
  <w:style w:type="character" w:customStyle="1" w:styleId="191">
    <w:name w:val="w34b"/>
    <w:basedOn w:val="48"/>
    <w:qFormat/>
    <w:uiPriority w:val="0"/>
  </w:style>
  <w:style w:type="character" w:customStyle="1" w:styleId="192">
    <w:name w:val="w60b4"/>
    <w:basedOn w:val="48"/>
    <w:qFormat/>
    <w:uiPriority w:val="0"/>
  </w:style>
  <w:style w:type="character" w:customStyle="1" w:styleId="193">
    <w:name w:val="w19b"/>
    <w:basedOn w:val="48"/>
    <w:qFormat/>
    <w:uiPriority w:val="0"/>
  </w:style>
  <w:style w:type="character" w:customStyle="1" w:styleId="194">
    <w:name w:val="w72b"/>
    <w:basedOn w:val="48"/>
    <w:qFormat/>
    <w:uiPriority w:val="0"/>
  </w:style>
  <w:style w:type="character" w:customStyle="1" w:styleId="195">
    <w:name w:val="zybh"/>
    <w:basedOn w:val="48"/>
    <w:qFormat/>
    <w:uiPriority w:val="0"/>
    <w:rPr>
      <w:b/>
      <w:color w:val="F9A156"/>
    </w:rPr>
  </w:style>
  <w:style w:type="character" w:customStyle="1" w:styleId="196">
    <w:name w:val="zybh1"/>
    <w:basedOn w:val="48"/>
    <w:qFormat/>
    <w:uiPriority w:val="0"/>
    <w:rPr>
      <w:color w:val="51BDA7"/>
    </w:rPr>
  </w:style>
  <w:style w:type="character" w:customStyle="1" w:styleId="197">
    <w:name w:val="id"/>
    <w:basedOn w:val="48"/>
    <w:qFormat/>
    <w:uiPriority w:val="0"/>
    <w:rPr>
      <w:color w:val="FFFFFF"/>
      <w:shd w:val="clear" w:fill="3B84CD"/>
    </w:rPr>
  </w:style>
  <w:style w:type="character" w:customStyle="1" w:styleId="198">
    <w:name w:val="hover27"/>
    <w:basedOn w:val="48"/>
    <w:qFormat/>
    <w:uiPriority w:val="0"/>
    <w:rPr>
      <w:shd w:val="clear" w:fill="EEEEEE"/>
    </w:rPr>
  </w:style>
  <w:style w:type="character" w:customStyle="1" w:styleId="199">
    <w:name w:val="w60b"/>
    <w:basedOn w:val="48"/>
    <w:qFormat/>
    <w:uiPriority w:val="0"/>
  </w:style>
  <w:style w:type="character" w:customStyle="1" w:styleId="200">
    <w:name w:val="w49b2"/>
    <w:basedOn w:val="48"/>
    <w:qFormat/>
    <w:uiPriority w:val="0"/>
  </w:style>
  <w:style w:type="character" w:customStyle="1" w:styleId="201">
    <w:name w:val="more2"/>
    <w:basedOn w:val="48"/>
    <w:qFormat/>
    <w:uiPriority w:val="0"/>
  </w:style>
  <w:style w:type="character" w:customStyle="1" w:styleId="202">
    <w:name w:val="hover31"/>
    <w:basedOn w:val="48"/>
    <w:qFormat/>
    <w:uiPriority w:val="0"/>
    <w:rPr>
      <w:shd w:val="clear" w:fill="EEEEEE"/>
    </w:rPr>
  </w:style>
  <w:style w:type="character" w:customStyle="1" w:styleId="203">
    <w:name w:val="last-child2"/>
    <w:basedOn w:val="48"/>
    <w:qFormat/>
    <w:uiPriority w:val="0"/>
  </w:style>
  <w:style w:type="character" w:customStyle="1" w:styleId="204">
    <w:name w:val="w40b4"/>
    <w:basedOn w:val="48"/>
    <w:qFormat/>
    <w:uiPriority w:val="0"/>
  </w:style>
  <w:style w:type="character" w:customStyle="1" w:styleId="205">
    <w:name w:val="w50b4"/>
    <w:basedOn w:val="48"/>
    <w:qFormat/>
    <w:uiPriority w:val="0"/>
  </w:style>
  <w:style w:type="character" w:customStyle="1" w:styleId="206">
    <w:name w:val="w80b2"/>
    <w:basedOn w:val="48"/>
    <w:qFormat/>
    <w:uiPriority w:val="0"/>
  </w:style>
  <w:style w:type="character" w:customStyle="1" w:styleId="207">
    <w:name w:val="w72b2"/>
    <w:basedOn w:val="48"/>
    <w:qFormat/>
    <w:uiPriority w:val="0"/>
  </w:style>
  <w:style w:type="character" w:customStyle="1" w:styleId="208">
    <w:name w:val="fresh"/>
    <w:basedOn w:val="48"/>
    <w:qFormat/>
    <w:uiPriority w:val="0"/>
  </w:style>
  <w:style w:type="character" w:customStyle="1" w:styleId="209">
    <w:name w:val="fresh1"/>
    <w:basedOn w:val="48"/>
    <w:qFormat/>
    <w:uiPriority w:val="0"/>
  </w:style>
  <w:style w:type="paragraph" w:customStyle="1" w:styleId="210">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14601</Words>
  <Characters>15529</Characters>
  <Lines>140</Lines>
  <Paragraphs>39</Paragraphs>
  <TotalTime>2</TotalTime>
  <ScaleCrop>false</ScaleCrop>
  <LinksUpToDate>false</LinksUpToDate>
  <CharactersWithSpaces>16997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2018-07-17T08:14:00Z</dcterms:created>
  <dc:creator>微软用户</dc:creator>
  <cp:lastModifiedBy>代树正</cp:lastModifiedBy>
  <cp:lastPrinted>2020-11-11T07:10:00Z</cp:lastPrinted>
  <dcterms:modified xsi:type="dcterms:W3CDTF">2025-02-28T01:21:55Z</dcterms:modified>
  <dc:title>附件1：招标评分办法</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37F243101C65430F9D998ACF70DCA652</vt:lpwstr>
  </property>
  <property fmtid="{D5CDD505-2E9C-101B-9397-08002B2CF9AE}" pid="4" name="KSOTemplateDocerSaveRecord">
    <vt:lpwstr>eyJoZGlkIjoiY2FlNWEzYzc2ODgyZGNjYTE4ZTkzMTE4MGMwOWQ2MzkiLCJ1c2VySWQiOiIyMjg4MjU1MDUifQ==</vt:lpwstr>
  </property>
</Properties>
</file>