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7612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48"/>
          <w:szCs w:val="48"/>
          <w:lang w:val="en-US" w:eastAsia="zh-CN"/>
        </w:rPr>
      </w:pPr>
    </w:p>
    <w:p w14:paraId="3FCC4B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20"/>
          <w:sz w:val="48"/>
          <w:szCs w:val="48"/>
          <w:highlight w:val="none"/>
        </w:rPr>
      </w:pPr>
      <w:r>
        <w:rPr>
          <w:rFonts w:hint="eastAsia"/>
          <w:b/>
          <w:bCs/>
          <w:sz w:val="48"/>
          <w:szCs w:val="48"/>
          <w:lang w:val="en-US" w:eastAsia="zh-CN"/>
        </w:rPr>
        <w:t>睢县妇幼保健院便携式彩超采购项目</w:t>
      </w:r>
    </w:p>
    <w:p w14:paraId="03FBFB36">
      <w:pPr>
        <w:tabs>
          <w:tab w:val="left" w:pos="1842"/>
          <w:tab w:val="center" w:pos="4199"/>
        </w:tabs>
        <w:spacing w:line="360" w:lineRule="auto"/>
        <w:jc w:val="left"/>
        <w:rPr>
          <w:rFonts w:hint="eastAsia" w:ascii="宋体" w:hAnsi="宋体" w:eastAsia="宋体" w:cs="宋体"/>
          <w:b/>
          <w:bCs/>
          <w:color w:val="auto"/>
          <w:spacing w:val="120"/>
          <w:sz w:val="72"/>
          <w:szCs w:val="72"/>
          <w:highlight w:val="none"/>
          <w:lang w:eastAsia="zh-CN"/>
        </w:rPr>
      </w:pPr>
      <w:r>
        <w:rPr>
          <w:rFonts w:hint="eastAsia" w:ascii="宋体" w:hAnsi="宋体" w:eastAsia="宋体" w:cs="宋体"/>
          <w:b/>
          <w:bCs/>
          <w:color w:val="auto"/>
          <w:spacing w:val="120"/>
          <w:sz w:val="72"/>
          <w:szCs w:val="72"/>
          <w:highlight w:val="none"/>
          <w:lang w:eastAsia="zh-CN"/>
        </w:rPr>
        <w:tab/>
      </w:r>
      <w:r>
        <w:rPr>
          <w:rFonts w:hint="eastAsia" w:ascii="宋体" w:hAnsi="宋体" w:eastAsia="宋体" w:cs="宋体"/>
          <w:b/>
          <w:bCs/>
          <w:color w:val="auto"/>
          <w:spacing w:val="120"/>
          <w:sz w:val="72"/>
          <w:szCs w:val="72"/>
          <w:highlight w:val="none"/>
          <w:lang w:eastAsia="zh-CN"/>
        </w:rPr>
        <w:tab/>
      </w:r>
    </w:p>
    <w:p w14:paraId="4F7A0A1A">
      <w:pPr>
        <w:tabs>
          <w:tab w:val="left" w:pos="1842"/>
          <w:tab w:val="center" w:pos="4199"/>
        </w:tabs>
        <w:spacing w:line="360" w:lineRule="auto"/>
        <w:jc w:val="center"/>
        <w:rPr>
          <w:rFonts w:hint="eastAsia" w:ascii="宋体" w:hAnsi="宋体" w:eastAsia="宋体" w:cs="宋体"/>
          <w:color w:val="auto"/>
          <w:spacing w:val="120"/>
          <w:sz w:val="60"/>
          <w:szCs w:val="60"/>
          <w:highlight w:val="none"/>
        </w:rPr>
      </w:pPr>
      <w:r>
        <w:rPr>
          <w:rFonts w:hint="eastAsia" w:ascii="宋体" w:hAnsi="宋体" w:eastAsia="宋体" w:cs="宋体"/>
          <w:b/>
          <w:bCs/>
          <w:color w:val="auto"/>
          <w:spacing w:val="120"/>
          <w:sz w:val="72"/>
          <w:szCs w:val="72"/>
          <w:highlight w:val="none"/>
        </w:rPr>
        <w:t>磋商文件</w:t>
      </w:r>
    </w:p>
    <w:p w14:paraId="3496DF7A">
      <w:pPr>
        <w:spacing w:line="360" w:lineRule="auto"/>
        <w:jc w:val="center"/>
        <w:rPr>
          <w:rFonts w:hint="default" w:ascii="宋体" w:hAnsi="宋体" w:eastAsia="宋体" w:cs="宋体"/>
          <w:color w:val="auto"/>
          <w:sz w:val="28"/>
          <w:szCs w:val="18"/>
          <w:highlight w:val="none"/>
          <w:lang w:val="en-US" w:eastAsia="zh-CN"/>
        </w:rPr>
      </w:pPr>
      <w:r>
        <w:rPr>
          <w:rFonts w:hint="eastAsia" w:ascii="宋体" w:hAnsi="宋体" w:eastAsia="宋体" w:cs="宋体"/>
          <w:b/>
          <w:bCs/>
          <w:color w:val="auto"/>
          <w:sz w:val="28"/>
          <w:szCs w:val="18"/>
          <w:highlight w:val="none"/>
          <w:lang w:eastAsia="zh-CN"/>
        </w:rPr>
        <w:t>采购编号：</w:t>
      </w:r>
      <w:r>
        <w:rPr>
          <w:rFonts w:hint="eastAsia" w:ascii="宋体" w:hAnsi="宋体" w:cs="宋体"/>
          <w:b/>
          <w:bCs/>
          <w:color w:val="auto"/>
          <w:sz w:val="28"/>
          <w:szCs w:val="18"/>
          <w:highlight w:val="none"/>
          <w:lang w:eastAsia="zh-CN"/>
        </w:rPr>
        <w:t>睢县财采磋</w:t>
      </w:r>
      <w:r>
        <w:rPr>
          <w:rFonts w:hint="eastAsia" w:ascii="宋体" w:hAnsi="宋体" w:cs="宋体"/>
          <w:b/>
          <w:bCs/>
          <w:color w:val="auto"/>
          <w:sz w:val="28"/>
          <w:szCs w:val="18"/>
          <w:highlight w:val="none"/>
          <w:lang w:val="en-US" w:eastAsia="zh-CN"/>
        </w:rPr>
        <w:t>-2025-5</w:t>
      </w:r>
    </w:p>
    <w:p w14:paraId="66CDC753">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drawing>
          <wp:anchor distT="0" distB="0" distL="114300" distR="114300" simplePos="0" relativeHeight="251659264" behindDoc="0" locked="0" layoutInCell="1" allowOverlap="1">
            <wp:simplePos x="0" y="0"/>
            <wp:positionH relativeFrom="column">
              <wp:posOffset>1017905</wp:posOffset>
            </wp:positionH>
            <wp:positionV relativeFrom="paragraph">
              <wp:posOffset>382905</wp:posOffset>
            </wp:positionV>
            <wp:extent cx="2973705" cy="2137410"/>
            <wp:effectExtent l="19050" t="0" r="0" b="0"/>
            <wp:wrapNone/>
            <wp:docPr id="2"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河南联达"/>
                    <pic:cNvPicPr>
                      <a:picLocks noChangeAspect="1" noChangeArrowheads="1"/>
                    </pic:cNvPicPr>
                  </pic:nvPicPr>
                  <pic:blipFill>
                    <a:blip r:embed="rId13" cstate="print"/>
                    <a:stretch>
                      <a:fillRect/>
                    </a:stretch>
                  </pic:blipFill>
                  <pic:spPr>
                    <a:xfrm>
                      <a:off x="0" y="0"/>
                      <a:ext cx="2977369" cy="2138289"/>
                    </a:xfrm>
                    <a:prstGeom prst="rect">
                      <a:avLst/>
                    </a:prstGeom>
                    <a:noFill/>
                    <a:ln w="9525">
                      <a:noFill/>
                      <a:miter lim="800000"/>
                      <a:headEnd/>
                      <a:tailEnd/>
                    </a:ln>
                  </pic:spPr>
                </pic:pic>
              </a:graphicData>
            </a:graphic>
          </wp:anchor>
        </w:drawing>
      </w:r>
    </w:p>
    <w:p w14:paraId="08C9296B">
      <w:pPr>
        <w:tabs>
          <w:tab w:val="left" w:pos="2835"/>
        </w:tabs>
        <w:spacing w:line="360" w:lineRule="auto"/>
        <w:jc w:val="center"/>
        <w:rPr>
          <w:rFonts w:hint="eastAsia" w:ascii="宋体" w:hAnsi="宋体" w:eastAsia="宋体" w:cs="宋体"/>
          <w:color w:val="auto"/>
          <w:sz w:val="28"/>
          <w:highlight w:val="none"/>
        </w:rPr>
      </w:pPr>
    </w:p>
    <w:p w14:paraId="7927621C">
      <w:pPr>
        <w:tabs>
          <w:tab w:val="left" w:pos="2835"/>
        </w:tabs>
        <w:spacing w:line="360" w:lineRule="auto"/>
        <w:jc w:val="center"/>
        <w:rPr>
          <w:rFonts w:hint="eastAsia" w:ascii="宋体" w:hAnsi="宋体" w:eastAsia="宋体" w:cs="宋体"/>
          <w:color w:val="auto"/>
          <w:sz w:val="28"/>
          <w:highlight w:val="none"/>
        </w:rPr>
      </w:pPr>
    </w:p>
    <w:p w14:paraId="27C4DB70">
      <w:pPr>
        <w:spacing w:line="360" w:lineRule="auto"/>
        <w:ind w:firstLine="1120" w:firstLineChars="350"/>
        <w:rPr>
          <w:rFonts w:hint="eastAsia" w:ascii="宋体" w:hAnsi="宋体" w:eastAsia="宋体" w:cs="宋体"/>
          <w:color w:val="auto"/>
          <w:sz w:val="32"/>
          <w:szCs w:val="36"/>
          <w:highlight w:val="none"/>
        </w:rPr>
      </w:pPr>
    </w:p>
    <w:p w14:paraId="64ACE385">
      <w:pPr>
        <w:spacing w:line="360" w:lineRule="auto"/>
        <w:ind w:firstLine="1120" w:firstLineChars="350"/>
        <w:rPr>
          <w:rFonts w:hint="eastAsia" w:ascii="宋体" w:hAnsi="宋体" w:eastAsia="宋体" w:cs="宋体"/>
          <w:color w:val="auto"/>
          <w:sz w:val="32"/>
          <w:szCs w:val="36"/>
          <w:highlight w:val="none"/>
        </w:rPr>
      </w:pPr>
    </w:p>
    <w:p w14:paraId="0E35A47F">
      <w:pPr>
        <w:spacing w:line="360" w:lineRule="auto"/>
        <w:ind w:firstLine="1120" w:firstLineChars="350"/>
        <w:rPr>
          <w:rFonts w:hint="eastAsia" w:ascii="宋体" w:hAnsi="宋体" w:eastAsia="宋体" w:cs="宋体"/>
          <w:color w:val="auto"/>
          <w:sz w:val="32"/>
          <w:szCs w:val="36"/>
          <w:highlight w:val="none"/>
        </w:rPr>
      </w:pPr>
    </w:p>
    <w:p w14:paraId="5AE49E78">
      <w:pPr>
        <w:pStyle w:val="2"/>
        <w:rPr>
          <w:rFonts w:hint="eastAsia" w:ascii="宋体" w:hAnsi="宋体" w:eastAsia="宋体" w:cs="宋体"/>
          <w:b/>
          <w:color w:val="auto"/>
          <w:sz w:val="32"/>
          <w:szCs w:val="36"/>
          <w:highlight w:val="none"/>
        </w:rPr>
      </w:pPr>
    </w:p>
    <w:p w14:paraId="64C5CA37">
      <w:pPr>
        <w:tabs>
          <w:tab w:val="left" w:pos="1122"/>
        </w:tabs>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14:paraId="023FD169">
      <w:pPr>
        <w:spacing w:line="360" w:lineRule="auto"/>
        <w:ind w:firstLine="1124" w:firstLineChars="350"/>
        <w:rPr>
          <w:rFonts w:hint="eastAsia" w:ascii="宋体" w:hAnsi="宋体" w:eastAsia="宋体" w:cs="宋体"/>
          <w:b/>
          <w:color w:val="auto"/>
          <w:sz w:val="32"/>
          <w:szCs w:val="36"/>
          <w:highlight w:val="none"/>
        </w:rPr>
      </w:pPr>
    </w:p>
    <w:p w14:paraId="7FDE4346">
      <w:pPr>
        <w:spacing w:line="360" w:lineRule="auto"/>
        <w:ind w:firstLine="1168" w:firstLineChars="300"/>
        <w:rPr>
          <w:rFonts w:hint="eastAsia" w:ascii="宋体" w:hAnsi="宋体" w:eastAsia="宋体" w:cs="宋体"/>
          <w:b/>
          <w:color w:val="auto"/>
          <w:spacing w:val="14"/>
          <w:sz w:val="36"/>
          <w:szCs w:val="36"/>
          <w:highlight w:val="none"/>
        </w:rPr>
      </w:pPr>
      <w:r>
        <w:rPr>
          <w:rFonts w:hint="eastAsia" w:ascii="宋体" w:hAnsi="宋体" w:eastAsia="宋体" w:cs="宋体"/>
          <w:b/>
          <w:color w:val="auto"/>
          <w:spacing w:val="14"/>
          <w:sz w:val="36"/>
          <w:szCs w:val="36"/>
          <w:highlight w:val="none"/>
          <w:lang w:eastAsia="zh-CN"/>
        </w:rPr>
        <w:t>采</w:t>
      </w:r>
      <w:r>
        <w:rPr>
          <w:rFonts w:hint="eastAsia" w:ascii="宋体" w:hAnsi="宋体" w:eastAsia="宋体" w:cs="宋体"/>
          <w:b/>
          <w:color w:val="auto"/>
          <w:spacing w:val="14"/>
          <w:sz w:val="36"/>
          <w:szCs w:val="36"/>
          <w:highlight w:val="none"/>
          <w:lang w:val="en-US" w:eastAsia="zh-CN"/>
        </w:rPr>
        <w:t xml:space="preserve"> </w:t>
      </w:r>
      <w:r>
        <w:rPr>
          <w:rFonts w:hint="eastAsia" w:ascii="宋体" w:hAnsi="宋体" w:eastAsia="宋体" w:cs="宋体"/>
          <w:b/>
          <w:color w:val="auto"/>
          <w:spacing w:val="14"/>
          <w:sz w:val="36"/>
          <w:szCs w:val="36"/>
          <w:highlight w:val="none"/>
          <w:lang w:eastAsia="zh-CN"/>
        </w:rPr>
        <w:t>购</w:t>
      </w:r>
      <w:r>
        <w:rPr>
          <w:rFonts w:hint="eastAsia" w:ascii="宋体" w:hAnsi="宋体" w:eastAsia="宋体" w:cs="宋体"/>
          <w:b/>
          <w:color w:val="auto"/>
          <w:spacing w:val="14"/>
          <w:sz w:val="36"/>
          <w:szCs w:val="36"/>
          <w:highlight w:val="none"/>
        </w:rPr>
        <w:t xml:space="preserve"> 人：</w:t>
      </w:r>
      <w:r>
        <w:rPr>
          <w:rFonts w:hint="eastAsia" w:ascii="宋体" w:hAnsi="宋体" w:eastAsia="宋体" w:cs="宋体"/>
          <w:b/>
          <w:color w:val="auto"/>
          <w:spacing w:val="14"/>
          <w:kern w:val="0"/>
          <w:sz w:val="36"/>
          <w:szCs w:val="36"/>
          <w:highlight w:val="none"/>
          <w:lang w:val="en-US" w:eastAsia="zh-CN" w:bidi="ar-SA"/>
        </w:rPr>
        <w:t>睢县妇幼保健院</w:t>
      </w:r>
    </w:p>
    <w:p w14:paraId="1714229B">
      <w:pPr>
        <w:spacing w:line="360" w:lineRule="auto"/>
        <w:ind w:firstLine="1168" w:firstLineChars="300"/>
        <w:rPr>
          <w:rFonts w:hint="eastAsia" w:ascii="宋体" w:hAnsi="宋体" w:eastAsia="宋体" w:cs="宋体"/>
          <w:color w:val="auto"/>
          <w:spacing w:val="14"/>
          <w:kern w:val="0"/>
          <w:sz w:val="36"/>
          <w:szCs w:val="36"/>
          <w:highlight w:val="none"/>
        </w:rPr>
      </w:pPr>
      <w:r>
        <w:rPr>
          <w:rFonts w:hint="eastAsia" w:ascii="宋体" w:hAnsi="宋体" w:eastAsia="宋体" w:cs="宋体"/>
          <w:b/>
          <w:color w:val="auto"/>
          <w:spacing w:val="14"/>
          <w:sz w:val="36"/>
          <w:szCs w:val="36"/>
          <w:highlight w:val="none"/>
        </w:rPr>
        <w:t>代理</w:t>
      </w:r>
      <w:r>
        <w:rPr>
          <w:rFonts w:hint="eastAsia" w:ascii="宋体" w:hAnsi="宋体" w:eastAsia="宋体" w:cs="宋体"/>
          <w:b/>
          <w:color w:val="auto"/>
          <w:spacing w:val="14"/>
          <w:sz w:val="36"/>
          <w:szCs w:val="36"/>
          <w:highlight w:val="none"/>
          <w:lang w:eastAsia="zh-CN"/>
        </w:rPr>
        <w:t>机构</w:t>
      </w:r>
      <w:r>
        <w:rPr>
          <w:rFonts w:hint="eastAsia" w:ascii="宋体" w:hAnsi="宋体" w:eastAsia="宋体" w:cs="宋体"/>
          <w:b/>
          <w:color w:val="auto"/>
          <w:spacing w:val="14"/>
          <w:sz w:val="36"/>
          <w:szCs w:val="36"/>
          <w:highlight w:val="none"/>
        </w:rPr>
        <w:t>：河南联达工程管理有限公司</w:t>
      </w:r>
    </w:p>
    <w:p w14:paraId="352962B3">
      <w:pPr>
        <w:spacing w:line="360" w:lineRule="auto"/>
        <w:ind w:firstLine="1168" w:firstLineChars="300"/>
        <w:rPr>
          <w:rFonts w:hint="eastAsia" w:ascii="宋体" w:hAnsi="宋体" w:eastAsia="宋体" w:cs="宋体"/>
          <w:b/>
          <w:bCs/>
          <w:color w:val="auto"/>
          <w:sz w:val="36"/>
          <w:szCs w:val="36"/>
          <w:highlight w:val="none"/>
        </w:rPr>
      </w:pPr>
      <w:r>
        <w:rPr>
          <w:rFonts w:hint="eastAsia" w:ascii="宋体" w:hAnsi="宋体" w:eastAsia="宋体" w:cs="宋体"/>
          <w:b/>
          <w:color w:val="auto"/>
          <w:spacing w:val="14"/>
          <w:sz w:val="36"/>
          <w:szCs w:val="36"/>
          <w:highlight w:val="none"/>
        </w:rPr>
        <w:t>时   间：</w:t>
      </w:r>
      <w:r>
        <w:rPr>
          <w:rFonts w:hint="eastAsia" w:ascii="宋体" w:hAnsi="宋体" w:eastAsia="宋体" w:cs="宋体"/>
          <w:b/>
          <w:color w:val="auto"/>
          <w:spacing w:val="14"/>
          <w:sz w:val="36"/>
          <w:szCs w:val="36"/>
          <w:highlight w:val="none"/>
          <w:lang w:eastAsia="zh-CN"/>
        </w:rPr>
        <w:t>二〇二</w:t>
      </w:r>
      <w:r>
        <w:rPr>
          <w:rFonts w:hint="eastAsia" w:ascii="宋体" w:hAnsi="宋体" w:cs="宋体"/>
          <w:b/>
          <w:color w:val="auto"/>
          <w:spacing w:val="14"/>
          <w:sz w:val="36"/>
          <w:szCs w:val="36"/>
          <w:highlight w:val="none"/>
          <w:lang w:val="en-US" w:eastAsia="zh-CN"/>
        </w:rPr>
        <w:t>五</w:t>
      </w:r>
      <w:r>
        <w:rPr>
          <w:rFonts w:hint="eastAsia" w:ascii="宋体" w:hAnsi="宋体" w:eastAsia="宋体" w:cs="宋体"/>
          <w:b/>
          <w:color w:val="auto"/>
          <w:spacing w:val="14"/>
          <w:sz w:val="36"/>
          <w:szCs w:val="36"/>
          <w:highlight w:val="none"/>
          <w:lang w:eastAsia="zh-CN"/>
        </w:rPr>
        <w:t>年</w:t>
      </w:r>
      <w:r>
        <w:rPr>
          <w:rFonts w:hint="eastAsia" w:ascii="宋体" w:hAnsi="宋体" w:cs="宋体"/>
          <w:b/>
          <w:color w:val="auto"/>
          <w:spacing w:val="14"/>
          <w:sz w:val="36"/>
          <w:szCs w:val="36"/>
          <w:highlight w:val="none"/>
          <w:lang w:val="en-US" w:eastAsia="zh-CN"/>
        </w:rPr>
        <w:t>二</w:t>
      </w:r>
      <w:r>
        <w:rPr>
          <w:rFonts w:hint="eastAsia" w:ascii="宋体" w:hAnsi="宋体" w:eastAsia="宋体" w:cs="宋体"/>
          <w:b/>
          <w:color w:val="auto"/>
          <w:spacing w:val="14"/>
          <w:sz w:val="36"/>
          <w:szCs w:val="36"/>
          <w:highlight w:val="none"/>
          <w:lang w:eastAsia="zh-CN"/>
        </w:rPr>
        <w:t>月</w:t>
      </w:r>
      <w:r>
        <w:rPr>
          <w:rFonts w:hint="eastAsia" w:ascii="宋体" w:hAnsi="宋体" w:eastAsia="宋体" w:cs="宋体"/>
          <w:b/>
          <w:color w:val="auto"/>
          <w:spacing w:val="14"/>
          <w:sz w:val="36"/>
          <w:szCs w:val="36"/>
          <w:highlight w:val="none"/>
        </w:rPr>
        <w:t xml:space="preserve"> </w:t>
      </w:r>
    </w:p>
    <w:p w14:paraId="69CC0126">
      <w:pPr>
        <w:rPr>
          <w:rFonts w:hint="eastAsia" w:ascii="宋体" w:hAnsi="宋体" w:eastAsia="宋体" w:cs="宋体"/>
          <w:color w:val="auto"/>
          <w:highlight w:val="none"/>
        </w:rPr>
      </w:pPr>
    </w:p>
    <w:p w14:paraId="2AFDD431">
      <w:pPr>
        <w:pStyle w:val="2"/>
        <w:rPr>
          <w:rFonts w:hint="eastAsia" w:ascii="宋体" w:hAnsi="宋体" w:eastAsia="宋体" w:cs="宋体"/>
          <w:color w:val="auto"/>
          <w:highlight w:val="none"/>
        </w:rPr>
      </w:pPr>
    </w:p>
    <w:p w14:paraId="1AD2E998">
      <w:pPr>
        <w:jc w:val="center"/>
        <w:rPr>
          <w:rFonts w:hint="eastAsia" w:ascii="宋体" w:hAnsi="宋体" w:eastAsia="宋体" w:cs="宋体"/>
          <w:b/>
          <w:color w:val="auto"/>
          <w:sz w:val="36"/>
          <w:szCs w:val="36"/>
          <w:highlight w:val="none"/>
        </w:rPr>
        <w:sectPr>
          <w:footerReference r:id="rId5" w:type="first"/>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011A2E3F">
      <w:pPr>
        <w:pStyle w:val="2"/>
        <w:rPr>
          <w:rFonts w:hint="eastAsia" w:ascii="宋体" w:hAnsi="宋体" w:eastAsia="宋体" w:cs="宋体"/>
          <w:color w:val="auto"/>
          <w:highlight w:val="none"/>
        </w:rPr>
      </w:pPr>
    </w:p>
    <w:p w14:paraId="4ADEB4BB">
      <w:pPr>
        <w:tabs>
          <w:tab w:val="left" w:pos="3528"/>
          <w:tab w:val="center" w:pos="4453"/>
        </w:tabs>
        <w:jc w:val="left"/>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ab/>
      </w:r>
    </w:p>
    <w:p w14:paraId="4989D54A">
      <w:pPr>
        <w:tabs>
          <w:tab w:val="left" w:pos="3528"/>
          <w:tab w:val="center" w:pos="4453"/>
        </w:tabs>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ab/>
      </w:r>
      <w:r>
        <w:rPr>
          <w:rFonts w:hint="eastAsia" w:ascii="宋体" w:hAnsi="宋体" w:eastAsia="宋体" w:cs="宋体"/>
          <w:b/>
          <w:color w:val="auto"/>
          <w:sz w:val="36"/>
          <w:szCs w:val="36"/>
          <w:highlight w:val="none"/>
        </w:rPr>
        <w:t xml:space="preserve"> 目  </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5E36FC41">
      <w:pPr>
        <w:pStyle w:val="27"/>
        <w:rPr>
          <w:rFonts w:hint="eastAsia" w:ascii="宋体" w:hAnsi="宋体" w:eastAsia="宋体" w:cs="宋体"/>
          <w:color w:val="auto"/>
          <w:highlight w:val="none"/>
        </w:rPr>
      </w:pPr>
    </w:p>
    <w:p w14:paraId="1C03F581">
      <w:pPr>
        <w:pStyle w:val="19"/>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36"/>
        </w:rPr>
      </w:pPr>
      <w:bookmarkStart w:id="0" w:name="_Toc277235214"/>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\z</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_Toc12729 </w:instrText>
      </w:r>
      <w:r>
        <w:rPr>
          <w:rFonts w:hint="eastAsia" w:ascii="宋体" w:hAnsi="宋体" w:eastAsia="宋体" w:cs="宋体"/>
          <w:sz w:val="28"/>
          <w:szCs w:val="40"/>
          <w:highlight w:val="none"/>
        </w:rPr>
        <w:fldChar w:fldCharType="separate"/>
      </w:r>
      <w:r>
        <w:rPr>
          <w:rFonts w:hint="eastAsia" w:ascii="宋体" w:hAnsi="宋体" w:eastAsia="宋体" w:cs="宋体"/>
          <w:bCs/>
          <w:sz w:val="28"/>
          <w:szCs w:val="48"/>
          <w:highlight w:val="none"/>
        </w:rPr>
        <w:t>第一章  竞争性磋商公告</w:t>
      </w:r>
      <w:r>
        <w:rPr>
          <w:sz w:val="28"/>
          <w:szCs w:val="36"/>
        </w:rPr>
        <w:tab/>
      </w:r>
      <w:r>
        <w:rPr>
          <w:sz w:val="28"/>
          <w:szCs w:val="36"/>
        </w:rPr>
        <w:fldChar w:fldCharType="begin"/>
      </w:r>
      <w:r>
        <w:rPr>
          <w:sz w:val="28"/>
          <w:szCs w:val="36"/>
        </w:rPr>
        <w:instrText xml:space="preserve"> PAGEREF _Toc12729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3796F8F9">
      <w:pPr>
        <w:pStyle w:val="19"/>
        <w:tabs>
          <w:tab w:val="right" w:leader="dot" w:pos="8787"/>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_Toc244 </w:instrText>
      </w:r>
      <w:r>
        <w:rPr>
          <w:rFonts w:hint="eastAsia" w:ascii="宋体" w:hAnsi="宋体" w:eastAsia="宋体" w:cs="宋体"/>
          <w:sz w:val="28"/>
          <w:szCs w:val="40"/>
          <w:highlight w:val="none"/>
        </w:rPr>
        <w:fldChar w:fldCharType="separate"/>
      </w:r>
      <w:r>
        <w:rPr>
          <w:rFonts w:hint="eastAsia" w:ascii="宋体" w:hAnsi="宋体" w:eastAsia="宋体" w:cs="宋体"/>
          <w:bCs/>
          <w:sz w:val="28"/>
          <w:szCs w:val="48"/>
          <w:highlight w:val="none"/>
        </w:rPr>
        <w:t xml:space="preserve">第二章 </w:t>
      </w:r>
      <w:r>
        <w:rPr>
          <w:rFonts w:hint="eastAsia" w:ascii="宋体" w:hAnsi="宋体" w:eastAsia="宋体" w:cs="宋体"/>
          <w:bCs/>
          <w:sz w:val="28"/>
          <w:szCs w:val="48"/>
          <w:highlight w:val="none"/>
          <w:lang w:val="en-US" w:eastAsia="zh-CN"/>
        </w:rPr>
        <w:t xml:space="preserve"> </w:t>
      </w:r>
      <w:r>
        <w:rPr>
          <w:rFonts w:hint="eastAsia" w:ascii="宋体" w:hAnsi="宋体" w:eastAsia="宋体" w:cs="宋体"/>
          <w:bCs/>
          <w:sz w:val="28"/>
          <w:szCs w:val="48"/>
          <w:highlight w:val="none"/>
          <w:lang w:eastAsia="zh-CN"/>
        </w:rPr>
        <w:t>供应商</w:t>
      </w:r>
      <w:r>
        <w:rPr>
          <w:rFonts w:hint="eastAsia" w:ascii="宋体" w:hAnsi="宋体" w:eastAsia="宋体" w:cs="宋体"/>
          <w:bCs/>
          <w:sz w:val="28"/>
          <w:szCs w:val="48"/>
          <w:highlight w:val="none"/>
        </w:rPr>
        <w:t>须知</w:t>
      </w:r>
      <w:r>
        <w:rPr>
          <w:sz w:val="28"/>
          <w:szCs w:val="36"/>
        </w:rPr>
        <w:tab/>
      </w:r>
      <w:r>
        <w:rPr>
          <w:sz w:val="28"/>
          <w:szCs w:val="36"/>
        </w:rPr>
        <w:fldChar w:fldCharType="begin"/>
      </w:r>
      <w:r>
        <w:rPr>
          <w:sz w:val="28"/>
          <w:szCs w:val="36"/>
        </w:rPr>
        <w:instrText xml:space="preserve"> PAGEREF _Toc244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1C2ED976">
      <w:pPr>
        <w:pStyle w:val="19"/>
        <w:tabs>
          <w:tab w:val="right" w:leader="dot" w:pos="8787"/>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_Toc5473 </w:instrText>
      </w:r>
      <w:r>
        <w:rPr>
          <w:rFonts w:hint="eastAsia" w:ascii="宋体" w:hAnsi="宋体" w:eastAsia="宋体" w:cs="宋体"/>
          <w:sz w:val="28"/>
          <w:szCs w:val="40"/>
          <w:highlight w:val="none"/>
        </w:rPr>
        <w:fldChar w:fldCharType="separate"/>
      </w:r>
      <w:r>
        <w:rPr>
          <w:rFonts w:hint="eastAsia" w:ascii="宋体" w:hAnsi="宋体" w:eastAsia="宋体" w:cs="宋体"/>
          <w:bCs/>
          <w:sz w:val="28"/>
          <w:szCs w:val="48"/>
          <w:highlight w:val="none"/>
        </w:rPr>
        <w:t>第三章  评标办法</w:t>
      </w:r>
      <w:r>
        <w:rPr>
          <w:sz w:val="28"/>
          <w:szCs w:val="36"/>
        </w:rPr>
        <w:tab/>
      </w:r>
      <w:r>
        <w:rPr>
          <w:sz w:val="28"/>
          <w:szCs w:val="36"/>
        </w:rPr>
        <w:fldChar w:fldCharType="begin"/>
      </w:r>
      <w:r>
        <w:rPr>
          <w:sz w:val="28"/>
          <w:szCs w:val="36"/>
        </w:rPr>
        <w:instrText xml:space="preserve"> PAGEREF _Toc5473 \h </w:instrText>
      </w:r>
      <w:r>
        <w:rPr>
          <w:sz w:val="28"/>
          <w:szCs w:val="36"/>
        </w:rPr>
        <w:fldChar w:fldCharType="separate"/>
      </w:r>
      <w:r>
        <w:rPr>
          <w:sz w:val="28"/>
          <w:szCs w:val="36"/>
        </w:rPr>
        <w:t>19</w:t>
      </w:r>
      <w:r>
        <w:rPr>
          <w:sz w:val="28"/>
          <w:szCs w:val="36"/>
        </w:rPr>
        <w:fldChar w:fldCharType="end"/>
      </w:r>
      <w:r>
        <w:rPr>
          <w:rFonts w:hint="eastAsia" w:ascii="宋体" w:hAnsi="宋体" w:eastAsia="宋体" w:cs="宋体"/>
          <w:color w:val="auto"/>
          <w:sz w:val="28"/>
          <w:szCs w:val="40"/>
          <w:highlight w:val="none"/>
        </w:rPr>
        <w:fldChar w:fldCharType="end"/>
      </w:r>
    </w:p>
    <w:p w14:paraId="30E44C22">
      <w:pPr>
        <w:pStyle w:val="19"/>
        <w:tabs>
          <w:tab w:val="right" w:leader="dot" w:pos="8787"/>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_Toc3503 </w:instrText>
      </w:r>
      <w:r>
        <w:rPr>
          <w:rFonts w:hint="eastAsia" w:ascii="宋体" w:hAnsi="宋体" w:eastAsia="宋体" w:cs="宋体"/>
          <w:sz w:val="28"/>
          <w:szCs w:val="40"/>
          <w:highlight w:val="none"/>
        </w:rPr>
        <w:fldChar w:fldCharType="separate"/>
      </w:r>
      <w:r>
        <w:rPr>
          <w:rFonts w:hint="eastAsia" w:ascii="宋体" w:hAnsi="宋体" w:eastAsia="宋体" w:cs="宋体"/>
          <w:bCs/>
          <w:sz w:val="28"/>
          <w:szCs w:val="48"/>
          <w:highlight w:val="none"/>
          <w:lang w:val="en-US" w:eastAsia="zh-CN"/>
        </w:rPr>
        <w:t>第四章  合同条款及格式</w:t>
      </w:r>
      <w:r>
        <w:rPr>
          <w:sz w:val="28"/>
          <w:szCs w:val="36"/>
        </w:rPr>
        <w:tab/>
      </w:r>
      <w:r>
        <w:rPr>
          <w:sz w:val="28"/>
          <w:szCs w:val="36"/>
        </w:rPr>
        <w:fldChar w:fldCharType="begin"/>
      </w:r>
      <w:r>
        <w:rPr>
          <w:sz w:val="28"/>
          <w:szCs w:val="36"/>
        </w:rPr>
        <w:instrText xml:space="preserve"> PAGEREF _Toc3503 \h </w:instrText>
      </w:r>
      <w:r>
        <w:rPr>
          <w:sz w:val="28"/>
          <w:szCs w:val="36"/>
        </w:rPr>
        <w:fldChar w:fldCharType="separate"/>
      </w:r>
      <w:r>
        <w:rPr>
          <w:sz w:val="28"/>
          <w:szCs w:val="36"/>
        </w:rPr>
        <w:t>25</w:t>
      </w:r>
      <w:r>
        <w:rPr>
          <w:sz w:val="28"/>
          <w:szCs w:val="36"/>
        </w:rPr>
        <w:fldChar w:fldCharType="end"/>
      </w:r>
      <w:r>
        <w:rPr>
          <w:rFonts w:hint="eastAsia" w:ascii="宋体" w:hAnsi="宋体" w:eastAsia="宋体" w:cs="宋体"/>
          <w:color w:val="auto"/>
          <w:sz w:val="28"/>
          <w:szCs w:val="40"/>
          <w:highlight w:val="none"/>
        </w:rPr>
        <w:fldChar w:fldCharType="end"/>
      </w:r>
    </w:p>
    <w:p w14:paraId="3743FEDB">
      <w:pPr>
        <w:pStyle w:val="19"/>
        <w:tabs>
          <w:tab w:val="right" w:leader="dot" w:pos="8787"/>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_Toc4148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8"/>
          <w:highlight w:val="none"/>
          <w:lang w:val="en-US" w:eastAsia="zh-CN"/>
        </w:rPr>
        <w:t>第五章  采购需求</w:t>
      </w:r>
      <w:r>
        <w:rPr>
          <w:sz w:val="28"/>
          <w:szCs w:val="36"/>
        </w:rPr>
        <w:tab/>
      </w:r>
      <w:r>
        <w:rPr>
          <w:sz w:val="28"/>
          <w:szCs w:val="36"/>
        </w:rPr>
        <w:fldChar w:fldCharType="begin"/>
      </w:r>
      <w:r>
        <w:rPr>
          <w:sz w:val="28"/>
          <w:szCs w:val="36"/>
        </w:rPr>
        <w:instrText xml:space="preserve"> PAGEREF _Toc4148 \h </w:instrText>
      </w:r>
      <w:r>
        <w:rPr>
          <w:sz w:val="28"/>
          <w:szCs w:val="36"/>
        </w:rPr>
        <w:fldChar w:fldCharType="separate"/>
      </w:r>
      <w:r>
        <w:rPr>
          <w:sz w:val="28"/>
          <w:szCs w:val="36"/>
        </w:rPr>
        <w:t>32</w:t>
      </w:r>
      <w:r>
        <w:rPr>
          <w:sz w:val="28"/>
          <w:szCs w:val="36"/>
        </w:rPr>
        <w:fldChar w:fldCharType="end"/>
      </w:r>
      <w:r>
        <w:rPr>
          <w:rFonts w:hint="eastAsia" w:ascii="宋体" w:hAnsi="宋体" w:eastAsia="宋体" w:cs="宋体"/>
          <w:color w:val="auto"/>
          <w:sz w:val="28"/>
          <w:szCs w:val="40"/>
          <w:highlight w:val="none"/>
        </w:rPr>
        <w:fldChar w:fldCharType="end"/>
      </w:r>
    </w:p>
    <w:p w14:paraId="12A7ADD5">
      <w:pPr>
        <w:pStyle w:val="19"/>
        <w:tabs>
          <w:tab w:val="right" w:leader="dot" w:pos="8787"/>
        </w:tabs>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_Toc25030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8"/>
          <w:highlight w:val="none"/>
          <w:lang w:val="en-US" w:eastAsia="zh-CN"/>
        </w:rPr>
        <w:t>第六章  响应文件格式</w:t>
      </w:r>
      <w:r>
        <w:rPr>
          <w:sz w:val="28"/>
          <w:szCs w:val="36"/>
        </w:rPr>
        <w:tab/>
      </w:r>
      <w:r>
        <w:rPr>
          <w:sz w:val="28"/>
          <w:szCs w:val="36"/>
        </w:rPr>
        <w:fldChar w:fldCharType="begin"/>
      </w:r>
      <w:r>
        <w:rPr>
          <w:sz w:val="28"/>
          <w:szCs w:val="36"/>
        </w:rPr>
        <w:instrText xml:space="preserve"> PAGEREF _Toc25030 \h </w:instrText>
      </w:r>
      <w:r>
        <w:rPr>
          <w:sz w:val="28"/>
          <w:szCs w:val="36"/>
        </w:rPr>
        <w:fldChar w:fldCharType="separate"/>
      </w:r>
      <w:r>
        <w:rPr>
          <w:sz w:val="28"/>
          <w:szCs w:val="36"/>
        </w:rPr>
        <w:t>35</w:t>
      </w:r>
      <w:r>
        <w:rPr>
          <w:sz w:val="28"/>
          <w:szCs w:val="36"/>
        </w:rPr>
        <w:fldChar w:fldCharType="end"/>
      </w:r>
      <w:r>
        <w:rPr>
          <w:rFonts w:hint="eastAsia" w:ascii="宋体" w:hAnsi="宋体" w:eastAsia="宋体" w:cs="宋体"/>
          <w:color w:val="auto"/>
          <w:sz w:val="28"/>
          <w:szCs w:val="40"/>
          <w:highlight w:val="none"/>
        </w:rPr>
        <w:fldChar w:fldCharType="end"/>
      </w:r>
    </w:p>
    <w:p w14:paraId="7A4C1374">
      <w:pPr>
        <w:autoSpaceDE w:val="0"/>
        <w:autoSpaceDN w:val="0"/>
        <w:adjustRightIn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p w14:paraId="42D91D25">
      <w:pPr>
        <w:autoSpaceDE w:val="0"/>
        <w:autoSpaceDN w:val="0"/>
        <w:adjustRightInd w:val="0"/>
        <w:spacing w:line="360" w:lineRule="auto"/>
        <w:rPr>
          <w:rFonts w:hint="eastAsia" w:ascii="宋体" w:hAnsi="宋体" w:eastAsia="宋体" w:cs="宋体"/>
          <w:color w:val="auto"/>
          <w:sz w:val="24"/>
          <w:highlight w:val="none"/>
        </w:rPr>
      </w:pPr>
    </w:p>
    <w:p w14:paraId="00D31308">
      <w:pPr>
        <w:autoSpaceDE w:val="0"/>
        <w:autoSpaceDN w:val="0"/>
        <w:adjustRightInd w:val="0"/>
        <w:spacing w:line="360" w:lineRule="auto"/>
        <w:rPr>
          <w:rFonts w:hint="eastAsia" w:ascii="宋体" w:hAnsi="宋体" w:eastAsia="宋体" w:cs="宋体"/>
          <w:color w:val="auto"/>
          <w:sz w:val="24"/>
          <w:highlight w:val="none"/>
        </w:rPr>
      </w:pPr>
    </w:p>
    <w:p w14:paraId="6018FA0C">
      <w:pPr>
        <w:tabs>
          <w:tab w:val="left" w:pos="1658"/>
        </w:tabs>
        <w:autoSpaceDE w:val="0"/>
        <w:autoSpaceDN w:val="0"/>
        <w:adjustRightIn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b/>
      </w:r>
    </w:p>
    <w:p w14:paraId="2F079B80">
      <w:pPr>
        <w:autoSpaceDE w:val="0"/>
        <w:autoSpaceDN w:val="0"/>
        <w:adjustRightInd w:val="0"/>
        <w:spacing w:line="360" w:lineRule="auto"/>
        <w:rPr>
          <w:rFonts w:hint="eastAsia" w:ascii="宋体" w:hAnsi="宋体" w:eastAsia="宋体" w:cs="宋体"/>
          <w:color w:val="auto"/>
          <w:sz w:val="24"/>
          <w:highlight w:val="none"/>
        </w:rPr>
      </w:pPr>
    </w:p>
    <w:p w14:paraId="73F2F0FF">
      <w:pPr>
        <w:autoSpaceDE w:val="0"/>
        <w:autoSpaceDN w:val="0"/>
        <w:adjustRightInd w:val="0"/>
        <w:spacing w:line="360" w:lineRule="auto"/>
        <w:rPr>
          <w:rFonts w:hint="eastAsia" w:ascii="宋体" w:hAnsi="宋体" w:eastAsia="宋体" w:cs="宋体"/>
          <w:color w:val="auto"/>
          <w:sz w:val="24"/>
          <w:highlight w:val="none"/>
        </w:rPr>
      </w:pPr>
    </w:p>
    <w:p w14:paraId="4A7ADE32">
      <w:pPr>
        <w:autoSpaceDE w:val="0"/>
        <w:autoSpaceDN w:val="0"/>
        <w:adjustRightInd w:val="0"/>
        <w:spacing w:line="360" w:lineRule="auto"/>
        <w:rPr>
          <w:rFonts w:hint="eastAsia" w:ascii="宋体" w:hAnsi="宋体" w:eastAsia="宋体" w:cs="宋体"/>
          <w:color w:val="auto"/>
          <w:sz w:val="24"/>
          <w:highlight w:val="none"/>
        </w:rPr>
      </w:pPr>
    </w:p>
    <w:p w14:paraId="7BE489D8">
      <w:pPr>
        <w:autoSpaceDE w:val="0"/>
        <w:autoSpaceDN w:val="0"/>
        <w:adjustRightInd w:val="0"/>
        <w:spacing w:line="360" w:lineRule="auto"/>
        <w:rPr>
          <w:rFonts w:hint="eastAsia" w:ascii="宋体" w:hAnsi="宋体" w:eastAsia="宋体" w:cs="宋体"/>
          <w:color w:val="auto"/>
          <w:sz w:val="24"/>
          <w:highlight w:val="none"/>
        </w:rPr>
      </w:pPr>
    </w:p>
    <w:p w14:paraId="5BFA4336">
      <w:pPr>
        <w:autoSpaceDE w:val="0"/>
        <w:autoSpaceDN w:val="0"/>
        <w:adjustRightInd w:val="0"/>
        <w:spacing w:line="360" w:lineRule="auto"/>
        <w:rPr>
          <w:rFonts w:hint="eastAsia" w:ascii="宋体" w:hAnsi="宋体" w:eastAsia="宋体" w:cs="宋体"/>
          <w:color w:val="auto"/>
          <w:sz w:val="24"/>
          <w:highlight w:val="none"/>
        </w:rPr>
      </w:pPr>
    </w:p>
    <w:p w14:paraId="6EE922E5">
      <w:pPr>
        <w:autoSpaceDE w:val="0"/>
        <w:autoSpaceDN w:val="0"/>
        <w:adjustRightInd w:val="0"/>
        <w:spacing w:line="360" w:lineRule="auto"/>
        <w:rPr>
          <w:rFonts w:hint="eastAsia" w:ascii="宋体" w:hAnsi="宋体" w:eastAsia="宋体" w:cs="宋体"/>
          <w:color w:val="auto"/>
          <w:sz w:val="24"/>
          <w:highlight w:val="none"/>
        </w:rPr>
      </w:pPr>
    </w:p>
    <w:p w14:paraId="75086316">
      <w:pPr>
        <w:autoSpaceDE w:val="0"/>
        <w:autoSpaceDN w:val="0"/>
        <w:adjustRightInd w:val="0"/>
        <w:spacing w:line="360" w:lineRule="auto"/>
        <w:rPr>
          <w:rFonts w:hint="eastAsia" w:ascii="宋体" w:hAnsi="宋体" w:eastAsia="宋体" w:cs="宋体"/>
          <w:color w:val="auto"/>
          <w:sz w:val="24"/>
          <w:highlight w:val="none"/>
        </w:rPr>
      </w:pPr>
    </w:p>
    <w:p w14:paraId="195FFF2C">
      <w:pPr>
        <w:autoSpaceDE w:val="0"/>
        <w:autoSpaceDN w:val="0"/>
        <w:adjustRightInd w:val="0"/>
        <w:spacing w:line="360" w:lineRule="auto"/>
        <w:rPr>
          <w:rFonts w:hint="eastAsia" w:ascii="宋体" w:hAnsi="宋体" w:eastAsia="宋体" w:cs="宋体"/>
          <w:color w:val="auto"/>
          <w:sz w:val="24"/>
          <w:highlight w:val="none"/>
        </w:rPr>
      </w:pPr>
    </w:p>
    <w:p w14:paraId="7A5E3F13">
      <w:pPr>
        <w:autoSpaceDE w:val="0"/>
        <w:autoSpaceDN w:val="0"/>
        <w:adjustRightInd w:val="0"/>
        <w:spacing w:line="360" w:lineRule="auto"/>
        <w:rPr>
          <w:rFonts w:hint="eastAsia" w:ascii="宋体" w:hAnsi="宋体" w:eastAsia="宋体" w:cs="宋体"/>
          <w:color w:val="auto"/>
          <w:sz w:val="24"/>
          <w:highlight w:val="none"/>
        </w:rPr>
      </w:pPr>
    </w:p>
    <w:p w14:paraId="7CD76214">
      <w:pPr>
        <w:autoSpaceDE w:val="0"/>
        <w:autoSpaceDN w:val="0"/>
        <w:adjustRightInd w:val="0"/>
        <w:spacing w:line="360" w:lineRule="auto"/>
        <w:rPr>
          <w:rFonts w:hint="eastAsia" w:ascii="宋体" w:hAnsi="宋体" w:eastAsia="宋体" w:cs="宋体"/>
          <w:color w:val="auto"/>
          <w:sz w:val="24"/>
          <w:highlight w:val="none"/>
        </w:rPr>
      </w:pPr>
    </w:p>
    <w:p w14:paraId="74ED0AAF">
      <w:pPr>
        <w:autoSpaceDE w:val="0"/>
        <w:autoSpaceDN w:val="0"/>
        <w:adjustRightInd w:val="0"/>
        <w:spacing w:line="360" w:lineRule="auto"/>
        <w:rPr>
          <w:rFonts w:hint="eastAsia" w:ascii="宋体" w:hAnsi="宋体" w:eastAsia="宋体" w:cs="宋体"/>
          <w:color w:val="auto"/>
          <w:sz w:val="24"/>
          <w:highlight w:val="none"/>
        </w:rPr>
      </w:pPr>
    </w:p>
    <w:p w14:paraId="2CA1DBB7">
      <w:pPr>
        <w:autoSpaceDE w:val="0"/>
        <w:autoSpaceDN w:val="0"/>
        <w:adjustRightInd w:val="0"/>
        <w:spacing w:line="360" w:lineRule="auto"/>
        <w:rPr>
          <w:rFonts w:hint="eastAsia" w:ascii="宋体" w:hAnsi="宋体" w:eastAsia="宋体" w:cs="宋体"/>
          <w:color w:val="auto"/>
          <w:sz w:val="24"/>
          <w:highlight w:val="none"/>
        </w:rPr>
      </w:pPr>
    </w:p>
    <w:p w14:paraId="765998A8">
      <w:pPr>
        <w:autoSpaceDE w:val="0"/>
        <w:autoSpaceDN w:val="0"/>
        <w:adjustRightInd w:val="0"/>
        <w:spacing w:line="360" w:lineRule="auto"/>
        <w:rPr>
          <w:rFonts w:hint="eastAsia" w:ascii="宋体" w:hAnsi="宋体" w:eastAsia="宋体" w:cs="宋体"/>
          <w:color w:val="auto"/>
          <w:sz w:val="24"/>
          <w:highlight w:val="none"/>
        </w:rPr>
      </w:pPr>
    </w:p>
    <w:p w14:paraId="02DC409B">
      <w:pPr>
        <w:pStyle w:val="6"/>
        <w:rPr>
          <w:rFonts w:hint="eastAsia" w:ascii="宋体" w:hAnsi="宋体" w:eastAsia="宋体" w:cs="宋体"/>
          <w:color w:val="auto"/>
          <w:highlight w:val="none"/>
        </w:rPr>
        <w:sectPr>
          <w:footerReference r:id="rId9" w:type="first"/>
          <w:headerReference r:id="rId6" w:type="default"/>
          <w:footerReference r:id="rId7" w:type="default"/>
          <w:footerReference r:id="rId8" w:type="even"/>
          <w:pgSz w:w="11906" w:h="16838"/>
          <w:pgMar w:top="1440" w:right="1531" w:bottom="1440"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0B4328E">
      <w:pPr>
        <w:rPr>
          <w:rFonts w:hint="eastAsia" w:ascii="宋体" w:hAnsi="宋体" w:eastAsia="宋体" w:cs="宋体"/>
          <w:color w:val="auto"/>
          <w:highlight w:val="none"/>
        </w:rPr>
      </w:pPr>
    </w:p>
    <w:p w14:paraId="02006BB8">
      <w:pPr>
        <w:pStyle w:val="4"/>
        <w:spacing w:line="440" w:lineRule="exact"/>
        <w:jc w:val="center"/>
        <w:rPr>
          <w:rFonts w:hint="eastAsia" w:ascii="宋体" w:hAnsi="宋体" w:eastAsia="宋体" w:cs="宋体"/>
          <w:bCs/>
          <w:color w:val="auto"/>
          <w:sz w:val="36"/>
          <w:szCs w:val="36"/>
          <w:highlight w:val="none"/>
        </w:rPr>
      </w:pPr>
      <w:bookmarkStart w:id="1" w:name="_Toc23662"/>
      <w:bookmarkStart w:id="2" w:name="_Toc12729"/>
      <w:r>
        <w:rPr>
          <w:rFonts w:hint="eastAsia" w:ascii="宋体" w:hAnsi="宋体" w:eastAsia="宋体" w:cs="宋体"/>
          <w:bCs/>
          <w:color w:val="auto"/>
          <w:sz w:val="36"/>
          <w:szCs w:val="36"/>
          <w:highlight w:val="none"/>
        </w:rPr>
        <w:t>第一章  竞争性磋商公告</w:t>
      </w:r>
      <w:bookmarkEnd w:id="1"/>
      <w:bookmarkEnd w:id="2"/>
    </w:p>
    <w:p w14:paraId="1461AF6F">
      <w:pPr>
        <w:rPr>
          <w:rFonts w:hint="eastAsia" w:ascii="宋体" w:hAnsi="宋体" w:eastAsia="宋体" w:cs="宋体"/>
          <w:color w:val="auto"/>
          <w:highlight w:val="none"/>
        </w:rPr>
      </w:pPr>
    </w:p>
    <w:p w14:paraId="13073753">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一、项目基本情况 </w:t>
      </w:r>
    </w:p>
    <w:p w14:paraId="4D32A87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编号：睢县财采磋-2025-5</w:t>
      </w:r>
    </w:p>
    <w:p w14:paraId="5BC8ADA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w:t>
      </w:r>
      <w:r>
        <w:rPr>
          <w:rFonts w:hint="eastAsia" w:ascii="宋体" w:hAnsi="宋体" w:eastAsia="宋体" w:cs="宋体"/>
          <w:color w:val="auto"/>
          <w:sz w:val="24"/>
          <w:szCs w:val="24"/>
          <w:highlight w:val="none"/>
          <w:lang w:val="en-US" w:eastAsia="zh-CN"/>
        </w:rPr>
        <w:t>称：</w:t>
      </w:r>
      <w:r>
        <w:rPr>
          <w:rFonts w:hint="eastAsia" w:ascii="宋体" w:hAnsi="宋体" w:cs="宋体"/>
          <w:color w:val="auto"/>
          <w:sz w:val="24"/>
          <w:szCs w:val="24"/>
          <w:highlight w:val="none"/>
          <w:lang w:val="en-US" w:eastAsia="zh-CN"/>
        </w:rPr>
        <w:t>睢县妇幼保健院便携式彩超采购项目</w:t>
      </w:r>
    </w:p>
    <w:p w14:paraId="6A10AF1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采购方式：竞争性磋商</w:t>
      </w:r>
    </w:p>
    <w:p w14:paraId="6B3745A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预算金额：</w:t>
      </w:r>
      <w:r>
        <w:rPr>
          <w:rFonts w:hint="eastAsia" w:ascii="宋体" w:hAnsi="宋体" w:cs="宋体"/>
          <w:i w:val="0"/>
          <w:iCs w:val="0"/>
          <w:color w:val="auto"/>
          <w:kern w:val="0"/>
          <w:sz w:val="24"/>
          <w:szCs w:val="24"/>
          <w:highlight w:val="none"/>
          <w:u w:val="none"/>
          <w:lang w:val="en-US" w:eastAsia="zh-CN" w:bidi="ar"/>
        </w:rPr>
        <w:t>298000.00</w:t>
      </w:r>
      <w:r>
        <w:rPr>
          <w:rFonts w:hint="eastAsia" w:ascii="宋体" w:hAnsi="宋体" w:eastAsia="宋体" w:cs="宋体"/>
          <w:color w:val="auto"/>
          <w:sz w:val="24"/>
          <w:szCs w:val="24"/>
          <w:highlight w:val="none"/>
          <w:lang w:eastAsia="zh-CN"/>
        </w:rPr>
        <w:t>元</w:t>
      </w:r>
    </w:p>
    <w:p w14:paraId="63AD13F5">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3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r>
        <w:rPr>
          <w:rFonts w:hint="eastAsia" w:ascii="宋体" w:hAnsi="宋体" w:cs="宋体"/>
          <w:i w:val="0"/>
          <w:iCs w:val="0"/>
          <w:color w:val="auto"/>
          <w:kern w:val="0"/>
          <w:sz w:val="24"/>
          <w:szCs w:val="24"/>
          <w:highlight w:val="none"/>
          <w:u w:val="none"/>
          <w:lang w:val="en-US" w:eastAsia="zh-CN" w:bidi="ar"/>
        </w:rPr>
        <w:t>298000.00</w:t>
      </w:r>
      <w:r>
        <w:rPr>
          <w:rFonts w:hint="eastAsia" w:ascii="宋体" w:hAnsi="宋体" w:eastAsia="宋体" w:cs="宋体"/>
          <w:color w:val="auto"/>
          <w:sz w:val="24"/>
          <w:szCs w:val="24"/>
          <w:highlight w:val="none"/>
          <w:lang w:eastAsia="zh-CN"/>
        </w:rPr>
        <w:t>元</w:t>
      </w:r>
    </w:p>
    <w:tbl>
      <w:tblPr>
        <w:tblStyle w:val="28"/>
        <w:tblpPr w:leftFromText="180" w:rightFromText="180" w:vertAnchor="text" w:horzAnchor="page" w:tblpX="1919" w:tblpY="120"/>
        <w:tblOverlap w:val="never"/>
        <w:tblW w:w="7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48"/>
        <w:gridCol w:w="744"/>
        <w:gridCol w:w="1703"/>
        <w:gridCol w:w="1530"/>
        <w:gridCol w:w="1365"/>
      </w:tblGrid>
      <w:tr w14:paraId="624B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20" w:type="dxa"/>
            <w:noWrap w:val="0"/>
            <w:vAlign w:val="center"/>
          </w:tcPr>
          <w:p w14:paraId="324835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648" w:type="dxa"/>
            <w:noWrap w:val="0"/>
            <w:vAlign w:val="center"/>
          </w:tcPr>
          <w:p w14:paraId="37CA645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包名称</w:t>
            </w:r>
          </w:p>
        </w:tc>
        <w:tc>
          <w:tcPr>
            <w:tcW w:w="744" w:type="dxa"/>
            <w:noWrap w:val="0"/>
            <w:vAlign w:val="center"/>
          </w:tcPr>
          <w:p w14:paraId="6D89F5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数量</w:t>
            </w:r>
          </w:p>
        </w:tc>
        <w:tc>
          <w:tcPr>
            <w:tcW w:w="1703" w:type="dxa"/>
            <w:noWrap w:val="0"/>
            <w:vAlign w:val="center"/>
          </w:tcPr>
          <w:p w14:paraId="506C65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包预算（元）</w:t>
            </w:r>
          </w:p>
        </w:tc>
        <w:tc>
          <w:tcPr>
            <w:tcW w:w="1530" w:type="dxa"/>
            <w:noWrap w:val="0"/>
            <w:vAlign w:val="center"/>
          </w:tcPr>
          <w:p w14:paraId="1F3FC6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包最高限价（元）</w:t>
            </w:r>
          </w:p>
        </w:tc>
        <w:tc>
          <w:tcPr>
            <w:tcW w:w="1365" w:type="dxa"/>
            <w:noWrap w:val="0"/>
            <w:vAlign w:val="center"/>
          </w:tcPr>
          <w:p w14:paraId="35436C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采购预留金额（元）</w:t>
            </w:r>
          </w:p>
        </w:tc>
      </w:tr>
      <w:tr w14:paraId="47A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20" w:type="dxa"/>
            <w:noWrap w:val="0"/>
            <w:vAlign w:val="center"/>
          </w:tcPr>
          <w:p w14:paraId="58CDFA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1648" w:type="dxa"/>
            <w:noWrap w:val="0"/>
            <w:vAlign w:val="center"/>
          </w:tcPr>
          <w:p w14:paraId="07482232">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便携式彩超</w:t>
            </w:r>
          </w:p>
        </w:tc>
        <w:tc>
          <w:tcPr>
            <w:tcW w:w="744" w:type="dxa"/>
            <w:noWrap w:val="0"/>
            <w:vAlign w:val="center"/>
          </w:tcPr>
          <w:p w14:paraId="2E1F21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1套</w:t>
            </w:r>
          </w:p>
        </w:tc>
        <w:tc>
          <w:tcPr>
            <w:tcW w:w="1703" w:type="dxa"/>
            <w:noWrap w:val="0"/>
            <w:vAlign w:val="center"/>
          </w:tcPr>
          <w:p w14:paraId="17F03D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298000.00</w:t>
            </w:r>
          </w:p>
        </w:tc>
        <w:tc>
          <w:tcPr>
            <w:tcW w:w="1530" w:type="dxa"/>
            <w:noWrap w:val="0"/>
            <w:vAlign w:val="center"/>
          </w:tcPr>
          <w:p w14:paraId="4072C6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298000.00</w:t>
            </w:r>
          </w:p>
        </w:tc>
        <w:tc>
          <w:tcPr>
            <w:tcW w:w="1365" w:type="dxa"/>
            <w:noWrap w:val="0"/>
            <w:vAlign w:val="center"/>
          </w:tcPr>
          <w:p w14:paraId="6ADD99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298000.00</w:t>
            </w:r>
          </w:p>
        </w:tc>
      </w:tr>
    </w:tbl>
    <w:p w14:paraId="3F15AE2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p>
    <w:p w14:paraId="5AC3D26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p>
    <w:p w14:paraId="0476A1E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p>
    <w:p w14:paraId="7A42907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p>
    <w:p w14:paraId="73FE2EB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 xml:space="preserve">采购需求（包括但不限于标的的名称、数量、简要技术需求或服务要求等） </w:t>
      </w:r>
    </w:p>
    <w:p w14:paraId="2FFFCD9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5.1交货地点：</w:t>
      </w:r>
      <w:r>
        <w:rPr>
          <w:rFonts w:hint="eastAsia" w:ascii="宋体" w:hAnsi="宋体" w:cs="宋体"/>
          <w:color w:val="auto"/>
          <w:sz w:val="24"/>
          <w:szCs w:val="24"/>
          <w:highlight w:val="none"/>
          <w:lang w:val="en-US" w:eastAsia="zh-CN"/>
        </w:rPr>
        <w:t>睢县妇幼保健院</w:t>
      </w:r>
    </w:p>
    <w:p w14:paraId="72EBFBE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5.2采购内容：</w:t>
      </w:r>
      <w:r>
        <w:rPr>
          <w:rFonts w:hint="eastAsia" w:ascii="宋体" w:hAnsi="宋体" w:eastAsia="宋体" w:cs="宋体"/>
          <w:color w:val="auto"/>
          <w:sz w:val="24"/>
          <w:szCs w:val="24"/>
          <w:highlight w:val="none"/>
          <w:lang w:val="en-US" w:eastAsia="zh-CN"/>
        </w:rPr>
        <w:t>采购清单范围内的全部内容</w:t>
      </w:r>
    </w:p>
    <w:p w14:paraId="6B8C241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w:t>
      </w:r>
      <w:r>
        <w:rPr>
          <w:rFonts w:hint="eastAsia" w:ascii="宋体" w:hAnsi="宋体" w:eastAsia="宋体" w:cs="宋体"/>
          <w:color w:val="auto"/>
          <w:sz w:val="24"/>
          <w:szCs w:val="24"/>
          <w:highlight w:val="none"/>
          <w:lang w:val="en-US" w:eastAsia="zh-CN"/>
        </w:rPr>
        <w:t>交货期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签订合同后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0天内供货、安装、调试完毕</w:t>
      </w:r>
    </w:p>
    <w:p w14:paraId="402DB28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5.4</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w:t>
      </w:r>
    </w:p>
    <w:p w14:paraId="76FF616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lang w:val="en-US" w:eastAsia="zh-CN"/>
        </w:rPr>
        <w:t>合格，符合国家相关行业标准</w:t>
      </w:r>
    </w:p>
    <w:p w14:paraId="011AA5E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lang w:val="en-US" w:eastAsia="zh-CN"/>
        </w:rPr>
        <w:t>签订合同后20天</w:t>
      </w:r>
    </w:p>
    <w:p w14:paraId="4334DF8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本项目是否接受联合体投标：否  </w:t>
      </w:r>
    </w:p>
    <w:p w14:paraId="33A7B6B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是否接受进口产品：否</w:t>
      </w:r>
    </w:p>
    <w:p w14:paraId="5A2F262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是否专门面向中小企业：否。</w:t>
      </w:r>
    </w:p>
    <w:p w14:paraId="2584222F">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二、申请人资格要求 </w:t>
      </w:r>
    </w:p>
    <w:p w14:paraId="63F71D8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5DE889A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2.落实政府采购政策满足的资格要求： </w:t>
      </w:r>
    </w:p>
    <w:p w14:paraId="0F4E560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无</w:t>
      </w:r>
    </w:p>
    <w:p w14:paraId="3877A05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9098AA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3.1具有独立承担民事责任的能力(提供营业执照)。</w:t>
      </w:r>
    </w:p>
    <w:p w14:paraId="7597BE7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3.2具有良好的商业信誉和健全的财务会计制度（提供2022年度以来任意一年的财务审计报告或财务会计报表，新成立的企业提供银行出具的资信证明）。</w:t>
      </w:r>
    </w:p>
    <w:p w14:paraId="00C0BF8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3.3具有履行合同所必需的设备和专业技术能力（自行承诺，格式自拟）。</w:t>
      </w:r>
    </w:p>
    <w:p w14:paraId="7779FFC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有依法缴纳税收和社会保障资金的良好记录（投标人须提供2023年以来任意1个月份依法缴纳税收和社会保障资金的证明材料；依法免税或不需要缴纳社会保障资金的投标人，应提供相应文件证明其依法免税或不需要缴纳社会保障金）。</w:t>
      </w:r>
    </w:p>
    <w:p w14:paraId="01246C2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3.5参加政府采购活动前三年内，在经营活动中没有重大违法记录（自行承诺，格式自拟）。</w:t>
      </w:r>
    </w:p>
    <w:p w14:paraId="2BE52EA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3.6法律、行政法规规定的其他条件（自行承诺，格式自拟）。</w:t>
      </w:r>
    </w:p>
    <w:p w14:paraId="66E7D2D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以代理机构现场查询为准。</w:t>
      </w:r>
    </w:p>
    <w:p w14:paraId="6861C5F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3.8投标产品须符合中华人民共和国国务院令第739号《医疗器械监督管理条例》相关规定，应具有有效期内的医疗器械注册证或医疗器械产品备案凭证（非医疗器械可不提供）。</w:t>
      </w:r>
    </w:p>
    <w:p w14:paraId="6BFE2DD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供应商为代理商时，应具有医疗器械经营许可证或医疗器械经营备案凭证（从事第一类医疗器械经营活动的除外）；供应商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如所投产品为进口设备，则无需提供医疗器械生产许可证；（非医疗器械可不提供）</w:t>
      </w:r>
    </w:p>
    <w:p w14:paraId="6D6F9A6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单位负责人为同一人或者存在直接控股、管理关系的不同供应商，不得参加同一合同项下的政府采购活动（提供在“国家企业信用信息公示系统”中查</w:t>
      </w:r>
      <w:r>
        <w:rPr>
          <w:rFonts w:hint="eastAsia" w:ascii="宋体" w:hAnsi="宋体" w:cs="宋体"/>
          <w:color w:val="auto"/>
          <w:sz w:val="24"/>
          <w:szCs w:val="24"/>
          <w:highlight w:val="none"/>
          <w:lang w:val="en-US" w:eastAsia="zh-CN"/>
        </w:rPr>
        <w:t>询的包含公司基本信息、股东信息及股权变更信息等查询网页截图）。</w:t>
      </w:r>
    </w:p>
    <w:p w14:paraId="3333044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3.11</w:t>
      </w:r>
      <w:r>
        <w:rPr>
          <w:rFonts w:hint="eastAsia" w:ascii="宋体" w:hAnsi="宋体" w:eastAsia="宋体" w:cs="宋体"/>
          <w:color w:val="auto"/>
          <w:sz w:val="24"/>
          <w:szCs w:val="24"/>
          <w:highlight w:val="none"/>
          <w:lang w:val="en-US" w:eastAsia="zh-CN"/>
        </w:rPr>
        <w:t>为采购项目提供整体设计、规范编制或者项目管理、监理、检测等服务的供应商，不得再参加该采购项目的其他采购活动。（出具承诺书并加盖单位公章）</w:t>
      </w:r>
    </w:p>
    <w:p w14:paraId="6071A47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本次采购实行资格后审。</w:t>
      </w:r>
    </w:p>
    <w:p w14:paraId="04F58C5F">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 xml:space="preserve">获取磋商文件 </w:t>
      </w:r>
    </w:p>
    <w:p w14:paraId="5427CA0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日每天上午08:30至12:00，下午14: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0至1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0（北京时间，法定节假日除外）</w:t>
      </w:r>
      <w:r>
        <w:rPr>
          <w:rFonts w:hint="eastAsia" w:ascii="宋体" w:hAnsi="宋体" w:cs="宋体"/>
          <w:color w:val="auto"/>
          <w:sz w:val="24"/>
          <w:szCs w:val="24"/>
          <w:highlight w:val="none"/>
          <w:lang w:val="en-US" w:eastAsia="zh-CN"/>
        </w:rPr>
        <w:t>。</w:t>
      </w:r>
    </w:p>
    <w:p w14:paraId="6BAC64E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地点：河南联达工程管理有限公司（地址：郑州市二七区兴华北街18号盛世经纬B座4楼</w:t>
      </w:r>
      <w:r>
        <w:rPr>
          <w:rFonts w:hint="eastAsia" w:ascii="宋体" w:hAnsi="宋体" w:cs="宋体"/>
          <w:color w:val="auto"/>
          <w:sz w:val="24"/>
          <w:szCs w:val="24"/>
          <w:highlight w:val="none"/>
          <w:lang w:val="en-US" w:eastAsia="zh-CN"/>
        </w:rPr>
        <w:t>413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p w14:paraId="77BEE23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方式：</w:t>
      </w:r>
      <w:r>
        <w:rPr>
          <w:rFonts w:hint="eastAsia" w:ascii="宋体" w:hAnsi="宋体" w:cs="宋体"/>
          <w:color w:val="auto"/>
          <w:sz w:val="24"/>
          <w:szCs w:val="24"/>
          <w:lang w:eastAsia="zh-CN"/>
        </w:rPr>
        <w:t>获取</w:t>
      </w:r>
      <w:r>
        <w:rPr>
          <w:rFonts w:hint="eastAsia" w:ascii="宋体" w:hAnsi="宋体" w:eastAsia="宋体" w:cs="宋体"/>
          <w:color w:val="auto"/>
          <w:sz w:val="24"/>
          <w:szCs w:val="24"/>
        </w:rPr>
        <w:t>文件时请携带法人委托书、被委托人身份证、企业营业执照（副本）等磋商公告“二、申请人资格要求”的内容。以上证件提供原件及加盖单位公章的复印件一套，原件审核后退回</w:t>
      </w:r>
      <w:r>
        <w:rPr>
          <w:rFonts w:hint="eastAsia" w:ascii="宋体" w:hAnsi="宋体" w:cs="宋体"/>
          <w:color w:val="auto"/>
          <w:sz w:val="24"/>
          <w:szCs w:val="24"/>
          <w:highlight w:val="none"/>
          <w:lang w:val="en-US" w:eastAsia="zh-CN"/>
        </w:rPr>
        <w:t>。</w:t>
      </w:r>
    </w:p>
    <w:p w14:paraId="5A22AE7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元/份。</w:t>
      </w:r>
    </w:p>
    <w:p w14:paraId="6D4C4A6B">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四、响应文件提交 </w:t>
      </w:r>
    </w:p>
    <w:p w14:paraId="4E30C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1.截止时间：202</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03</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13</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时30分（北京时间）。</w:t>
      </w:r>
    </w:p>
    <w:p w14:paraId="40751A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2.地点：郑州市二七区兴华北街18号盛世经纬B座4楼411室。</w:t>
      </w:r>
    </w:p>
    <w:p w14:paraId="43739DF6">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五、响应文件开启 </w:t>
      </w:r>
    </w:p>
    <w:p w14:paraId="0B7AC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1.时间：202</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03</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13</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时30分（北京时间）。</w:t>
      </w:r>
    </w:p>
    <w:p w14:paraId="58B664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2.地点：郑州市二七区兴华北街18号盛世经纬B座4楼411室。</w:t>
      </w:r>
    </w:p>
    <w:p w14:paraId="2FE02310">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六、发布公告的媒介及公告期限 </w:t>
      </w:r>
    </w:p>
    <w:p w14:paraId="45FE9C1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本次公告同时在</w:t>
      </w:r>
      <w:r>
        <w:rPr>
          <w:rFonts w:hint="eastAsia" w:ascii="宋体" w:hAnsi="宋体" w:eastAsia="宋体" w:cs="宋体"/>
          <w:sz w:val="24"/>
          <w:szCs w:val="24"/>
        </w:rPr>
        <w:t>《河南省政府采购网》、《商丘市政府采购网》</w:t>
      </w:r>
      <w:r>
        <w:rPr>
          <w:rFonts w:hint="eastAsia" w:ascii="宋体" w:hAnsi="宋体" w:eastAsia="宋体" w:cs="宋体"/>
          <w:color w:val="auto"/>
          <w:sz w:val="24"/>
          <w:szCs w:val="24"/>
          <w:highlight w:val="none"/>
          <w:lang w:val="en-US" w:eastAsia="zh-CN"/>
        </w:rPr>
        <w:t>上发布</w:t>
      </w:r>
      <w:r>
        <w:rPr>
          <w:rFonts w:hint="eastAsia" w:ascii="宋体" w:hAnsi="宋体" w:eastAsia="宋体" w:cs="宋体"/>
          <w:color w:val="auto"/>
          <w:sz w:val="24"/>
          <w:szCs w:val="24"/>
          <w:highlight w:val="none"/>
          <w:lang w:eastAsia="zh-CN"/>
        </w:rPr>
        <w:t>，公告期限为</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个工作日。 </w:t>
      </w:r>
    </w:p>
    <w:p w14:paraId="39E39D9C">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七、其他补充事宜 </w:t>
      </w:r>
    </w:p>
    <w:p w14:paraId="7A053A7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本项目落实的政府采购政策：本项目执行环保、中小微企业、监狱企业、残疾人福利性单位等相关政府采购政策。</w:t>
      </w:r>
    </w:p>
    <w:p w14:paraId="34273B75">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八、凡对本次招标提出询问，请按照以下方式联系 </w:t>
      </w:r>
    </w:p>
    <w:bookmarkEnd w:id="0"/>
    <w:p w14:paraId="49CAB9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1、采购人信息 </w:t>
      </w:r>
    </w:p>
    <w:p w14:paraId="6C57F8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名称：睢县妇幼保健院</w:t>
      </w:r>
    </w:p>
    <w:p w14:paraId="1EDE55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地址：河南省睢县</w:t>
      </w:r>
    </w:p>
    <w:p w14:paraId="2B45C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联系人：王女士</w:t>
      </w:r>
    </w:p>
    <w:p w14:paraId="07B41E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联系方式：15138571891</w:t>
      </w:r>
    </w:p>
    <w:p w14:paraId="3B37E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2、采购代理机构信息（如有） </w:t>
      </w:r>
    </w:p>
    <w:p w14:paraId="60E06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名称：河南联达工程管理有限公司 </w:t>
      </w:r>
    </w:p>
    <w:p w14:paraId="3C106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地址：河南省郑州市兴华北街18号盛世经纬B座4楼</w:t>
      </w:r>
    </w:p>
    <w:p w14:paraId="7992AC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联系人：葛明博</w:t>
      </w:r>
    </w:p>
    <w:p w14:paraId="5B873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联系方式：0371-68893199</w:t>
      </w:r>
    </w:p>
    <w:p w14:paraId="0EFEC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3、项目联系方式 </w:t>
      </w:r>
    </w:p>
    <w:p w14:paraId="05D7F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项目联系人：葛明博</w:t>
      </w:r>
    </w:p>
    <w:p w14:paraId="4D83E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联系方式：0371-68893199</w:t>
      </w:r>
    </w:p>
    <w:p w14:paraId="60D7E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br w:type="page"/>
      </w:r>
    </w:p>
    <w:p w14:paraId="34EB8A15">
      <w:pPr>
        <w:pStyle w:val="4"/>
        <w:tabs>
          <w:tab w:val="left" w:pos="2556"/>
        </w:tabs>
        <w:spacing w:line="440" w:lineRule="exact"/>
        <w:ind w:left="0" w:firstLine="2873" w:firstLineChars="795"/>
        <w:jc w:val="both"/>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ab/>
      </w:r>
    </w:p>
    <w:p w14:paraId="7139C9BD">
      <w:pPr>
        <w:pStyle w:val="4"/>
        <w:tabs>
          <w:tab w:val="left" w:pos="2556"/>
        </w:tabs>
        <w:spacing w:line="440" w:lineRule="exact"/>
        <w:ind w:left="0" w:firstLine="2873" w:firstLineChars="795"/>
        <w:jc w:val="both"/>
        <w:rPr>
          <w:rFonts w:hint="eastAsia" w:ascii="宋体" w:hAnsi="宋体" w:eastAsia="宋体" w:cs="宋体"/>
          <w:bCs/>
          <w:color w:val="auto"/>
          <w:sz w:val="36"/>
          <w:szCs w:val="36"/>
          <w:highlight w:val="none"/>
        </w:rPr>
      </w:pPr>
      <w:bookmarkStart w:id="3" w:name="_Toc244"/>
      <w:r>
        <w:rPr>
          <w:rFonts w:hint="eastAsia" w:ascii="宋体" w:hAnsi="宋体" w:eastAsia="宋体" w:cs="宋体"/>
          <w:bCs/>
          <w:color w:val="auto"/>
          <w:sz w:val="36"/>
          <w:szCs w:val="36"/>
          <w:highlight w:val="none"/>
        </w:rPr>
        <w:t xml:space="preserve">第二章 </w:t>
      </w:r>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lang w:eastAsia="zh-CN"/>
        </w:rPr>
        <w:t>供应商</w:t>
      </w:r>
      <w:r>
        <w:rPr>
          <w:rFonts w:hint="eastAsia" w:ascii="宋体" w:hAnsi="宋体" w:eastAsia="宋体" w:cs="宋体"/>
          <w:bCs/>
          <w:color w:val="auto"/>
          <w:sz w:val="36"/>
          <w:szCs w:val="36"/>
          <w:highlight w:val="none"/>
        </w:rPr>
        <w:t>须知</w:t>
      </w:r>
      <w:bookmarkEnd w:id="3"/>
    </w:p>
    <w:p w14:paraId="71A496FB">
      <w:pPr>
        <w:spacing w:after="0" w:line="360" w:lineRule="auto"/>
        <w:jc w:val="left"/>
        <w:rPr>
          <w:rFonts w:hint="eastAsia" w:ascii="宋体" w:hAnsi="宋体" w:eastAsia="宋体" w:cs="宋体"/>
          <w:b/>
          <w:color w:val="auto"/>
          <w:sz w:val="28"/>
          <w:szCs w:val="28"/>
          <w:highlight w:val="none"/>
        </w:rPr>
      </w:pPr>
      <w:bookmarkStart w:id="4" w:name="_Toc436423261"/>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4"/>
    </w:p>
    <w:tbl>
      <w:tblPr>
        <w:tblStyle w:val="28"/>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85"/>
        <w:gridCol w:w="6830"/>
      </w:tblGrid>
      <w:tr w14:paraId="2C23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14:paraId="759003A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default" w:ascii="宋体"/>
                <w:b/>
                <w:color w:val="auto"/>
                <w:highlight w:val="none"/>
              </w:rPr>
            </w:pPr>
            <w:bookmarkStart w:id="5" w:name="_Toc436422918"/>
            <w:bookmarkStart w:id="6" w:name="_Toc370116075"/>
            <w:bookmarkStart w:id="7" w:name="_Toc370116201"/>
            <w:bookmarkStart w:id="8" w:name="_Toc420509019"/>
            <w:bookmarkStart w:id="9" w:name="_Toc380758910"/>
            <w:bookmarkStart w:id="10" w:name="_Toc396673285"/>
            <w:bookmarkStart w:id="11" w:name="_Toc421694656"/>
            <w:bookmarkStart w:id="12" w:name="_Toc436423262"/>
            <w:bookmarkStart w:id="13" w:name="_Toc421698760"/>
            <w:bookmarkStart w:id="14" w:name="_Toc420238747"/>
            <w:bookmarkStart w:id="15" w:name="_Toc370141169"/>
            <w:bookmarkStart w:id="16" w:name="_Toc436423307"/>
            <w:r>
              <w:rPr>
                <w:rFonts w:hint="eastAsia" w:ascii="宋体" w:hAnsi="宋体"/>
                <w:b/>
                <w:color w:val="auto"/>
                <w:highlight w:val="none"/>
              </w:rPr>
              <w:t>序</w:t>
            </w:r>
            <w:r>
              <w:rPr>
                <w:rFonts w:hint="default" w:ascii="宋体" w:hAnsi="宋体"/>
                <w:b/>
                <w:color w:val="auto"/>
                <w:highlight w:val="none"/>
              </w:rPr>
              <w:t xml:space="preserve"> </w:t>
            </w:r>
            <w:r>
              <w:rPr>
                <w:rFonts w:hint="eastAsia" w:ascii="宋体" w:hAnsi="宋体"/>
                <w:b/>
                <w:color w:val="auto"/>
                <w:highlight w:val="none"/>
              </w:rPr>
              <w:t>号</w:t>
            </w:r>
            <w:bookmarkEnd w:id="5"/>
            <w:bookmarkEnd w:id="6"/>
            <w:bookmarkEnd w:id="7"/>
            <w:bookmarkEnd w:id="8"/>
            <w:bookmarkEnd w:id="9"/>
            <w:bookmarkEnd w:id="10"/>
            <w:bookmarkEnd w:id="11"/>
            <w:bookmarkEnd w:id="12"/>
            <w:bookmarkEnd w:id="13"/>
            <w:bookmarkEnd w:id="14"/>
            <w:bookmarkEnd w:id="15"/>
          </w:p>
        </w:tc>
        <w:tc>
          <w:tcPr>
            <w:tcW w:w="2385" w:type="dxa"/>
            <w:vAlign w:val="center"/>
          </w:tcPr>
          <w:p w14:paraId="5D24C97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default" w:ascii="宋体"/>
                <w:b/>
                <w:color w:val="auto"/>
                <w:highlight w:val="none"/>
              </w:rPr>
            </w:pPr>
            <w:bookmarkStart w:id="17" w:name="_Toc370116076"/>
            <w:bookmarkStart w:id="18" w:name="_Toc380758911"/>
            <w:bookmarkStart w:id="19" w:name="_Toc396673286"/>
            <w:bookmarkStart w:id="20" w:name="_Toc370116202"/>
            <w:bookmarkStart w:id="21" w:name="_Toc421694657"/>
            <w:bookmarkStart w:id="22" w:name="_Toc370141170"/>
            <w:bookmarkStart w:id="23" w:name="_Toc421698761"/>
            <w:bookmarkStart w:id="24" w:name="_Toc420238748"/>
            <w:bookmarkStart w:id="25" w:name="_Toc420509020"/>
            <w:bookmarkStart w:id="26" w:name="_Toc436422919"/>
            <w:bookmarkStart w:id="27" w:name="_Toc436423263"/>
            <w:r>
              <w:rPr>
                <w:rFonts w:hint="eastAsia" w:ascii="宋体" w:hAnsi="宋体"/>
                <w:b/>
                <w:color w:val="auto"/>
                <w:highlight w:val="none"/>
              </w:rPr>
              <w:t>名</w:t>
            </w:r>
            <w:r>
              <w:rPr>
                <w:rFonts w:hint="default" w:ascii="宋体" w:hAnsi="宋体"/>
                <w:b/>
                <w:color w:val="auto"/>
                <w:highlight w:val="none"/>
              </w:rPr>
              <w:t xml:space="preserve"> </w:t>
            </w:r>
            <w:r>
              <w:rPr>
                <w:rFonts w:hint="eastAsia" w:ascii="宋体" w:hAnsi="宋体"/>
                <w:b/>
                <w:color w:val="auto"/>
                <w:highlight w:val="none"/>
              </w:rPr>
              <w:t>称</w:t>
            </w:r>
            <w:bookmarkEnd w:id="17"/>
            <w:bookmarkEnd w:id="18"/>
            <w:bookmarkEnd w:id="19"/>
            <w:bookmarkEnd w:id="20"/>
            <w:bookmarkEnd w:id="21"/>
            <w:bookmarkEnd w:id="22"/>
            <w:bookmarkEnd w:id="23"/>
            <w:bookmarkEnd w:id="24"/>
            <w:bookmarkEnd w:id="25"/>
            <w:bookmarkEnd w:id="26"/>
            <w:bookmarkEnd w:id="27"/>
          </w:p>
        </w:tc>
        <w:tc>
          <w:tcPr>
            <w:tcW w:w="6830" w:type="dxa"/>
            <w:vAlign w:val="center"/>
          </w:tcPr>
          <w:p w14:paraId="5B7C3677">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default" w:ascii="宋体"/>
                <w:b/>
                <w:color w:val="auto"/>
                <w:highlight w:val="none"/>
              </w:rPr>
            </w:pPr>
            <w:bookmarkStart w:id="28" w:name="_Toc421698762"/>
            <w:bookmarkStart w:id="29" w:name="_Toc370141171"/>
            <w:bookmarkStart w:id="30" w:name="_Toc421694658"/>
            <w:bookmarkStart w:id="31" w:name="_Toc420509021"/>
            <w:bookmarkStart w:id="32" w:name="_Toc380758912"/>
            <w:bookmarkStart w:id="33" w:name="_Toc436422920"/>
            <w:bookmarkStart w:id="34" w:name="_Toc396673287"/>
            <w:bookmarkStart w:id="35" w:name="_Toc420238749"/>
            <w:bookmarkStart w:id="36" w:name="_Toc370116077"/>
            <w:bookmarkStart w:id="37" w:name="_Toc370116203"/>
            <w:bookmarkStart w:id="38" w:name="_Toc436423264"/>
            <w:r>
              <w:rPr>
                <w:rFonts w:hint="eastAsia" w:ascii="宋体" w:hAnsi="宋体"/>
                <w:b/>
                <w:color w:val="auto"/>
                <w:highlight w:val="none"/>
              </w:rPr>
              <w:t>内</w:t>
            </w:r>
            <w:r>
              <w:rPr>
                <w:rFonts w:hint="default" w:ascii="宋体" w:hAnsi="宋体"/>
                <w:b/>
                <w:color w:val="auto"/>
                <w:highlight w:val="none"/>
              </w:rPr>
              <w:t xml:space="preserve">  </w:t>
            </w:r>
            <w:r>
              <w:rPr>
                <w:rFonts w:hint="eastAsia" w:ascii="宋体" w:hAnsi="宋体"/>
                <w:b/>
                <w:color w:val="auto"/>
                <w:highlight w:val="none"/>
              </w:rPr>
              <w:t>容</w:t>
            </w:r>
            <w:bookmarkEnd w:id="28"/>
            <w:bookmarkEnd w:id="29"/>
            <w:bookmarkEnd w:id="30"/>
            <w:bookmarkEnd w:id="31"/>
            <w:bookmarkEnd w:id="32"/>
            <w:bookmarkEnd w:id="33"/>
            <w:bookmarkEnd w:id="34"/>
            <w:bookmarkEnd w:id="35"/>
            <w:bookmarkEnd w:id="36"/>
            <w:bookmarkEnd w:id="37"/>
            <w:bookmarkEnd w:id="38"/>
          </w:p>
        </w:tc>
      </w:tr>
      <w:tr w14:paraId="1CB8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0EB648FF">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5" w:type="dxa"/>
            <w:vAlign w:val="center"/>
          </w:tcPr>
          <w:p w14:paraId="412FE5BA">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830" w:type="dxa"/>
            <w:vAlign w:val="center"/>
          </w:tcPr>
          <w:p w14:paraId="5F99B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名称：睢县妇幼保健院</w:t>
            </w:r>
          </w:p>
          <w:p w14:paraId="4C4A0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地址：河南省睢县</w:t>
            </w:r>
          </w:p>
          <w:p w14:paraId="0FFBA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联系人：王女士</w:t>
            </w:r>
          </w:p>
          <w:p w14:paraId="56BD9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联系方式：15138571891</w:t>
            </w:r>
          </w:p>
        </w:tc>
      </w:tr>
      <w:tr w14:paraId="20F0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2715EF84">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5" w:type="dxa"/>
            <w:vAlign w:val="center"/>
          </w:tcPr>
          <w:p w14:paraId="667D2489">
            <w:pPr>
              <w:keepNext w:val="0"/>
              <w:keepLines w:val="0"/>
              <w:pageBreakBefore w:val="0"/>
              <w:widowControl w:val="0"/>
              <w:suppressLineNumbers w:val="0"/>
              <w:tabs>
                <w:tab w:val="left" w:pos="507"/>
                <w:tab w:val="center" w:pos="1144"/>
              </w:tabs>
              <w:kinsoku/>
              <w:wordWrap/>
              <w:overflowPunct/>
              <w:topLinePunct w:val="0"/>
              <w:autoSpaceDE/>
              <w:autoSpaceDN/>
              <w:bidi w:val="0"/>
              <w:adjustRightInd/>
              <w:snapToGrid/>
              <w:spacing w:before="0" w:beforeAutospacing="0" w:after="156" w:afterLines="5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ab/>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eastAsia="zh-CN"/>
              </w:rPr>
              <w:tab/>
            </w:r>
            <w:r>
              <w:rPr>
                <w:rFonts w:hint="eastAsia" w:ascii="宋体" w:hAnsi="宋体" w:eastAsia="宋体" w:cs="宋体"/>
                <w:color w:val="auto"/>
                <w:sz w:val="24"/>
                <w:szCs w:val="24"/>
                <w:highlight w:val="none"/>
              </w:rPr>
              <w:t>代理机构</w:t>
            </w:r>
          </w:p>
        </w:tc>
        <w:tc>
          <w:tcPr>
            <w:tcW w:w="6830" w:type="dxa"/>
            <w:vAlign w:val="center"/>
          </w:tcPr>
          <w:p w14:paraId="1CF35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名称：河南联达工程管理有限公司 </w:t>
            </w:r>
          </w:p>
          <w:p w14:paraId="00002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地址：郑州市二七区兴华北街18号盛世经纬B座</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楼</w:t>
            </w:r>
          </w:p>
          <w:p w14:paraId="53FEC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b w:val="0"/>
                <w:bCs w:val="0"/>
                <w:color w:val="auto"/>
                <w:kern w:val="2"/>
                <w:sz w:val="24"/>
                <w:szCs w:val="24"/>
                <w:highlight w:val="none"/>
                <w:lang w:val="en-US" w:eastAsia="zh-CN" w:bidi="ar-SA"/>
              </w:rPr>
              <w:t>葛明博</w:t>
            </w:r>
          </w:p>
          <w:p w14:paraId="677C1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联系方式：0371-68893199</w:t>
            </w:r>
          </w:p>
        </w:tc>
      </w:tr>
      <w:tr w14:paraId="27E9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42250FD3">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5" w:type="dxa"/>
            <w:vAlign w:val="center"/>
          </w:tcPr>
          <w:p w14:paraId="4B37D4B6">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30" w:type="dxa"/>
            <w:vAlign w:val="center"/>
          </w:tcPr>
          <w:p w14:paraId="5C83B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睢县妇幼保健院便携式彩超采购项目</w:t>
            </w:r>
          </w:p>
        </w:tc>
      </w:tr>
      <w:tr w14:paraId="68EC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0CBA457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5" w:type="dxa"/>
            <w:vAlign w:val="center"/>
          </w:tcPr>
          <w:p w14:paraId="5BDD6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p>
        </w:tc>
        <w:tc>
          <w:tcPr>
            <w:tcW w:w="6830" w:type="dxa"/>
            <w:vAlign w:val="center"/>
          </w:tcPr>
          <w:p w14:paraId="1D998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睢县财采磋-2025-5</w:t>
            </w:r>
          </w:p>
        </w:tc>
      </w:tr>
      <w:tr w14:paraId="6070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39EF3B5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5" w:type="dxa"/>
            <w:vAlign w:val="center"/>
          </w:tcPr>
          <w:p w14:paraId="201F8B6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bookmarkStart w:id="39" w:name="_Toc436422928"/>
            <w:bookmarkStart w:id="40" w:name="_Toc420509029"/>
            <w:bookmarkStart w:id="41" w:name="_Toc396673295"/>
            <w:bookmarkStart w:id="42" w:name="_Toc370116211"/>
            <w:bookmarkStart w:id="43" w:name="_Toc370141179"/>
            <w:bookmarkStart w:id="44" w:name="_Toc380758920"/>
            <w:bookmarkStart w:id="45" w:name="_Toc370116085"/>
            <w:bookmarkStart w:id="46" w:name="_Toc421698770"/>
            <w:bookmarkStart w:id="47" w:name="_Toc436423272"/>
            <w:bookmarkStart w:id="48" w:name="_Toc420238757"/>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方式</w:t>
            </w:r>
            <w:bookmarkEnd w:id="39"/>
            <w:bookmarkEnd w:id="40"/>
            <w:bookmarkEnd w:id="41"/>
            <w:bookmarkEnd w:id="42"/>
            <w:bookmarkEnd w:id="43"/>
            <w:bookmarkEnd w:id="44"/>
            <w:bookmarkEnd w:id="45"/>
            <w:bookmarkEnd w:id="46"/>
            <w:bookmarkEnd w:id="47"/>
            <w:bookmarkEnd w:id="48"/>
          </w:p>
        </w:tc>
        <w:tc>
          <w:tcPr>
            <w:tcW w:w="6830" w:type="dxa"/>
            <w:vAlign w:val="center"/>
          </w:tcPr>
          <w:p w14:paraId="7CCA5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6297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5" w:type="dxa"/>
            <w:vAlign w:val="center"/>
          </w:tcPr>
          <w:p w14:paraId="4A46D18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5" w:type="dxa"/>
            <w:vAlign w:val="center"/>
          </w:tcPr>
          <w:p w14:paraId="66077655">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bookmarkStart w:id="49" w:name="_Toc420509032"/>
            <w:bookmarkStart w:id="50" w:name="_Toc370116217"/>
            <w:bookmarkStart w:id="51" w:name="_Toc420238760"/>
            <w:bookmarkStart w:id="52" w:name="_Toc380758923"/>
            <w:bookmarkStart w:id="53" w:name="_Toc421698773"/>
            <w:bookmarkStart w:id="54" w:name="_Toc396673298"/>
            <w:bookmarkStart w:id="55" w:name="_Toc436423275"/>
            <w:bookmarkStart w:id="56" w:name="_Toc370141185"/>
            <w:bookmarkStart w:id="57" w:name="_Toc370116091"/>
            <w:bookmarkStart w:id="58" w:name="_Toc436422931"/>
            <w:r>
              <w:rPr>
                <w:rFonts w:hint="eastAsia" w:ascii="宋体" w:hAnsi="宋体" w:eastAsia="宋体" w:cs="宋体"/>
                <w:color w:val="auto"/>
                <w:sz w:val="24"/>
                <w:szCs w:val="24"/>
                <w:highlight w:val="none"/>
              </w:rPr>
              <w:t>资金来源</w:t>
            </w:r>
            <w:bookmarkEnd w:id="49"/>
            <w:bookmarkEnd w:id="50"/>
            <w:bookmarkEnd w:id="51"/>
            <w:bookmarkEnd w:id="52"/>
            <w:bookmarkEnd w:id="53"/>
            <w:bookmarkEnd w:id="54"/>
            <w:bookmarkEnd w:id="55"/>
            <w:bookmarkEnd w:id="56"/>
            <w:bookmarkEnd w:id="57"/>
            <w:bookmarkEnd w:id="58"/>
          </w:p>
        </w:tc>
        <w:tc>
          <w:tcPr>
            <w:tcW w:w="6830" w:type="dxa"/>
            <w:vAlign w:val="center"/>
          </w:tcPr>
          <w:p w14:paraId="6404FA55">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自筹资金</w:t>
            </w:r>
          </w:p>
        </w:tc>
      </w:tr>
      <w:tr w14:paraId="4F58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5" w:type="dxa"/>
            <w:vAlign w:val="center"/>
          </w:tcPr>
          <w:p w14:paraId="66B4CB6F">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5" w:type="dxa"/>
            <w:vAlign w:val="center"/>
          </w:tcPr>
          <w:p w14:paraId="0E2358C6">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eastAsia="zh-CN"/>
              </w:rPr>
              <w:t>内容</w:t>
            </w:r>
          </w:p>
        </w:tc>
        <w:tc>
          <w:tcPr>
            <w:tcW w:w="6830" w:type="dxa"/>
            <w:vAlign w:val="center"/>
          </w:tcPr>
          <w:p w14:paraId="6E13358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需求包含的全部内容</w:t>
            </w:r>
          </w:p>
        </w:tc>
      </w:tr>
      <w:tr w14:paraId="14BA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5" w:type="dxa"/>
            <w:vAlign w:val="center"/>
          </w:tcPr>
          <w:p w14:paraId="44991A6E">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5" w:type="dxa"/>
            <w:vAlign w:val="center"/>
          </w:tcPr>
          <w:p w14:paraId="16FF1B3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交货期</w:t>
            </w:r>
          </w:p>
        </w:tc>
        <w:tc>
          <w:tcPr>
            <w:tcW w:w="6830" w:type="dxa"/>
            <w:vAlign w:val="center"/>
          </w:tcPr>
          <w:p w14:paraId="440571C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签订合同后20天内供货、安装、调试完毕</w:t>
            </w:r>
          </w:p>
        </w:tc>
      </w:tr>
      <w:tr w14:paraId="19FE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25" w:type="dxa"/>
            <w:vAlign w:val="center"/>
          </w:tcPr>
          <w:p w14:paraId="207074E1">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385" w:type="dxa"/>
            <w:vAlign w:val="center"/>
          </w:tcPr>
          <w:p w14:paraId="6966E46A">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lang w:val="en-US" w:eastAsia="zh-CN"/>
              </w:rPr>
              <w:t>地点</w:t>
            </w:r>
          </w:p>
        </w:tc>
        <w:tc>
          <w:tcPr>
            <w:tcW w:w="6830" w:type="dxa"/>
            <w:vAlign w:val="center"/>
          </w:tcPr>
          <w:p w14:paraId="1008F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睢县妇幼保健院</w:t>
            </w:r>
          </w:p>
        </w:tc>
      </w:tr>
      <w:tr w14:paraId="48A3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788D9702">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5" w:type="dxa"/>
            <w:vAlign w:val="center"/>
          </w:tcPr>
          <w:p w14:paraId="14FB983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要求</w:t>
            </w:r>
          </w:p>
        </w:tc>
        <w:tc>
          <w:tcPr>
            <w:tcW w:w="6830" w:type="dxa"/>
            <w:vAlign w:val="center"/>
          </w:tcPr>
          <w:p w14:paraId="54ACB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合格，符合国家相关行业标准</w:t>
            </w:r>
          </w:p>
        </w:tc>
      </w:tr>
      <w:tr w14:paraId="6EA7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03B06D5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385" w:type="dxa"/>
            <w:vAlign w:val="center"/>
          </w:tcPr>
          <w:p w14:paraId="3D23A6B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6830" w:type="dxa"/>
            <w:vAlign w:val="center"/>
          </w:tcPr>
          <w:p w14:paraId="55C2945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0" w:firstLine="0" w:firstLineChars="0"/>
              <w:jc w:val="left"/>
              <w:textAlignment w:val="auto"/>
              <w:rPr>
                <w:rFonts w:hint="default" w:ascii="宋体" w:hAnsi="宋体" w:eastAsia="宋体" w:cs="宋体"/>
                <w:color w:val="auto"/>
                <w:sz w:val="24"/>
                <w:szCs w:val="24"/>
                <w:highlight w:val="none"/>
                <w:lang w:val="en-US" w:bidi="ar"/>
              </w:rPr>
            </w:pPr>
            <w:r>
              <w:rPr>
                <w:rFonts w:hint="eastAsia" w:ascii="宋体" w:hAnsi="宋体" w:cs="宋体"/>
                <w:color w:val="auto"/>
                <w:sz w:val="24"/>
                <w:szCs w:val="24"/>
                <w:highlight w:val="none"/>
                <w:lang w:val="en-US" w:eastAsia="zh-CN"/>
              </w:rPr>
              <w:t>三年</w:t>
            </w:r>
          </w:p>
        </w:tc>
      </w:tr>
      <w:tr w14:paraId="22CA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67C03CA4">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385" w:type="dxa"/>
            <w:vAlign w:val="center"/>
          </w:tcPr>
          <w:p w14:paraId="0E826C43">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p>
        </w:tc>
        <w:tc>
          <w:tcPr>
            <w:tcW w:w="6830" w:type="dxa"/>
            <w:vAlign w:val="center"/>
          </w:tcPr>
          <w:p w14:paraId="17B90B6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z w:val="24"/>
                <w:szCs w:val="24"/>
                <w:highlight w:val="none"/>
                <w:lang w:bidi="ar"/>
              </w:rPr>
              <w:t>详见</w:t>
            </w:r>
            <w:r>
              <w:rPr>
                <w:rFonts w:hint="eastAsia" w:ascii="宋体" w:hAnsi="宋体" w:cs="宋体"/>
                <w:color w:val="auto"/>
                <w:sz w:val="24"/>
                <w:szCs w:val="24"/>
                <w:highlight w:val="none"/>
                <w:lang w:eastAsia="zh-CN" w:bidi="ar"/>
              </w:rPr>
              <w:t>磋商</w:t>
            </w:r>
            <w:r>
              <w:rPr>
                <w:rFonts w:hint="eastAsia" w:ascii="宋体" w:hAnsi="宋体" w:eastAsia="宋体" w:cs="宋体"/>
                <w:color w:val="auto"/>
                <w:sz w:val="24"/>
                <w:szCs w:val="24"/>
                <w:highlight w:val="none"/>
                <w:lang w:bidi="ar"/>
              </w:rPr>
              <w:t>公告“</w:t>
            </w:r>
            <w:r>
              <w:rPr>
                <w:rFonts w:hint="eastAsia" w:ascii="宋体" w:hAnsi="宋体" w:eastAsia="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、申请人资格要求”</w:t>
            </w:r>
          </w:p>
        </w:tc>
      </w:tr>
      <w:tr w14:paraId="6676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5" w:type="dxa"/>
            <w:vAlign w:val="center"/>
          </w:tcPr>
          <w:p w14:paraId="6EED64AA">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385" w:type="dxa"/>
            <w:vAlign w:val="center"/>
          </w:tcPr>
          <w:p w14:paraId="1298E9CE">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830" w:type="dxa"/>
            <w:vAlign w:val="center"/>
          </w:tcPr>
          <w:p w14:paraId="70AF4A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60日历天（从投标截止之日算起）</w:t>
            </w:r>
          </w:p>
        </w:tc>
      </w:tr>
      <w:tr w14:paraId="10FD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5" w:type="dxa"/>
            <w:vAlign w:val="center"/>
          </w:tcPr>
          <w:p w14:paraId="16AB87C6">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385" w:type="dxa"/>
            <w:vAlign w:val="center"/>
          </w:tcPr>
          <w:p w14:paraId="6706B4E1">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830" w:type="dxa"/>
            <w:vAlign w:val="center"/>
          </w:tcPr>
          <w:p w14:paraId="2E167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08F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25" w:type="dxa"/>
            <w:vAlign w:val="center"/>
          </w:tcPr>
          <w:p w14:paraId="3DCEC958">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385" w:type="dxa"/>
            <w:vAlign w:val="center"/>
          </w:tcPr>
          <w:p w14:paraId="62448D7C">
            <w:pPr>
              <w:keepNext w:val="0"/>
              <w:keepLines w:val="0"/>
              <w:pageBreakBefore w:val="0"/>
              <w:widowControl w:val="0"/>
              <w:suppressLineNumbers w:val="0"/>
              <w:tabs>
                <w:tab w:val="left" w:pos="1932"/>
              </w:tabs>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响应文件的提交和</w:t>
            </w:r>
          </w:p>
          <w:p w14:paraId="256425D7">
            <w:pPr>
              <w:keepNext w:val="0"/>
              <w:keepLines w:val="0"/>
              <w:pageBreakBefore w:val="0"/>
              <w:widowControl w:val="0"/>
              <w:suppressLineNumbers w:val="0"/>
              <w:tabs>
                <w:tab w:val="left" w:pos="1932"/>
              </w:tabs>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开标信息</w:t>
            </w:r>
          </w:p>
        </w:tc>
        <w:tc>
          <w:tcPr>
            <w:tcW w:w="6830" w:type="dxa"/>
            <w:vAlign w:val="center"/>
          </w:tcPr>
          <w:p w14:paraId="570AE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1.响应文件提交的截止时间及开标时间：</w:t>
            </w:r>
            <w:r>
              <w:rPr>
                <w:rFonts w:hint="eastAsia" w:ascii="宋体" w:hAnsi="宋体" w:eastAsia="宋体" w:cs="宋体"/>
                <w:color w:val="auto"/>
                <w:sz w:val="24"/>
                <w:szCs w:val="24"/>
                <w:highlight w:val="none"/>
                <w:lang w:eastAsia="zh-CN"/>
              </w:rPr>
              <w:t>同磋商公告。</w:t>
            </w:r>
          </w:p>
          <w:p w14:paraId="3E00E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2.响应文件提交地点：</w:t>
            </w:r>
            <w:r>
              <w:rPr>
                <w:rFonts w:hint="eastAsia" w:ascii="宋体" w:hAnsi="宋体" w:eastAsia="宋体" w:cs="宋体"/>
                <w:color w:val="auto"/>
                <w:sz w:val="24"/>
                <w:szCs w:val="24"/>
                <w:highlight w:val="none"/>
                <w:lang w:eastAsia="zh-CN"/>
              </w:rPr>
              <w:t>同磋商公告。</w:t>
            </w:r>
          </w:p>
        </w:tc>
      </w:tr>
      <w:tr w14:paraId="611D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51B225E7">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2385" w:type="dxa"/>
            <w:vAlign w:val="center"/>
          </w:tcPr>
          <w:p w14:paraId="3A8168DC">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6830" w:type="dxa"/>
            <w:vAlign w:val="center"/>
          </w:tcPr>
          <w:p w14:paraId="4812011E">
            <w:pPr>
              <w:pStyle w:val="7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45"/>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1.竞争性磋商文件规定的响应文件格式中所有签字、盖章的地方必须按照磋商文件明示的方式签字或盖章。</w:t>
            </w:r>
          </w:p>
          <w:p w14:paraId="104D342B">
            <w:pPr>
              <w:pStyle w:val="7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4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响应文件</w:t>
            </w:r>
            <w:r>
              <w:rPr>
                <w:rFonts w:hint="eastAsia" w:ascii="宋体" w:hAnsi="宋体" w:eastAsia="宋体" w:cs="宋体"/>
                <w:color w:val="auto"/>
                <w:kern w:val="2"/>
                <w:sz w:val="24"/>
                <w:szCs w:val="24"/>
                <w:highlight w:val="none"/>
                <w:lang w:val="en-US" w:eastAsia="zh-CN" w:bidi="ar-SA"/>
              </w:rPr>
              <w:t>中如果有涂改、插字、删除等情况，必须在文件改动处由法定代表人或其授权的代理人的签字或盖章，并标明“修改”字样。</w:t>
            </w:r>
          </w:p>
        </w:tc>
      </w:tr>
      <w:tr w14:paraId="496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5" w:type="dxa"/>
            <w:vAlign w:val="center"/>
          </w:tcPr>
          <w:p w14:paraId="4337ECFF">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385" w:type="dxa"/>
            <w:vAlign w:val="center"/>
          </w:tcPr>
          <w:p w14:paraId="4DEC52F5">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6830" w:type="dxa"/>
            <w:vAlign w:val="center"/>
          </w:tcPr>
          <w:p w14:paraId="2C29CBF1">
            <w:pPr>
              <w:pStyle w:val="7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一正四副，电子文档U盘1份</w:t>
            </w:r>
          </w:p>
        </w:tc>
      </w:tr>
      <w:tr w14:paraId="0366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2DA7DD22">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385" w:type="dxa"/>
            <w:vAlign w:val="center"/>
          </w:tcPr>
          <w:p w14:paraId="0C7EDA5E">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的组建</w:t>
            </w:r>
          </w:p>
        </w:tc>
        <w:tc>
          <w:tcPr>
            <w:tcW w:w="6830" w:type="dxa"/>
            <w:vAlign w:val="center"/>
          </w:tcPr>
          <w:p w14:paraId="7324FB94">
            <w:pPr>
              <w:pStyle w:val="73"/>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人组成。</w:t>
            </w:r>
          </w:p>
          <w:p w14:paraId="74C28523">
            <w:pPr>
              <w:pStyle w:val="73"/>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评标专家确定方式：开标前从相关评标专家库中随机抽取。</w:t>
            </w:r>
          </w:p>
        </w:tc>
      </w:tr>
      <w:tr w14:paraId="0007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2303D35B">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385" w:type="dxa"/>
            <w:vAlign w:val="center"/>
          </w:tcPr>
          <w:p w14:paraId="46BA2E83">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确定</w:t>
            </w:r>
            <w:r>
              <w:rPr>
                <w:rFonts w:hint="eastAsia" w:ascii="宋体" w:hAnsi="宋体" w:cs="宋体"/>
                <w:color w:val="auto"/>
                <w:sz w:val="24"/>
                <w:szCs w:val="24"/>
                <w:highlight w:val="none"/>
                <w:lang w:eastAsia="zh-CN"/>
              </w:rPr>
              <w:t>成交供应商</w:t>
            </w:r>
          </w:p>
        </w:tc>
        <w:tc>
          <w:tcPr>
            <w:tcW w:w="6830" w:type="dxa"/>
            <w:vAlign w:val="center"/>
          </w:tcPr>
          <w:p w14:paraId="0CBC783F">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否，推荐的</w:t>
            </w:r>
            <w:r>
              <w:rPr>
                <w:rFonts w:hint="eastAsia" w:ascii="宋体" w:hAnsi="宋体" w:cs="宋体"/>
                <w:color w:val="auto"/>
                <w:sz w:val="24"/>
                <w:szCs w:val="24"/>
                <w:highlight w:val="none"/>
                <w:lang w:eastAsia="zh-CN"/>
              </w:rPr>
              <w:t>成交候选供应商</w:t>
            </w:r>
            <w:r>
              <w:rPr>
                <w:rFonts w:hint="eastAsia" w:ascii="宋体" w:hAnsi="宋体" w:eastAsia="宋体" w:cs="宋体"/>
                <w:color w:val="auto"/>
                <w:sz w:val="24"/>
                <w:szCs w:val="24"/>
                <w:highlight w:val="none"/>
              </w:rPr>
              <w:t>数</w:t>
            </w:r>
            <w:r>
              <w:rPr>
                <w:rFonts w:hint="eastAsia" w:ascii="宋体" w:hAnsi="宋体" w:cs="宋体"/>
                <w:color w:val="auto"/>
                <w:sz w:val="24"/>
                <w:szCs w:val="24"/>
                <w:highlight w:val="none"/>
                <w:lang w:eastAsia="zh-CN"/>
              </w:rPr>
              <w:t>量</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eastAsia="zh-CN"/>
              </w:rPr>
              <w:t>成交候选供应商</w:t>
            </w:r>
            <w:r>
              <w:rPr>
                <w:rFonts w:hint="eastAsia" w:ascii="宋体" w:hAnsi="宋体" w:eastAsia="宋体" w:cs="宋体"/>
                <w:color w:val="auto"/>
                <w:sz w:val="24"/>
                <w:szCs w:val="24"/>
                <w:highlight w:val="none"/>
              </w:rPr>
              <w:t>。</w:t>
            </w:r>
          </w:p>
        </w:tc>
      </w:tr>
      <w:tr w14:paraId="26E4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5" w:type="dxa"/>
            <w:vAlign w:val="center"/>
          </w:tcPr>
          <w:p w14:paraId="21E1A90A">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385" w:type="dxa"/>
            <w:vAlign w:val="center"/>
          </w:tcPr>
          <w:p w14:paraId="2A099185">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bookmarkStart w:id="59" w:name="_Toc436422955"/>
            <w:bookmarkStart w:id="60" w:name="_Toc436423299"/>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价</w:t>
            </w:r>
            <w:bookmarkEnd w:id="59"/>
            <w:bookmarkEnd w:id="60"/>
          </w:p>
        </w:tc>
        <w:tc>
          <w:tcPr>
            <w:tcW w:w="6830" w:type="dxa"/>
            <w:vAlign w:val="center"/>
          </w:tcPr>
          <w:p w14:paraId="282BFC8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本项目</w:t>
            </w:r>
            <w:r>
              <w:rPr>
                <w:rFonts w:hint="eastAsia" w:ascii="宋体" w:hAnsi="宋体" w:eastAsia="宋体" w:cs="宋体"/>
                <w:color w:val="auto"/>
                <w:kern w:val="0"/>
                <w:sz w:val="24"/>
                <w:szCs w:val="24"/>
                <w:highlight w:val="none"/>
                <w:lang w:eastAsia="zh-CN" w:bidi="ar"/>
              </w:rPr>
              <w:t>采购预算价为：</w:t>
            </w:r>
            <w:r>
              <w:rPr>
                <w:rFonts w:hint="eastAsia" w:ascii="宋体" w:hAnsi="宋体" w:cs="宋体"/>
                <w:i w:val="0"/>
                <w:iCs w:val="0"/>
                <w:color w:val="auto"/>
                <w:kern w:val="0"/>
                <w:sz w:val="24"/>
                <w:szCs w:val="24"/>
                <w:highlight w:val="none"/>
                <w:u w:val="none"/>
                <w:lang w:val="en-US" w:eastAsia="zh-CN" w:bidi="ar"/>
              </w:rPr>
              <w:t>298000.00</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kern w:val="0"/>
                <w:sz w:val="24"/>
                <w:szCs w:val="24"/>
                <w:highlight w:val="none"/>
                <w:lang w:val="en-US" w:eastAsia="zh-CN" w:bidi="ar"/>
              </w:rPr>
              <w:t>。</w:t>
            </w:r>
          </w:p>
          <w:p w14:paraId="527881CC">
            <w:pPr>
              <w:keepNext w:val="0"/>
              <w:keepLines w:val="0"/>
              <w:pageBreakBefore w:val="0"/>
              <w:widowControl w:val="0"/>
              <w:suppressLineNumbers w:val="0"/>
              <w:wordWrap/>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注：</w:t>
            </w:r>
            <w:r>
              <w:rPr>
                <w:rFonts w:hint="eastAsia" w:ascii="宋体" w:hAnsi="宋体" w:eastAsia="宋体" w:cs="宋体"/>
                <w:color w:val="auto"/>
                <w:sz w:val="24"/>
                <w:szCs w:val="22"/>
                <w:highlight w:val="none"/>
                <w:lang w:val="en-US" w:eastAsia="zh-CN"/>
              </w:rPr>
              <w:t>投标</w:t>
            </w:r>
            <w:r>
              <w:rPr>
                <w:rFonts w:hint="eastAsia" w:ascii="宋体" w:hAnsi="宋体" w:eastAsia="宋体" w:cs="宋体"/>
                <w:color w:val="auto"/>
                <w:sz w:val="24"/>
                <w:szCs w:val="22"/>
                <w:highlight w:val="none"/>
              </w:rPr>
              <w:t>报价超过采购预算价（最高限价）的为无效投标，其投标将被否决。</w:t>
            </w:r>
          </w:p>
        </w:tc>
      </w:tr>
      <w:tr w14:paraId="4097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5" w:type="dxa"/>
            <w:vAlign w:val="center"/>
          </w:tcPr>
          <w:p w14:paraId="7510F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2385" w:type="dxa"/>
            <w:vAlign w:val="center"/>
          </w:tcPr>
          <w:p w14:paraId="416A1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bookmarkStart w:id="61" w:name="_Toc380758947"/>
            <w:bookmarkStart w:id="62" w:name="_Toc420238784"/>
            <w:bookmarkStart w:id="63" w:name="_Toc370141206"/>
            <w:bookmarkStart w:id="64" w:name="_Toc420509056"/>
            <w:bookmarkStart w:id="65" w:name="_Toc421698800"/>
            <w:bookmarkStart w:id="66" w:name="_Toc436422958"/>
            <w:bookmarkStart w:id="67" w:name="_Toc396673322"/>
            <w:bookmarkStart w:id="68" w:name="_Toc370116238"/>
            <w:bookmarkStart w:id="69" w:name="_Toc370116112"/>
            <w:bookmarkStart w:id="70" w:name="_Toc436423302"/>
            <w:r>
              <w:rPr>
                <w:rFonts w:hint="eastAsia" w:ascii="宋体" w:hAnsi="宋体" w:eastAsia="宋体" w:cs="宋体"/>
                <w:b w:val="0"/>
                <w:bCs w:val="0"/>
                <w:color w:val="auto"/>
                <w:kern w:val="2"/>
                <w:sz w:val="24"/>
                <w:szCs w:val="24"/>
                <w:highlight w:val="none"/>
                <w:lang w:val="en-US" w:eastAsia="zh-CN" w:bidi="ar-SA"/>
              </w:rPr>
              <w:t>付款</w:t>
            </w:r>
            <w:bookmarkEnd w:id="61"/>
            <w:bookmarkEnd w:id="62"/>
            <w:bookmarkEnd w:id="63"/>
            <w:bookmarkEnd w:id="64"/>
            <w:bookmarkEnd w:id="65"/>
            <w:bookmarkEnd w:id="66"/>
            <w:bookmarkEnd w:id="67"/>
            <w:bookmarkEnd w:id="68"/>
            <w:bookmarkEnd w:id="69"/>
            <w:bookmarkEnd w:id="70"/>
            <w:r>
              <w:rPr>
                <w:rFonts w:hint="eastAsia" w:ascii="宋体" w:hAnsi="宋体" w:cs="宋体"/>
                <w:b w:val="0"/>
                <w:bCs w:val="0"/>
                <w:color w:val="auto"/>
                <w:kern w:val="2"/>
                <w:sz w:val="24"/>
                <w:szCs w:val="24"/>
                <w:highlight w:val="none"/>
                <w:lang w:val="en-US" w:eastAsia="zh-CN" w:bidi="ar-SA"/>
              </w:rPr>
              <w:t>周期</w:t>
            </w:r>
          </w:p>
        </w:tc>
        <w:tc>
          <w:tcPr>
            <w:tcW w:w="6830" w:type="dxa"/>
            <w:vAlign w:val="center"/>
          </w:tcPr>
          <w:p w14:paraId="42F86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在货到安装验收合格</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lang w:val="en-US" w:eastAsia="zh-CN"/>
              </w:rPr>
              <w:t>支付全部货款的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0%，剩余</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0%的货款在第一次付款</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lang w:val="en-US" w:eastAsia="zh-CN"/>
              </w:rPr>
              <w:t>三年</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lang w:val="en-US" w:eastAsia="zh-CN"/>
              </w:rPr>
              <w:t>全部无息结清。</w:t>
            </w:r>
          </w:p>
        </w:tc>
      </w:tr>
      <w:tr w14:paraId="0BB0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4BF0C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2385" w:type="dxa"/>
            <w:vAlign w:val="center"/>
          </w:tcPr>
          <w:p w14:paraId="764274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公告</w:t>
            </w:r>
          </w:p>
        </w:tc>
        <w:tc>
          <w:tcPr>
            <w:tcW w:w="6830" w:type="dxa"/>
            <w:vAlign w:val="center"/>
          </w:tcPr>
          <w:p w14:paraId="472F7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本招标项目公告发布的同一媒介上予以公示，公示期为自中标结果公告发布之日起1个工作日。</w:t>
            </w:r>
          </w:p>
        </w:tc>
      </w:tr>
      <w:tr w14:paraId="647C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Align w:val="center"/>
          </w:tcPr>
          <w:p w14:paraId="11A18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2385" w:type="dxa"/>
            <w:vAlign w:val="center"/>
          </w:tcPr>
          <w:p w14:paraId="67B03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6830" w:type="dxa"/>
            <w:vAlign w:val="center"/>
          </w:tcPr>
          <w:p w14:paraId="61713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采购代理机构参照《河南省招标代理服务收费指导意见》（豫招协[2023]002号文）中招标代理服务收费标准向中标人收取代理服务费。</w:t>
            </w:r>
            <w:r>
              <w:rPr>
                <w:rFonts w:hint="eastAsia" w:ascii="宋体" w:hAnsi="宋体" w:cs="宋体"/>
                <w:color w:val="auto"/>
                <w:sz w:val="24"/>
                <w:szCs w:val="24"/>
                <w:highlight w:val="none"/>
                <w:lang w:val="en-US" w:eastAsia="zh-CN"/>
              </w:rPr>
              <w:t>本项目采取固定金额收费，收费金额为8000元。</w:t>
            </w:r>
            <w:r>
              <w:rPr>
                <w:rFonts w:hint="eastAsia" w:ascii="宋体" w:hAnsi="宋体" w:eastAsia="宋体" w:cs="宋体"/>
                <w:color w:val="auto"/>
                <w:sz w:val="24"/>
                <w:szCs w:val="24"/>
                <w:highlight w:val="none"/>
                <w:lang w:val="en-US" w:eastAsia="zh-CN"/>
              </w:rPr>
              <w:t>由中标人在领取成交通知书时向采购代理机构缴纳。此费用由供应商综合考虑到报价中，不再单独列项。</w:t>
            </w:r>
          </w:p>
        </w:tc>
      </w:tr>
      <w:tr w14:paraId="079A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629A8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385" w:type="dxa"/>
            <w:vAlign w:val="center"/>
          </w:tcPr>
          <w:p w14:paraId="50AF1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的</w:t>
            </w:r>
          </w:p>
          <w:p w14:paraId="77B949C2">
            <w:pPr>
              <w:keepNext w:val="0"/>
              <w:keepLines w:val="0"/>
              <w:pageBreakBefore w:val="0"/>
              <w:widowControl w:val="0"/>
              <w:suppressLineNumbers w:val="0"/>
              <w:tabs>
                <w:tab w:val="center" w:pos="1144"/>
                <w:tab w:val="right" w:pos="2169"/>
              </w:tabs>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ab/>
            </w:r>
            <w:r>
              <w:rPr>
                <w:rFonts w:hint="eastAsia" w:ascii="宋体" w:hAnsi="宋体" w:eastAsia="宋体" w:cs="宋体"/>
                <w:color w:val="auto"/>
                <w:sz w:val="24"/>
                <w:szCs w:val="24"/>
                <w:highlight w:val="none"/>
              </w:rPr>
              <w:t>澄清</w:t>
            </w:r>
            <w:r>
              <w:rPr>
                <w:rFonts w:hint="eastAsia" w:ascii="宋体" w:hAnsi="宋体" w:cs="宋体"/>
                <w:color w:val="auto"/>
                <w:sz w:val="24"/>
                <w:szCs w:val="24"/>
                <w:highlight w:val="none"/>
                <w:lang w:eastAsia="zh-CN"/>
              </w:rPr>
              <w:t>和修改</w:t>
            </w:r>
          </w:p>
        </w:tc>
        <w:tc>
          <w:tcPr>
            <w:tcW w:w="6830" w:type="dxa"/>
            <w:vAlign w:val="center"/>
          </w:tcPr>
          <w:p w14:paraId="0B3D9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采购人、代理机构在投标截止时间前有权澄清修改、补充已发售的竞争性磋商文件。</w:t>
            </w:r>
          </w:p>
          <w:p w14:paraId="27296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竞争性磋商文件在投标截止时间前5日内对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04BA5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潜在供应商应随时关注“竞争性磋商公告”所述媒体相关项目信息，如有遗漏，后果自负。</w:t>
            </w:r>
          </w:p>
          <w:p w14:paraId="19C3F6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如果投标截止时间前的澄清修改补充发出的时间不满足供应商须知前附表规定时间，并且澄清修改补充内容影响响应文件编制的，采购人、代理机构可视采购具体情况延长投标截止时间和开标时间，并将在“竞争性磋商公告”所述媒体予以公告。</w:t>
            </w:r>
          </w:p>
        </w:tc>
      </w:tr>
      <w:tr w14:paraId="3B9D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051CF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宋体"/>
                <w:color w:val="auto"/>
                <w:sz w:val="24"/>
                <w:szCs w:val="24"/>
                <w:highlight w:val="none"/>
                <w:lang w:val="en-US" w:eastAsia="zh-CN"/>
              </w:rPr>
            </w:pPr>
            <w:bookmarkStart w:id="71" w:name="_Toc469902674"/>
            <w:bookmarkStart w:id="72" w:name="_Toc470076974"/>
            <w:r>
              <w:rPr>
                <w:rFonts w:hint="eastAsia" w:ascii="宋体" w:hAnsi="宋体" w:cs="宋体"/>
                <w:color w:val="auto"/>
                <w:sz w:val="24"/>
                <w:szCs w:val="24"/>
                <w:highlight w:val="none"/>
                <w:lang w:val="en-US" w:eastAsia="zh-CN"/>
              </w:rPr>
              <w:t>25</w:t>
            </w:r>
          </w:p>
        </w:tc>
        <w:tc>
          <w:tcPr>
            <w:tcW w:w="2385" w:type="dxa"/>
            <w:vAlign w:val="center"/>
          </w:tcPr>
          <w:p w14:paraId="1DC626D6">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质疑、投诉</w:t>
            </w:r>
          </w:p>
        </w:tc>
        <w:tc>
          <w:tcPr>
            <w:tcW w:w="6830" w:type="dxa"/>
            <w:vAlign w:val="center"/>
          </w:tcPr>
          <w:p w14:paraId="4E817CCE">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 w:leftChars="0" w:right="0" w:firstLine="2" w:firstLineChars="1"/>
              <w:textAlignment w:val="auto"/>
              <w:rPr>
                <w:rFonts w:hint="eastAsia" w:ascii="宋体" w:hAnsi="宋体" w:cs="宋体"/>
                <w:sz w:val="24"/>
              </w:rPr>
            </w:pPr>
            <w:r>
              <w:rPr>
                <w:rFonts w:hint="eastAsia" w:ascii="宋体" w:hAnsi="宋体" w:cs="宋体"/>
                <w:sz w:val="24"/>
              </w:rPr>
              <w:t>参与本次采购活动的供应商如有异议，可在各环节法定质疑期内向采购代理机构一次性提出针对该采购程序环节的书面质疑函，书面原件送达至采购代理机构相关部门（招标代理部：0371-68893199；地址：郑州市二七区兴华北街18号盛世经纬B座4楼413室）；依据法律法规规定，供应商提出质疑应当提交质疑函和有明确的请求及必要的证</w:t>
            </w:r>
            <w:r>
              <w:rPr>
                <w:rFonts w:hint="eastAsia" w:ascii="宋体" w:hAnsi="宋体" w:cs="宋体"/>
                <w:color w:val="auto"/>
                <w:sz w:val="24"/>
              </w:rPr>
              <w:t>明材料，应当包括下列内容：1、供应商的姓名或者名称、地址、邮编、联系人及联系</w:t>
            </w:r>
            <w:r>
              <w:rPr>
                <w:rFonts w:hint="eastAsia" w:ascii="宋体" w:hAnsi="宋体" w:cs="宋体"/>
                <w:sz w:val="24"/>
              </w:rPr>
              <w:t>电话；</w:t>
            </w:r>
          </w:p>
          <w:p w14:paraId="4AD1F433">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1" w:leftChars="0" w:right="0" w:firstLine="2" w:firstLineChars="1"/>
              <w:textAlignment w:val="auto"/>
              <w:rPr>
                <w:rFonts w:hint="eastAsia" w:ascii="宋体" w:hAnsi="宋体" w:cs="宋体"/>
                <w:sz w:val="24"/>
              </w:rPr>
            </w:pPr>
            <w:r>
              <w:rPr>
                <w:rFonts w:hint="eastAsia" w:ascii="宋体" w:hAnsi="宋体" w:eastAsia="宋体" w:cs="宋体"/>
                <w:kern w:val="0"/>
                <w:sz w:val="24"/>
                <w:szCs w:val="21"/>
                <w:lang w:val="en-US" w:eastAsia="zh-CN" w:bidi="ar-SA"/>
              </w:rPr>
              <w:t>2、</w:t>
            </w:r>
            <w:r>
              <w:rPr>
                <w:rFonts w:hint="eastAsia" w:ascii="宋体" w:hAnsi="宋体" w:cs="宋体"/>
                <w:sz w:val="24"/>
              </w:rPr>
              <w:t>质疑项目的名称、编号；</w:t>
            </w:r>
          </w:p>
          <w:p w14:paraId="4AADC747">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1" w:leftChars="0" w:right="0" w:firstLine="2" w:firstLineChars="1"/>
              <w:textAlignment w:val="auto"/>
              <w:rPr>
                <w:rFonts w:hint="eastAsia" w:ascii="宋体" w:hAnsi="宋体" w:cs="宋体"/>
                <w:sz w:val="24"/>
              </w:rPr>
            </w:pPr>
            <w:r>
              <w:rPr>
                <w:rFonts w:hint="eastAsia" w:ascii="宋体" w:hAnsi="宋体" w:cs="宋体"/>
                <w:sz w:val="24"/>
              </w:rPr>
              <w:t>3、具体、明确的质疑事项和与质疑事项相关的请求；</w:t>
            </w:r>
          </w:p>
          <w:p w14:paraId="6FB98369">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1" w:leftChars="0" w:right="0" w:firstLine="2" w:firstLineChars="1"/>
              <w:textAlignment w:val="auto"/>
              <w:rPr>
                <w:rFonts w:hint="eastAsia" w:ascii="宋体" w:hAnsi="宋体" w:cs="宋体"/>
                <w:sz w:val="24"/>
              </w:rPr>
            </w:pPr>
            <w:r>
              <w:rPr>
                <w:rFonts w:hint="eastAsia" w:ascii="宋体" w:hAnsi="宋体" w:cs="宋体"/>
                <w:sz w:val="24"/>
              </w:rPr>
              <w:t>4、事实依据；</w:t>
            </w:r>
          </w:p>
          <w:p w14:paraId="00CFDD3F">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1" w:leftChars="0" w:right="0" w:firstLine="2" w:firstLineChars="1"/>
              <w:textAlignment w:val="auto"/>
              <w:rPr>
                <w:rFonts w:hint="eastAsia" w:ascii="宋体" w:hAnsi="宋体" w:cs="宋体"/>
                <w:sz w:val="24"/>
              </w:rPr>
            </w:pPr>
            <w:r>
              <w:rPr>
                <w:rFonts w:hint="eastAsia" w:ascii="宋体" w:hAnsi="宋体" w:cs="宋体"/>
                <w:sz w:val="24"/>
              </w:rPr>
              <w:t>5、必要的法律依据；</w:t>
            </w:r>
          </w:p>
          <w:p w14:paraId="23616779">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1" w:leftChars="0" w:right="0" w:firstLine="2" w:firstLineChars="1"/>
              <w:textAlignment w:val="auto"/>
              <w:rPr>
                <w:rFonts w:hint="eastAsia" w:ascii="宋体" w:hAnsi="宋体" w:cs="宋体"/>
                <w:sz w:val="24"/>
              </w:rPr>
            </w:pPr>
            <w:r>
              <w:rPr>
                <w:rFonts w:hint="eastAsia" w:ascii="宋体" w:hAnsi="宋体" w:cs="宋体"/>
                <w:sz w:val="24"/>
              </w:rPr>
              <w:t>6、提出质疑的日期。</w:t>
            </w:r>
          </w:p>
          <w:p w14:paraId="4B365A15">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 w:leftChars="0" w:right="0" w:firstLine="2" w:firstLineChars="1"/>
              <w:textAlignment w:val="auto"/>
              <w:rPr>
                <w:rFonts w:hint="eastAsia" w:ascii="宋体" w:hAnsi="宋体" w:cs="宋体"/>
                <w:color w:val="auto"/>
                <w:sz w:val="24"/>
                <w:szCs w:val="24"/>
                <w:highlight w:val="none"/>
                <w:lang w:val="en-US" w:eastAsia="zh-CN"/>
              </w:rPr>
            </w:pPr>
            <w:r>
              <w:rPr>
                <w:rFonts w:hint="eastAsia" w:ascii="宋体" w:hAnsi="宋体" w:cs="宋体"/>
                <w:sz w:val="24"/>
              </w:rPr>
              <w:t>供应商为自然人的，应当由本人签字；供应商为法人或者其他组织的，应当由法定代表人、主要负责人或者其授权代表签字或者盖章，并加盖公章。如对采购代理机构的答复仍有异议的，可按磋商文件要求提出书面投诉。（具体程序按照《政府采购质疑和投诉办法》执行）</w:t>
            </w:r>
          </w:p>
        </w:tc>
      </w:tr>
      <w:tr w14:paraId="1C0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5FE45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2385" w:type="dxa"/>
            <w:vAlign w:val="center"/>
          </w:tcPr>
          <w:p w14:paraId="059F531E">
            <w:pPr>
              <w:keepNext w:val="0"/>
              <w:keepLines w:val="0"/>
              <w:pageBreakBefore w:val="0"/>
              <w:widowControl w:val="0"/>
              <w:suppressLineNumbers w:val="0"/>
              <w:tabs>
                <w:tab w:val="center" w:pos="1144"/>
                <w:tab w:val="right" w:pos="2169"/>
              </w:tab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本项目所属行业</w:t>
            </w:r>
          </w:p>
        </w:tc>
        <w:tc>
          <w:tcPr>
            <w:tcW w:w="6830" w:type="dxa"/>
            <w:vAlign w:val="center"/>
          </w:tcPr>
          <w:p w14:paraId="7CD8F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工业</w:t>
            </w:r>
          </w:p>
        </w:tc>
      </w:tr>
      <w:tr w14:paraId="34EE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0" w:type="dxa"/>
            <w:gridSpan w:val="3"/>
            <w:vAlign w:val="center"/>
          </w:tcPr>
          <w:p w14:paraId="549A4B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本项目竞争性磋商文件最终解释权归采购人所有。</w:t>
            </w:r>
            <w:bookmarkEnd w:id="71"/>
            <w:bookmarkEnd w:id="72"/>
          </w:p>
        </w:tc>
      </w:tr>
    </w:tbl>
    <w:p w14:paraId="6543A83C">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038FE962">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一、总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则</w:t>
      </w:r>
      <w:bookmarkEnd w:id="16"/>
    </w:p>
    <w:p w14:paraId="62AE55EC">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1．项目说明</w:t>
      </w:r>
    </w:p>
    <w:p w14:paraId="215214C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睢县妇幼保健院便携式彩超采购项目</w:t>
      </w:r>
      <w:r>
        <w:rPr>
          <w:rFonts w:hint="eastAsia" w:ascii="宋体" w:hAnsi="宋体" w:eastAsia="宋体" w:cs="宋体"/>
          <w:color w:val="auto"/>
          <w:sz w:val="24"/>
          <w:szCs w:val="24"/>
          <w:highlight w:val="none"/>
          <w:lang w:eastAsia="zh-CN"/>
        </w:rPr>
        <w:t>。</w:t>
      </w:r>
    </w:p>
    <w:p w14:paraId="5DB9F3B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本次招标采取竞争性磋商方式。本竞争性磋商文件仅适用于本次竞争性磋商公告中所述的“</w:t>
      </w:r>
      <w:r>
        <w:rPr>
          <w:rFonts w:hint="eastAsia" w:ascii="宋体" w:hAnsi="宋体" w:cs="宋体"/>
          <w:color w:val="auto"/>
          <w:sz w:val="24"/>
          <w:szCs w:val="24"/>
          <w:highlight w:val="none"/>
          <w:lang w:eastAsia="zh-CN"/>
        </w:rPr>
        <w:t>睢县妇幼保健院便携式彩超采购项目</w:t>
      </w:r>
      <w:r>
        <w:rPr>
          <w:rFonts w:hint="eastAsia" w:ascii="宋体" w:hAnsi="宋体" w:eastAsia="宋体" w:cs="宋体"/>
          <w:color w:val="auto"/>
          <w:sz w:val="24"/>
          <w:szCs w:val="24"/>
          <w:highlight w:val="none"/>
          <w:lang w:eastAsia="zh-CN"/>
        </w:rPr>
        <w:t>”。</w:t>
      </w:r>
    </w:p>
    <w:p w14:paraId="0C93498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资金来源：详见“供应商须知前附表”。</w:t>
      </w:r>
    </w:p>
    <w:p w14:paraId="5401E84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采购内容：</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详见“供应商须知前附表”。</w:t>
      </w:r>
    </w:p>
    <w:p w14:paraId="73E2FEC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r>
        <w:rPr>
          <w:rFonts w:hint="eastAsia" w:ascii="宋体" w:hAnsi="宋体" w:cs="宋体"/>
          <w:color w:val="auto"/>
          <w:sz w:val="24"/>
          <w:szCs w:val="24"/>
          <w:highlight w:val="none"/>
          <w:lang w:val="en-US" w:eastAsia="zh-CN"/>
        </w:rPr>
        <w:t xml:space="preserve"> 交货期</w:t>
      </w:r>
      <w:r>
        <w:rPr>
          <w:rFonts w:hint="eastAsia" w:ascii="宋体" w:hAnsi="宋体" w:eastAsia="宋体" w:cs="宋体"/>
          <w:color w:val="auto"/>
          <w:sz w:val="24"/>
          <w:szCs w:val="24"/>
          <w:highlight w:val="none"/>
          <w:lang w:eastAsia="zh-CN"/>
        </w:rPr>
        <w:t>：详见“供应商须知前附表”。</w:t>
      </w:r>
    </w:p>
    <w:p w14:paraId="7EDF00D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质量要求：详见“供应商须知前附表”。</w:t>
      </w:r>
    </w:p>
    <w:p w14:paraId="26289C84">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2．供应商资格要求</w:t>
      </w:r>
    </w:p>
    <w:p w14:paraId="4D1E2A5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供应商应具备承担本项目的资格条件。（详见供应商须知前附表）</w:t>
      </w:r>
    </w:p>
    <w:p w14:paraId="2B7885F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供应商不得存在下列情形之一：</w:t>
      </w:r>
    </w:p>
    <w:p w14:paraId="6970BED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（1）为采购人不具有独立法人资格的附属机构（单位）； </w:t>
      </w:r>
    </w:p>
    <w:p w14:paraId="44F0416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（2）被责令停业的； </w:t>
      </w:r>
    </w:p>
    <w:p w14:paraId="26E7CB4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（3）被暂停或取消投标资格的； </w:t>
      </w:r>
    </w:p>
    <w:p w14:paraId="02D80ED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（4）财产被接管或冻结的；</w:t>
      </w:r>
    </w:p>
    <w:p w14:paraId="5CAB9DF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（5）在最近三年内有骗取中标或严重违约或重大工程质量问题的。</w:t>
      </w:r>
    </w:p>
    <w:p w14:paraId="71306F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本项目不接受联合体投标。</w:t>
      </w:r>
    </w:p>
    <w:p w14:paraId="68930844">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3．费用承担</w:t>
      </w:r>
    </w:p>
    <w:p w14:paraId="5194179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供应商为参加投标做准备发生的费用和参加投标活动发生的一切费用自理。</w:t>
      </w:r>
    </w:p>
    <w:p w14:paraId="319028E9">
      <w:pPr>
        <w:keepNext w:val="0"/>
        <w:keepLines w:val="0"/>
        <w:pageBreakBefore w:val="0"/>
        <w:widowControl w:val="0"/>
        <w:numPr>
          <w:ilvl w:val="0"/>
          <w:numId w:val="0"/>
        </w:numPr>
        <w:tabs>
          <w:tab w:val="left" w:pos="2532"/>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bookmarkStart w:id="73" w:name="_Toc436423308"/>
    </w:p>
    <w:p w14:paraId="2F931147">
      <w:pPr>
        <w:keepNext w:val="0"/>
        <w:keepLines w:val="0"/>
        <w:pageBreakBefore w:val="0"/>
        <w:widowControl w:val="0"/>
        <w:numPr>
          <w:ilvl w:val="0"/>
          <w:numId w:val="0"/>
        </w:numPr>
        <w:tabs>
          <w:tab w:val="left" w:pos="2532"/>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二、竞争性磋商文件说明</w:t>
      </w:r>
      <w:bookmarkEnd w:id="73"/>
    </w:p>
    <w:p w14:paraId="10914008">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4．竞争性磋商文件构成</w:t>
      </w:r>
    </w:p>
    <w:p w14:paraId="32368D8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竞争性磋商文件由下述部分组成：</w:t>
      </w:r>
    </w:p>
    <w:p w14:paraId="43ACA11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（1）竞争性磋商公告</w:t>
      </w:r>
    </w:p>
    <w:p w14:paraId="68C4844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（2）供应商须知</w:t>
      </w:r>
    </w:p>
    <w:p w14:paraId="3AD8E78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（3）评标办法</w:t>
      </w:r>
    </w:p>
    <w:p w14:paraId="7B40518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（4）合同条款及格式（参考文本）</w:t>
      </w:r>
    </w:p>
    <w:p w14:paraId="1FBF03F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（5）采购需求</w:t>
      </w:r>
    </w:p>
    <w:p w14:paraId="324FE53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（6）响应文件格式。</w:t>
      </w:r>
    </w:p>
    <w:p w14:paraId="3690308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供应商应详细阅读竞争性磋商文件中所有各项条款的内容、格式、表格、条件和所涉及的相关规范，不按竞争性磋商文件的要求提供响应文件和资料，可能导致响应文件不被接受，其后果由供应商自己负责。</w:t>
      </w:r>
    </w:p>
    <w:p w14:paraId="6F9812C8">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bookmarkStart w:id="74" w:name="_Toc436423309"/>
      <w:r>
        <w:rPr>
          <w:rFonts w:hint="eastAsia" w:ascii="宋体" w:hAnsi="宋体" w:eastAsia="宋体" w:cs="宋体"/>
          <w:b/>
          <w:bCs/>
          <w:color w:val="auto"/>
          <w:sz w:val="24"/>
          <w:szCs w:val="24"/>
          <w:highlight w:val="none"/>
          <w:lang w:eastAsia="zh-CN"/>
        </w:rPr>
        <w:t>5．竞争性磋商文件的澄清及修改</w:t>
      </w:r>
    </w:p>
    <w:p w14:paraId="3BC1743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5.1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采购人、代理机构在投标截止时间前有权澄清修改、补充已发售的竞争性磋商文件。</w:t>
      </w:r>
    </w:p>
    <w:p w14:paraId="2DD28A9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5.2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竞争性磋商文件在投标截止时间前</w:t>
      </w:r>
      <w:r>
        <w:rPr>
          <w:rFonts w:hint="eastAsia" w:ascii="宋体" w:hAnsi="宋体" w:eastAsia="宋体" w:cs="宋体"/>
          <w:color w:val="auto"/>
          <w:sz w:val="24"/>
          <w:szCs w:val="24"/>
          <w:highlight w:val="none"/>
          <w:lang w:eastAsia="zh-CN"/>
        </w:rPr>
        <w:t>5日内对</w:t>
      </w:r>
      <w:r>
        <w:rPr>
          <w:rFonts w:hint="eastAsia" w:ascii="宋体" w:hAnsi="宋体" w:eastAsia="宋体" w:cs="宋体"/>
          <w:color w:val="auto"/>
          <w:sz w:val="24"/>
          <w:szCs w:val="24"/>
          <w:highlight w:val="none"/>
          <w:lang w:val="zh-CN" w:eastAsia="zh-CN"/>
        </w:rPr>
        <w:t>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7E30FCE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5.3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潜在供应商应随时关注“竞争性磋商公告”所述媒体相关项目信息，如有遗漏，后果自负。</w:t>
      </w:r>
    </w:p>
    <w:p w14:paraId="614674C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如果投标截止时间前的澄清修改补充发出的时间不满足供应商须知前附规定时间，并且澄清修改补充内容影响响应文件编制的，采购人、代理机构可视采购具体情况延长投标截止时间和开标时间，并将在“竞争性磋商公告”所述媒体予以公告。</w:t>
      </w:r>
    </w:p>
    <w:p w14:paraId="111E16BB">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02313902">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2811" w:firstLineChars="1000"/>
        <w:jc w:val="both"/>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三、响应文件的编写</w:t>
      </w:r>
      <w:bookmarkEnd w:id="74"/>
    </w:p>
    <w:p w14:paraId="3679D7FE">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6．要求</w:t>
      </w:r>
    </w:p>
    <w:p w14:paraId="63ED407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供应商应仔细阅读竞争性磋商文件的所有内容，按竞争性磋商文件的要求提供并保证所提供的全部资料的真实性，并对本竞争性磋商文件要求的实质性内容做出响应。</w:t>
      </w:r>
    </w:p>
    <w:p w14:paraId="56B86B2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所有计量均采用中华人民共和国法定计量单位。</w:t>
      </w:r>
    </w:p>
    <w:p w14:paraId="787DFB4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供应商准备和参加投标活动发生的费用自理。</w:t>
      </w:r>
    </w:p>
    <w:p w14:paraId="0563A51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6.4 除专用术语外，与招标投标有关的语言均使用中文。必要时专用术语应附有中文注释。</w:t>
      </w:r>
    </w:p>
    <w:p w14:paraId="6D74390C">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7．响应文件的组成及格式</w:t>
      </w:r>
    </w:p>
    <w:p w14:paraId="49B9D3B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b w:val="0"/>
          <w:bCs/>
          <w:color w:val="auto"/>
          <w:sz w:val="24"/>
          <w:szCs w:val="24"/>
          <w:highlight w:val="none"/>
        </w:rPr>
      </w:pPr>
      <w:r>
        <w:rPr>
          <w:rFonts w:hint="eastAsia" w:ascii="宋体" w:hAnsi="宋体" w:eastAsia="宋体" w:cs="宋体"/>
          <w:color w:val="auto"/>
          <w:sz w:val="24"/>
          <w:szCs w:val="24"/>
          <w:highlight w:val="none"/>
          <w:lang w:eastAsia="zh-CN"/>
        </w:rPr>
        <w:t>响应文件应包括下列部分：</w:t>
      </w:r>
    </w:p>
    <w:p w14:paraId="5608A1E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b w:val="0"/>
          <w:bCs/>
          <w:color w:val="auto"/>
          <w:sz w:val="24"/>
          <w:szCs w:val="24"/>
          <w:highlight w:val="none"/>
        </w:rPr>
        <w:t>投标</w:t>
      </w:r>
      <w:r>
        <w:rPr>
          <w:rFonts w:hint="eastAsia" w:ascii="宋体"/>
          <w:b w:val="0"/>
          <w:bCs/>
          <w:color w:val="auto"/>
          <w:sz w:val="24"/>
          <w:szCs w:val="24"/>
          <w:highlight w:val="none"/>
          <w:lang w:eastAsia="zh-CN"/>
        </w:rPr>
        <w:t>函</w:t>
      </w:r>
    </w:p>
    <w:p w14:paraId="21BF4CC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b w:val="0"/>
          <w:bCs/>
          <w:color w:val="auto"/>
          <w:sz w:val="24"/>
          <w:szCs w:val="24"/>
          <w:highlight w:val="none"/>
        </w:rPr>
        <w:t>法定代表人身份证明或附有法定代表人身份证明的企业法定代表人授权书</w:t>
      </w:r>
    </w:p>
    <w:p w14:paraId="5AFEFB7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eastAsia="zh-CN"/>
        </w:rPr>
        <w:t>开</w:t>
      </w:r>
      <w:r>
        <w:rPr>
          <w:rFonts w:hint="eastAsia" w:ascii="宋体" w:hAnsi="宋体" w:eastAsia="宋体" w:cs="宋体"/>
          <w:color w:val="auto"/>
          <w:sz w:val="24"/>
          <w:szCs w:val="24"/>
          <w:highlight w:val="none"/>
          <w:lang w:eastAsia="zh-CN"/>
        </w:rPr>
        <w:t>标一览表</w:t>
      </w:r>
    </w:p>
    <w:p w14:paraId="49BA202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b w:val="0"/>
          <w:bCs/>
          <w:color w:val="auto"/>
          <w:sz w:val="24"/>
          <w:szCs w:val="24"/>
          <w:highlight w:val="none"/>
        </w:rPr>
        <w:t>技术规格响应表</w:t>
      </w:r>
    </w:p>
    <w:p w14:paraId="78CB1A4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b w:val="0"/>
          <w:bCs/>
          <w:color w:val="auto"/>
          <w:sz w:val="24"/>
          <w:szCs w:val="24"/>
          <w:highlight w:val="none"/>
        </w:rPr>
        <w:t>投标承诺函</w:t>
      </w:r>
    </w:p>
    <w:p w14:paraId="1DB3FF5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b w:val="0"/>
          <w:bCs/>
          <w:color w:val="auto"/>
          <w:sz w:val="24"/>
          <w:szCs w:val="24"/>
          <w:highlight w:val="none"/>
        </w:rPr>
        <w:t>资格证明材料</w:t>
      </w:r>
    </w:p>
    <w:p w14:paraId="4A59E1A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b w:val="0"/>
          <w:bCs/>
          <w:color w:val="auto"/>
          <w:sz w:val="24"/>
          <w:szCs w:val="24"/>
          <w:highlight w:val="none"/>
        </w:rPr>
        <w:t>商务部分资料</w:t>
      </w:r>
    </w:p>
    <w:p w14:paraId="0A0AB2D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b w:val="0"/>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b w:val="0"/>
          <w:bCs/>
          <w:color w:val="auto"/>
          <w:sz w:val="24"/>
          <w:szCs w:val="24"/>
          <w:highlight w:val="none"/>
        </w:rPr>
        <w:t>技术部分资料</w:t>
      </w:r>
    </w:p>
    <w:p w14:paraId="71E7084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eastAsia="宋体"/>
          <w:lang w:val="en-US" w:eastAsia="zh-CN"/>
        </w:rPr>
      </w:pPr>
      <w:r>
        <w:rPr>
          <w:rFonts w:hint="eastAsia" w:ascii="宋体"/>
          <w:b w:val="0"/>
          <w:bCs/>
          <w:color w:val="auto"/>
          <w:sz w:val="24"/>
          <w:szCs w:val="24"/>
          <w:highlight w:val="none"/>
          <w:lang w:eastAsia="zh-CN"/>
        </w:rPr>
        <w:t>（</w:t>
      </w:r>
      <w:r>
        <w:rPr>
          <w:rFonts w:hint="eastAsia" w:ascii="宋体"/>
          <w:b w:val="0"/>
          <w:bCs/>
          <w:color w:val="auto"/>
          <w:sz w:val="24"/>
          <w:szCs w:val="24"/>
          <w:highlight w:val="none"/>
          <w:lang w:val="en-US" w:eastAsia="zh-CN"/>
        </w:rPr>
        <w:t>9</w:t>
      </w:r>
      <w:r>
        <w:rPr>
          <w:rFonts w:hint="eastAsia" w:ascii="宋体"/>
          <w:b w:val="0"/>
          <w:bCs/>
          <w:color w:val="auto"/>
          <w:sz w:val="24"/>
          <w:szCs w:val="24"/>
          <w:highlight w:val="none"/>
          <w:lang w:eastAsia="zh-CN"/>
        </w:rPr>
        <w:t>）</w:t>
      </w:r>
      <w:r>
        <w:rPr>
          <w:rFonts w:hint="eastAsia" w:ascii="宋体"/>
          <w:b w:val="0"/>
          <w:bCs/>
          <w:color w:val="auto"/>
          <w:sz w:val="24"/>
          <w:szCs w:val="24"/>
          <w:highlight w:val="none"/>
        </w:rPr>
        <w:t>其他资料</w:t>
      </w:r>
      <w:r>
        <w:rPr>
          <w:rFonts w:hint="eastAsia" w:ascii="宋体"/>
          <w:b w:val="0"/>
          <w:bCs/>
          <w:color w:val="auto"/>
          <w:sz w:val="24"/>
          <w:szCs w:val="24"/>
          <w:highlight w:val="none"/>
          <w:lang w:eastAsia="zh-CN"/>
        </w:rPr>
        <w:t>。</w:t>
      </w:r>
    </w:p>
    <w:p w14:paraId="15CFD7BB">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8．报价 </w:t>
      </w:r>
    </w:p>
    <w:p w14:paraId="6207C8B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项目采用二次报价的磋商方式采购，第一轮报价应当按照磋商文件的报价格式（第一次报价一览表见第六章响应文件格式及附表）填报，第二轮报价在磋商中填报，第二次报价按要求在规定的时间内在现场进行填写，第二次报价为最终报价；磋商中的报价均不应超过前次报价，最终报价将作为供应商磋商文件的评审依据。</w:t>
      </w:r>
    </w:p>
    <w:p w14:paraId="6534CD2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供应商应按响应文件格式的要求填写相应表格。</w:t>
      </w:r>
    </w:p>
    <w:p w14:paraId="62924A3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投标报价为完成本项目所需的全部费用。</w:t>
      </w:r>
    </w:p>
    <w:p w14:paraId="55BCA4C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本项目供应商的投标报价不得高于采购预算价；高于该范围的投标报价按无效标处理。</w:t>
      </w:r>
    </w:p>
    <w:p w14:paraId="5780EBED">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9．响应文件的编制</w:t>
      </w:r>
    </w:p>
    <w:p w14:paraId="3906AF5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bookmarkStart w:id="75" w:name="_Toc25410"/>
      <w:bookmarkStart w:id="76" w:name="_Toc428276591"/>
      <w:bookmarkStart w:id="77" w:name="_Toc29324"/>
      <w:r>
        <w:rPr>
          <w:rFonts w:hint="eastAsia" w:ascii="宋体" w:hAnsi="宋体" w:eastAsia="宋体" w:cs="宋体"/>
          <w:color w:val="auto"/>
          <w:sz w:val="24"/>
          <w:szCs w:val="24"/>
          <w:highlight w:val="none"/>
          <w:lang w:eastAsia="zh-CN"/>
        </w:rPr>
        <w:t>9.1 供应商应当按照磋商文件的要求编制响应文件。响应文件应当对磋商文件提出的要求和条件作出明确投标。</w:t>
      </w:r>
    </w:p>
    <w:p w14:paraId="7B2316B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 响应文件所提供的全部数据、材料必须真实可靠。若响应文件提供的内容数据、材料不详，或提供了虚假数据、材料，采购人及评审小组有权据此对其做无效投标处理。</w:t>
      </w:r>
    </w:p>
    <w:p w14:paraId="01D50BC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eastAsia="zh-CN"/>
        </w:rPr>
        <w:t>9.3 响应文件应按“响应文件格式”进行编写，如有必要，可以增加附页，作为响应文件的组成部分。对于没有格式要求的，响应文件由供应商自行编写。其中，响应文件在满足磋商文件实质性要求的基础上，可以提出比磋商文件要求更有利于采购人的承诺。</w:t>
      </w:r>
    </w:p>
    <w:bookmarkEnd w:id="75"/>
    <w:bookmarkEnd w:id="76"/>
    <w:bookmarkEnd w:id="77"/>
    <w:p w14:paraId="1F4E7E2E">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10.投标有效期</w:t>
      </w:r>
    </w:p>
    <w:p w14:paraId="1EAF0CE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竞争性磋商文件从开标之日起开始生效，投标有效期为60日历天。 </w:t>
      </w:r>
    </w:p>
    <w:p w14:paraId="44051A6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在采购人决定的包括推迟的截止日期内，各供应商的投标均保持有效。</w:t>
      </w:r>
    </w:p>
    <w:p w14:paraId="7EF7D4D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在特殊情况下，采购人可征求供应商同意延长投标有效期，这种要求和答复均应以信函、传真等书面形式提交。同意延长投标有效期的供应商不需要也不允许修改其响应文件。</w:t>
      </w:r>
    </w:p>
    <w:p w14:paraId="55C6F531">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bookmarkStart w:id="78" w:name="_Toc436423310"/>
    </w:p>
    <w:p w14:paraId="1799F466">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四、响应文件的递交</w:t>
      </w:r>
      <w:bookmarkEnd w:id="78"/>
    </w:p>
    <w:p w14:paraId="681168C7">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11.响应文件的递交</w:t>
      </w:r>
    </w:p>
    <w:p w14:paraId="060AD36A">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 响应文件应按“正本”、“副本”“电子版”</w:t>
      </w:r>
      <w:r>
        <w:rPr>
          <w:rFonts w:hint="eastAsia" w:ascii="宋体" w:hAnsi="宋体" w:cs="宋体"/>
          <w:color w:val="auto"/>
          <w:sz w:val="24"/>
          <w:szCs w:val="24"/>
          <w:highlight w:val="none"/>
          <w:lang w:eastAsia="zh-CN"/>
        </w:rPr>
        <w:t>分开</w:t>
      </w:r>
      <w:r>
        <w:rPr>
          <w:rFonts w:hint="eastAsia" w:ascii="宋体" w:hAnsi="宋体" w:eastAsia="宋体" w:cs="宋体"/>
          <w:color w:val="auto"/>
          <w:sz w:val="24"/>
          <w:szCs w:val="24"/>
          <w:highlight w:val="none"/>
          <w:lang w:eastAsia="zh-CN"/>
        </w:rPr>
        <w:t>进行包装并加贴封条，并在封套的封口处加盖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公章及法定代表人签名或盖章（或代理人签名），密封袋上清楚的标明“正本”、“副本”、“电子版”字样。</w:t>
      </w:r>
    </w:p>
    <w:p w14:paraId="50693C42">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响应文件封套上必须清楚写明项目的名称、采购编号、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全称及联系电话；</w:t>
      </w:r>
      <w:r>
        <w:rPr>
          <w:rFonts w:hint="eastAsia" w:ascii="宋体" w:hAnsi="宋体" w:eastAsia="宋体" w:cs="宋体"/>
          <w:color w:val="auto"/>
          <w:sz w:val="24"/>
          <w:szCs w:val="24"/>
          <w:highlight w:val="none"/>
          <w:lang w:val="en-US" w:eastAsia="zh-CN"/>
        </w:rPr>
        <w:t>注明竞争性磋商公告中指明的项目名称“在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分(磋商日期、时间)之前不得启封”的字样。</w:t>
      </w:r>
    </w:p>
    <w:p w14:paraId="0E446EA5">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响应文件的装订要求：正本、副本按本文件要求胶装成册。</w:t>
      </w:r>
    </w:p>
    <w:p w14:paraId="4687DA38">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w:t>
      </w:r>
      <w:r>
        <w:rPr>
          <w:rFonts w:hint="eastAsia" w:ascii="宋体" w:hAnsi="宋体" w:cs="宋体"/>
          <w:color w:val="auto"/>
          <w:sz w:val="24"/>
          <w:szCs w:val="24"/>
          <w:highlight w:val="none"/>
          <w:lang w:val="en-US" w:eastAsia="zh-CN"/>
        </w:rPr>
        <w:t xml:space="preserve"> 供应商</w:t>
      </w:r>
      <w:r>
        <w:rPr>
          <w:rFonts w:hint="eastAsia" w:ascii="宋体" w:hAnsi="宋体" w:eastAsia="宋体" w:cs="宋体"/>
          <w:color w:val="auto"/>
          <w:sz w:val="24"/>
          <w:szCs w:val="24"/>
          <w:highlight w:val="none"/>
          <w:lang w:val="en-US" w:eastAsia="zh-CN"/>
        </w:rPr>
        <w:t>应在竞争性磋商公告中规定的截止日期和时间前按照文件规定要求递交，逾期递交的响应文件，采购人不予受理。</w:t>
      </w:r>
    </w:p>
    <w:p w14:paraId="7F9B6395">
      <w:pPr>
        <w:pStyle w:val="27"/>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pacing w:val="0"/>
          <w:kern w:val="2"/>
          <w:sz w:val="24"/>
          <w:szCs w:val="24"/>
          <w:highlight w:val="none"/>
          <w:lang w:val="en-US" w:eastAsia="zh-CN" w:bidi="ar-SA"/>
        </w:rPr>
        <w:t>11.5</w:t>
      </w:r>
      <w:r>
        <w:rPr>
          <w:rFonts w:hint="eastAsia" w:ascii="宋体" w:hAnsi="宋体" w:cs="宋体"/>
          <w:color w:val="auto"/>
          <w:spacing w:val="0"/>
          <w:kern w:val="2"/>
          <w:sz w:val="24"/>
          <w:szCs w:val="24"/>
          <w:highlight w:val="none"/>
          <w:lang w:val="en-US" w:eastAsia="zh-CN" w:bidi="ar-SA"/>
        </w:rPr>
        <w:t xml:space="preserve"> </w:t>
      </w:r>
      <w:r>
        <w:rPr>
          <w:rFonts w:hint="eastAsia" w:ascii="宋体" w:hAnsi="宋体" w:eastAsia="宋体" w:cs="宋体"/>
          <w:color w:val="auto"/>
          <w:spacing w:val="0"/>
          <w:kern w:val="2"/>
          <w:sz w:val="24"/>
          <w:szCs w:val="24"/>
          <w:highlight w:val="none"/>
          <w:lang w:val="en-US" w:eastAsia="zh-CN" w:bidi="ar-SA"/>
        </w:rPr>
        <w:t>未按本章第11.1项或第11.2项要求密封和加写标识的投标文件，采购人不予受理。</w:t>
      </w:r>
    </w:p>
    <w:p w14:paraId="35EAA40A">
      <w:pPr>
        <w:widowControl/>
        <w:shd w:val="clear" w:color="auto" w:fill="FFFFFF"/>
        <w:spacing w:line="5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12.响应文件的修改与撤回</w:t>
      </w:r>
    </w:p>
    <w:p w14:paraId="5DFC681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供应商在投标截止时间前，可以对所递交的响应文件进行补充、修改或者撤回，补充、修改的内容应当按照磋商文件要求签署、盖章、密封后，作为响应文件的组成部分。</w:t>
      </w:r>
    </w:p>
    <w:p w14:paraId="1675CDC9">
      <w:pPr>
        <w:keepNext w:val="0"/>
        <w:keepLines w:val="0"/>
        <w:pageBreakBefore w:val="0"/>
        <w:widowControl w:val="0"/>
        <w:numPr>
          <w:ilvl w:val="0"/>
          <w:numId w:val="0"/>
        </w:numPr>
        <w:tabs>
          <w:tab w:val="left" w:pos="3477"/>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p>
    <w:p w14:paraId="3D7790C7">
      <w:pPr>
        <w:keepNext w:val="0"/>
        <w:keepLines w:val="0"/>
        <w:pageBreakBefore w:val="0"/>
        <w:widowControl w:val="0"/>
        <w:numPr>
          <w:ilvl w:val="0"/>
          <w:numId w:val="0"/>
        </w:numPr>
        <w:tabs>
          <w:tab w:val="left" w:pos="3477"/>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五、磋商</w:t>
      </w:r>
    </w:p>
    <w:p w14:paraId="3819C847">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13.磋商会议</w:t>
      </w:r>
    </w:p>
    <w:p w14:paraId="29C2D5A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将在“供应商须知前附表”规定的时间和地点组织磋商会议，供应商的法定代表人或其委托的代理人应携带有效证件准时参加；如为代理人参加的，还需提供有效的法定代表人的授权委托书。否则将否决其投标。</w:t>
      </w:r>
    </w:p>
    <w:p w14:paraId="4D6040B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.2 磋商会议</w:t>
      </w:r>
    </w:p>
    <w:p w14:paraId="7905F79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主持人按下列程序进行：</w:t>
      </w:r>
    </w:p>
    <w:p w14:paraId="50E4054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（1）宣读磋商会纪律；</w:t>
      </w:r>
    </w:p>
    <w:p w14:paraId="73BA552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（2）公布在投标截止时间前递交响应文件的供应商名称；</w:t>
      </w:r>
    </w:p>
    <w:p w14:paraId="02B0BC3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（3）宣布招标（代理）人、监督人等有关单位或人员姓名；</w:t>
      </w:r>
    </w:p>
    <w:p w14:paraId="4CD6B49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（4）在监督人监督下，由采购人或供应商推选的代表检查响应文件的密封情况并予以签字确认；</w:t>
      </w:r>
    </w:p>
    <w:p w14:paraId="6C30ADD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zh-CN" w:eastAsia="zh-CN"/>
        </w:rPr>
        <w:t>.3 在磋商过程中，有效投标应在三家以上（包括三家）；有效投标不足三家的应予终止（流标）。</w:t>
      </w:r>
    </w:p>
    <w:p w14:paraId="6FE7B2F0">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14.磋商小组</w:t>
      </w:r>
    </w:p>
    <w:p w14:paraId="585D801D">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磋商小组由评审专家3人组成；开标前从相关评标专家库中随机抽取。</w:t>
      </w:r>
    </w:p>
    <w:p w14:paraId="77677DB7">
      <w:pPr>
        <w:pStyle w:val="43"/>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14.2</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磋商小组成员有下列情形之一的，应当回避：</w:t>
      </w:r>
    </w:p>
    <w:p w14:paraId="29309D9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）投标人的在职人员；</w:t>
      </w:r>
    </w:p>
    <w:p w14:paraId="4846549F">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）投标人或者投标人主要负责人的近亲属；</w:t>
      </w:r>
    </w:p>
    <w:p w14:paraId="326A7594">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）与投标人有其他利害关系，可能影响公正评标的；</w:t>
      </w:r>
    </w:p>
    <w:p w14:paraId="6CCEE06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）招标项目主管部门或者对项目招标投标活动具有监督管理职责的行政监督部门的工作人员；</w:t>
      </w:r>
    </w:p>
    <w:p w14:paraId="1C9D939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）招标项目代理机构的在职人员；</w:t>
      </w:r>
    </w:p>
    <w:p w14:paraId="1EE7E734">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）法律、法规和规章规定的其他情形。</w:t>
      </w:r>
    </w:p>
    <w:p w14:paraId="2F515E77">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15.评标原则</w:t>
      </w:r>
    </w:p>
    <w:p w14:paraId="3452698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公平、公正、科学、择优。</w:t>
      </w:r>
    </w:p>
    <w:p w14:paraId="117A7F84">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16.评标纪律</w:t>
      </w:r>
    </w:p>
    <w:p w14:paraId="241082E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磋商小组成员和服务评标工作的有关人员不得透露对响应文件的评审和比较、成交候选供应商的推荐情况以及与评标有关的其他情况。</w:t>
      </w:r>
    </w:p>
    <w:p w14:paraId="217A56B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任何供应商均不得对其投标有关的问题与磋商小组成员发生联系。如果供应商试图对磋商小组的评标施加影响，则将导致其响应文件被拒绝。</w:t>
      </w:r>
    </w:p>
    <w:p w14:paraId="38646185">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17.响应文件有下列情况之一者，其投标将按废标处理：</w:t>
      </w:r>
    </w:p>
    <w:p w14:paraId="32A1743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响应文件未按规定加盖供应商公章或无法定代表人或授权代表人签字盖章的。</w:t>
      </w:r>
    </w:p>
    <w:p w14:paraId="4AF2C7F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合同履行期限超过磋商文件要求，采购人不能接受的。</w:t>
      </w:r>
    </w:p>
    <w:p w14:paraId="1FF9DB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响应文件附有采购人不能接受的条件的。</w:t>
      </w:r>
    </w:p>
    <w:p w14:paraId="6A8CC0D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不符合磋商文件中规定的其他实质性要求的。</w:t>
      </w:r>
    </w:p>
    <w:p w14:paraId="261D12A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在评标过程中，磋商小组发现供应商以他人的名义投标、串通投标或者以其他弄虚作假方式投标的。</w:t>
      </w:r>
    </w:p>
    <w:p w14:paraId="032E7F4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评标过程中，磋商小组发现供应商的投标报价明显低于其他投标报价，使得其投标报价可能低于其个别成本的，应当要求该供应商作出书面说明并提供相关证明材料。供应商不能合理说明或者不能提供相关证明材料的，由磋商小组认定该供应商以低于成本价竞标。其响应文件按废标处理。</w:t>
      </w:r>
    </w:p>
    <w:p w14:paraId="3FA36DFC">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18.响应文件的评价与比较</w:t>
      </w:r>
    </w:p>
    <w:p w14:paraId="4B175EF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 磋商小组将仅对按照磋商文件第17条款被确定为实质上响应磋商文件要求的响应文件进行详细评审。</w:t>
      </w:r>
    </w:p>
    <w:p w14:paraId="04A82E9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 在评标时不考虑合同条款中的价格调整规定在合同实施过程中所起的作用。</w:t>
      </w:r>
    </w:p>
    <w:p w14:paraId="42E15AB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 评标时，投标报价是评标的重要依据，但不是唯一依据。</w:t>
      </w:r>
    </w:p>
    <w:p w14:paraId="70068B80">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19.响应文件的澄清</w:t>
      </w:r>
    </w:p>
    <w:p w14:paraId="4963EDB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了有助于响应文件的审查、评价和比较，根据需要，磋商小组可以要求供应商对响应文件中含义不明确的内容做必要的澄清或说明。但是澄清或说明不得超出响应文件的范围或者改变响应文件的实质性内容。澄清的要求和供应商的答复均应采取书面形式。供应商的答复必须经法定代表人或法定代表人授权代表签字，并作为响应文件的组成部分。</w:t>
      </w:r>
    </w:p>
    <w:p w14:paraId="1A5BDE49">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20.评标</w:t>
      </w:r>
    </w:p>
    <w:p w14:paraId="4E10C9F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本项目评标办法按照《政府采购竞争性磋商采购方式管理暂行办法》，结合本项目具体情况制订。</w:t>
      </w:r>
    </w:p>
    <w:p w14:paraId="3085E071">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21.磋商程序及定标</w:t>
      </w:r>
    </w:p>
    <w:p w14:paraId="7A3E066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磋商小组按照磋商文件中的评标原则、评标程序及评分标准评定供应商名次。</w:t>
      </w:r>
    </w:p>
    <w:p w14:paraId="025C4C4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21.2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磋商小组起草评标报告，向采购人推荐</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名成交候选供应商。采购人原则上应按磋商小组依法推荐的成交候选供应商顺序确定成交供应商。若前位成交候选供应商不再响应磋商文件或确有重大实质性问题,可以按顺序向下确定成交供应商，也可以重新招标。</w:t>
      </w:r>
    </w:p>
    <w:p w14:paraId="1767D4A4">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3A277985">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3373" w:firstLineChars="1200"/>
        <w:jc w:val="both"/>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六、授予合同</w:t>
      </w:r>
    </w:p>
    <w:p w14:paraId="3100463B">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22.合同授予标准</w:t>
      </w:r>
    </w:p>
    <w:p w14:paraId="785C5BD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采购人将把合同授予响应文件实质上响应磋商文件且具有合理投标价格的评委推荐的成交供应商。</w:t>
      </w:r>
    </w:p>
    <w:p w14:paraId="012F8EE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采购人在与成交供应商签订合同时，保留对货物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予以增减的权力，但不得对单价或其他的条款和条件做任何改变。</w:t>
      </w:r>
    </w:p>
    <w:p w14:paraId="536640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如果在规定的时间内成交供应商不能完成合同内容，采购人将选择第二成交候选供应商完成合同内容，并赔偿采购人相关损失。</w:t>
      </w:r>
    </w:p>
    <w:p w14:paraId="3CD63D6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成交供应商无正当理由拒签合同的，采购人取消其中标资格；给采购人造成损失的，成交供应商还应当予以赔偿。成交供应商和采购人不得私下订立背离合同实质性内容的协议，不得变更竞争性磋商文件和响应文件的实质性内容。</w:t>
      </w:r>
    </w:p>
    <w:p w14:paraId="16EB6A42">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23.</w:t>
      </w:r>
      <w:r>
        <w:rPr>
          <w:rFonts w:hint="eastAsia" w:ascii="宋体"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eastAsia="zh-CN"/>
        </w:rPr>
        <w:t>通知</w:t>
      </w:r>
    </w:p>
    <w:p w14:paraId="1AC96BE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在投标有效期内确定成交供应商后，采购人以书面形式通知成交供应商。</w:t>
      </w:r>
    </w:p>
    <w:p w14:paraId="3CE9AB6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23.2成交通知书是合同的组成部分。</w:t>
      </w:r>
    </w:p>
    <w:p w14:paraId="20A417A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23.3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对未</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的供应商，不做任何未</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原因的解释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所有响应文件不予退还。</w:t>
      </w:r>
    </w:p>
    <w:p w14:paraId="1BE51812">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24.合同的签署</w:t>
      </w:r>
    </w:p>
    <w:p w14:paraId="0061E2F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highlight w:val="none"/>
        </w:rPr>
        <w:t>成交供应商</w:t>
      </w:r>
      <w:r>
        <w:rPr>
          <w:rFonts w:hint="eastAsia" w:ascii="宋体" w:hAnsi="宋体" w:eastAsia="宋体" w:cs="宋体"/>
          <w:bCs/>
          <w:color w:val="auto"/>
          <w:sz w:val="24"/>
          <w:highlight w:val="none"/>
          <w:lang w:eastAsia="zh-CN"/>
        </w:rPr>
        <w:t>应当在</w:t>
      </w:r>
      <w:r>
        <w:rPr>
          <w:rFonts w:hint="eastAsia" w:ascii="宋体" w:hAnsi="宋体" w:eastAsia="宋体" w:cs="宋体"/>
          <w:bCs/>
          <w:color w:val="auto"/>
          <w:sz w:val="24"/>
          <w:highlight w:val="none"/>
        </w:rPr>
        <w:t>领取《成交通知书》之日起</w:t>
      </w:r>
      <w:r>
        <w:rPr>
          <w:rFonts w:hint="eastAsia" w:ascii="宋体" w:hAnsi="宋体" w:eastAsia="宋体" w:cs="宋体"/>
          <w:bCs/>
          <w:color w:val="auto"/>
          <w:sz w:val="24"/>
          <w:highlight w:val="none"/>
          <w:lang w:val="en-US" w:eastAsia="zh-CN"/>
        </w:rPr>
        <w:t>30日</w:t>
      </w:r>
      <w:r>
        <w:rPr>
          <w:rFonts w:hint="eastAsia" w:ascii="宋体" w:hAnsi="宋体" w:eastAsia="宋体" w:cs="宋体"/>
          <w:bCs/>
          <w:color w:val="auto"/>
          <w:sz w:val="24"/>
          <w:highlight w:val="none"/>
        </w:rPr>
        <w:t>内，按照</w:t>
      </w:r>
      <w:r>
        <w:rPr>
          <w:rFonts w:hint="eastAsia" w:ascii="宋体" w:hAnsi="宋体" w:eastAsia="宋体" w:cs="宋体"/>
          <w:bCs/>
          <w:color w:val="auto"/>
          <w:sz w:val="24"/>
          <w:highlight w:val="none"/>
          <w:lang w:val="en-US" w:eastAsia="zh-CN"/>
        </w:rPr>
        <w:t>磋商</w:t>
      </w:r>
      <w:r>
        <w:rPr>
          <w:rFonts w:hint="eastAsia" w:ascii="宋体" w:hAnsi="宋体" w:eastAsia="宋体" w:cs="宋体"/>
          <w:bCs/>
          <w:color w:val="auto"/>
          <w:sz w:val="24"/>
          <w:highlight w:val="none"/>
          <w:lang w:eastAsia="zh-CN"/>
        </w:rPr>
        <w:t>文件</w:t>
      </w:r>
      <w:r>
        <w:rPr>
          <w:rFonts w:hint="eastAsia" w:ascii="宋体" w:hAnsi="宋体" w:eastAsia="宋体" w:cs="宋体"/>
          <w:bCs/>
          <w:color w:val="auto"/>
          <w:sz w:val="24"/>
          <w:highlight w:val="none"/>
        </w:rPr>
        <w:t>确定的事项</w:t>
      </w:r>
      <w:r>
        <w:rPr>
          <w:rFonts w:hint="eastAsia" w:ascii="宋体" w:hAnsi="宋体" w:eastAsia="宋体" w:cs="宋体"/>
          <w:bCs/>
          <w:color w:val="auto"/>
          <w:sz w:val="24"/>
          <w:highlight w:val="none"/>
          <w:lang w:eastAsia="zh-CN"/>
        </w:rPr>
        <w:t>与采购人</w:t>
      </w:r>
      <w:r>
        <w:rPr>
          <w:rFonts w:hint="eastAsia" w:ascii="宋体" w:hAnsi="宋体" w:eastAsia="宋体" w:cs="宋体"/>
          <w:bCs/>
          <w:color w:val="auto"/>
          <w:sz w:val="24"/>
          <w:highlight w:val="none"/>
        </w:rPr>
        <w:t>签订政府采购合同。</w:t>
      </w:r>
      <w:r>
        <w:rPr>
          <w:rFonts w:hint="eastAsia" w:ascii="宋体" w:hAnsi="宋体" w:eastAsia="宋体" w:cs="宋体"/>
          <w:color w:val="auto"/>
          <w:sz w:val="24"/>
          <w:szCs w:val="24"/>
          <w:highlight w:val="none"/>
          <w:lang w:eastAsia="zh-CN"/>
        </w:rPr>
        <w:t xml:space="preserve">    </w:t>
      </w:r>
    </w:p>
    <w:p w14:paraId="45D3407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磋商文件、响应文件及澄清文件及成交供应商承诺等均作为合同的不可分割的组成部分。</w:t>
      </w:r>
    </w:p>
    <w:p w14:paraId="5F2ED7E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4"/>
          <w:szCs w:val="24"/>
          <w:highlight w:val="none"/>
          <w:lang w:eastAsia="zh-CN"/>
        </w:rPr>
        <w:t>24.3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如果成交供应商人不按其响应文件承诺和磋商文件要求签订合同，采购人将有权废除授标，并按规定另确定成交供应商。</w:t>
      </w:r>
      <w:bookmarkStart w:id="79" w:name="_Toc304458159"/>
      <w:bookmarkStart w:id="80" w:name="_Toc270"/>
      <w:bookmarkStart w:id="81" w:name="_Toc244074263"/>
      <w:bookmarkStart w:id="82" w:name="_Toc235473932"/>
      <w:bookmarkStart w:id="83" w:name="_Toc248824927"/>
      <w:bookmarkStart w:id="84" w:name="_Toc304967951"/>
    </w:p>
    <w:p w14:paraId="1ED8F413">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2E82E91D">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七、重新招标</w:t>
      </w:r>
      <w:bookmarkEnd w:id="79"/>
      <w:bookmarkEnd w:id="80"/>
      <w:bookmarkEnd w:id="81"/>
      <w:bookmarkEnd w:id="82"/>
      <w:bookmarkEnd w:id="83"/>
      <w:bookmarkEnd w:id="84"/>
      <w:r>
        <w:rPr>
          <w:rFonts w:hint="eastAsia" w:ascii="宋体" w:hAnsi="宋体" w:eastAsia="宋体" w:cs="宋体"/>
          <w:b/>
          <w:color w:val="auto"/>
          <w:sz w:val="28"/>
          <w:szCs w:val="28"/>
          <w:highlight w:val="none"/>
          <w:lang w:eastAsia="zh-CN"/>
        </w:rPr>
        <w:t>和不再招标</w:t>
      </w:r>
    </w:p>
    <w:p w14:paraId="7DBC4445">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25.重新招标</w:t>
      </w:r>
    </w:p>
    <w:p w14:paraId="059B531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有下列情形之一的，采购人将重新招标：</w:t>
      </w:r>
    </w:p>
    <w:p w14:paraId="004E036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(l)投标截止时间止，供应商少于3个的；</w:t>
      </w:r>
    </w:p>
    <w:p w14:paraId="5ED1326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)符合专业条件的供应商人或对磋商文件做实质性响应的投标人不足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家的；</w:t>
      </w:r>
    </w:p>
    <w:p w14:paraId="5FA426F9">
      <w:pPr>
        <w:keepNext w:val="0"/>
        <w:keepLines w:val="0"/>
        <w:pageBreakBefore w:val="0"/>
        <w:widowControl w:val="0"/>
        <w:tabs>
          <w:tab w:val="left" w:pos="702"/>
        </w:tabs>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)出现影响采购公正的违法、违规行为的；</w:t>
      </w:r>
    </w:p>
    <w:p w14:paraId="5729275D">
      <w:pPr>
        <w:keepNext w:val="0"/>
        <w:keepLines w:val="0"/>
        <w:pageBreakBefore w:val="0"/>
        <w:widowControl w:val="0"/>
        <w:tabs>
          <w:tab w:val="left" w:pos="657"/>
        </w:tabs>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)供应商的报价均超过了采购预算，采购人不能支付的。</w:t>
      </w:r>
    </w:p>
    <w:p w14:paraId="3108C956">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26.不再招标</w:t>
      </w:r>
    </w:p>
    <w:p w14:paraId="7D47775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因重大变故，采购任务取消的不再招标。</w:t>
      </w:r>
    </w:p>
    <w:p w14:paraId="47E56E11">
      <w:pPr>
        <w:keepNext w:val="0"/>
        <w:keepLines w:val="0"/>
        <w:pageBreakBefore w:val="0"/>
        <w:widowControl w:val="0"/>
        <w:numPr>
          <w:ilvl w:val="0"/>
          <w:numId w:val="0"/>
        </w:numPr>
        <w:kinsoku/>
        <w:wordWrap/>
        <w:overflowPunct/>
        <w:topLinePunct w:val="0"/>
        <w:autoSpaceDE/>
        <w:autoSpaceDN/>
        <w:bidi w:val="0"/>
        <w:adjustRightInd/>
        <w:snapToGrid w:val="0"/>
        <w:spacing w:after="0" w:line="480" w:lineRule="auto"/>
        <w:ind w:firstLine="1687" w:firstLineChars="600"/>
        <w:jc w:val="both"/>
        <w:textAlignment w:val="auto"/>
        <w:rPr>
          <w:rFonts w:hint="eastAsia" w:ascii="宋体" w:hAnsi="宋体" w:eastAsia="宋体" w:cs="宋体"/>
          <w:b/>
          <w:color w:val="auto"/>
          <w:sz w:val="28"/>
          <w:szCs w:val="28"/>
          <w:highlight w:val="none"/>
          <w:lang w:eastAsia="zh-CN"/>
        </w:rPr>
      </w:pPr>
      <w:bookmarkStart w:id="85" w:name="_Toc31466"/>
      <w:bookmarkStart w:id="86" w:name="_Toc248824928"/>
      <w:bookmarkStart w:id="87" w:name="_Toc304967952"/>
      <w:bookmarkStart w:id="88" w:name="_Toc244074264"/>
      <w:bookmarkStart w:id="89" w:name="_Toc304458160"/>
      <w:bookmarkStart w:id="90" w:name="_Toc235473933"/>
      <w:r>
        <w:rPr>
          <w:rFonts w:hint="eastAsia" w:ascii="宋体" w:hAnsi="宋体" w:eastAsia="宋体" w:cs="宋体"/>
          <w:b/>
          <w:color w:val="auto"/>
          <w:sz w:val="28"/>
          <w:szCs w:val="28"/>
          <w:highlight w:val="none"/>
          <w:lang w:val="en-US" w:eastAsia="zh-CN"/>
        </w:rPr>
        <w:t xml:space="preserve"> 八</w:t>
      </w:r>
      <w:r>
        <w:rPr>
          <w:rFonts w:hint="eastAsia" w:ascii="宋体" w:hAnsi="宋体" w:eastAsia="宋体" w:cs="宋体"/>
          <w:b/>
          <w:color w:val="auto"/>
          <w:sz w:val="28"/>
          <w:szCs w:val="28"/>
          <w:highlight w:val="none"/>
          <w:lang w:eastAsia="zh-CN"/>
        </w:rPr>
        <w:t>、纪律要求、投诉、监督、质疑、处罚</w:t>
      </w:r>
      <w:bookmarkEnd w:id="85"/>
      <w:bookmarkEnd w:id="86"/>
      <w:bookmarkEnd w:id="87"/>
      <w:bookmarkEnd w:id="88"/>
      <w:bookmarkEnd w:id="89"/>
      <w:bookmarkEnd w:id="90"/>
    </w:p>
    <w:p w14:paraId="028DDFEA">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27.对采购人的纪律要求</w:t>
      </w:r>
    </w:p>
    <w:p w14:paraId="38DDDD82">
      <w:pPr>
        <w:spacing w:after="0" w:line="360" w:lineRule="auto"/>
        <w:ind w:firstLine="42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采购人不得泄漏招标投标活动中应当保密的情况和资料，不得与供应商串通损害国家利益、社会公共利益或者他人合法权益。</w:t>
      </w:r>
    </w:p>
    <w:p w14:paraId="3E5F3F6E">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28.对供应商的纪律要求</w:t>
      </w:r>
    </w:p>
    <w:p w14:paraId="5303562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22B478E4">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29.对磋商小组成员的纪律要求</w:t>
      </w:r>
    </w:p>
    <w:p w14:paraId="5684ADD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成员不得收受他人的财物或者其他好处，不得向他人透漏对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72857366">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30.对与评标活动有关的工作人员的纪律要求</w:t>
      </w:r>
    </w:p>
    <w:p w14:paraId="1CC46D5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与评标活动有关的工作人员不得收受他人的财物或者其他好处，不得向他人透漏对响应文件的评审和比较、成交候选供应商的推荐情况以及评标有关的其他情况。在评标活动中，与评标活动有关的工作人员不得擅离职守，影响评标程序正常进行。</w:t>
      </w:r>
    </w:p>
    <w:p w14:paraId="1BB4503E">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31.质疑与投诉</w:t>
      </w:r>
    </w:p>
    <w:p w14:paraId="6B5CE21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供应商认为竞争性磋商文件、采购过程、成交结果使自己的权益受到损害的，可在公示期内向采购人（</w:t>
      </w:r>
      <w:r>
        <w:rPr>
          <w:rFonts w:hint="eastAsia" w:ascii="宋体" w:hAnsi="宋体" w:cs="宋体"/>
          <w:color w:val="auto"/>
          <w:sz w:val="24"/>
          <w:szCs w:val="24"/>
          <w:highlight w:val="none"/>
          <w:lang w:val="en-US" w:eastAsia="zh-CN"/>
        </w:rPr>
        <w:t>睢县妇幼保健院</w:t>
      </w:r>
      <w:r>
        <w:rPr>
          <w:rFonts w:hint="eastAsia" w:ascii="宋体" w:hAnsi="宋体" w:eastAsia="宋体" w:cs="宋体"/>
          <w:color w:val="auto"/>
          <w:sz w:val="24"/>
          <w:szCs w:val="24"/>
          <w:highlight w:val="none"/>
          <w:lang w:eastAsia="zh-CN"/>
        </w:rPr>
        <w:t>）、代理机构（河南联达工程管理有限公司）提出书面质疑，如对采购人、采购代理机构的质疑答复不满意，供应商可以在答复期满后15个工作日内向相关监督部门提起书面投诉。(具体程序按《政府采购质疑和投诉办法》、《政府采购货物和服务招标投标管理办法》文件执行）。</w:t>
      </w:r>
    </w:p>
    <w:p w14:paraId="7F82911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bCs/>
          <w:color w:val="auto"/>
          <w:highlight w:val="none"/>
        </w:rPr>
      </w:pPr>
      <w:r>
        <w:rPr>
          <w:rFonts w:hint="eastAsia" w:ascii="宋体" w:hAnsi="宋体" w:eastAsia="宋体" w:cs="宋体"/>
          <w:color w:val="auto"/>
          <w:sz w:val="24"/>
          <w:szCs w:val="24"/>
          <w:highlight w:val="none"/>
          <w:lang w:eastAsia="zh-CN"/>
        </w:rPr>
        <w:t>31.2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供应商的质疑和投诉必须以实名书面形式按竞争性磋商文件及有关规定的程序递交，质疑和投诉的内容必须有充分的事实和法律依据，否则招标采购单位或有关行政监督部门有权利拒绝受理；对于歪曲事实或采用不正当手段恶意质疑和投诉的供应商，招标采购单位或有关行政监督部门将依法予以处罚，并记入不良记录。  </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highlight w:val="none"/>
        </w:rPr>
        <w:t xml:space="preserve"> </w:t>
      </w:r>
    </w:p>
    <w:p w14:paraId="13DBA845">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 32.处罚</w:t>
      </w:r>
    </w:p>
    <w:p w14:paraId="3F0E55B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招标的采购人、供应商、磋商小组成员及相关人员等参与招投标活动的各单位及个人，均应在招标、投标、合同执行等过程中保持廉洁并遵守职业道德；如不遵守国家相关法律和规定，或是有腐败、欺诈行为，将按国家有关规定予以处罚。</w:t>
      </w:r>
    </w:p>
    <w:p w14:paraId="6989C14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因供应商在投标过程中串标、围标或采用其他违法行为获取中标的，一旦被有关单位发现，采购人有权单方解除合同，同时供应商应赔偿由此给采购人所带来的一切损失。</w:t>
      </w:r>
      <w:bookmarkStart w:id="91" w:name="_Toc235473934"/>
      <w:bookmarkStart w:id="92" w:name="_Toc304458161"/>
      <w:bookmarkStart w:id="93" w:name="_Toc28337"/>
      <w:bookmarkStart w:id="94" w:name="_Toc304967953"/>
      <w:bookmarkStart w:id="95" w:name="_Toc244074265"/>
      <w:bookmarkStart w:id="96" w:name="_Toc248824929"/>
    </w:p>
    <w:p w14:paraId="0623528D">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3614" w:firstLineChars="15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九、其</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他</w:t>
      </w:r>
    </w:p>
    <w:bookmarkEnd w:id="91"/>
    <w:bookmarkEnd w:id="92"/>
    <w:bookmarkEnd w:id="93"/>
    <w:bookmarkEnd w:id="94"/>
    <w:bookmarkEnd w:id="95"/>
    <w:bookmarkEnd w:id="96"/>
    <w:p w14:paraId="057FC0A6">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33.本磋商文件解释权属采购人所有。</w:t>
      </w:r>
    </w:p>
    <w:p w14:paraId="07BD1A7F">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14:paraId="1799B551">
      <w:pPr>
        <w:pageBreakBefore w:val="0"/>
        <w:overflowPunct/>
        <w:topLinePunct w:val="0"/>
        <w:bidi w:val="0"/>
        <w:adjustRightInd/>
        <w:snapToGrid/>
        <w:spacing w:line="360" w:lineRule="auto"/>
        <w:ind w:left="210" w:leftChars="1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附件一：</w:t>
      </w:r>
      <w:r>
        <w:rPr>
          <w:rFonts w:hint="eastAsia" w:ascii="宋体" w:hAnsi="宋体" w:eastAsia="宋体" w:cs="宋体"/>
          <w:b/>
          <w:bCs/>
          <w:color w:val="auto"/>
          <w:sz w:val="28"/>
          <w:szCs w:val="28"/>
          <w:highlight w:val="none"/>
          <w:lang w:val="en-US" w:eastAsia="zh-CN"/>
        </w:rPr>
        <w:t>中小企业划型标准规定</w:t>
      </w:r>
    </w:p>
    <w:p w14:paraId="3CA5D3B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一、根据《中华人民共和国中小企业促进法》和《国务院关于进一步促进中小企业发展的若干意见》(国发〔2009〕36号)，制定本规定。</w:t>
      </w:r>
    </w:p>
    <w:p w14:paraId="331AC41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二、中小企业划分为中型、小型、微型三种类型，具体标准根据企业从业人员、营业收入、资产总额等指标，结合行业特点制定。</w:t>
      </w:r>
    </w:p>
    <w:p w14:paraId="120C7E2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230DC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四、各行业划型标准为：</w:t>
      </w:r>
    </w:p>
    <w:p w14:paraId="27963C9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640241C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93702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8A256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64BB8C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E7E3A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413C36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DB843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700389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4AF54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F3FB8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BB51C0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511463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227AD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84D05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C040F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786FF88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五、企业类型的划分以统计部门的统计数据为依据。</w:t>
      </w:r>
    </w:p>
    <w:p w14:paraId="4B3642B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六、本规定适用于在中华人民共和国境内依法设立的各类所有制和各种组织形式的企业。个体工商户和本规定以外的行业，参照本规定进行划型。</w:t>
      </w:r>
    </w:p>
    <w:p w14:paraId="4FC3CAC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5A733C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八、本规定由工业和信息化部、国家统计局会同有关部门根据《国民经济行业分类》修订情况和企业发展变化情况适时修订。</w:t>
      </w:r>
    </w:p>
    <w:p w14:paraId="272AB2C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九、本规定由工业和信息化部、国家统计局会同有关部门负责解释。</w:t>
      </w:r>
    </w:p>
    <w:p w14:paraId="7538D7C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十、本规定自发布之日起执行，原国家经贸委、原国家计委、财政部和国家统计局2003年颁布的《中小企业标准暂行规定》同时废止。</w:t>
      </w:r>
    </w:p>
    <w:p w14:paraId="6B840453">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p>
    <w:p w14:paraId="7AC99864">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E4552D2">
      <w:pPr>
        <w:pStyle w:val="4"/>
        <w:spacing w:line="440" w:lineRule="exact"/>
        <w:ind w:left="0" w:firstLine="2873" w:firstLineChars="795"/>
        <w:jc w:val="both"/>
        <w:rPr>
          <w:rFonts w:hint="eastAsia" w:ascii="宋体" w:hAnsi="宋体" w:eastAsia="宋体" w:cs="宋体"/>
          <w:bCs/>
          <w:color w:val="auto"/>
          <w:sz w:val="36"/>
          <w:szCs w:val="36"/>
          <w:highlight w:val="none"/>
        </w:rPr>
      </w:pPr>
      <w:bookmarkStart w:id="97" w:name="_Toc9525"/>
      <w:bookmarkStart w:id="98" w:name="_Toc436423313"/>
    </w:p>
    <w:p w14:paraId="14E69C5F">
      <w:pPr>
        <w:pStyle w:val="4"/>
        <w:spacing w:line="440" w:lineRule="exact"/>
        <w:ind w:left="0" w:firstLine="2873" w:firstLineChars="795"/>
        <w:jc w:val="both"/>
        <w:rPr>
          <w:rFonts w:hint="eastAsia" w:ascii="宋体" w:hAnsi="宋体" w:eastAsia="宋体" w:cs="宋体"/>
          <w:bCs/>
          <w:color w:val="auto"/>
          <w:sz w:val="36"/>
          <w:szCs w:val="36"/>
          <w:highlight w:val="none"/>
        </w:rPr>
      </w:pPr>
      <w:bookmarkStart w:id="99" w:name="_Toc5473"/>
      <w:r>
        <w:rPr>
          <w:rFonts w:hint="eastAsia" w:ascii="宋体" w:hAnsi="宋体" w:eastAsia="宋体" w:cs="宋体"/>
          <w:bCs/>
          <w:color w:val="auto"/>
          <w:sz w:val="36"/>
          <w:szCs w:val="36"/>
          <w:highlight w:val="none"/>
        </w:rPr>
        <w:t>第三章  评标办法</w:t>
      </w:r>
      <w:bookmarkEnd w:id="97"/>
      <w:bookmarkEnd w:id="99"/>
    </w:p>
    <w:p w14:paraId="2676C220">
      <w:pPr>
        <w:spacing w:after="0" w:line="360" w:lineRule="auto"/>
        <w:jc w:val="both"/>
        <w:rPr>
          <w:rFonts w:hint="eastAsia" w:ascii="宋体" w:hAnsi="宋体" w:eastAsia="宋体" w:cs="宋体"/>
          <w:b/>
          <w:color w:val="auto"/>
          <w:sz w:val="28"/>
          <w:szCs w:val="28"/>
          <w:highlight w:val="none"/>
        </w:rPr>
      </w:pPr>
      <w:bookmarkStart w:id="100" w:name="_Toc144974567"/>
      <w:bookmarkStart w:id="101" w:name="_Toc2790"/>
      <w:bookmarkStart w:id="102" w:name="_Toc247085758"/>
      <w:bookmarkStart w:id="103" w:name="_Toc179632618"/>
      <w:bookmarkStart w:id="104" w:name="_Toc152045600"/>
      <w:bookmarkStart w:id="105" w:name="_Toc246996986"/>
      <w:bookmarkStart w:id="106" w:name="_Toc152042377"/>
      <w:bookmarkStart w:id="107" w:name="_Toc323387787"/>
      <w:bookmarkStart w:id="108" w:name="_Toc246996243"/>
      <w:bookmarkStart w:id="109" w:name="_Toc256145678"/>
      <w:bookmarkStart w:id="110" w:name="_Toc261618204"/>
      <w:bookmarkStart w:id="111" w:name="_Toc248985521"/>
      <w:r>
        <w:rPr>
          <w:rFonts w:hint="eastAsia" w:ascii="宋体" w:hAnsi="宋体" w:eastAsia="宋体" w:cs="宋体"/>
          <w:b/>
          <w:color w:val="auto"/>
          <w:sz w:val="28"/>
          <w:szCs w:val="28"/>
          <w:highlight w:val="none"/>
        </w:rPr>
        <w:t>评</w:t>
      </w:r>
      <w:r>
        <w:rPr>
          <w:rFonts w:hint="eastAsia" w:ascii="宋体" w:hAnsi="宋体" w:eastAsia="宋体" w:cs="宋体"/>
          <w:b/>
          <w:color w:val="auto"/>
          <w:sz w:val="28"/>
          <w:szCs w:val="28"/>
          <w:highlight w:val="none"/>
          <w:lang w:eastAsia="zh-CN"/>
        </w:rPr>
        <w:t>审</w:t>
      </w:r>
      <w:r>
        <w:rPr>
          <w:rFonts w:hint="eastAsia" w:ascii="宋体" w:hAnsi="宋体" w:eastAsia="宋体" w:cs="宋体"/>
          <w:b/>
          <w:color w:val="auto"/>
          <w:sz w:val="28"/>
          <w:szCs w:val="28"/>
          <w:highlight w:val="none"/>
        </w:rPr>
        <w:t>办法前附表</w:t>
      </w:r>
    </w:p>
    <w:tbl>
      <w:tblPr>
        <w:tblStyle w:val="28"/>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1590"/>
        <w:gridCol w:w="1936"/>
        <w:gridCol w:w="6031"/>
      </w:tblGrid>
      <w:tr w14:paraId="6761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926" w:type="dxa"/>
            <w:gridSpan w:val="2"/>
          </w:tcPr>
          <w:p w14:paraId="507ABD8D">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条款号</w:t>
            </w:r>
          </w:p>
        </w:tc>
        <w:tc>
          <w:tcPr>
            <w:tcW w:w="1936" w:type="dxa"/>
          </w:tcPr>
          <w:p w14:paraId="0FCCCD83">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评审因素</w:t>
            </w:r>
          </w:p>
        </w:tc>
        <w:tc>
          <w:tcPr>
            <w:tcW w:w="6031" w:type="dxa"/>
          </w:tcPr>
          <w:p w14:paraId="5D5E90F1">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评审标准</w:t>
            </w:r>
          </w:p>
        </w:tc>
      </w:tr>
      <w:tr w14:paraId="771A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0" w:type="auto"/>
            <w:vMerge w:val="restart"/>
            <w:vAlign w:val="center"/>
          </w:tcPr>
          <w:p w14:paraId="39EB2847">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590" w:type="dxa"/>
            <w:vMerge w:val="restart"/>
            <w:vAlign w:val="center"/>
          </w:tcPr>
          <w:p w14:paraId="71F8BAE7">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w:t>
            </w:r>
          </w:p>
          <w:p w14:paraId="411A371D">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936" w:type="dxa"/>
            <w:vAlign w:val="center"/>
          </w:tcPr>
          <w:p w14:paraId="6C14264F">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资格</w:t>
            </w:r>
            <w:r>
              <w:rPr>
                <w:rFonts w:hint="eastAsia" w:ascii="宋体" w:hAnsi="宋体" w:eastAsia="宋体" w:cs="宋体"/>
                <w:color w:val="auto"/>
                <w:kern w:val="0"/>
                <w:sz w:val="24"/>
                <w:szCs w:val="24"/>
                <w:highlight w:val="none"/>
              </w:rPr>
              <w:t>要求</w:t>
            </w:r>
          </w:p>
        </w:tc>
        <w:tc>
          <w:tcPr>
            <w:tcW w:w="6031" w:type="dxa"/>
            <w:vAlign w:val="center"/>
          </w:tcPr>
          <w:p w14:paraId="2FA08788">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0852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0" w:type="auto"/>
            <w:vMerge w:val="restart"/>
            <w:vAlign w:val="center"/>
          </w:tcPr>
          <w:p w14:paraId="06A93502">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590" w:type="dxa"/>
            <w:vMerge w:val="restart"/>
            <w:vAlign w:val="center"/>
          </w:tcPr>
          <w:p w14:paraId="482DF7B8">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w:t>
            </w:r>
          </w:p>
          <w:p w14:paraId="57B109A5">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936" w:type="dxa"/>
            <w:vAlign w:val="center"/>
          </w:tcPr>
          <w:p w14:paraId="60208DEC">
            <w:pPr>
              <w:keepNext w:val="0"/>
              <w:keepLines/>
              <w:pageBreakBefore w:val="0"/>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p>
        </w:tc>
        <w:tc>
          <w:tcPr>
            <w:tcW w:w="6031" w:type="dxa"/>
            <w:vAlign w:val="center"/>
          </w:tcPr>
          <w:p w14:paraId="755593B3">
            <w:pPr>
              <w:keepNext w:val="0"/>
              <w:keepLines/>
              <w:pageBreakBefore w:val="0"/>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0F22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0" w:type="auto"/>
            <w:vMerge w:val="continue"/>
            <w:vAlign w:val="center"/>
          </w:tcPr>
          <w:p w14:paraId="23F686CD">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0CAE0142">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p>
        </w:tc>
        <w:tc>
          <w:tcPr>
            <w:tcW w:w="1936" w:type="dxa"/>
            <w:vAlign w:val="center"/>
          </w:tcPr>
          <w:p w14:paraId="752FFB2E">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签字盖章</w:t>
            </w:r>
          </w:p>
        </w:tc>
        <w:tc>
          <w:tcPr>
            <w:tcW w:w="6031" w:type="dxa"/>
            <w:vAlign w:val="center"/>
          </w:tcPr>
          <w:p w14:paraId="40A2B952">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6F08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0" w:type="auto"/>
            <w:vMerge w:val="continue"/>
            <w:vAlign w:val="center"/>
          </w:tcPr>
          <w:p w14:paraId="6BDD090B">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7322B4E4">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p>
        </w:tc>
        <w:tc>
          <w:tcPr>
            <w:tcW w:w="1936" w:type="dxa"/>
            <w:vAlign w:val="center"/>
          </w:tcPr>
          <w:p w14:paraId="24C60A5D">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w:t>
            </w:r>
          </w:p>
        </w:tc>
        <w:tc>
          <w:tcPr>
            <w:tcW w:w="6031" w:type="dxa"/>
            <w:vAlign w:val="center"/>
          </w:tcPr>
          <w:p w14:paraId="545D4064">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4EAC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0" w:type="auto"/>
            <w:vMerge w:val="continue"/>
            <w:vAlign w:val="center"/>
          </w:tcPr>
          <w:p w14:paraId="6E3354F3">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23B5B616">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p>
        </w:tc>
        <w:tc>
          <w:tcPr>
            <w:tcW w:w="1936" w:type="dxa"/>
            <w:vAlign w:val="center"/>
          </w:tcPr>
          <w:p w14:paraId="306E2389">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投标内容</w:t>
            </w:r>
          </w:p>
        </w:tc>
        <w:tc>
          <w:tcPr>
            <w:tcW w:w="6031" w:type="dxa"/>
            <w:vAlign w:val="center"/>
          </w:tcPr>
          <w:p w14:paraId="2DE86A78">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40F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0" w:type="auto"/>
            <w:vMerge w:val="continue"/>
            <w:vAlign w:val="center"/>
          </w:tcPr>
          <w:p w14:paraId="6953EE67">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623525A6">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936" w:type="dxa"/>
            <w:vAlign w:val="center"/>
          </w:tcPr>
          <w:p w14:paraId="5DB4F568">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color w:val="auto"/>
                <w:kern w:val="0"/>
                <w:sz w:val="24"/>
                <w:szCs w:val="24"/>
                <w:highlight w:val="none"/>
                <w:lang w:eastAsia="zh-CN"/>
              </w:rPr>
              <w:t>交货期</w:t>
            </w:r>
          </w:p>
        </w:tc>
        <w:tc>
          <w:tcPr>
            <w:tcW w:w="6031" w:type="dxa"/>
            <w:vAlign w:val="center"/>
          </w:tcPr>
          <w:p w14:paraId="31C5C5BD">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74A7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0" w:type="auto"/>
            <w:vMerge w:val="continue"/>
            <w:vAlign w:val="center"/>
          </w:tcPr>
          <w:p w14:paraId="266378F9">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9D25FA1">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936" w:type="dxa"/>
            <w:vAlign w:val="center"/>
          </w:tcPr>
          <w:p w14:paraId="53275AF3">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lang w:val="en-US" w:eastAsia="zh-CN"/>
              </w:rPr>
              <w:t>地点</w:t>
            </w:r>
          </w:p>
        </w:tc>
        <w:tc>
          <w:tcPr>
            <w:tcW w:w="6031" w:type="dxa"/>
            <w:vAlign w:val="center"/>
          </w:tcPr>
          <w:p w14:paraId="068370E7">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2249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0" w:type="auto"/>
            <w:vMerge w:val="continue"/>
            <w:vAlign w:val="center"/>
          </w:tcPr>
          <w:p w14:paraId="5BD6B931">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B6D3070">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936" w:type="dxa"/>
            <w:vAlign w:val="center"/>
          </w:tcPr>
          <w:p w14:paraId="77F68D8D">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质量要求</w:t>
            </w:r>
          </w:p>
        </w:tc>
        <w:tc>
          <w:tcPr>
            <w:tcW w:w="6031" w:type="dxa"/>
            <w:vAlign w:val="center"/>
          </w:tcPr>
          <w:p w14:paraId="0C254106">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1421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0" w:type="auto"/>
            <w:vMerge w:val="continue"/>
            <w:vAlign w:val="center"/>
          </w:tcPr>
          <w:p w14:paraId="1A54D02E">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7C5D8DD3">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936" w:type="dxa"/>
            <w:vAlign w:val="center"/>
          </w:tcPr>
          <w:p w14:paraId="5C4A3818">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质保期</w:t>
            </w:r>
          </w:p>
        </w:tc>
        <w:tc>
          <w:tcPr>
            <w:tcW w:w="6031" w:type="dxa"/>
            <w:vAlign w:val="center"/>
          </w:tcPr>
          <w:p w14:paraId="4E2DC885">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7036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0" w:type="auto"/>
            <w:vMerge w:val="continue"/>
            <w:vAlign w:val="center"/>
          </w:tcPr>
          <w:p w14:paraId="2CB797AE">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252B6D87">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936" w:type="dxa"/>
            <w:vAlign w:val="center"/>
          </w:tcPr>
          <w:p w14:paraId="05F13A83">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031" w:type="dxa"/>
            <w:vAlign w:val="center"/>
          </w:tcPr>
          <w:p w14:paraId="176B49D8">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2AA6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0" w:type="auto"/>
            <w:vMerge w:val="continue"/>
            <w:vAlign w:val="center"/>
          </w:tcPr>
          <w:p w14:paraId="040765C0">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27ED1C7E">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936" w:type="dxa"/>
            <w:vAlign w:val="center"/>
          </w:tcPr>
          <w:p w14:paraId="47A4E5DF">
            <w:pPr>
              <w:keepNext w:val="0"/>
              <w:keepLines/>
              <w:pageBreakBefore w:val="0"/>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6031" w:type="dxa"/>
            <w:vAlign w:val="center"/>
          </w:tcPr>
          <w:p w14:paraId="1289ABE1">
            <w:pPr>
              <w:keepNext w:val="0"/>
              <w:keepLines/>
              <w:pageBreakBefore w:val="0"/>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报价不得</w:t>
            </w:r>
            <w:r>
              <w:rPr>
                <w:rFonts w:hint="eastAsia" w:ascii="宋体" w:hAnsi="宋体" w:eastAsia="宋体" w:cs="宋体"/>
                <w:color w:val="auto"/>
                <w:sz w:val="24"/>
                <w:szCs w:val="24"/>
                <w:highlight w:val="none"/>
                <w:lang w:eastAsia="zh-CN"/>
              </w:rPr>
              <w:t>高于采购预算价</w:t>
            </w:r>
          </w:p>
        </w:tc>
      </w:tr>
      <w:tr w14:paraId="0565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0" w:type="auto"/>
            <w:vMerge w:val="continue"/>
            <w:vAlign w:val="center"/>
          </w:tcPr>
          <w:p w14:paraId="6A707575">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47628CF">
            <w:pPr>
              <w:keepNext w:val="0"/>
              <w:keepLines/>
              <w:pageBreakBefore w:val="0"/>
              <w:widowControl/>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bCs/>
                <w:color w:val="auto"/>
                <w:kern w:val="0"/>
                <w:sz w:val="24"/>
                <w:szCs w:val="24"/>
                <w:highlight w:val="none"/>
              </w:rPr>
            </w:pPr>
          </w:p>
        </w:tc>
        <w:tc>
          <w:tcPr>
            <w:tcW w:w="1936" w:type="dxa"/>
            <w:vAlign w:val="center"/>
          </w:tcPr>
          <w:p w14:paraId="618B7EBA">
            <w:pPr>
              <w:keepNext w:val="0"/>
              <w:keepLines/>
              <w:pageBreakBefore w:val="0"/>
              <w:suppressLineNumbers w:val="0"/>
              <w:kinsoku/>
              <w:wordWrap/>
              <w:overflowPunct/>
              <w:topLinePunct/>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w:t>
            </w:r>
          </w:p>
        </w:tc>
        <w:tc>
          <w:tcPr>
            <w:tcW w:w="6031" w:type="dxa"/>
            <w:vAlign w:val="center"/>
          </w:tcPr>
          <w:p w14:paraId="05E0E37F">
            <w:pPr>
              <w:keepNext w:val="0"/>
              <w:keepLines/>
              <w:pageBreakBefore w:val="0"/>
              <w:suppressLineNumbers w:val="0"/>
              <w:kinsoku/>
              <w:wordWrap/>
              <w:overflowPunct/>
              <w:topLinePunct/>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符合磋商文件其他实质性要求</w:t>
            </w:r>
          </w:p>
        </w:tc>
      </w:tr>
      <w:tr w14:paraId="57F4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9893" w:type="dxa"/>
            <w:gridSpan w:val="4"/>
            <w:tcBorders>
              <w:top w:val="single" w:color="auto" w:sz="4" w:space="0"/>
              <w:left w:val="single" w:color="000000" w:sz="4" w:space="0"/>
              <w:bottom w:val="single" w:color="auto" w:sz="4" w:space="0"/>
              <w:right w:val="single" w:color="000000" w:sz="4" w:space="0"/>
            </w:tcBorders>
            <w:vAlign w:val="center"/>
          </w:tcPr>
          <w:p w14:paraId="04E64E3A">
            <w:pPr>
              <w:keepNext w:val="0"/>
              <w:keepLines w:val="0"/>
              <w:pageBreakBefore w:val="0"/>
              <w:suppressLineNumbers w:val="0"/>
              <w:kinsoku/>
              <w:wordWrap/>
              <w:overflowPunct/>
              <w:autoSpaceDE/>
              <w:autoSpaceDN/>
              <w:bidi w:val="0"/>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通过初步评审的</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，参与下一步详细评审。</w:t>
            </w:r>
          </w:p>
        </w:tc>
      </w:tr>
    </w:tbl>
    <w:p w14:paraId="6050FAB8">
      <w:pPr>
        <w:spacing w:after="0" w:line="360" w:lineRule="auto"/>
        <w:rPr>
          <w:rFonts w:hint="eastAsia" w:ascii="宋体" w:hAnsi="宋体" w:eastAsia="宋体" w:cs="宋体"/>
          <w:b/>
          <w:color w:val="auto"/>
          <w:sz w:val="24"/>
          <w:szCs w:val="24"/>
          <w:highlight w:val="none"/>
        </w:rPr>
      </w:pPr>
    </w:p>
    <w:p w14:paraId="6CFE27DF">
      <w:pPr>
        <w:pStyle w:val="6"/>
        <w:rPr>
          <w:rFonts w:hint="eastAsia" w:ascii="宋体" w:hAnsi="宋体" w:eastAsia="宋体" w:cs="宋体"/>
          <w:color w:val="auto"/>
          <w:highlight w:val="none"/>
        </w:rPr>
      </w:pPr>
    </w:p>
    <w:p w14:paraId="4D6435EE">
      <w:pPr>
        <w:pStyle w:val="6"/>
        <w:rPr>
          <w:rFonts w:hint="eastAsia" w:ascii="宋体" w:hAnsi="宋体" w:eastAsia="宋体" w:cs="宋体"/>
          <w:b/>
          <w:color w:val="auto"/>
          <w:sz w:val="24"/>
          <w:szCs w:val="24"/>
          <w:highlight w:val="none"/>
        </w:rPr>
      </w:pPr>
    </w:p>
    <w:p w14:paraId="128EF354">
      <w:pPr>
        <w:rPr>
          <w:rFonts w:hint="eastAsia" w:ascii="宋体" w:hAnsi="宋体" w:eastAsia="宋体" w:cs="宋体"/>
          <w:color w:val="auto"/>
          <w:highlight w:val="none"/>
        </w:rPr>
      </w:pPr>
    </w:p>
    <w:p w14:paraId="4C6727BF">
      <w:pPr>
        <w:rPr>
          <w:rFonts w:hint="eastAsia" w:ascii="宋体" w:hAnsi="宋体" w:eastAsia="宋体" w:cs="宋体"/>
          <w:color w:val="auto"/>
          <w:highlight w:val="none"/>
        </w:rPr>
      </w:pPr>
    </w:p>
    <w:p w14:paraId="350E3A4F">
      <w:pPr>
        <w:rPr>
          <w:rFonts w:hint="eastAsia" w:ascii="宋体" w:hAnsi="宋体" w:eastAsia="宋体" w:cs="宋体"/>
          <w:color w:val="auto"/>
          <w:highlight w:val="none"/>
        </w:rPr>
      </w:pPr>
    </w:p>
    <w:p w14:paraId="5D733759">
      <w:pPr>
        <w:ind w:firstLine="281" w:firstLineChars="100"/>
        <w:jc w:val="both"/>
        <w:rPr>
          <w:rFonts w:hint="eastAsia" w:ascii="宋体" w:hAnsi="宋体" w:eastAsia="宋体" w:cs="宋体"/>
          <w:b/>
          <w:bCs/>
          <w:color w:val="auto"/>
          <w:sz w:val="28"/>
          <w:szCs w:val="28"/>
          <w:highlight w:val="none"/>
          <w:lang w:val="zh-TW" w:eastAsia="zh-TW" w:bidi="zh-TW"/>
        </w:rPr>
      </w:pPr>
      <w:r>
        <w:rPr>
          <w:rFonts w:hint="eastAsia" w:ascii="宋体" w:hAnsi="宋体" w:eastAsia="宋体" w:cs="宋体"/>
          <w:b/>
          <w:bCs/>
          <w:color w:val="auto"/>
          <w:sz w:val="28"/>
          <w:szCs w:val="28"/>
          <w:highlight w:val="none"/>
          <w:lang w:val="zh-TW" w:eastAsia="zh-TW" w:bidi="zh-TW"/>
        </w:rPr>
        <w:t>评</w:t>
      </w:r>
      <w:r>
        <w:rPr>
          <w:rFonts w:hint="eastAsia" w:ascii="宋体" w:hAnsi="宋体" w:eastAsia="宋体" w:cs="宋体"/>
          <w:b/>
          <w:bCs/>
          <w:color w:val="auto"/>
          <w:sz w:val="28"/>
          <w:szCs w:val="28"/>
          <w:highlight w:val="none"/>
          <w:lang w:val="zh-TW" w:eastAsia="zh-CN" w:bidi="zh-TW"/>
        </w:rPr>
        <w:t>审</w:t>
      </w:r>
      <w:r>
        <w:rPr>
          <w:rFonts w:hint="eastAsia" w:ascii="宋体" w:hAnsi="宋体" w:eastAsia="宋体" w:cs="宋体"/>
          <w:b/>
          <w:bCs/>
          <w:color w:val="auto"/>
          <w:sz w:val="28"/>
          <w:szCs w:val="28"/>
          <w:highlight w:val="none"/>
          <w:lang w:val="zh-TW" w:eastAsia="zh-TW" w:bidi="zh-TW"/>
        </w:rPr>
        <w:t>细则</w:t>
      </w:r>
    </w:p>
    <w:tbl>
      <w:tblPr>
        <w:tblStyle w:val="28"/>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191"/>
        <w:gridCol w:w="1260"/>
        <w:gridCol w:w="7260"/>
      </w:tblGrid>
      <w:tr w14:paraId="3C1A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080" w:type="dxa"/>
            <w:gridSpan w:val="2"/>
            <w:noWrap/>
            <w:vAlign w:val="center"/>
          </w:tcPr>
          <w:p w14:paraId="4B512F47">
            <w:pPr>
              <w:keepNext w:val="0"/>
              <w:keepLines w:val="0"/>
              <w:suppressLineNumbers w:val="0"/>
              <w:autoSpaceDE w:val="0"/>
              <w:autoSpaceDN w:val="0"/>
              <w:adjustRightInd w:val="0"/>
              <w:spacing w:before="0" w:beforeAutospacing="0" w:after="0" w:afterAutospacing="0" w:line="360" w:lineRule="auto"/>
              <w:ind w:left="38" w:leftChars="18"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条款号</w:t>
            </w:r>
          </w:p>
        </w:tc>
        <w:tc>
          <w:tcPr>
            <w:tcW w:w="1260" w:type="dxa"/>
            <w:noWrap/>
            <w:vAlign w:val="center"/>
          </w:tcPr>
          <w:p w14:paraId="3CF229E9">
            <w:pPr>
              <w:keepNext w:val="0"/>
              <w:keepLines w:val="0"/>
              <w:suppressLineNumbers w:val="0"/>
              <w:autoSpaceDE w:val="0"/>
              <w:autoSpaceDN w:val="0"/>
              <w:adjustRightInd w:val="0"/>
              <w:spacing w:before="0" w:beforeAutospacing="0" w:after="0" w:afterAutospacing="0" w:line="360" w:lineRule="auto"/>
              <w:ind w:left="38" w:leftChars="18"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w:t>
            </w:r>
            <w:r>
              <w:rPr>
                <w:rFonts w:hint="eastAsia" w:ascii="宋体" w:hAnsi="宋体" w:eastAsia="宋体" w:cs="宋体"/>
                <w:b/>
                <w:bCs/>
                <w:color w:val="auto"/>
                <w:kern w:val="0"/>
                <w:sz w:val="24"/>
                <w:szCs w:val="24"/>
                <w:highlight w:val="none"/>
                <w:lang w:eastAsia="zh-CN"/>
              </w:rPr>
              <w:t>审</w:t>
            </w:r>
            <w:r>
              <w:rPr>
                <w:rFonts w:hint="eastAsia" w:ascii="宋体" w:hAnsi="宋体" w:eastAsia="宋体" w:cs="宋体"/>
                <w:b/>
                <w:bCs/>
                <w:color w:val="auto"/>
                <w:kern w:val="0"/>
                <w:sz w:val="24"/>
                <w:szCs w:val="24"/>
                <w:highlight w:val="none"/>
              </w:rPr>
              <w:t>因素</w:t>
            </w:r>
          </w:p>
        </w:tc>
        <w:tc>
          <w:tcPr>
            <w:tcW w:w="7260" w:type="dxa"/>
            <w:noWrap/>
            <w:vAlign w:val="center"/>
          </w:tcPr>
          <w:p w14:paraId="50848F1C">
            <w:pPr>
              <w:keepNext w:val="0"/>
              <w:keepLines w:val="0"/>
              <w:suppressLineNumbers w:val="0"/>
              <w:autoSpaceDE w:val="0"/>
              <w:autoSpaceDN w:val="0"/>
              <w:adjustRightInd w:val="0"/>
              <w:spacing w:before="0" w:beforeAutospacing="0" w:after="0" w:afterAutospacing="0" w:line="360" w:lineRule="auto"/>
              <w:ind w:left="38" w:leftChars="18"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w:t>
            </w:r>
            <w:r>
              <w:rPr>
                <w:rFonts w:hint="eastAsia" w:ascii="宋体" w:hAnsi="宋体" w:eastAsia="宋体" w:cs="宋体"/>
                <w:b/>
                <w:bCs/>
                <w:color w:val="auto"/>
                <w:kern w:val="0"/>
                <w:sz w:val="24"/>
                <w:szCs w:val="24"/>
                <w:highlight w:val="none"/>
                <w:lang w:eastAsia="zh-CN"/>
              </w:rPr>
              <w:t>审</w:t>
            </w:r>
            <w:r>
              <w:rPr>
                <w:rFonts w:hint="eastAsia" w:ascii="宋体" w:hAnsi="宋体" w:eastAsia="宋体" w:cs="宋体"/>
                <w:b/>
                <w:bCs/>
                <w:color w:val="auto"/>
                <w:kern w:val="0"/>
                <w:sz w:val="24"/>
                <w:szCs w:val="24"/>
                <w:highlight w:val="none"/>
              </w:rPr>
              <w:t>标准</w:t>
            </w:r>
          </w:p>
        </w:tc>
      </w:tr>
      <w:tr w14:paraId="7E44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jc w:val="center"/>
        </w:trPr>
        <w:tc>
          <w:tcPr>
            <w:tcW w:w="889" w:type="dxa"/>
            <w:noWrap/>
            <w:vAlign w:val="center"/>
          </w:tcPr>
          <w:p w14:paraId="0FC5CA0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（一）</w:t>
            </w:r>
          </w:p>
        </w:tc>
        <w:tc>
          <w:tcPr>
            <w:tcW w:w="1191" w:type="dxa"/>
            <w:noWrap/>
            <w:vAlign w:val="center"/>
          </w:tcPr>
          <w:p w14:paraId="6BE35F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r>
              <w:rPr>
                <w:rFonts w:hint="eastAsia" w:ascii="宋体" w:hAnsi="宋体" w:eastAsia="宋体" w:cs="宋体"/>
                <w:b/>
                <w:color w:val="auto"/>
                <w:sz w:val="24"/>
                <w:szCs w:val="24"/>
                <w:highlight w:val="none"/>
                <w:lang w:eastAsia="zh-CN"/>
              </w:rPr>
              <w:t>部分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1260" w:type="dxa"/>
            <w:noWrap/>
            <w:vAlign w:val="center"/>
          </w:tcPr>
          <w:p w14:paraId="21B05BB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b w:val="0"/>
                <w:bCs/>
                <w:color w:val="auto"/>
                <w:sz w:val="24"/>
                <w:szCs w:val="24"/>
                <w:highlight w:val="none"/>
              </w:rPr>
              <w:t>投标报价</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30分</w:t>
            </w:r>
            <w:r>
              <w:rPr>
                <w:rFonts w:hint="eastAsia" w:ascii="宋体" w:hAnsi="宋体" w:eastAsia="宋体" w:cs="宋体"/>
                <w:b w:val="0"/>
                <w:bCs/>
                <w:color w:val="auto"/>
                <w:sz w:val="24"/>
                <w:szCs w:val="24"/>
                <w:highlight w:val="none"/>
                <w:lang w:eastAsia="zh-CN"/>
              </w:rPr>
              <w:t>）</w:t>
            </w:r>
          </w:p>
        </w:tc>
        <w:tc>
          <w:tcPr>
            <w:tcW w:w="7260" w:type="dxa"/>
            <w:noWrap/>
            <w:vAlign w:val="center"/>
          </w:tcPr>
          <w:p w14:paraId="0DA54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lang w:val="zh-TW" w:eastAsia="zh-TW" w:bidi="ar-SA"/>
              </w:rPr>
            </w:pPr>
            <w:r>
              <w:rPr>
                <w:rFonts w:hint="eastAsia" w:ascii="宋体" w:hAnsi="宋体" w:eastAsia="宋体" w:cs="Times New Roman"/>
                <w:color w:val="auto"/>
                <w:kern w:val="2"/>
                <w:sz w:val="24"/>
                <w:szCs w:val="24"/>
                <w:lang w:val="zh-TW" w:eastAsia="zh-TW" w:bidi="ar-SA"/>
              </w:rPr>
              <w:t>价格扣除：根据《关于进一步加大政府采购支持中小企业力度的通知》（财库〔2022〕19号）的规定</w:t>
            </w:r>
            <w:r>
              <w:rPr>
                <w:rFonts w:hint="eastAsia"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zh-TW" w:eastAsia="zh-TW" w:bidi="ar-SA"/>
              </w:rPr>
              <w:t>投标人</w:t>
            </w:r>
            <w:r>
              <w:rPr>
                <w:rFonts w:hint="eastAsia" w:ascii="宋体" w:hAnsi="宋体" w:eastAsia="宋体" w:cs="Times New Roman"/>
                <w:color w:val="auto"/>
                <w:kern w:val="2"/>
                <w:sz w:val="24"/>
                <w:szCs w:val="24"/>
                <w:lang w:val="zh-TW" w:eastAsia="zh-CN" w:bidi="ar-SA"/>
              </w:rPr>
              <w:t>提供的产品</w:t>
            </w:r>
            <w:r>
              <w:rPr>
                <w:rFonts w:hint="eastAsia" w:ascii="宋体" w:hAnsi="宋体" w:eastAsia="宋体" w:cs="Times New Roman"/>
                <w:color w:val="auto"/>
                <w:kern w:val="2"/>
                <w:sz w:val="24"/>
                <w:szCs w:val="24"/>
                <w:lang w:val="zh-TW" w:eastAsia="zh-TW" w:bidi="ar-SA"/>
              </w:rPr>
              <w:t>为小型和微型企业</w:t>
            </w:r>
            <w:r>
              <w:rPr>
                <w:rFonts w:hint="eastAsia" w:ascii="宋体" w:hAnsi="宋体" w:eastAsia="宋体" w:cs="Times New Roman"/>
                <w:color w:val="auto"/>
                <w:kern w:val="2"/>
                <w:sz w:val="24"/>
                <w:szCs w:val="24"/>
                <w:lang w:val="zh-TW" w:eastAsia="zh-CN" w:bidi="ar-SA"/>
              </w:rPr>
              <w:t>生产制造</w:t>
            </w:r>
            <w:r>
              <w:rPr>
                <w:rFonts w:hint="eastAsia" w:ascii="宋体" w:hAnsi="宋体" w:eastAsia="宋体" w:cs="Times New Roman"/>
                <w:color w:val="auto"/>
                <w:kern w:val="2"/>
                <w:sz w:val="24"/>
                <w:szCs w:val="24"/>
                <w:lang w:val="zh-TW" w:eastAsia="zh-TW" w:bidi="ar-SA"/>
              </w:rPr>
              <w:t>的，则给予该报价10%的扣除，用扣除后的价格参与评审。参加投标的小微企业，应当按照《政府采购促进中小企业发展暂行办法》（财库〔2020〕46号）的规定提供《中小微企业声明函》（中小企业划型标准详见《关于印发中</w:t>
            </w:r>
            <w:bookmarkStart w:id="229" w:name="_GoBack"/>
            <w:bookmarkEnd w:id="229"/>
            <w:r>
              <w:rPr>
                <w:rFonts w:hint="eastAsia" w:ascii="宋体" w:hAnsi="宋体" w:eastAsia="宋体" w:cs="Times New Roman"/>
                <w:color w:val="auto"/>
                <w:kern w:val="2"/>
                <w:sz w:val="24"/>
                <w:szCs w:val="24"/>
                <w:lang w:val="zh-TW" w:eastAsia="zh-TW" w:bidi="ar-SA"/>
              </w:rPr>
              <w:t>小企业划型标准规定的通知》工信部联企业〔2011〕300号）。根据财政部司法部《关于政府采购支持监狱企业发展有关问题的通知》（财库〔2014〕68号）和财政部民政部中国残疾人联合会《关于促进残疾人就业政府采购政策的通知》（财库〔2017〕141号）规定，监狱企业、残疾人福利性单位视同小型、微型企业。</w:t>
            </w:r>
          </w:p>
          <w:p w14:paraId="70BE9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lang w:val="zh-TW" w:eastAsia="zh-TW" w:bidi="ar-SA"/>
              </w:rPr>
            </w:pPr>
            <w:r>
              <w:rPr>
                <w:rFonts w:hint="eastAsia" w:ascii="宋体" w:hAnsi="宋体" w:eastAsia="宋体" w:cs="Times New Roman"/>
                <w:color w:val="auto"/>
                <w:kern w:val="2"/>
                <w:sz w:val="24"/>
                <w:szCs w:val="24"/>
                <w:lang w:val="zh-TW" w:eastAsia="zh-TW" w:bidi="ar-SA"/>
              </w:rPr>
              <w:t>同一投标人（包括联合体），小微企业、监狱、残疾人福利性</w:t>
            </w:r>
            <w:r>
              <w:rPr>
                <w:rFonts w:hint="eastAsia" w:ascii="宋体" w:hAnsi="宋体" w:eastAsia="宋体" w:cs="Times New Roman"/>
                <w:color w:val="auto"/>
                <w:kern w:val="2"/>
                <w:sz w:val="24"/>
                <w:szCs w:val="24"/>
                <w:lang w:val="zh-TW" w:eastAsia="zh-CN" w:bidi="ar-SA"/>
              </w:rPr>
              <w:t>单位</w:t>
            </w:r>
            <w:r>
              <w:rPr>
                <w:rFonts w:hint="eastAsia" w:ascii="宋体" w:hAnsi="宋体" w:eastAsia="宋体" w:cs="Times New Roman"/>
                <w:color w:val="auto"/>
                <w:kern w:val="2"/>
                <w:sz w:val="24"/>
                <w:szCs w:val="24"/>
                <w:lang w:val="zh-TW" w:eastAsia="zh-TW" w:bidi="ar-SA"/>
              </w:rPr>
              <w:t>价格扣除优惠只享受一次，不得重复享受。</w:t>
            </w:r>
          </w:p>
          <w:p w14:paraId="02DB9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lang w:val="zh-TW" w:eastAsia="zh-TW" w:bidi="ar-SA"/>
              </w:rPr>
            </w:pPr>
            <w:r>
              <w:rPr>
                <w:rFonts w:hint="eastAsia" w:ascii="宋体" w:hAnsi="宋体" w:eastAsia="宋体" w:cs="Times New Roman"/>
                <w:color w:val="auto"/>
                <w:kern w:val="2"/>
                <w:sz w:val="24"/>
                <w:szCs w:val="24"/>
                <w:lang w:val="zh-TW" w:eastAsia="zh-TW" w:bidi="ar-SA"/>
              </w:rPr>
              <w:t>评标报价=投标</w:t>
            </w:r>
            <w:r>
              <w:rPr>
                <w:rFonts w:hint="eastAsia" w:ascii="宋体" w:hAnsi="宋体" w:cs="Times New Roman"/>
                <w:color w:val="auto"/>
                <w:kern w:val="2"/>
                <w:sz w:val="24"/>
                <w:szCs w:val="24"/>
                <w:lang w:val="en-US" w:eastAsia="zh-CN" w:bidi="ar-SA"/>
              </w:rPr>
              <w:t>报价</w:t>
            </w:r>
            <w:r>
              <w:rPr>
                <w:rFonts w:hint="eastAsia" w:ascii="宋体" w:hAnsi="宋体" w:eastAsia="宋体" w:cs="Times New Roman"/>
                <w:color w:val="auto"/>
                <w:kern w:val="2"/>
                <w:sz w:val="24"/>
                <w:szCs w:val="24"/>
                <w:lang w:val="zh-TW" w:eastAsia="zh-TW" w:bidi="ar-SA"/>
              </w:rPr>
              <w:t>-所投小微（监狱、残疾人福利性）企业报价合计×10%</w:t>
            </w:r>
          </w:p>
          <w:p w14:paraId="20543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lang w:val="zh-TW" w:eastAsia="zh-TW" w:bidi="ar-SA"/>
              </w:rPr>
            </w:pPr>
            <w:r>
              <w:rPr>
                <w:rFonts w:hint="eastAsia" w:ascii="宋体" w:hAnsi="宋体" w:eastAsia="宋体" w:cs="Times New Roman"/>
                <w:color w:val="auto"/>
                <w:kern w:val="2"/>
                <w:sz w:val="24"/>
                <w:szCs w:val="24"/>
                <w:lang w:val="zh-TW" w:eastAsia="zh-TW" w:bidi="ar-SA"/>
              </w:rPr>
              <w:t>价格分采用低价优先法计算，即满足</w:t>
            </w:r>
            <w:r>
              <w:rPr>
                <w:rFonts w:hint="eastAsia" w:ascii="宋体" w:hAnsi="宋体" w:cs="Times New Roman"/>
                <w:color w:val="auto"/>
                <w:kern w:val="2"/>
                <w:sz w:val="24"/>
                <w:szCs w:val="24"/>
                <w:lang w:val="zh-TW" w:eastAsia="zh-CN" w:bidi="ar-SA"/>
              </w:rPr>
              <w:t>磋商</w:t>
            </w:r>
            <w:r>
              <w:rPr>
                <w:rFonts w:hint="eastAsia" w:ascii="宋体" w:hAnsi="宋体" w:eastAsia="宋体" w:cs="Times New Roman"/>
                <w:color w:val="auto"/>
                <w:kern w:val="2"/>
                <w:sz w:val="24"/>
                <w:szCs w:val="24"/>
                <w:lang w:val="zh-TW" w:eastAsia="zh-TW" w:bidi="ar-SA"/>
              </w:rPr>
              <w:t>文件要求</w:t>
            </w:r>
            <w:r>
              <w:rPr>
                <w:rFonts w:hint="eastAsia" w:ascii="宋体" w:hAnsi="宋体" w:eastAsia="宋体" w:cs="Times New Roman"/>
                <w:color w:val="auto"/>
                <w:kern w:val="2"/>
                <w:sz w:val="24"/>
                <w:szCs w:val="24"/>
                <w:lang w:val="zh-TW" w:eastAsia="zh-CN" w:bidi="ar-SA"/>
              </w:rPr>
              <w:t>且</w:t>
            </w:r>
            <w:r>
              <w:rPr>
                <w:rFonts w:hint="eastAsia" w:ascii="宋体" w:hAnsi="宋体" w:cs="Times New Roman"/>
                <w:color w:val="auto"/>
                <w:kern w:val="2"/>
                <w:sz w:val="24"/>
                <w:szCs w:val="24"/>
                <w:lang w:val="zh-TW" w:eastAsia="zh-CN" w:bidi="ar-SA"/>
              </w:rPr>
              <w:t>最终</w:t>
            </w:r>
            <w:r>
              <w:rPr>
                <w:rFonts w:hint="eastAsia" w:ascii="宋体" w:hAnsi="宋体" w:eastAsia="宋体" w:cs="Times New Roman"/>
                <w:color w:val="auto"/>
                <w:kern w:val="2"/>
                <w:sz w:val="24"/>
                <w:szCs w:val="24"/>
                <w:lang w:val="zh-TW" w:eastAsia="zh-CN" w:bidi="ar-SA"/>
              </w:rPr>
              <w:t>投标</w:t>
            </w:r>
            <w:r>
              <w:rPr>
                <w:rFonts w:hint="eastAsia" w:ascii="宋体" w:hAnsi="宋体" w:cs="Times New Roman"/>
                <w:color w:val="auto"/>
                <w:kern w:val="2"/>
                <w:sz w:val="24"/>
                <w:szCs w:val="24"/>
                <w:lang w:val="en-US" w:eastAsia="zh-CN" w:bidi="ar-SA"/>
              </w:rPr>
              <w:t>报价</w:t>
            </w:r>
            <w:r>
              <w:rPr>
                <w:rFonts w:hint="eastAsia" w:ascii="宋体" w:hAnsi="宋体" w:eastAsia="宋体" w:cs="Times New Roman"/>
                <w:color w:val="auto"/>
                <w:kern w:val="2"/>
                <w:sz w:val="24"/>
                <w:szCs w:val="24"/>
                <w:lang w:val="zh-TW" w:eastAsia="zh-TW" w:bidi="ar-SA"/>
              </w:rPr>
              <w:t>最低的</w:t>
            </w:r>
            <w:r>
              <w:rPr>
                <w:rFonts w:hint="eastAsia" w:ascii="宋体" w:hAnsi="宋体" w:cs="Times New Roman"/>
                <w:color w:val="auto"/>
                <w:kern w:val="2"/>
                <w:sz w:val="24"/>
                <w:szCs w:val="24"/>
                <w:lang w:val="zh-TW" w:eastAsia="zh-CN" w:bidi="ar-SA"/>
              </w:rPr>
              <w:t>磋商</w:t>
            </w:r>
            <w:r>
              <w:rPr>
                <w:rFonts w:hint="eastAsia" w:ascii="宋体" w:hAnsi="宋体" w:eastAsia="宋体" w:cs="Times New Roman"/>
                <w:color w:val="auto"/>
                <w:kern w:val="2"/>
                <w:sz w:val="24"/>
                <w:szCs w:val="24"/>
                <w:lang w:val="zh-TW" w:eastAsia="zh-TW" w:bidi="ar-SA"/>
              </w:rPr>
              <w:t>报价为评标基准价，其价格分为满分。其他投标人的价格分统一按照下列公式计算：</w:t>
            </w:r>
          </w:p>
          <w:p w14:paraId="6C5B1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imes New Roman"/>
                <w:color w:val="auto"/>
                <w:kern w:val="2"/>
                <w:sz w:val="24"/>
                <w:szCs w:val="24"/>
                <w:lang w:val="zh-TW" w:eastAsia="zh-TW" w:bidi="ar-SA"/>
              </w:rPr>
            </w:pPr>
            <w:r>
              <w:rPr>
                <w:rFonts w:hint="eastAsia" w:ascii="宋体" w:hAnsi="宋体" w:cs="Times New Roman"/>
                <w:color w:val="auto"/>
                <w:kern w:val="2"/>
                <w:sz w:val="24"/>
                <w:szCs w:val="24"/>
                <w:lang w:val="zh-TW" w:eastAsia="zh-CN" w:bidi="ar-SA"/>
              </w:rPr>
              <w:t>磋商</w:t>
            </w:r>
            <w:r>
              <w:rPr>
                <w:rFonts w:hint="eastAsia" w:ascii="宋体" w:hAnsi="宋体" w:eastAsia="宋体" w:cs="Times New Roman"/>
                <w:color w:val="auto"/>
                <w:kern w:val="2"/>
                <w:sz w:val="24"/>
                <w:szCs w:val="24"/>
                <w:lang w:val="zh-TW" w:eastAsia="zh-TW" w:bidi="ar-SA"/>
              </w:rPr>
              <w:t>报价得分=(评标基准价／评标报价)×30</w:t>
            </w:r>
          </w:p>
          <w:p w14:paraId="339AE134">
            <w:pPr>
              <w:pStyle w:val="43"/>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备注：评标委员会认为</w:t>
            </w:r>
            <w:r>
              <w:rPr>
                <w:rFonts w:hint="eastAsia" w:ascii="宋体" w:hAnsi="宋体" w:eastAsia="宋体" w:cs="宋体"/>
                <w:b/>
                <w:color w:val="auto"/>
                <w:sz w:val="24"/>
                <w:szCs w:val="24"/>
                <w:highlight w:val="none"/>
                <w:shd w:val="clear" w:color="auto" w:fill="FFFFFF"/>
                <w:lang w:eastAsia="zh-CN"/>
              </w:rPr>
              <w:t>供应商</w:t>
            </w:r>
            <w:r>
              <w:rPr>
                <w:rFonts w:hint="eastAsia" w:ascii="宋体" w:hAnsi="宋体" w:eastAsia="宋体" w:cs="宋体"/>
                <w:b/>
                <w:color w:val="auto"/>
                <w:sz w:val="24"/>
                <w:szCs w:val="24"/>
                <w:highlight w:val="none"/>
                <w:shd w:val="clear" w:color="auto" w:fill="FFFFFF"/>
              </w:rPr>
              <w:t>的报价明显低于其他通过符合性审查</w:t>
            </w:r>
            <w:r>
              <w:rPr>
                <w:rFonts w:hint="eastAsia" w:ascii="宋体" w:hAnsi="宋体" w:eastAsia="宋体" w:cs="宋体"/>
                <w:b/>
                <w:color w:val="auto"/>
                <w:sz w:val="24"/>
                <w:szCs w:val="24"/>
                <w:highlight w:val="none"/>
                <w:shd w:val="clear" w:color="auto" w:fill="FFFFFF"/>
                <w:lang w:eastAsia="zh-CN"/>
              </w:rPr>
              <w:t>供应商</w:t>
            </w:r>
            <w:r>
              <w:rPr>
                <w:rFonts w:hint="eastAsia" w:ascii="宋体" w:hAnsi="宋体" w:eastAsia="宋体" w:cs="宋体"/>
                <w:b/>
                <w:color w:val="auto"/>
                <w:sz w:val="24"/>
                <w:szCs w:val="24"/>
                <w:highlight w:val="none"/>
                <w:shd w:val="clear" w:color="auto" w:fill="FFFFFF"/>
              </w:rPr>
              <w:t>的报价，有可能影响产品质量或者不能诚信履约的，应当要求其在合理的时间内提供说明，必要时提交相关证明材料;</w:t>
            </w:r>
            <w:r>
              <w:rPr>
                <w:rFonts w:hint="eastAsia" w:ascii="宋体" w:hAnsi="宋体" w:eastAsia="宋体" w:cs="宋体"/>
                <w:b/>
                <w:color w:val="auto"/>
                <w:sz w:val="24"/>
                <w:szCs w:val="24"/>
                <w:highlight w:val="none"/>
                <w:shd w:val="clear" w:color="auto" w:fill="FFFFFF"/>
                <w:lang w:eastAsia="zh-CN"/>
              </w:rPr>
              <w:t>供应商</w:t>
            </w:r>
            <w:r>
              <w:rPr>
                <w:rFonts w:hint="eastAsia" w:ascii="宋体" w:hAnsi="宋体" w:eastAsia="宋体" w:cs="宋体"/>
                <w:b/>
                <w:color w:val="auto"/>
                <w:sz w:val="24"/>
                <w:szCs w:val="24"/>
                <w:highlight w:val="none"/>
                <w:shd w:val="clear" w:color="auto" w:fill="FFFFFF"/>
              </w:rPr>
              <w:t>不能证明其报价合理性的，评标委员会应当将其作为无效投标处理。</w:t>
            </w:r>
          </w:p>
        </w:tc>
      </w:tr>
      <w:tr w14:paraId="275E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9" w:type="dxa"/>
            <w:vMerge w:val="restart"/>
            <w:noWrap/>
            <w:vAlign w:val="center"/>
          </w:tcPr>
          <w:p w14:paraId="670A223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eastAsia="zh-CN"/>
              </w:rPr>
              <w:t>（二）</w:t>
            </w:r>
          </w:p>
        </w:tc>
        <w:tc>
          <w:tcPr>
            <w:tcW w:w="1191" w:type="dxa"/>
            <w:vMerge w:val="restart"/>
            <w:noWrap/>
            <w:vAlign w:val="center"/>
          </w:tcPr>
          <w:p w14:paraId="37F343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w:t>
            </w: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p w14:paraId="0DB808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0" w:type="dxa"/>
            <w:noWrap/>
            <w:vAlign w:val="center"/>
          </w:tcPr>
          <w:p w14:paraId="1BAE298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业绩</w:t>
            </w:r>
          </w:p>
          <w:p w14:paraId="74A469B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分）</w:t>
            </w:r>
          </w:p>
        </w:tc>
        <w:tc>
          <w:tcPr>
            <w:tcW w:w="7260" w:type="dxa"/>
            <w:noWrap/>
            <w:vAlign w:val="center"/>
          </w:tcPr>
          <w:p w14:paraId="5A5A82AB">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1日（</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合同签订日期为准）以来具有</w:t>
            </w:r>
            <w:r>
              <w:rPr>
                <w:rFonts w:hint="eastAsia" w:ascii="宋体" w:hAnsi="宋体" w:eastAsia="宋体" w:cs="宋体"/>
                <w:color w:val="auto"/>
                <w:sz w:val="24"/>
                <w:szCs w:val="24"/>
                <w:highlight w:val="none"/>
                <w:lang w:val="en-US" w:eastAsia="zh-CN"/>
              </w:rPr>
              <w:t>医疗设备类</w:t>
            </w:r>
            <w:r>
              <w:rPr>
                <w:rFonts w:hint="eastAsia" w:ascii="宋体" w:hAnsi="宋体" w:eastAsia="宋体" w:cs="宋体"/>
                <w:color w:val="auto"/>
                <w:sz w:val="24"/>
                <w:szCs w:val="24"/>
                <w:highlight w:val="none"/>
              </w:rPr>
              <w:t>项目业绩的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有一</w:t>
            </w:r>
            <w:r>
              <w:rPr>
                <w:rFonts w:hint="eastAsia" w:ascii="宋体" w:hAnsi="宋体" w:eastAsia="宋体" w:cs="宋体"/>
                <w:color w:val="auto"/>
                <w:sz w:val="24"/>
                <w:szCs w:val="24"/>
                <w:highlight w:val="none"/>
              </w:rPr>
              <w:t>个项目得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rPr>
              <w:t>提供合同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中标通知书、中标网页公示截图</w:t>
            </w:r>
            <w:r>
              <w:rPr>
                <w:rFonts w:hint="eastAsia" w:ascii="宋体" w:hAnsi="宋体" w:eastAsia="宋体" w:cs="宋体"/>
                <w:color w:val="auto"/>
                <w:sz w:val="24"/>
                <w:szCs w:val="24"/>
                <w:highlight w:val="none"/>
              </w:rPr>
              <w:t>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加盖公章附</w:t>
            </w:r>
            <w:r>
              <w:rPr>
                <w:rFonts w:hint="eastAsia" w:ascii="宋体" w:hAnsi="宋体" w:eastAsia="宋体" w:cs="宋体"/>
                <w:color w:val="auto"/>
                <w:sz w:val="24"/>
                <w:szCs w:val="24"/>
                <w:highlight w:val="none"/>
                <w:lang w:eastAsia="zh-CN"/>
              </w:rPr>
              <w:t>在响应文件中</w:t>
            </w:r>
            <w:r>
              <w:rPr>
                <w:rFonts w:hint="eastAsia" w:ascii="宋体" w:hAnsi="宋体" w:eastAsia="宋体" w:cs="宋体"/>
                <w:color w:val="auto"/>
                <w:sz w:val="24"/>
                <w:szCs w:val="24"/>
                <w:highlight w:val="none"/>
              </w:rPr>
              <w:t>，未提供</w:t>
            </w:r>
            <w:r>
              <w:rPr>
                <w:rFonts w:hint="eastAsia" w:ascii="宋体" w:hAnsi="宋体" w:eastAsia="宋体" w:cs="宋体"/>
                <w:color w:val="auto"/>
                <w:sz w:val="24"/>
                <w:szCs w:val="24"/>
                <w:highlight w:val="none"/>
                <w:lang w:eastAsia="zh-CN"/>
              </w:rPr>
              <w:t>或提供不全的</w:t>
            </w:r>
            <w:r>
              <w:rPr>
                <w:rFonts w:hint="eastAsia" w:ascii="宋体" w:hAnsi="宋体" w:eastAsia="宋体" w:cs="宋体"/>
                <w:color w:val="auto"/>
                <w:sz w:val="24"/>
                <w:szCs w:val="24"/>
                <w:highlight w:val="none"/>
              </w:rPr>
              <w:t>不得分。</w:t>
            </w:r>
          </w:p>
        </w:tc>
      </w:tr>
      <w:tr w14:paraId="2C3F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89" w:type="dxa"/>
            <w:vMerge w:val="continue"/>
            <w:noWrap/>
            <w:vAlign w:val="center"/>
          </w:tcPr>
          <w:p w14:paraId="587C51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1" w:type="dxa"/>
            <w:vMerge w:val="continue"/>
            <w:noWrap/>
            <w:vAlign w:val="center"/>
          </w:tcPr>
          <w:p w14:paraId="5974F6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0" w:type="dxa"/>
            <w:noWrap/>
            <w:vAlign w:val="center"/>
          </w:tcPr>
          <w:p w14:paraId="5FAF903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260" w:type="dxa"/>
            <w:noWrap/>
            <w:vAlign w:val="center"/>
          </w:tcPr>
          <w:p w14:paraId="6556361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应具有完善的售后服务方案，磋商小组根据其售后服务的内容、形式、</w:t>
            </w:r>
            <w:r>
              <w:rPr>
                <w:rFonts w:hint="eastAsia" w:ascii="宋体" w:hAnsi="宋体" w:eastAsia="宋体" w:cs="宋体"/>
                <w:color w:val="auto"/>
                <w:sz w:val="24"/>
                <w:szCs w:val="24"/>
                <w:highlight w:val="none"/>
                <w:lang w:eastAsia="zh-CN"/>
              </w:rPr>
              <w:t>质保期限以及维修</w:t>
            </w:r>
            <w:r>
              <w:rPr>
                <w:rFonts w:hint="eastAsia" w:ascii="宋体" w:hAnsi="宋体" w:eastAsia="宋体" w:cs="宋体"/>
                <w:color w:val="auto"/>
                <w:sz w:val="24"/>
                <w:szCs w:val="24"/>
                <w:highlight w:val="none"/>
              </w:rPr>
              <w:t>响应时间的</w:t>
            </w:r>
            <w:r>
              <w:rPr>
                <w:rFonts w:hint="eastAsia" w:ascii="宋体" w:hAnsi="宋体" w:eastAsia="宋体" w:cs="宋体"/>
                <w:color w:val="auto"/>
                <w:sz w:val="24"/>
                <w:szCs w:val="24"/>
                <w:highlight w:val="none"/>
                <w:lang w:eastAsia="zh-CN"/>
              </w:rPr>
              <w:t>快捷性、便捷性、</w:t>
            </w:r>
            <w:r>
              <w:rPr>
                <w:rFonts w:hint="eastAsia" w:ascii="宋体" w:hAnsi="宋体" w:eastAsia="宋体" w:cs="宋体"/>
                <w:color w:val="auto"/>
                <w:sz w:val="24"/>
                <w:szCs w:val="24"/>
                <w:highlight w:val="none"/>
              </w:rPr>
              <w:t>合理性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实事求是且满足用户的需求进行</w:t>
            </w:r>
            <w:r>
              <w:rPr>
                <w:rFonts w:hint="eastAsia" w:ascii="宋体" w:hAnsi="宋体" w:eastAsia="宋体" w:cs="宋体"/>
                <w:color w:val="auto"/>
                <w:sz w:val="24"/>
                <w:szCs w:val="24"/>
                <w:highlight w:val="none"/>
                <w:lang w:eastAsia="zh-CN"/>
              </w:rPr>
              <w:t>打分</w:t>
            </w:r>
            <w:r>
              <w:rPr>
                <w:rFonts w:hint="eastAsia" w:ascii="宋体" w:hAnsi="宋体" w:cs="宋体"/>
                <w:color w:val="auto"/>
                <w:sz w:val="24"/>
                <w:szCs w:val="24"/>
                <w:highlight w:val="none"/>
                <w:lang w:eastAsia="zh-CN"/>
              </w:rPr>
              <w:t>：</w:t>
            </w:r>
          </w:p>
          <w:p w14:paraId="1C3F2AE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方案科学、合理、完善，能满足用户的得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965745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方案较科学、较合理、较完善的得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0489C00B">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方案基本科学、合理、完善得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TW" w:eastAsia="zh-TW"/>
              </w:rPr>
              <w:t>未提供不得分</w:t>
            </w:r>
            <w:r>
              <w:rPr>
                <w:rFonts w:hint="eastAsia" w:ascii="宋体" w:hAnsi="宋体" w:eastAsia="宋体" w:cs="宋体"/>
                <w:color w:val="auto"/>
                <w:sz w:val="24"/>
                <w:szCs w:val="24"/>
                <w:highlight w:val="none"/>
                <w:lang w:val="en-US" w:eastAsia="zh-CN"/>
              </w:rPr>
              <w:t>。</w:t>
            </w:r>
          </w:p>
        </w:tc>
      </w:tr>
      <w:tr w14:paraId="1348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89" w:type="dxa"/>
            <w:vMerge w:val="restart"/>
            <w:noWrap/>
            <w:vAlign w:val="center"/>
          </w:tcPr>
          <w:p w14:paraId="5ED1DACF">
            <w:pPr>
              <w:pStyle w:val="43"/>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eastAsia="zh-CN"/>
              </w:rPr>
              <w:t>（三）</w:t>
            </w:r>
          </w:p>
        </w:tc>
        <w:tc>
          <w:tcPr>
            <w:tcW w:w="1191" w:type="dxa"/>
            <w:vMerge w:val="restart"/>
            <w:noWrap/>
            <w:vAlign w:val="center"/>
          </w:tcPr>
          <w:p w14:paraId="578AFC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b/>
                <w:color w:val="auto"/>
                <w:sz w:val="24"/>
                <w:szCs w:val="24"/>
                <w:highlight w:val="none"/>
              </w:rPr>
              <w:t>技术部分（</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tc>
        <w:tc>
          <w:tcPr>
            <w:tcW w:w="1260" w:type="dxa"/>
            <w:noWrap/>
            <w:vAlign w:val="center"/>
          </w:tcPr>
          <w:p w14:paraId="501D7E7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kern w:val="0"/>
                <w:sz w:val="24"/>
                <w:szCs w:val="24"/>
                <w:highlight w:val="none"/>
                <w:lang w:eastAsia="zh-CN"/>
              </w:rPr>
              <w:t>技术参数（</w:t>
            </w:r>
            <w:r>
              <w:rPr>
                <w:rFonts w:hint="eastAsia" w:ascii="宋体" w:hAnsi="宋体" w:cs="宋体"/>
                <w:b w:val="0"/>
                <w:bCs w:val="0"/>
                <w:color w:val="auto"/>
                <w:kern w:val="0"/>
                <w:sz w:val="24"/>
                <w:szCs w:val="24"/>
                <w:highlight w:val="none"/>
                <w:lang w:val="en-US" w:eastAsia="zh-CN"/>
              </w:rPr>
              <w:t>40</w:t>
            </w:r>
            <w:r>
              <w:rPr>
                <w:rFonts w:hint="eastAsia" w:ascii="宋体" w:hAnsi="宋体" w:cs="宋体"/>
                <w:b w:val="0"/>
                <w:bCs w:val="0"/>
                <w:color w:val="auto"/>
                <w:kern w:val="0"/>
                <w:sz w:val="24"/>
                <w:szCs w:val="24"/>
                <w:highlight w:val="none"/>
              </w:rPr>
              <w:t>分</w:t>
            </w:r>
            <w:r>
              <w:rPr>
                <w:rFonts w:hint="eastAsia" w:ascii="宋体" w:hAnsi="宋体" w:cs="宋体"/>
                <w:b w:val="0"/>
                <w:bCs w:val="0"/>
                <w:color w:val="auto"/>
                <w:kern w:val="0"/>
                <w:sz w:val="24"/>
                <w:szCs w:val="24"/>
                <w:highlight w:val="none"/>
                <w:lang w:eastAsia="zh-CN"/>
              </w:rPr>
              <w:t>）</w:t>
            </w:r>
          </w:p>
        </w:tc>
        <w:tc>
          <w:tcPr>
            <w:tcW w:w="7260" w:type="dxa"/>
            <w:noWrap/>
            <w:vAlign w:val="center"/>
          </w:tcPr>
          <w:p w14:paraId="00C90EDE">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技术参数或标准等满足磋商文件要求得满分</w:t>
            </w:r>
            <w:r>
              <w:rPr>
                <w:rFonts w:hint="eastAsia" w:ascii="宋体" w:hAnsi="宋体" w:cs="宋体"/>
                <w:color w:val="auto"/>
                <w:sz w:val="24"/>
                <w:szCs w:val="24"/>
                <w:highlight w:val="none"/>
                <w:shd w:val="clear" w:color="auto" w:fill="FFFFFF"/>
                <w:lang w:val="en-US" w:eastAsia="zh-CN"/>
              </w:rPr>
              <w:t>40</w:t>
            </w:r>
            <w:r>
              <w:rPr>
                <w:rFonts w:hint="eastAsia" w:ascii="宋体" w:hAnsi="宋体" w:cs="宋体"/>
                <w:color w:val="auto"/>
                <w:sz w:val="24"/>
                <w:szCs w:val="24"/>
                <w:highlight w:val="none"/>
                <w:shd w:val="clear" w:color="auto" w:fill="FFFFFF"/>
              </w:rPr>
              <w:t xml:space="preserve">分，加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shd w:val="clear" w:color="auto" w:fill="FFFFFF"/>
              </w:rPr>
              <w:t xml:space="preserve"> 号的为</w:t>
            </w:r>
            <w:r>
              <w:rPr>
                <w:rFonts w:hint="eastAsia" w:ascii="宋体" w:hAnsi="宋体" w:cs="宋体"/>
                <w:color w:val="auto"/>
                <w:sz w:val="24"/>
                <w:szCs w:val="24"/>
                <w:highlight w:val="none"/>
                <w:shd w:val="clear" w:color="auto" w:fill="FFFFFF"/>
                <w:lang w:val="en-US" w:eastAsia="zh-CN"/>
              </w:rPr>
              <w:t>重要参数</w:t>
            </w:r>
            <w:r>
              <w:rPr>
                <w:rFonts w:hint="eastAsia" w:ascii="宋体" w:hAnsi="宋体" w:cs="宋体"/>
                <w:color w:val="auto"/>
                <w:sz w:val="24"/>
                <w:szCs w:val="24"/>
                <w:highlight w:val="none"/>
                <w:shd w:val="clear" w:color="auto" w:fill="FFFFFF"/>
              </w:rPr>
              <w:t xml:space="preserve">，每有一项不满足扣 </w:t>
            </w:r>
            <w:r>
              <w:rPr>
                <w:rFonts w:hint="eastAsia" w:ascii="宋体" w:hAnsi="宋体" w:cs="宋体"/>
                <w:color w:val="auto"/>
                <w:sz w:val="24"/>
                <w:szCs w:val="24"/>
                <w:highlight w:val="none"/>
                <w:shd w:val="clear" w:color="auto" w:fill="FFFFFF"/>
                <w:lang w:val="en-US" w:eastAsia="zh-CN"/>
              </w:rPr>
              <w:t>3</w:t>
            </w:r>
            <w:r>
              <w:rPr>
                <w:rFonts w:hint="eastAsia" w:ascii="宋体" w:hAnsi="宋体" w:cs="宋体"/>
                <w:color w:val="auto"/>
                <w:sz w:val="24"/>
                <w:szCs w:val="24"/>
                <w:highlight w:val="none"/>
                <w:shd w:val="clear" w:color="auto" w:fill="FFFFFF"/>
              </w:rPr>
              <w:t xml:space="preserve"> 分。其他非</w:t>
            </w:r>
            <w:r>
              <w:rPr>
                <w:rFonts w:hint="eastAsia" w:ascii="宋体" w:hAnsi="宋体" w:cs="宋体"/>
                <w:color w:val="auto"/>
                <w:sz w:val="24"/>
                <w:szCs w:val="24"/>
                <w:highlight w:val="none"/>
                <w:shd w:val="clear" w:color="auto" w:fill="FFFFFF"/>
                <w:lang w:val="en-US" w:eastAsia="zh-CN"/>
              </w:rPr>
              <w:t>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shd w:val="clear" w:color="auto" w:fill="FFFFFF"/>
              </w:rPr>
              <w:t>要求，每有一项不满足</w:t>
            </w:r>
            <w:r>
              <w:rPr>
                <w:rFonts w:hint="eastAsia" w:ascii="宋体" w:hAnsi="宋体" w:cs="宋体"/>
                <w:color w:val="auto"/>
                <w:sz w:val="24"/>
                <w:szCs w:val="24"/>
                <w:highlight w:val="none"/>
                <w:shd w:val="clear" w:color="auto" w:fill="FFFFFF"/>
                <w:lang w:val="en-US" w:eastAsia="zh-CN"/>
              </w:rPr>
              <w:t>扣1</w:t>
            </w:r>
            <w:r>
              <w:rPr>
                <w:rFonts w:hint="eastAsia" w:ascii="宋体" w:hAnsi="宋体" w:cs="宋体"/>
                <w:color w:val="auto"/>
                <w:sz w:val="24"/>
                <w:szCs w:val="24"/>
                <w:highlight w:val="none"/>
                <w:shd w:val="clear" w:color="auto" w:fill="FFFFFF"/>
              </w:rPr>
              <w:t>分。</w:t>
            </w:r>
          </w:p>
          <w:p w14:paraId="47D3D02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shd w:val="clear" w:color="auto" w:fill="FFFFFF"/>
              </w:rPr>
              <w:t>注：</w:t>
            </w:r>
            <w:r>
              <w:rPr>
                <w:rFonts w:hint="eastAsia" w:ascii="宋体" w:hAnsi="宋体" w:cs="宋体"/>
                <w:color w:val="auto"/>
                <w:sz w:val="24"/>
                <w:szCs w:val="24"/>
                <w:highlight w:val="none"/>
                <w:lang w:val="en-US" w:eastAsia="zh-CN" w:bidi="ar-SA"/>
              </w:rPr>
              <w:t>供应商</w:t>
            </w:r>
            <w:r>
              <w:rPr>
                <w:rFonts w:hint="eastAsia" w:ascii="宋体" w:hAnsi="宋体" w:eastAsia="宋体" w:cs="宋体"/>
                <w:color w:val="auto"/>
                <w:sz w:val="24"/>
                <w:szCs w:val="24"/>
                <w:highlight w:val="none"/>
                <w:lang w:val="en-US" w:eastAsia="zh-CN" w:bidi="ar-SA"/>
              </w:rPr>
              <w:t>须在</w:t>
            </w:r>
            <w:r>
              <w:rPr>
                <w:rFonts w:hint="eastAsia" w:ascii="宋体" w:hAnsi="宋体" w:cs="宋体"/>
                <w:color w:val="auto"/>
                <w:sz w:val="24"/>
                <w:szCs w:val="24"/>
                <w:highlight w:val="none"/>
                <w:lang w:val="en-US" w:eastAsia="zh-CN" w:bidi="ar-SA"/>
              </w:rPr>
              <w:t>响应</w:t>
            </w:r>
            <w:r>
              <w:rPr>
                <w:rFonts w:hint="eastAsia" w:ascii="宋体" w:hAnsi="宋体" w:eastAsia="宋体" w:cs="宋体"/>
                <w:color w:val="auto"/>
                <w:sz w:val="24"/>
                <w:szCs w:val="24"/>
                <w:highlight w:val="none"/>
                <w:lang w:val="en-US" w:eastAsia="zh-CN" w:bidi="ar-SA"/>
              </w:rPr>
              <w:t>文件中提供技术支持资料。技术支持资料以检测机构出具的检验报告或产品说明书或技术白皮书</w:t>
            </w:r>
            <w:r>
              <w:rPr>
                <w:rFonts w:hint="eastAsia" w:ascii="宋体" w:hAnsi="宋体" w:cs="宋体"/>
                <w:color w:val="auto"/>
                <w:sz w:val="24"/>
                <w:szCs w:val="24"/>
                <w:highlight w:val="none"/>
                <w:lang w:val="en-US" w:eastAsia="zh-CN" w:bidi="ar-SA"/>
              </w:rPr>
              <w:t>&lt;</w:t>
            </w:r>
            <w:r>
              <w:rPr>
                <w:rFonts w:hint="eastAsia" w:ascii="宋体" w:hAnsi="宋体" w:eastAsia="宋体" w:cs="宋体"/>
                <w:color w:val="auto"/>
                <w:sz w:val="24"/>
                <w:szCs w:val="24"/>
                <w:highlight w:val="none"/>
                <w:lang w:val="en-US" w:eastAsia="zh-CN" w:bidi="ar-SA"/>
              </w:rPr>
              <w:t>datasheet</w:t>
            </w:r>
            <w:r>
              <w:rPr>
                <w:rFonts w:hint="eastAsia" w:ascii="宋体" w:hAnsi="宋体" w:cs="宋体"/>
                <w:color w:val="auto"/>
                <w:sz w:val="24"/>
                <w:szCs w:val="24"/>
                <w:highlight w:val="none"/>
                <w:lang w:val="en-US" w:eastAsia="zh-CN" w:bidi="ar-SA"/>
              </w:rPr>
              <w:t>&gt;</w:t>
            </w:r>
            <w:r>
              <w:rPr>
                <w:rFonts w:hint="eastAsia" w:ascii="宋体" w:hAnsi="宋体" w:eastAsia="宋体" w:cs="宋体"/>
                <w:color w:val="auto"/>
                <w:sz w:val="24"/>
                <w:szCs w:val="24"/>
                <w:highlight w:val="none"/>
                <w:lang w:val="en-US" w:eastAsia="zh-CN" w:bidi="ar-SA"/>
              </w:rPr>
              <w:t>、彩页或供应商须知前附表允许的其他形式为准，不符合前述要求的，视为无技术支持资料，为负偏离。</w:t>
            </w:r>
          </w:p>
        </w:tc>
      </w:tr>
      <w:tr w14:paraId="16D2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9" w:type="dxa"/>
            <w:vMerge w:val="continue"/>
            <w:noWrap/>
            <w:vAlign w:val="center"/>
          </w:tcPr>
          <w:p w14:paraId="194A2BF1">
            <w:pPr>
              <w:pStyle w:val="43"/>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p>
        </w:tc>
        <w:tc>
          <w:tcPr>
            <w:tcW w:w="1191" w:type="dxa"/>
            <w:vMerge w:val="continue"/>
            <w:noWrap/>
            <w:vAlign w:val="center"/>
          </w:tcPr>
          <w:p w14:paraId="77CB27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p>
        </w:tc>
        <w:tc>
          <w:tcPr>
            <w:tcW w:w="1260" w:type="dxa"/>
            <w:noWrap/>
            <w:vAlign w:val="center"/>
          </w:tcPr>
          <w:p w14:paraId="3D06480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培训方案（</w:t>
            </w: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分）</w:t>
            </w:r>
          </w:p>
        </w:tc>
        <w:tc>
          <w:tcPr>
            <w:tcW w:w="7260" w:type="dxa"/>
            <w:noWrap/>
            <w:vAlign w:val="center"/>
          </w:tcPr>
          <w:p w14:paraId="04787ED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根据供应商提供的培训方案及培训人员资格情况等横向比较后在</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分之间打分</w:t>
            </w:r>
            <w:r>
              <w:rPr>
                <w:rFonts w:hint="eastAsia" w:ascii="宋体" w:hAnsi="宋体" w:cs="宋体"/>
                <w:color w:val="auto"/>
                <w:sz w:val="24"/>
                <w:szCs w:val="24"/>
                <w:highlight w:val="none"/>
                <w:shd w:val="clear" w:color="auto" w:fill="FFFFFF"/>
                <w:lang w:eastAsia="zh-CN"/>
              </w:rPr>
              <w:t>：</w:t>
            </w:r>
          </w:p>
          <w:p w14:paraId="368617A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培训方案</w:t>
            </w:r>
            <w:r>
              <w:rPr>
                <w:rFonts w:hint="eastAsia" w:ascii="宋体" w:hAnsi="宋体" w:eastAsia="宋体" w:cs="宋体"/>
                <w:color w:val="auto"/>
                <w:sz w:val="24"/>
                <w:szCs w:val="24"/>
                <w:highlight w:val="none"/>
                <w:shd w:val="clear" w:color="auto" w:fill="FFFFFF"/>
                <w:lang w:val="en-US" w:eastAsia="zh-CN"/>
              </w:rPr>
              <w:t>科学、合理、完善，能满足用户的得10分；</w:t>
            </w:r>
          </w:p>
          <w:p w14:paraId="129DCEA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培训方案</w:t>
            </w:r>
            <w:r>
              <w:rPr>
                <w:rFonts w:hint="eastAsia" w:ascii="宋体" w:hAnsi="宋体" w:eastAsia="宋体" w:cs="宋体"/>
                <w:color w:val="auto"/>
                <w:sz w:val="24"/>
                <w:szCs w:val="24"/>
                <w:highlight w:val="none"/>
                <w:shd w:val="clear" w:color="auto" w:fill="FFFFFF"/>
                <w:lang w:val="en-US" w:eastAsia="zh-CN"/>
              </w:rPr>
              <w:t>较科学、较合理、较完善的得</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lang w:val="en-US" w:eastAsia="zh-CN"/>
              </w:rPr>
              <w:t>分</w:t>
            </w:r>
            <w:r>
              <w:rPr>
                <w:rFonts w:hint="eastAsia" w:ascii="宋体" w:hAnsi="宋体" w:cs="宋体"/>
                <w:color w:val="auto"/>
                <w:sz w:val="24"/>
                <w:szCs w:val="24"/>
                <w:highlight w:val="none"/>
                <w:shd w:val="clear" w:color="auto" w:fill="FFFFFF"/>
                <w:lang w:val="en-US" w:eastAsia="zh-CN"/>
              </w:rPr>
              <w:t>；</w:t>
            </w:r>
          </w:p>
          <w:p w14:paraId="4BC399B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培训方案</w:t>
            </w:r>
            <w:r>
              <w:rPr>
                <w:rFonts w:hint="eastAsia" w:ascii="宋体" w:hAnsi="宋体" w:eastAsia="宋体" w:cs="宋体"/>
                <w:color w:val="auto"/>
                <w:sz w:val="24"/>
                <w:szCs w:val="24"/>
                <w:highlight w:val="none"/>
                <w:shd w:val="clear" w:color="auto" w:fill="FFFFFF"/>
                <w:lang w:val="en-US" w:eastAsia="zh-CN"/>
              </w:rPr>
              <w:t>基本科学、合理、完善得</w:t>
            </w: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分，</w:t>
            </w:r>
            <w:r>
              <w:rPr>
                <w:rFonts w:hint="eastAsia" w:ascii="宋体" w:hAnsi="宋体" w:eastAsia="宋体" w:cs="宋体"/>
                <w:color w:val="auto"/>
                <w:sz w:val="24"/>
                <w:szCs w:val="24"/>
                <w:highlight w:val="none"/>
                <w:shd w:val="clear" w:color="auto" w:fill="FFFFFF"/>
                <w:lang w:val="zh-TW" w:eastAsia="zh-TW"/>
              </w:rPr>
              <w:t>未提供不得分</w:t>
            </w:r>
            <w:r>
              <w:rPr>
                <w:rFonts w:hint="eastAsia" w:ascii="宋体" w:hAnsi="宋体" w:eastAsia="宋体" w:cs="宋体"/>
                <w:color w:val="auto"/>
                <w:sz w:val="24"/>
                <w:szCs w:val="24"/>
                <w:highlight w:val="none"/>
                <w:shd w:val="clear" w:color="auto" w:fill="FFFFFF"/>
                <w:lang w:val="en-US" w:eastAsia="zh-CN"/>
              </w:rPr>
              <w:t>。</w:t>
            </w:r>
          </w:p>
        </w:tc>
      </w:tr>
      <w:tr w14:paraId="2A78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89" w:type="dxa"/>
            <w:vMerge w:val="continue"/>
            <w:noWrap/>
            <w:vAlign w:val="center"/>
          </w:tcPr>
          <w:p w14:paraId="6C97BA72">
            <w:pPr>
              <w:pStyle w:val="43"/>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p>
        </w:tc>
        <w:tc>
          <w:tcPr>
            <w:tcW w:w="1191" w:type="dxa"/>
            <w:vMerge w:val="continue"/>
            <w:noWrap/>
            <w:vAlign w:val="center"/>
          </w:tcPr>
          <w:p w14:paraId="1C2F98C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p>
        </w:tc>
        <w:tc>
          <w:tcPr>
            <w:tcW w:w="1260" w:type="dxa"/>
            <w:noWrap/>
            <w:vAlign w:val="center"/>
          </w:tcPr>
          <w:p w14:paraId="006260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供货</w:t>
            </w:r>
            <w:r>
              <w:rPr>
                <w:rFonts w:hint="eastAsia" w:ascii="宋体" w:hAnsi="宋体" w:eastAsia="宋体" w:cs="宋体"/>
                <w:color w:val="auto"/>
                <w:sz w:val="24"/>
                <w:szCs w:val="24"/>
                <w:highlight w:val="none"/>
                <w:shd w:val="clear" w:color="auto" w:fill="FFFFFF"/>
              </w:rPr>
              <w:t>、调试实施方案</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分）</w:t>
            </w:r>
          </w:p>
        </w:tc>
        <w:tc>
          <w:tcPr>
            <w:tcW w:w="7260" w:type="dxa"/>
            <w:noWrap/>
            <w:vAlign w:val="center"/>
          </w:tcPr>
          <w:p w14:paraId="6422B89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根据</w:t>
            </w:r>
            <w:r>
              <w:rPr>
                <w:rFonts w:hint="eastAsia" w:ascii="宋体" w:hAnsi="宋体" w:eastAsia="宋体" w:cs="宋体"/>
                <w:color w:val="auto"/>
                <w:sz w:val="24"/>
                <w:szCs w:val="24"/>
                <w:highlight w:val="none"/>
                <w:shd w:val="clear" w:color="auto" w:fill="FFFFFF"/>
                <w:lang w:val="en-US" w:eastAsia="zh-CN"/>
              </w:rPr>
              <w:t>响应人</w:t>
            </w:r>
            <w:r>
              <w:rPr>
                <w:rFonts w:hint="eastAsia" w:ascii="宋体" w:hAnsi="宋体" w:eastAsia="宋体" w:cs="宋体"/>
                <w:color w:val="auto"/>
                <w:sz w:val="24"/>
                <w:szCs w:val="24"/>
                <w:highlight w:val="none"/>
                <w:shd w:val="clear" w:color="auto" w:fill="FFFFFF"/>
              </w:rPr>
              <w:t>提供的安装调试实施方案进行综合比较</w:t>
            </w:r>
            <w:r>
              <w:rPr>
                <w:rFonts w:hint="eastAsia" w:ascii="宋体" w:hAnsi="宋体" w:cs="宋体"/>
                <w:color w:val="auto"/>
                <w:sz w:val="24"/>
                <w:szCs w:val="24"/>
                <w:highlight w:val="none"/>
                <w:shd w:val="clear" w:color="auto" w:fill="FFFFFF"/>
                <w:lang w:val="en-US" w:eastAsia="zh-CN"/>
              </w:rPr>
              <w:t>：</w:t>
            </w:r>
          </w:p>
          <w:p w14:paraId="689B200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方案科学、合理、完善，能满足用户的得</w:t>
            </w:r>
            <w:r>
              <w:rPr>
                <w:rFonts w:hint="eastAsia" w:ascii="宋体" w:hAnsi="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lang w:val="en-US" w:eastAsia="zh-CN"/>
              </w:rPr>
              <w:t>分</w:t>
            </w:r>
            <w:r>
              <w:rPr>
                <w:rFonts w:hint="eastAsia" w:ascii="宋体" w:hAnsi="宋体" w:cs="宋体"/>
                <w:color w:val="auto"/>
                <w:sz w:val="24"/>
                <w:szCs w:val="24"/>
                <w:highlight w:val="none"/>
                <w:shd w:val="clear" w:color="auto" w:fill="FFFFFF"/>
                <w:lang w:val="en-US" w:eastAsia="zh-CN"/>
              </w:rPr>
              <w:t>；</w:t>
            </w:r>
          </w:p>
          <w:p w14:paraId="7C1778D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方案较科学、较合理、较完善的得</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lang w:val="en-US" w:eastAsia="zh-CN"/>
              </w:rPr>
              <w:t>分；</w:t>
            </w:r>
          </w:p>
          <w:p w14:paraId="303131D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方案基本科学、合理、完善得</w:t>
            </w: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分，</w:t>
            </w:r>
            <w:r>
              <w:rPr>
                <w:rFonts w:hint="eastAsia" w:ascii="宋体" w:hAnsi="宋体" w:eastAsia="宋体" w:cs="宋体"/>
                <w:color w:val="auto"/>
                <w:sz w:val="24"/>
                <w:szCs w:val="24"/>
                <w:highlight w:val="none"/>
                <w:shd w:val="clear" w:color="auto" w:fill="FFFFFF"/>
                <w:lang w:val="zh-TW" w:eastAsia="zh-TW"/>
              </w:rPr>
              <w:t>未提供不得分</w:t>
            </w:r>
            <w:r>
              <w:rPr>
                <w:rFonts w:hint="eastAsia" w:ascii="宋体" w:hAnsi="宋体" w:eastAsia="宋体" w:cs="宋体"/>
                <w:color w:val="auto"/>
                <w:sz w:val="24"/>
                <w:szCs w:val="24"/>
                <w:highlight w:val="none"/>
                <w:shd w:val="clear" w:color="auto" w:fill="FFFFFF"/>
                <w:lang w:val="en-US" w:eastAsia="zh-CN"/>
              </w:rPr>
              <w:t>。</w:t>
            </w:r>
          </w:p>
        </w:tc>
      </w:tr>
    </w:tbl>
    <w:p w14:paraId="45178E25">
      <w:pPr>
        <w:pStyle w:val="43"/>
        <w:rPr>
          <w:rFonts w:hint="eastAsia" w:ascii="宋体" w:hAnsi="宋体" w:eastAsia="宋体" w:cs="宋体"/>
          <w:color w:val="auto"/>
          <w:highlight w:val="none"/>
          <w:lang w:eastAsia="zh-CN"/>
        </w:rPr>
      </w:pPr>
    </w:p>
    <w:p w14:paraId="745CFDF3">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281" w:firstLineChars="100"/>
        <w:jc w:val="both"/>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评审方法</w:t>
      </w:r>
    </w:p>
    <w:p w14:paraId="047EB56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bookmarkStart w:id="112" w:name="_Toc3406"/>
      <w:bookmarkStart w:id="113" w:name="_Toc30234"/>
      <w:bookmarkStart w:id="114" w:name="_Toc4003"/>
      <w:bookmarkStart w:id="115" w:name="_Toc13454"/>
      <w:bookmarkStart w:id="116" w:name="_Toc17219"/>
      <w:bookmarkStart w:id="117" w:name="_Toc26533"/>
      <w:bookmarkStart w:id="118" w:name="_Toc5920"/>
      <w:bookmarkStart w:id="119" w:name="_Toc9376"/>
      <w:bookmarkStart w:id="120" w:name="_Toc30895"/>
      <w:bookmarkStart w:id="121" w:name="_Toc6135"/>
      <w:r>
        <w:rPr>
          <w:rFonts w:hint="eastAsia" w:ascii="宋体" w:hAnsi="宋体" w:eastAsia="宋体" w:cs="宋体"/>
          <w:color w:val="auto"/>
          <w:sz w:val="24"/>
          <w:szCs w:val="24"/>
          <w:highlight w:val="none"/>
          <w:lang w:eastAsia="zh-CN"/>
        </w:rPr>
        <w:t>本次项目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成交供应商。</w:t>
      </w:r>
    </w:p>
    <w:p w14:paraId="647C3120">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1、评审标准</w:t>
      </w:r>
      <w:bookmarkEnd w:id="112"/>
      <w:bookmarkEnd w:id="113"/>
      <w:bookmarkEnd w:id="114"/>
      <w:bookmarkEnd w:id="115"/>
      <w:bookmarkEnd w:id="116"/>
      <w:bookmarkEnd w:id="117"/>
      <w:bookmarkEnd w:id="118"/>
      <w:bookmarkEnd w:id="119"/>
      <w:bookmarkEnd w:id="120"/>
      <w:bookmarkEnd w:id="121"/>
    </w:p>
    <w:p w14:paraId="6E969D29">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22" w:name="_Toc25181"/>
      <w:bookmarkStart w:id="123" w:name="_Toc11754"/>
      <w:bookmarkStart w:id="124" w:name="_Toc29139"/>
      <w:bookmarkStart w:id="125" w:name="_Toc7259"/>
      <w:bookmarkStart w:id="126" w:name="_Toc27094"/>
      <w:bookmarkStart w:id="127" w:name="_Toc17735"/>
      <w:bookmarkStart w:id="128" w:name="_Toc5467"/>
      <w:bookmarkStart w:id="129" w:name="_Toc10856"/>
      <w:bookmarkStart w:id="130" w:name="_Toc31651"/>
      <w:bookmarkStart w:id="131" w:name="_Toc6724"/>
      <w:bookmarkStart w:id="132" w:name="_Toc28336"/>
      <w:r>
        <w:rPr>
          <w:rFonts w:hint="eastAsia" w:ascii="宋体" w:hAnsi="宋体" w:eastAsia="宋体" w:cs="宋体"/>
          <w:b/>
          <w:bCs/>
          <w:color w:val="auto"/>
          <w:sz w:val="24"/>
          <w:szCs w:val="24"/>
          <w:highlight w:val="none"/>
          <w:lang w:eastAsia="zh-CN"/>
        </w:rPr>
        <w:t>1.1初步评审标准</w:t>
      </w:r>
      <w:bookmarkEnd w:id="122"/>
      <w:bookmarkEnd w:id="123"/>
    </w:p>
    <w:p w14:paraId="79CF1AA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资格评审标准：见评审办法前附表。</w:t>
      </w:r>
    </w:p>
    <w:p w14:paraId="65C581C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符合性评审标准：见评审办法前附表。</w:t>
      </w:r>
    </w:p>
    <w:bookmarkEnd w:id="124"/>
    <w:bookmarkEnd w:id="125"/>
    <w:bookmarkEnd w:id="126"/>
    <w:bookmarkEnd w:id="127"/>
    <w:bookmarkEnd w:id="128"/>
    <w:bookmarkEnd w:id="129"/>
    <w:bookmarkEnd w:id="130"/>
    <w:bookmarkEnd w:id="131"/>
    <w:bookmarkEnd w:id="132"/>
    <w:p w14:paraId="143CB221">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1.2评分标准</w:t>
      </w:r>
    </w:p>
    <w:p w14:paraId="23E95F3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评分标准：见评审办法前附表。</w:t>
      </w:r>
    </w:p>
    <w:p w14:paraId="0949D192">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33" w:name="_Toc5605"/>
      <w:bookmarkStart w:id="134" w:name="_Toc16356"/>
      <w:bookmarkStart w:id="135" w:name="_Toc1740"/>
      <w:bookmarkStart w:id="136" w:name="_Toc29125"/>
      <w:bookmarkStart w:id="137" w:name="_Toc4338"/>
      <w:bookmarkStart w:id="138" w:name="_Toc5149"/>
      <w:bookmarkStart w:id="139" w:name="_Toc26726"/>
      <w:bookmarkStart w:id="140" w:name="_Toc28724"/>
      <w:bookmarkStart w:id="141" w:name="_Toc22175"/>
      <w:bookmarkStart w:id="142" w:name="_Toc21732"/>
      <w:r>
        <w:rPr>
          <w:rFonts w:hint="eastAsia" w:ascii="宋体" w:hAnsi="宋体" w:eastAsia="宋体" w:cs="宋体"/>
          <w:b/>
          <w:bCs/>
          <w:color w:val="auto"/>
          <w:sz w:val="24"/>
          <w:szCs w:val="24"/>
          <w:highlight w:val="none"/>
          <w:lang w:eastAsia="zh-CN"/>
        </w:rPr>
        <w:t>2、评审程序</w:t>
      </w:r>
      <w:bookmarkEnd w:id="133"/>
      <w:bookmarkEnd w:id="134"/>
      <w:bookmarkEnd w:id="135"/>
      <w:bookmarkEnd w:id="136"/>
      <w:bookmarkEnd w:id="137"/>
      <w:bookmarkEnd w:id="138"/>
      <w:bookmarkEnd w:id="139"/>
      <w:bookmarkEnd w:id="140"/>
      <w:bookmarkEnd w:id="141"/>
      <w:bookmarkEnd w:id="142"/>
    </w:p>
    <w:p w14:paraId="7D57C537">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43" w:name="_Toc9613"/>
      <w:bookmarkStart w:id="144" w:name="_Toc17957"/>
      <w:bookmarkStart w:id="145" w:name="_Toc5708"/>
      <w:bookmarkStart w:id="146" w:name="_Toc26056"/>
      <w:bookmarkStart w:id="147" w:name="_Toc18983"/>
      <w:bookmarkStart w:id="148" w:name="_Toc3824"/>
      <w:bookmarkStart w:id="149" w:name="_Toc7036"/>
      <w:bookmarkStart w:id="150" w:name="_Toc32083"/>
      <w:bookmarkStart w:id="151" w:name="_Toc9443"/>
      <w:bookmarkStart w:id="152" w:name="_Toc1654"/>
      <w:bookmarkStart w:id="153" w:name="_Toc10682"/>
      <w:r>
        <w:rPr>
          <w:rFonts w:hint="eastAsia" w:ascii="宋体" w:hAnsi="宋体" w:eastAsia="宋体" w:cs="宋体"/>
          <w:b/>
          <w:bCs/>
          <w:color w:val="auto"/>
          <w:sz w:val="24"/>
          <w:szCs w:val="24"/>
          <w:highlight w:val="none"/>
          <w:lang w:eastAsia="zh-CN"/>
        </w:rPr>
        <w:t>2.1初步评审</w:t>
      </w:r>
      <w:bookmarkEnd w:id="143"/>
      <w:bookmarkEnd w:id="144"/>
      <w:bookmarkEnd w:id="145"/>
      <w:bookmarkEnd w:id="146"/>
      <w:bookmarkEnd w:id="147"/>
      <w:bookmarkEnd w:id="148"/>
      <w:bookmarkEnd w:id="149"/>
      <w:bookmarkEnd w:id="150"/>
      <w:bookmarkEnd w:id="151"/>
      <w:bookmarkEnd w:id="152"/>
      <w:bookmarkEnd w:id="153"/>
    </w:p>
    <w:p w14:paraId="08EC6C4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依据本章评审办法前附表规定的标准，对供应商的响应文件进行初步评审，以确定其是否满足竞争性磋商文件的实质性要求，有一项不符合评审标准的，磋商小组应当认定其响应文件无效，并及时告知有关供应商。</w:t>
      </w:r>
    </w:p>
    <w:p w14:paraId="0ED21E9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磋商报价有算术错误及其他错误的，磋商小组按以下原则要求供应商对磋商报价进行修正。</w:t>
      </w:r>
    </w:p>
    <w:p w14:paraId="3EB3178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（1）大写金额和小写金额不一致的，以大写金额为准，但大写金额文字存在错误的，应当先对大写金额的文字错误进行澄清、说明或者更正，再行修正。</w:t>
      </w:r>
    </w:p>
    <w:p w14:paraId="6D8DC40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（2）总价金额与按单价汇总金额不一致的，以单价金额计算结果为准，但单价或者单价汇总金额存在数字或者文字错误的，应当先对数字或者文字错误进行澄清、说明或者更正，再行修正。</w:t>
      </w:r>
    </w:p>
    <w:p w14:paraId="34538F8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（3）单价金额小数点或者百分比有明显错误的，以总价为准，修正单价。</w:t>
      </w:r>
    </w:p>
    <w:p w14:paraId="5568CF4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同时出现两种以上不一致的，按照上述规定的顺序修正。修正后的报价应当采用书面形式，并加盖公章或者由法定代表人或其授权的代表签字，供应商不确认的，其投标无效。</w:t>
      </w:r>
    </w:p>
    <w:p w14:paraId="7E7500D0">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2.2磋商</w:t>
      </w:r>
    </w:p>
    <w:p w14:paraId="50B5740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磋商小组集中与单一供应商分别进行磋商。但磋商的任何一方不得透露与磋商有关的其他供应商的商业秘密、技术资料、价格和其他信息。</w:t>
      </w:r>
    </w:p>
    <w:p w14:paraId="7421F19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在磋商过程中，磋商小组可以根据竞争性磋商文件和磋商情况实质性变动采购需求中的技术、服务要求以及合同草案条款，但不得变动竞争性磋商文件中的其他内容。实质性变动的内容，须经采购人代表确认。</w:t>
      </w:r>
    </w:p>
    <w:p w14:paraId="39FBF32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对竞争性磋商文件作出的实质性变动是竞争性磋商文件的有效组成部分，磋商小组应当以书面形式同时通知所有参加磋商的供应商。</w:t>
      </w:r>
    </w:p>
    <w:p w14:paraId="6C490D2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竞争性磋商文件能够详细列明采购标的的技术、服务要求的，磋商结束后，磋商小组应当要求所有实质性响应的供应商在规定时间内提交最后报价，提交最后报价的供应商不得少于3家。</w:t>
      </w:r>
    </w:p>
    <w:p w14:paraId="2E4775B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最后报价（二轮报价）是供应商响应文件的有效组成部分。经磋商确定最终采购需求和提交最后报价的供应商后，由磋商小组采用综合评分法对提交最后报价的供应商的响应文件和最后报价进行综合评分。</w:t>
      </w:r>
    </w:p>
    <w:p w14:paraId="62E694A3">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54" w:name="_Toc10132"/>
      <w:bookmarkStart w:id="155" w:name="_Toc8285"/>
      <w:bookmarkStart w:id="156" w:name="_Toc26213"/>
      <w:bookmarkStart w:id="157" w:name="_Toc30428"/>
      <w:bookmarkStart w:id="158" w:name="_Toc18430"/>
      <w:bookmarkStart w:id="159" w:name="_Toc13336"/>
      <w:bookmarkStart w:id="160" w:name="_Toc12089"/>
      <w:bookmarkStart w:id="161" w:name="_Toc24391"/>
      <w:bookmarkStart w:id="162" w:name="_Toc1221"/>
      <w:bookmarkStart w:id="163" w:name="_Toc18705"/>
      <w:bookmarkStart w:id="164" w:name="_Toc22449"/>
      <w:r>
        <w:rPr>
          <w:rFonts w:hint="eastAsia" w:ascii="宋体" w:hAnsi="宋体" w:eastAsia="宋体" w:cs="宋体"/>
          <w:b/>
          <w:bCs/>
          <w:color w:val="auto"/>
          <w:sz w:val="24"/>
          <w:szCs w:val="24"/>
          <w:highlight w:val="none"/>
          <w:lang w:eastAsia="zh-CN"/>
        </w:rPr>
        <w:t>2.3详细评审</w:t>
      </w:r>
      <w:bookmarkEnd w:id="154"/>
      <w:bookmarkEnd w:id="155"/>
      <w:bookmarkEnd w:id="156"/>
      <w:bookmarkEnd w:id="157"/>
      <w:bookmarkEnd w:id="158"/>
      <w:bookmarkEnd w:id="159"/>
      <w:bookmarkEnd w:id="160"/>
      <w:bookmarkEnd w:id="161"/>
      <w:bookmarkEnd w:id="162"/>
      <w:bookmarkEnd w:id="163"/>
      <w:bookmarkEnd w:id="164"/>
    </w:p>
    <w:p w14:paraId="4B21409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磋商小组按本章评审方法规定的量化因素和分值进行打分，并计算出综合得分。</w:t>
      </w:r>
    </w:p>
    <w:p w14:paraId="175EC5C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w:t>
      </w:r>
      <w:r>
        <w:rPr>
          <w:rFonts w:hint="eastAsia" w:ascii="宋体" w:hAnsi="宋体" w:cs="宋体"/>
          <w:color w:val="auto"/>
          <w:sz w:val="24"/>
          <w:szCs w:val="24"/>
          <w:highlight w:val="none"/>
          <w:lang w:eastAsia="zh-CN"/>
        </w:rPr>
        <w:t>评审细则（一）</w:t>
      </w:r>
      <w:r>
        <w:rPr>
          <w:rFonts w:hint="eastAsia" w:ascii="宋体" w:hAnsi="宋体" w:eastAsia="宋体" w:cs="宋体"/>
          <w:color w:val="auto"/>
          <w:sz w:val="24"/>
          <w:szCs w:val="24"/>
          <w:highlight w:val="none"/>
          <w:lang w:eastAsia="zh-CN"/>
        </w:rPr>
        <w:t>规定的评审因素和分值对报价得分计算出得分A；</w:t>
      </w:r>
    </w:p>
    <w:p w14:paraId="3579B92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（2）按</w:t>
      </w:r>
      <w:r>
        <w:rPr>
          <w:rFonts w:hint="eastAsia" w:ascii="宋体" w:hAnsi="宋体" w:cs="宋体"/>
          <w:color w:val="auto"/>
          <w:sz w:val="24"/>
          <w:szCs w:val="24"/>
          <w:highlight w:val="none"/>
          <w:lang w:eastAsia="zh-CN"/>
        </w:rPr>
        <w:t>评审细则（二）</w:t>
      </w:r>
      <w:r>
        <w:rPr>
          <w:rFonts w:hint="eastAsia" w:ascii="宋体" w:hAnsi="宋体" w:eastAsia="宋体" w:cs="宋体"/>
          <w:color w:val="auto"/>
          <w:sz w:val="24"/>
          <w:szCs w:val="24"/>
          <w:highlight w:val="none"/>
          <w:lang w:eastAsia="zh-CN"/>
        </w:rPr>
        <w:t>规定的评审因素和分值对</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lang w:eastAsia="zh-CN"/>
        </w:rPr>
        <w:t>部分算出得分B；</w:t>
      </w:r>
    </w:p>
    <w:p w14:paraId="63E4B50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（3）按</w:t>
      </w:r>
      <w:r>
        <w:rPr>
          <w:rFonts w:hint="eastAsia" w:ascii="宋体" w:hAnsi="宋体" w:cs="宋体"/>
          <w:color w:val="auto"/>
          <w:sz w:val="24"/>
          <w:szCs w:val="24"/>
          <w:highlight w:val="none"/>
          <w:lang w:eastAsia="zh-CN"/>
        </w:rPr>
        <w:t>评审细则（三）</w:t>
      </w:r>
      <w:r>
        <w:rPr>
          <w:rFonts w:hint="eastAsia" w:ascii="宋体" w:hAnsi="宋体" w:eastAsia="宋体" w:cs="宋体"/>
          <w:color w:val="auto"/>
          <w:sz w:val="24"/>
          <w:szCs w:val="24"/>
          <w:highlight w:val="none"/>
          <w:lang w:eastAsia="zh-CN"/>
        </w:rPr>
        <w:t>规定的评审因素和分值对技术部分算出得分C。</w:t>
      </w:r>
    </w:p>
    <w:p w14:paraId="23F2223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评分分值计算保留小数点后两位，小数点后第三位“四舍五入”。</w:t>
      </w:r>
    </w:p>
    <w:p w14:paraId="4317B60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供应商得分=A+B+C。</w:t>
      </w:r>
    </w:p>
    <w:p w14:paraId="0948190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45D78C83">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65" w:name="_Toc7845"/>
      <w:bookmarkStart w:id="166" w:name="_Toc5640"/>
      <w:bookmarkStart w:id="167" w:name="_Toc30364"/>
      <w:bookmarkStart w:id="168" w:name="_Toc18083"/>
      <w:bookmarkStart w:id="169" w:name="_Toc11722"/>
      <w:bookmarkStart w:id="170" w:name="_Toc6048"/>
      <w:bookmarkStart w:id="171" w:name="_Toc2162"/>
      <w:bookmarkStart w:id="172" w:name="_Toc12279"/>
      <w:bookmarkStart w:id="173" w:name="_Toc9150"/>
      <w:bookmarkStart w:id="174" w:name="_Toc18381"/>
      <w:r>
        <w:rPr>
          <w:rFonts w:hint="eastAsia" w:ascii="宋体" w:hAnsi="宋体" w:eastAsia="宋体" w:cs="宋体"/>
          <w:b/>
          <w:bCs/>
          <w:color w:val="auto"/>
          <w:sz w:val="24"/>
          <w:szCs w:val="24"/>
          <w:highlight w:val="none"/>
          <w:lang w:eastAsia="zh-CN"/>
        </w:rPr>
        <w:t>2.4响应文件的澄清</w:t>
      </w:r>
      <w:bookmarkEnd w:id="165"/>
      <w:bookmarkEnd w:id="166"/>
      <w:bookmarkEnd w:id="167"/>
      <w:bookmarkEnd w:id="168"/>
      <w:bookmarkEnd w:id="169"/>
      <w:bookmarkEnd w:id="170"/>
      <w:bookmarkEnd w:id="171"/>
      <w:bookmarkEnd w:id="172"/>
      <w:bookmarkEnd w:id="173"/>
      <w:bookmarkEnd w:id="174"/>
    </w:p>
    <w:p w14:paraId="6B0ACF5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评审过程中，磋商小组可以书面形式要求供应商对响应文件中含义不明确、对同类问题表述不一致或者有明显文字和计算错误的内容作必要的澄清、说明或补正。澄清、说明或补正应以书面方式进行，并加盖公章，或者由法定代表人或其授权的代表签字。磋商小组不接受供应商主动提出的澄清、说明或补正。</w:t>
      </w:r>
    </w:p>
    <w:p w14:paraId="24F3FAC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澄清、说明或补正不得超出响应文件的范围且不得改变响应文件的实质性内容，并构成响应文件的组成部分。</w:t>
      </w:r>
    </w:p>
    <w:p w14:paraId="2D8868B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磋商小组对供应商提交的澄清、说明或补正有疑问的，可以要求供应商进一步澄清、说明或补正，直至满足磋商小组的要求。</w:t>
      </w:r>
    </w:p>
    <w:p w14:paraId="0D86B185">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2.5评审结果</w:t>
      </w:r>
    </w:p>
    <w:p w14:paraId="5BB3609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磋商小组应当根据综合评分情况，按照评审得分由高到低顺序推荐</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3名成交候选供应商，并编写评审报告。评审得分相同的，按照最后报价由低到高的顺序推荐。评审得分且最后报价相同的，按照技术指标优劣顺序推荐。</w:t>
      </w:r>
    </w:p>
    <w:p w14:paraId="71B8B13C">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3.执行政府相关政策</w:t>
      </w:r>
    </w:p>
    <w:p w14:paraId="68D7C49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政府采购货物和服务招标投标管理办法》（财政部第87号令）第五条：采购人应当在货物服务招标投标活动中落实节约能源、保护环境、扶持不发达地区和少数民族地区、促进中小企业发展等政府采购政策之规定，制定以下优惠政策： </w:t>
      </w:r>
    </w:p>
    <w:p w14:paraId="374026D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评审过程中，在同等条件下，优先采购具有环境标志、节能产品。（环境标志是指由财政部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国家环境保护总局颁布的“环境标志产品政府采购清单”中的有效期内的产品；节能产品是指由财政部、国家发展和改革委员会颁布的“节能产品政府采购清单”中的有效期内的产品）。</w:t>
      </w:r>
    </w:p>
    <w:p w14:paraId="7615260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政府采购促进中小企业发展暂行办法》（财库[2020]46号），属小型、微型企业制造的货物（产品），享受价格扣除。供应商须提供企业出具的《中小企业声明函》并加盖企业公章，其划型标准严格按照国家工信部、国家统计局、国家发改委、财政部出台的《中小企业划型标准规定》（工信部联企业【2011】300号）执行。供应商提供的《小型、微型企业声明函》资料必须真实，否则，按照有关规定予以处理。</w:t>
      </w:r>
    </w:p>
    <w:p w14:paraId="33A3BDE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根据财政部、民政部、中国残疾人联合会《关于促进残疾人就业政府采购政策的通知》（财库〔2017〕141号）规定，属残疾人福利性</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制造的货物（产品），享受价格扣除。供应商须提供企业出具的《残疾人福利性单位声明函》并加盖企业公章。供应商提供的《残疾人福利性单位声明函》资料必须真实，否则，按照有关规定予以处理。</w:t>
      </w:r>
    </w:p>
    <w:p w14:paraId="1C2CBAD5">
      <w:pPr>
        <w:pStyle w:val="43"/>
        <w:spacing w:line="48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根据财政部、司法部《关于政府采购支持监狱企业发展有关问题的通知》</w:t>
      </w:r>
      <w:r>
        <w:rPr>
          <w:rFonts w:hint="eastAsia" w:ascii="宋体" w:hAnsi="宋体" w:eastAsia="宋体" w:cs="宋体"/>
          <w:color w:val="auto"/>
          <w:sz w:val="24"/>
          <w:szCs w:val="24"/>
          <w:highlight w:val="none"/>
        </w:rPr>
        <w:t>（财库〔2014〕68号）</w:t>
      </w:r>
      <w:r>
        <w:rPr>
          <w:rFonts w:hint="eastAsia" w:ascii="宋体" w:hAnsi="宋体" w:eastAsia="宋体" w:cs="宋体"/>
          <w:color w:val="auto"/>
          <w:sz w:val="24"/>
          <w:szCs w:val="24"/>
          <w:highlight w:val="none"/>
          <w:lang w:eastAsia="zh-CN"/>
        </w:rPr>
        <w:t>规定，监狱企业视同小型、微型企业，</w:t>
      </w:r>
      <w:r>
        <w:rPr>
          <w:rFonts w:hint="eastAsia" w:ascii="宋体" w:hAnsi="宋体" w:eastAsia="宋体" w:cs="宋体"/>
          <w:color w:val="auto"/>
          <w:sz w:val="24"/>
          <w:szCs w:val="24"/>
          <w:highlight w:val="none"/>
          <w:lang w:val="en-US" w:eastAsia="zh-CN"/>
        </w:rPr>
        <w:t>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评委会审核确认投标供应商属于监狱企业的,在评审时视同小微企业。</w:t>
      </w:r>
    </w:p>
    <w:bookmarkEnd w:id="98"/>
    <w:bookmarkEnd w:id="100"/>
    <w:bookmarkEnd w:id="101"/>
    <w:bookmarkEnd w:id="102"/>
    <w:bookmarkEnd w:id="103"/>
    <w:bookmarkEnd w:id="104"/>
    <w:bookmarkEnd w:id="105"/>
    <w:bookmarkEnd w:id="106"/>
    <w:bookmarkEnd w:id="107"/>
    <w:bookmarkEnd w:id="108"/>
    <w:bookmarkEnd w:id="109"/>
    <w:bookmarkEnd w:id="110"/>
    <w:bookmarkEnd w:id="111"/>
    <w:p w14:paraId="19D401BF">
      <w:pPr>
        <w:keepNext w:val="0"/>
        <w:keepLines w:val="0"/>
        <w:pageBreakBefore w:val="0"/>
        <w:widowControl w:val="0"/>
        <w:kinsoku/>
        <w:wordWrap/>
        <w:overflowPunct/>
        <w:topLinePunct w:val="0"/>
        <w:autoSpaceDE/>
        <w:autoSpaceDN/>
        <w:bidi w:val="0"/>
        <w:adjustRightInd w:val="0"/>
        <w:snapToGrid w:val="0"/>
        <w:spacing w:after="0" w:line="48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3.5</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其他政策：本项目优</w:t>
      </w:r>
      <w:r>
        <w:rPr>
          <w:rFonts w:hint="eastAsia" w:ascii="宋体" w:hAnsi="宋体" w:eastAsia="宋体" w:cs="宋体"/>
          <w:color w:val="auto"/>
          <w:kern w:val="0"/>
          <w:sz w:val="24"/>
          <w:szCs w:val="24"/>
          <w:highlight w:val="none"/>
          <w:lang w:bidi="ar"/>
        </w:rPr>
        <w:t>先采购向我国企业转让技术、与我国企业签订消化吸收再创新方案的供应商的进口产品</w:t>
      </w:r>
      <w:r>
        <w:rPr>
          <w:rFonts w:hint="eastAsia" w:ascii="宋体" w:hAnsi="宋体" w:eastAsia="宋体" w:cs="宋体"/>
          <w:color w:val="auto"/>
          <w:kern w:val="0"/>
          <w:sz w:val="24"/>
          <w:szCs w:val="24"/>
          <w:highlight w:val="none"/>
          <w:lang w:eastAsia="zh-CN" w:bidi="ar"/>
        </w:rPr>
        <w:t>（本条适用于进口产品）</w:t>
      </w:r>
      <w:r>
        <w:rPr>
          <w:rFonts w:hint="eastAsia" w:ascii="宋体" w:hAnsi="宋体" w:eastAsia="宋体" w:cs="宋体"/>
          <w:color w:val="auto"/>
          <w:kern w:val="0"/>
          <w:sz w:val="24"/>
          <w:szCs w:val="24"/>
          <w:highlight w:val="none"/>
          <w:lang w:bidi="ar"/>
        </w:rPr>
        <w:t>。</w:t>
      </w:r>
    </w:p>
    <w:p w14:paraId="21E99DA8">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br w:type="page"/>
      </w:r>
    </w:p>
    <w:p w14:paraId="48E7BF8C">
      <w:pPr>
        <w:pStyle w:val="44"/>
        <w:rPr>
          <w:rFonts w:hint="eastAsia" w:ascii="宋体" w:hAnsi="宋体" w:eastAsia="宋体" w:cs="宋体"/>
          <w:color w:val="auto"/>
          <w:highlight w:val="none"/>
        </w:rPr>
      </w:pPr>
    </w:p>
    <w:p w14:paraId="5CA25679">
      <w:pPr>
        <w:pStyle w:val="25"/>
        <w:spacing w:line="360" w:lineRule="auto"/>
        <w:ind w:firstLine="3253" w:firstLineChars="900"/>
        <w:jc w:val="both"/>
        <w:rPr>
          <w:rFonts w:hint="eastAsia" w:ascii="宋体" w:hAnsi="宋体" w:eastAsia="宋体" w:cs="宋体"/>
          <w:color w:val="auto"/>
          <w:sz w:val="36"/>
          <w:szCs w:val="36"/>
          <w:highlight w:val="none"/>
        </w:rPr>
      </w:pPr>
      <w:bookmarkStart w:id="175" w:name="_Toc2854"/>
      <w:bookmarkStart w:id="176" w:name="_Toc31974"/>
      <w:bookmarkStart w:id="177" w:name="_Toc26257"/>
      <w:bookmarkStart w:id="178" w:name="_Toc2212"/>
      <w:bookmarkStart w:id="179" w:name="_Toc29868"/>
      <w:bookmarkStart w:id="180" w:name="_Toc16556"/>
      <w:bookmarkStart w:id="181" w:name="_Toc3503"/>
      <w:bookmarkStart w:id="182" w:name="_Toc56315406"/>
      <w:bookmarkStart w:id="183" w:name="_Toc5549"/>
      <w:r>
        <w:rPr>
          <w:rFonts w:hint="eastAsia" w:ascii="宋体" w:hAnsi="宋体" w:eastAsia="宋体" w:cs="宋体"/>
          <w:bCs/>
          <w:color w:val="auto"/>
          <w:sz w:val="36"/>
          <w:szCs w:val="36"/>
          <w:highlight w:val="none"/>
          <w:lang w:val="en-US" w:eastAsia="zh-CN"/>
        </w:rPr>
        <w:t xml:space="preserve">第四章  </w:t>
      </w:r>
      <w:bookmarkEnd w:id="175"/>
      <w:bookmarkEnd w:id="176"/>
      <w:bookmarkEnd w:id="177"/>
      <w:bookmarkEnd w:id="178"/>
      <w:bookmarkEnd w:id="179"/>
      <w:bookmarkEnd w:id="180"/>
      <w:bookmarkEnd w:id="181"/>
      <w:bookmarkEnd w:id="182"/>
      <w:bookmarkEnd w:id="183"/>
      <w:r>
        <w:rPr>
          <w:rFonts w:hint="eastAsia" w:ascii="宋体" w:hAnsi="宋体" w:eastAsia="宋体" w:cs="宋体"/>
          <w:color w:val="auto"/>
          <w:sz w:val="36"/>
          <w:szCs w:val="36"/>
          <w:highlight w:val="none"/>
        </w:rPr>
        <w:t>合同条款</w:t>
      </w:r>
    </w:p>
    <w:p w14:paraId="234851E9">
      <w:pPr>
        <w:rPr>
          <w:rFonts w:hint="eastAsia"/>
        </w:rPr>
      </w:pPr>
    </w:p>
    <w:p w14:paraId="7D52DA6B">
      <w:pPr>
        <w:pStyle w:val="14"/>
        <w:ind w:firstLine="0"/>
        <w:jc w:val="center"/>
        <w:rPr>
          <w:rFonts w:hint="eastAsia" w:ascii="宋体" w:hAnsi="宋体" w:eastAsia="宋体" w:cs="宋体"/>
          <w:sz w:val="36"/>
          <w:szCs w:val="36"/>
        </w:rPr>
      </w:pPr>
      <w:r>
        <w:rPr>
          <w:rFonts w:hint="eastAsia" w:ascii="宋体" w:hAnsi="宋体" w:eastAsia="宋体" w:cs="宋体"/>
          <w:sz w:val="36"/>
          <w:szCs w:val="36"/>
        </w:rPr>
        <w:t>采购合同（范本）</w:t>
      </w:r>
    </w:p>
    <w:p w14:paraId="4E5F8A9A">
      <w:pPr>
        <w:tabs>
          <w:tab w:val="left" w:pos="1610"/>
        </w:tabs>
        <w:spacing w:line="360" w:lineRule="auto"/>
        <w:jc w:val="center"/>
        <w:rPr>
          <w:rFonts w:hint="eastAsia" w:ascii="宋体" w:hAnsi="宋体"/>
          <w:b/>
          <w:szCs w:val="30"/>
        </w:rPr>
      </w:pPr>
    </w:p>
    <w:p w14:paraId="645E9A52">
      <w:pPr>
        <w:pStyle w:val="43"/>
        <w:rPr>
          <w:rFonts w:hint="eastAsia"/>
        </w:rPr>
      </w:pPr>
    </w:p>
    <w:p w14:paraId="36A34A5D">
      <w:pPr>
        <w:jc w:val="center"/>
        <w:rPr>
          <w:rFonts w:ascii="仿宋" w:hAnsi="仿宋" w:eastAsia="仿宋" w:cs="仿宋"/>
          <w:b/>
          <w:bCs/>
          <w:sz w:val="32"/>
          <w:szCs w:val="32"/>
          <w:u w:val="single"/>
        </w:rPr>
      </w:pPr>
      <w:r>
        <w:rPr>
          <w:rFonts w:hint="eastAsia" w:ascii="仿宋" w:hAnsi="仿宋" w:eastAsia="仿宋" w:cs="仿宋"/>
        </w:rPr>
        <w:t xml:space="preserve">                   </w:t>
      </w:r>
      <w:r>
        <w:rPr>
          <w:rFonts w:hint="eastAsia" w:ascii="仿宋" w:hAnsi="仿宋" w:eastAsia="仿宋" w:cs="仿宋"/>
          <w:sz w:val="24"/>
          <w:szCs w:val="24"/>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合同编号：</w:t>
      </w:r>
      <w:r>
        <w:rPr>
          <w:rFonts w:hint="eastAsia" w:ascii="仿宋" w:hAnsi="仿宋" w:eastAsia="仿宋" w:cs="仿宋"/>
          <w:b/>
          <w:bCs/>
          <w:sz w:val="32"/>
          <w:szCs w:val="32"/>
          <w:u w:val="single"/>
        </w:rPr>
        <w:t xml:space="preserve">          </w:t>
      </w:r>
    </w:p>
    <w:p w14:paraId="01DFB526">
      <w:pPr>
        <w:rPr>
          <w:rFonts w:hint="eastAsia" w:ascii="仿宋" w:hAnsi="仿宋" w:eastAsia="仿宋" w:cs="仿宋"/>
          <w:sz w:val="32"/>
          <w:szCs w:val="32"/>
        </w:rPr>
      </w:pPr>
    </w:p>
    <w:p w14:paraId="232C9758">
      <w:pPr>
        <w:pStyle w:val="43"/>
        <w:rPr>
          <w:rFonts w:hint="eastAsia" w:ascii="仿宋" w:hAnsi="仿宋" w:eastAsia="仿宋" w:cs="仿宋"/>
          <w:sz w:val="52"/>
          <w:szCs w:val="72"/>
        </w:rPr>
      </w:pPr>
    </w:p>
    <w:p w14:paraId="1F75CC85">
      <w:pPr>
        <w:pStyle w:val="43"/>
        <w:rPr>
          <w:rFonts w:hint="eastAsia" w:ascii="仿宋" w:hAnsi="仿宋" w:eastAsia="仿宋" w:cs="仿宋"/>
          <w:sz w:val="52"/>
          <w:szCs w:val="72"/>
        </w:rPr>
      </w:pPr>
    </w:p>
    <w:p w14:paraId="56C77C14">
      <w:pPr>
        <w:jc w:val="center"/>
        <w:rPr>
          <w:rFonts w:hint="eastAsia"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rPr>
        <w:t>采购合同</w:t>
      </w:r>
    </w:p>
    <w:p w14:paraId="7C7954A6">
      <w:pPr>
        <w:rPr>
          <w:rFonts w:hint="eastAsia" w:ascii="宋体" w:hAnsi="宋体" w:cs="宋体"/>
          <w:sz w:val="28"/>
          <w:szCs w:val="28"/>
        </w:rPr>
      </w:pPr>
    </w:p>
    <w:p w14:paraId="7AA29DFA">
      <w:pPr>
        <w:rPr>
          <w:rFonts w:hint="eastAsia" w:ascii="宋体" w:hAnsi="宋体" w:cs="宋体"/>
          <w:sz w:val="28"/>
          <w:szCs w:val="28"/>
        </w:rPr>
      </w:pPr>
    </w:p>
    <w:p w14:paraId="023BF601">
      <w:pPr>
        <w:rPr>
          <w:rFonts w:hint="eastAsia" w:ascii="宋体" w:hAnsi="宋体" w:cs="宋体"/>
          <w:sz w:val="28"/>
          <w:szCs w:val="28"/>
        </w:rPr>
      </w:pPr>
    </w:p>
    <w:p w14:paraId="626FB714">
      <w:pPr>
        <w:rPr>
          <w:rFonts w:hint="eastAsia" w:ascii="宋体" w:hAnsi="宋体" w:cs="宋体"/>
          <w:sz w:val="28"/>
          <w:szCs w:val="28"/>
        </w:rPr>
      </w:pPr>
    </w:p>
    <w:p w14:paraId="5B605BFE">
      <w:pPr>
        <w:rPr>
          <w:rFonts w:hint="eastAsia" w:ascii="宋体" w:hAnsi="宋体" w:cs="宋体"/>
          <w:sz w:val="28"/>
          <w:szCs w:val="28"/>
        </w:rPr>
      </w:pPr>
    </w:p>
    <w:p w14:paraId="11A47936">
      <w:pPr>
        <w:rPr>
          <w:rFonts w:hint="eastAsia" w:ascii="宋体" w:hAnsi="宋体" w:cs="宋体"/>
          <w:sz w:val="28"/>
          <w:szCs w:val="28"/>
        </w:rPr>
      </w:pPr>
    </w:p>
    <w:p w14:paraId="08F3F3EC">
      <w:pPr>
        <w:rPr>
          <w:rFonts w:hint="eastAsia" w:ascii="宋体" w:hAnsi="宋体" w:cs="宋体"/>
          <w:sz w:val="28"/>
          <w:szCs w:val="28"/>
        </w:rPr>
      </w:pPr>
    </w:p>
    <w:p w14:paraId="78D3383B">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甲方：</w:t>
      </w:r>
    </w:p>
    <w:p w14:paraId="6DF665C2">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乙方：</w:t>
      </w:r>
    </w:p>
    <w:p w14:paraId="2BF9D516">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签订时间：   年   月   日</w:t>
      </w:r>
    </w:p>
    <w:p w14:paraId="5B5E9DFB">
      <w:pPr>
        <w:spacing w:line="360" w:lineRule="auto"/>
        <w:ind w:firstLine="562" w:firstLineChars="200"/>
        <w:rPr>
          <w:rFonts w:hint="eastAsia" w:ascii="宋体" w:hAnsi="宋体" w:cs="宋体"/>
          <w:sz w:val="28"/>
          <w:szCs w:val="28"/>
        </w:rPr>
      </w:pPr>
      <w:r>
        <w:rPr>
          <w:rFonts w:hint="eastAsia" w:ascii="宋体" w:hAnsi="宋体" w:cs="宋体"/>
          <w:b/>
          <w:bCs/>
          <w:sz w:val="28"/>
          <w:szCs w:val="28"/>
        </w:rPr>
        <w:t>签订地点：</w:t>
      </w:r>
    </w:p>
    <w:p w14:paraId="2EBC9107">
      <w:pPr>
        <w:spacing w:line="480" w:lineRule="auto"/>
        <w:rPr>
          <w:rFonts w:hint="eastAsia" w:ascii="宋体" w:hAnsi="宋体" w:cs="宋体"/>
          <w:sz w:val="28"/>
          <w:szCs w:val="28"/>
        </w:rPr>
      </w:pPr>
    </w:p>
    <w:p w14:paraId="11DD8852">
      <w:pPr>
        <w:rPr>
          <w:rFonts w:hint="eastAsia"/>
        </w:rPr>
      </w:pPr>
    </w:p>
    <w:p w14:paraId="3980A6A2">
      <w:pPr>
        <w:spacing w:line="480" w:lineRule="auto"/>
        <w:ind w:firstLine="240" w:firstLineChars="100"/>
        <w:rPr>
          <w:rFonts w:hint="eastAsia" w:ascii="宋体" w:hAnsi="宋体" w:cs="宋体"/>
          <w:sz w:val="24"/>
          <w:szCs w:val="24"/>
        </w:rPr>
      </w:pPr>
      <w:r>
        <w:rPr>
          <w:rFonts w:hint="eastAsia" w:ascii="宋体" w:hAnsi="宋体" w:cs="宋体"/>
          <w:sz w:val="24"/>
          <w:szCs w:val="24"/>
        </w:rPr>
        <w:t>本合同由下列双方签署：</w:t>
      </w:r>
    </w:p>
    <w:p w14:paraId="0064CF43">
      <w:pPr>
        <w:spacing w:line="480" w:lineRule="auto"/>
        <w:rPr>
          <w:rFonts w:hint="eastAsia" w:ascii="宋体" w:hAnsi="宋体" w:cs="宋体"/>
          <w:b/>
          <w:bCs/>
          <w:sz w:val="24"/>
          <w:szCs w:val="24"/>
        </w:rPr>
      </w:pPr>
      <w:r>
        <w:rPr>
          <w:rFonts w:hint="eastAsia" w:ascii="宋体" w:hAnsi="宋体" w:cs="宋体"/>
          <w:b/>
          <w:bCs/>
          <w:sz w:val="24"/>
          <w:szCs w:val="24"/>
        </w:rPr>
        <w:t>甲方（买方）：</w:t>
      </w:r>
    </w:p>
    <w:p w14:paraId="5D608443">
      <w:pPr>
        <w:spacing w:line="480" w:lineRule="auto"/>
        <w:rPr>
          <w:rFonts w:hint="eastAsia" w:ascii="宋体" w:hAnsi="宋体" w:cs="宋体"/>
          <w:b/>
          <w:bCs/>
          <w:sz w:val="24"/>
          <w:szCs w:val="24"/>
        </w:rPr>
      </w:pPr>
      <w:r>
        <w:rPr>
          <w:rFonts w:hint="eastAsia" w:ascii="宋体" w:hAnsi="宋体" w:cs="宋体"/>
          <w:b/>
          <w:bCs/>
          <w:sz w:val="24"/>
          <w:szCs w:val="24"/>
        </w:rPr>
        <w:t>乙方（卖方）：</w:t>
      </w:r>
    </w:p>
    <w:p w14:paraId="2116AF41">
      <w:pPr>
        <w:spacing w:line="480" w:lineRule="auto"/>
        <w:ind w:firstLine="480" w:firstLineChars="200"/>
        <w:rPr>
          <w:rFonts w:hint="eastAsia" w:ascii="宋体" w:hAnsi="宋体" w:cs="宋体"/>
          <w:sz w:val="24"/>
          <w:szCs w:val="24"/>
        </w:rPr>
      </w:pPr>
      <w:r>
        <w:rPr>
          <w:rFonts w:hint="eastAsia" w:ascii="宋体" w:hAnsi="宋体" w:cs="宋体"/>
          <w:sz w:val="24"/>
          <w:szCs w:val="24"/>
        </w:rPr>
        <w:t>甲方和乙方经过平等协商，在真实、充分地表达各自意愿的基础上，根据《中华人民共和国</w:t>
      </w:r>
      <w:r>
        <w:rPr>
          <w:rFonts w:hint="eastAsia" w:ascii="宋体" w:hAnsi="宋体" w:cs="宋体"/>
          <w:sz w:val="24"/>
          <w:szCs w:val="24"/>
          <w:lang w:eastAsia="zh-CN"/>
        </w:rPr>
        <w:t>民法典</w:t>
      </w:r>
      <w:r>
        <w:rPr>
          <w:rFonts w:hint="eastAsia" w:ascii="宋体" w:hAnsi="宋体" w:cs="宋体"/>
          <w:sz w:val="24"/>
          <w:szCs w:val="24"/>
        </w:rPr>
        <w:t>》</w:t>
      </w:r>
      <w:r>
        <w:rPr>
          <w:rFonts w:hint="eastAsia" w:ascii="宋体" w:hAnsi="宋体" w:cs="宋体"/>
          <w:sz w:val="24"/>
          <w:szCs w:val="24"/>
          <w:lang w:eastAsia="zh-CN"/>
        </w:rPr>
        <w:t>（合同编）</w:t>
      </w:r>
      <w:r>
        <w:rPr>
          <w:rFonts w:hint="eastAsia" w:ascii="宋体" w:hAnsi="宋体" w:cs="宋体"/>
          <w:sz w:val="24"/>
          <w:szCs w:val="24"/>
        </w:rPr>
        <w:t>、《中华人民共和国政府采购法》的规定，达成如下协议：</w:t>
      </w:r>
    </w:p>
    <w:p w14:paraId="172B7FF8">
      <w:pPr>
        <w:numPr>
          <w:ilvl w:val="0"/>
          <w:numId w:val="1"/>
        </w:numPr>
        <w:spacing w:line="480" w:lineRule="auto"/>
        <w:rPr>
          <w:rFonts w:hint="eastAsia" w:ascii="宋体" w:hAnsi="宋体" w:cs="宋体"/>
          <w:b/>
          <w:bCs/>
          <w:sz w:val="24"/>
          <w:szCs w:val="24"/>
        </w:rPr>
      </w:pPr>
      <w:r>
        <w:rPr>
          <w:rFonts w:hint="eastAsia" w:ascii="宋体" w:hAnsi="宋体" w:cs="宋体"/>
          <w:b/>
          <w:bCs/>
          <w:sz w:val="24"/>
          <w:szCs w:val="24"/>
        </w:rPr>
        <w:t>货物名称、计量单位、具体规格型号、数量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02FC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14:paraId="0B02A772">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序号</w:t>
            </w:r>
          </w:p>
        </w:tc>
        <w:tc>
          <w:tcPr>
            <w:tcW w:w="1217" w:type="dxa"/>
            <w:noWrap w:val="0"/>
            <w:vAlign w:val="top"/>
          </w:tcPr>
          <w:p w14:paraId="244E8212">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货物名称及描述</w:t>
            </w:r>
          </w:p>
        </w:tc>
        <w:tc>
          <w:tcPr>
            <w:tcW w:w="1217" w:type="dxa"/>
            <w:noWrap w:val="0"/>
            <w:vAlign w:val="top"/>
          </w:tcPr>
          <w:p w14:paraId="4BAF72B5">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规格</w:t>
            </w:r>
          </w:p>
        </w:tc>
        <w:tc>
          <w:tcPr>
            <w:tcW w:w="1217" w:type="dxa"/>
            <w:noWrap w:val="0"/>
            <w:vAlign w:val="top"/>
          </w:tcPr>
          <w:p w14:paraId="40515346">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单位</w:t>
            </w:r>
          </w:p>
        </w:tc>
        <w:tc>
          <w:tcPr>
            <w:tcW w:w="1218" w:type="dxa"/>
            <w:noWrap w:val="0"/>
            <w:vAlign w:val="top"/>
          </w:tcPr>
          <w:p w14:paraId="786C013B">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数量</w:t>
            </w:r>
          </w:p>
        </w:tc>
        <w:tc>
          <w:tcPr>
            <w:tcW w:w="1218" w:type="dxa"/>
            <w:noWrap w:val="0"/>
            <w:vAlign w:val="top"/>
          </w:tcPr>
          <w:p w14:paraId="7D5E47EF">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单价（元）</w:t>
            </w:r>
          </w:p>
        </w:tc>
        <w:tc>
          <w:tcPr>
            <w:tcW w:w="1218" w:type="dxa"/>
            <w:noWrap w:val="0"/>
            <w:vAlign w:val="top"/>
          </w:tcPr>
          <w:p w14:paraId="77A2E4EF">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金额（元）</w:t>
            </w:r>
          </w:p>
        </w:tc>
      </w:tr>
      <w:tr w14:paraId="1106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14:paraId="405CDA2E">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1</w:t>
            </w:r>
          </w:p>
        </w:tc>
        <w:tc>
          <w:tcPr>
            <w:tcW w:w="1217" w:type="dxa"/>
            <w:noWrap w:val="0"/>
            <w:vAlign w:val="top"/>
          </w:tcPr>
          <w:p w14:paraId="56CD2114">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7" w:type="dxa"/>
            <w:noWrap w:val="0"/>
            <w:vAlign w:val="top"/>
          </w:tcPr>
          <w:p w14:paraId="2FF7C973">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7" w:type="dxa"/>
            <w:noWrap w:val="0"/>
            <w:vAlign w:val="top"/>
          </w:tcPr>
          <w:p w14:paraId="187D191D">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7FD7F8EC">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6C522780">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03850A57">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r>
      <w:tr w14:paraId="0060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14:paraId="455D25A5">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2</w:t>
            </w:r>
          </w:p>
        </w:tc>
        <w:tc>
          <w:tcPr>
            <w:tcW w:w="1217" w:type="dxa"/>
            <w:noWrap w:val="0"/>
            <w:vAlign w:val="top"/>
          </w:tcPr>
          <w:p w14:paraId="0DD14E2F">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7" w:type="dxa"/>
            <w:noWrap w:val="0"/>
            <w:vAlign w:val="top"/>
          </w:tcPr>
          <w:p w14:paraId="21DD2E8F">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7" w:type="dxa"/>
            <w:noWrap w:val="0"/>
            <w:vAlign w:val="top"/>
          </w:tcPr>
          <w:p w14:paraId="64ADF7D6">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31B1C7AD">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56B30AD6">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13065BB7">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r>
      <w:tr w14:paraId="550A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14:paraId="1705DBBB">
            <w:pPr>
              <w:keepNext w:val="0"/>
              <w:keepLines w:val="0"/>
              <w:suppressLineNumbers w:val="0"/>
              <w:spacing w:before="0" w:beforeAutospacing="0" w:after="0" w:afterAutospacing="0" w:line="480" w:lineRule="auto"/>
              <w:ind w:left="0" w:right="0"/>
              <w:rPr>
                <w:rFonts w:hint="eastAsia" w:ascii="宋体" w:hAnsi="宋体" w:cs="宋体"/>
                <w:sz w:val="24"/>
                <w:szCs w:val="24"/>
              </w:rPr>
            </w:pPr>
            <w:r>
              <w:rPr>
                <w:rFonts w:hint="eastAsia" w:ascii="宋体" w:hAnsi="宋体" w:cs="宋体"/>
                <w:sz w:val="24"/>
                <w:szCs w:val="24"/>
              </w:rPr>
              <w:t>......</w:t>
            </w:r>
          </w:p>
        </w:tc>
        <w:tc>
          <w:tcPr>
            <w:tcW w:w="1217" w:type="dxa"/>
            <w:noWrap w:val="0"/>
            <w:vAlign w:val="top"/>
          </w:tcPr>
          <w:p w14:paraId="364B91C2">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7" w:type="dxa"/>
            <w:noWrap w:val="0"/>
            <w:vAlign w:val="top"/>
          </w:tcPr>
          <w:p w14:paraId="65FEA74D">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7" w:type="dxa"/>
            <w:noWrap w:val="0"/>
            <w:vAlign w:val="top"/>
          </w:tcPr>
          <w:p w14:paraId="7B3A3757">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490B45EF">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63AAA763">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c>
          <w:tcPr>
            <w:tcW w:w="1218" w:type="dxa"/>
            <w:noWrap w:val="0"/>
            <w:vAlign w:val="top"/>
          </w:tcPr>
          <w:p w14:paraId="6B77C243">
            <w:pPr>
              <w:keepNext w:val="0"/>
              <w:keepLines w:val="0"/>
              <w:suppressLineNumbers w:val="0"/>
              <w:spacing w:before="0" w:beforeAutospacing="0" w:after="0" w:afterAutospacing="0" w:line="480" w:lineRule="auto"/>
              <w:ind w:left="0" w:right="0"/>
              <w:rPr>
                <w:rFonts w:hint="eastAsia" w:ascii="宋体" w:hAnsi="宋体" w:cs="宋体"/>
                <w:sz w:val="24"/>
                <w:szCs w:val="24"/>
              </w:rPr>
            </w:pPr>
          </w:p>
        </w:tc>
      </w:tr>
    </w:tbl>
    <w:p w14:paraId="6CF01971">
      <w:pPr>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1.货物的质量标准，按照【 】（国家标准、行业标准、企业标准）执行。 </w:t>
      </w:r>
    </w:p>
    <w:p w14:paraId="33E27C05">
      <w:pPr>
        <w:spacing w:line="480" w:lineRule="auto"/>
        <w:ind w:firstLine="480" w:firstLineChars="200"/>
        <w:rPr>
          <w:rFonts w:hint="eastAsia" w:ascii="宋体" w:hAnsi="宋体" w:cs="宋体"/>
          <w:sz w:val="24"/>
          <w:szCs w:val="24"/>
        </w:rPr>
      </w:pPr>
      <w:r>
        <w:rPr>
          <w:rFonts w:hint="eastAsia" w:ascii="宋体" w:hAnsi="宋体" w:cs="宋体"/>
          <w:sz w:val="24"/>
          <w:szCs w:val="24"/>
        </w:rPr>
        <w:t>2.货物包装物的供应：包装物随货出售，由乙方负责货物包装物供应。乙方应提供货物运至合同规定的交货地点所需要的包装，以防止货物在转运中损坏或变质；这类包装应采取防潮、防晒、防锈、防腐蚀、防震动及防止其它损坏的必要保护措施，从而保护货物能够经受多次搬运、装卸及长途运输。</w:t>
      </w:r>
    </w:p>
    <w:p w14:paraId="13469096">
      <w:pPr>
        <w:spacing w:line="480" w:lineRule="auto"/>
        <w:rPr>
          <w:rFonts w:hint="eastAsia" w:ascii="宋体" w:hAnsi="宋体" w:cs="宋体"/>
          <w:b/>
          <w:bCs/>
          <w:sz w:val="24"/>
          <w:szCs w:val="24"/>
        </w:rPr>
      </w:pPr>
      <w:r>
        <w:rPr>
          <w:rFonts w:hint="eastAsia" w:ascii="宋体" w:hAnsi="宋体" w:cs="宋体"/>
          <w:b/>
          <w:bCs/>
          <w:sz w:val="24"/>
          <w:szCs w:val="24"/>
        </w:rPr>
        <w:t>二、交货规定</w:t>
      </w:r>
    </w:p>
    <w:p w14:paraId="006FE4F1">
      <w:pPr>
        <w:spacing w:line="480" w:lineRule="auto"/>
        <w:ind w:firstLine="480" w:firstLineChars="200"/>
        <w:rPr>
          <w:rFonts w:hint="eastAsia" w:ascii="宋体" w:hAnsi="宋体" w:cs="宋体"/>
          <w:sz w:val="24"/>
          <w:szCs w:val="24"/>
        </w:rPr>
      </w:pPr>
      <w:r>
        <w:rPr>
          <w:rFonts w:hint="eastAsia" w:ascii="宋体" w:hAnsi="宋体" w:cs="宋体"/>
          <w:sz w:val="24"/>
          <w:szCs w:val="24"/>
        </w:rPr>
        <w:t>1.交货方法：由乙方送货(国家主管部门规定有送货办法的，按规定的办法执行；没有规定送货办法的，按双方协议执行)。</w:t>
      </w:r>
    </w:p>
    <w:p w14:paraId="20724DBF">
      <w:pPr>
        <w:spacing w:line="480" w:lineRule="auto"/>
        <w:ind w:firstLine="480" w:firstLineChars="200"/>
        <w:rPr>
          <w:rFonts w:hint="eastAsia" w:ascii="宋体" w:hAnsi="宋体" w:cs="宋体"/>
          <w:sz w:val="24"/>
          <w:szCs w:val="24"/>
        </w:rPr>
      </w:pPr>
      <w:r>
        <w:rPr>
          <w:rFonts w:hint="eastAsia" w:ascii="宋体" w:hAnsi="宋体" w:cs="宋体"/>
          <w:sz w:val="24"/>
          <w:szCs w:val="24"/>
        </w:rPr>
        <w:t>2.运输方式：由乙方自行选择运输方式，运输及保险费用由【  】负担。货物交付给甲方之前，货物相关全部风险由乙方承担。</w:t>
      </w:r>
    </w:p>
    <w:p w14:paraId="42167DEB">
      <w:pPr>
        <w:spacing w:line="480" w:lineRule="auto"/>
        <w:ind w:firstLine="480" w:firstLineChars="200"/>
        <w:rPr>
          <w:rFonts w:hint="eastAsia" w:ascii="宋体" w:hAnsi="宋体" w:cs="宋体"/>
          <w:sz w:val="24"/>
          <w:szCs w:val="24"/>
        </w:rPr>
      </w:pPr>
      <w:r>
        <w:rPr>
          <w:rFonts w:hint="eastAsia" w:ascii="宋体" w:hAnsi="宋体" w:cs="宋体"/>
          <w:sz w:val="24"/>
          <w:szCs w:val="24"/>
        </w:rPr>
        <w:t>3.交货地点：</w:t>
      </w:r>
      <w:r>
        <w:rPr>
          <w:rFonts w:hint="eastAsia" w:ascii="宋体" w:hAnsi="宋体" w:cs="宋体"/>
          <w:sz w:val="24"/>
          <w:szCs w:val="24"/>
          <w:u w:val="single"/>
        </w:rPr>
        <w:t xml:space="preserve">             </w:t>
      </w:r>
      <w:r>
        <w:rPr>
          <w:rFonts w:hint="eastAsia" w:ascii="宋体" w:hAnsi="宋体" w:cs="宋体"/>
          <w:sz w:val="24"/>
          <w:szCs w:val="24"/>
        </w:rPr>
        <w:t>。</w:t>
      </w:r>
    </w:p>
    <w:p w14:paraId="5A4C043A">
      <w:pPr>
        <w:spacing w:line="480" w:lineRule="auto"/>
        <w:ind w:firstLine="480" w:firstLineChars="200"/>
        <w:rPr>
          <w:rFonts w:hint="eastAsia" w:ascii="宋体" w:hAnsi="宋体" w:cs="宋体"/>
          <w:sz w:val="24"/>
          <w:szCs w:val="24"/>
        </w:rPr>
      </w:pPr>
      <w:r>
        <w:rPr>
          <w:rFonts w:hint="eastAsia" w:ascii="宋体" w:hAnsi="宋体" w:cs="宋体"/>
          <w:sz w:val="24"/>
          <w:szCs w:val="24"/>
        </w:rPr>
        <w:t>4.交货日期：乙方应在合同签订后【  】天内完成交货，并附上双方约定的、记录货物相关事项的资料。</w:t>
      </w:r>
    </w:p>
    <w:p w14:paraId="48A74C91">
      <w:pPr>
        <w:spacing w:line="480" w:lineRule="auto"/>
        <w:ind w:firstLine="480" w:firstLineChars="200"/>
        <w:rPr>
          <w:rFonts w:hint="eastAsia" w:ascii="宋体" w:hAnsi="宋体" w:cs="宋体"/>
          <w:sz w:val="24"/>
          <w:szCs w:val="24"/>
        </w:rPr>
      </w:pPr>
      <w:r>
        <w:rPr>
          <w:rFonts w:hint="eastAsia" w:ascii="宋体" w:hAnsi="宋体" w:cs="宋体"/>
          <w:sz w:val="24"/>
          <w:szCs w:val="24"/>
        </w:rPr>
        <w:t>5.当乙方不能按时交付全部或部分的货物，或者存在这种可能性时，乙方应及时将原因及预定交货日期通知给甲方，并按照甲方的指示，迅速制定必要的对策。</w:t>
      </w:r>
    </w:p>
    <w:p w14:paraId="1C8F6733">
      <w:pPr>
        <w:spacing w:line="480" w:lineRule="auto"/>
        <w:rPr>
          <w:rFonts w:hint="eastAsia" w:ascii="宋体" w:hAnsi="宋体" w:cs="宋体"/>
          <w:b/>
          <w:bCs/>
          <w:sz w:val="24"/>
          <w:szCs w:val="24"/>
        </w:rPr>
      </w:pPr>
      <w:r>
        <w:rPr>
          <w:rFonts w:hint="eastAsia" w:ascii="宋体" w:hAnsi="宋体" w:cs="宋体"/>
          <w:b/>
          <w:bCs/>
          <w:sz w:val="24"/>
          <w:szCs w:val="24"/>
        </w:rPr>
        <w:t xml:space="preserve">三、验收方法 </w:t>
      </w:r>
    </w:p>
    <w:p w14:paraId="50ADE747">
      <w:pPr>
        <w:spacing w:line="480" w:lineRule="auto"/>
        <w:ind w:firstLine="480" w:firstLineChars="200"/>
        <w:rPr>
          <w:rFonts w:hint="eastAsia" w:ascii="宋体" w:hAnsi="宋体" w:cs="宋体"/>
          <w:sz w:val="24"/>
          <w:szCs w:val="24"/>
        </w:rPr>
      </w:pPr>
      <w:r>
        <w:rPr>
          <w:rFonts w:hint="eastAsia" w:ascii="宋体" w:hAnsi="宋体" w:cs="宋体"/>
          <w:sz w:val="24"/>
          <w:szCs w:val="24"/>
        </w:rPr>
        <w:t>1.所有货物由乙方送到交货地点且甲方确认收货后【 】天内，由甲乙双方共同对货物的包装、外观、数量、商标、型号、规格及性能等进行验收，签署检验报告。如乙方未按约定到甲方指定地点参加检验的，应视为乙方对甲方单方检验的结果予以确认。验收标准执行合同规定的货物质量标准；</w:t>
      </w:r>
    </w:p>
    <w:p w14:paraId="1AB65991">
      <w:pPr>
        <w:spacing w:line="480" w:lineRule="auto"/>
        <w:ind w:firstLine="480" w:firstLineChars="200"/>
        <w:rPr>
          <w:rFonts w:hint="eastAsia" w:ascii="宋体" w:hAnsi="宋体" w:cs="宋体"/>
          <w:sz w:val="24"/>
          <w:szCs w:val="24"/>
        </w:rPr>
      </w:pPr>
      <w:r>
        <w:rPr>
          <w:rFonts w:hint="eastAsia" w:ascii="宋体" w:hAnsi="宋体" w:cs="宋体"/>
          <w:sz w:val="24"/>
          <w:szCs w:val="24"/>
        </w:rPr>
        <w:t>如发现乙方所交的货物有任何不符合合同规定之处，应做好记录，并由双方代表签字，作为甲方向乙方提出维修或退换货的依据；</w:t>
      </w:r>
    </w:p>
    <w:p w14:paraId="254729E3">
      <w:pPr>
        <w:spacing w:line="480" w:lineRule="auto"/>
        <w:ind w:firstLine="480" w:firstLineChars="200"/>
        <w:rPr>
          <w:rFonts w:hint="eastAsia" w:ascii="宋体" w:hAnsi="宋体" w:cs="宋体"/>
          <w:sz w:val="24"/>
          <w:szCs w:val="24"/>
        </w:rPr>
      </w:pPr>
      <w:r>
        <w:rPr>
          <w:rFonts w:hint="eastAsia" w:ascii="宋体" w:hAnsi="宋体" w:cs="宋体"/>
          <w:sz w:val="24"/>
          <w:szCs w:val="24"/>
        </w:rPr>
        <w:t>检验报告仅证明乙方所提供的货物截至出具检验报告之日时可以按合同要求予以接受，但不能视为乙方对货物存在的潜在缺陷所应付的责任的解除。此检验不作为对货物内在质量认定的依据。</w:t>
      </w:r>
    </w:p>
    <w:p w14:paraId="35B6B2C5">
      <w:pPr>
        <w:spacing w:line="480" w:lineRule="auto"/>
        <w:ind w:firstLine="480" w:firstLineChars="200"/>
        <w:rPr>
          <w:rFonts w:hint="eastAsia" w:ascii="宋体" w:hAnsi="宋体" w:cs="宋体"/>
          <w:sz w:val="24"/>
          <w:szCs w:val="24"/>
        </w:rPr>
      </w:pPr>
      <w:r>
        <w:rPr>
          <w:rFonts w:hint="eastAsia" w:ascii="宋体" w:hAnsi="宋体" w:cs="宋体"/>
          <w:sz w:val="24"/>
          <w:szCs w:val="24"/>
        </w:rPr>
        <w:t>2.乙方所提供的货物应充分满足甲方使用的要求,确保供货货物的尺寸、规格、质量符合合同规定，甲方发出的询价函与乙方发出的报价书中规定的内容与合同具有同等的约束力。本合同内的货物质量保证期为【 】月，自验收通过之日起计算。质量保证期间如货物出现质量问题，甲方有权要求乙方维修或退换货，乙方应在接到甲方通知后【 】天内免费派人维修、退换符合质量要求的货物。</w:t>
      </w:r>
    </w:p>
    <w:p w14:paraId="43823EFB">
      <w:pPr>
        <w:spacing w:line="480" w:lineRule="auto"/>
        <w:rPr>
          <w:rFonts w:hint="eastAsia" w:ascii="宋体" w:hAnsi="宋体" w:cs="宋体"/>
          <w:b/>
          <w:bCs/>
          <w:sz w:val="24"/>
          <w:szCs w:val="24"/>
        </w:rPr>
      </w:pPr>
      <w:r>
        <w:rPr>
          <w:rFonts w:hint="eastAsia" w:ascii="宋体" w:hAnsi="宋体" w:cs="宋体"/>
          <w:b/>
          <w:bCs/>
          <w:sz w:val="24"/>
          <w:szCs w:val="24"/>
        </w:rPr>
        <w:t>四、合同价格与支付方式</w:t>
      </w:r>
    </w:p>
    <w:p w14:paraId="62E6BCF4">
      <w:pPr>
        <w:spacing w:line="480" w:lineRule="auto"/>
        <w:ind w:firstLine="480" w:firstLineChars="200"/>
        <w:rPr>
          <w:rFonts w:hint="eastAsia" w:ascii="宋体" w:hAnsi="宋体" w:cs="宋体"/>
          <w:sz w:val="24"/>
          <w:szCs w:val="24"/>
        </w:rPr>
      </w:pPr>
      <w:r>
        <w:rPr>
          <w:rFonts w:hint="eastAsia" w:ascii="宋体" w:hAnsi="宋体" w:cs="宋体"/>
          <w:sz w:val="24"/>
          <w:szCs w:val="24"/>
        </w:rPr>
        <w:t>1.合同金额：本合同总价（已含税）为￥</w:t>
      </w:r>
      <w:r>
        <w:rPr>
          <w:rFonts w:hint="eastAsia" w:ascii="宋体" w:hAnsi="宋体" w:cs="宋体"/>
          <w:sz w:val="24"/>
          <w:szCs w:val="24"/>
          <w:u w:val="single"/>
        </w:rPr>
        <w:t xml:space="preserve">     </w:t>
      </w: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）。其中不含税价</w:t>
      </w:r>
      <w:r>
        <w:rPr>
          <w:rFonts w:hint="eastAsia" w:ascii="宋体" w:hAnsi="宋体" w:cs="宋体"/>
          <w:sz w:val="24"/>
          <w:szCs w:val="24"/>
          <w:u w:val="single"/>
        </w:rPr>
        <w:t xml:space="preserve">     </w:t>
      </w:r>
      <w:r>
        <w:rPr>
          <w:rFonts w:hint="eastAsia" w:ascii="宋体" w:hAnsi="宋体" w:cs="宋体"/>
          <w:sz w:val="24"/>
          <w:szCs w:val="24"/>
        </w:rPr>
        <w:t>元，税率</w:t>
      </w:r>
      <w:r>
        <w:rPr>
          <w:rFonts w:hint="eastAsia" w:ascii="宋体" w:hAnsi="宋体" w:cs="宋体"/>
          <w:sz w:val="24"/>
          <w:szCs w:val="24"/>
          <w:u w:val="single"/>
        </w:rPr>
        <w:t xml:space="preserve">     </w:t>
      </w:r>
      <w:r>
        <w:rPr>
          <w:rFonts w:hint="eastAsia" w:ascii="宋体" w:hAnsi="宋体" w:cs="宋体"/>
          <w:sz w:val="24"/>
          <w:szCs w:val="24"/>
        </w:rPr>
        <w:t>%，税额</w:t>
      </w:r>
      <w:r>
        <w:rPr>
          <w:rFonts w:hint="eastAsia" w:ascii="宋体" w:hAnsi="宋体" w:cs="宋体"/>
          <w:sz w:val="24"/>
          <w:szCs w:val="24"/>
          <w:u w:val="single"/>
        </w:rPr>
        <w:t xml:space="preserve">     </w:t>
      </w:r>
      <w:r>
        <w:rPr>
          <w:rFonts w:hint="eastAsia" w:ascii="宋体" w:hAnsi="宋体" w:cs="宋体"/>
          <w:sz w:val="24"/>
          <w:szCs w:val="24"/>
        </w:rPr>
        <w:t>元；</w:t>
      </w:r>
    </w:p>
    <w:p w14:paraId="74640D48">
      <w:pPr>
        <w:spacing w:line="480" w:lineRule="auto"/>
        <w:ind w:firstLine="480" w:firstLineChars="200"/>
        <w:rPr>
          <w:rFonts w:hint="eastAsia" w:ascii="宋体" w:hAnsi="宋体" w:cs="宋体"/>
          <w:sz w:val="24"/>
          <w:szCs w:val="24"/>
        </w:rPr>
      </w:pPr>
      <w:r>
        <w:rPr>
          <w:rFonts w:hint="eastAsia" w:ascii="宋体" w:hAnsi="宋体" w:cs="宋体"/>
          <w:sz w:val="24"/>
          <w:szCs w:val="24"/>
        </w:rPr>
        <w:t>总价指甲方的交货价格，该价格应包含货物价格、通关费、包装费、物流费、装卸费、保险费、在甲方指定场所的安装调试费、必要的培训费以及增值税等一切费用。在乙方完全履行本合同下全部义务的情形下，除非另有书面约定，否则合同金额是甲方应当向乙方支付的全部费用。</w:t>
      </w:r>
    </w:p>
    <w:p w14:paraId="4A2EAB61">
      <w:pPr>
        <w:spacing w:line="480" w:lineRule="auto"/>
        <w:ind w:firstLine="480" w:firstLineChars="200"/>
        <w:rPr>
          <w:rFonts w:hint="eastAsia" w:ascii="宋体" w:hAnsi="宋体" w:cs="宋体"/>
          <w:sz w:val="24"/>
          <w:szCs w:val="24"/>
        </w:rPr>
      </w:pPr>
      <w:r>
        <w:rPr>
          <w:rFonts w:hint="eastAsia" w:ascii="宋体" w:hAnsi="宋体" w:cs="宋体"/>
          <w:sz w:val="24"/>
          <w:szCs w:val="24"/>
        </w:rPr>
        <w:t>2.支付方式：合同签订后，甲方在乙方提供正规增值税专用发票后【 】日内支付合同总价的【 】%。</w:t>
      </w:r>
    </w:p>
    <w:p w14:paraId="4FC8D959">
      <w:pPr>
        <w:spacing w:line="480" w:lineRule="auto"/>
        <w:ind w:firstLine="480" w:firstLineChars="200"/>
        <w:rPr>
          <w:rFonts w:hint="eastAsia" w:ascii="宋体" w:hAnsi="宋体" w:cs="宋体"/>
          <w:sz w:val="24"/>
          <w:szCs w:val="24"/>
        </w:rPr>
      </w:pPr>
      <w:r>
        <w:rPr>
          <w:rFonts w:hint="eastAsia" w:ascii="宋体" w:hAnsi="宋体" w:cs="宋体"/>
          <w:sz w:val="24"/>
          <w:szCs w:val="24"/>
        </w:rPr>
        <w:t>3.质保金：本合同质保金为合同总价的【 】%，合同质量保证期结束后，甲方支付合同尾款。前提是，乙方应完成甲方在质量保证期届满前提出的索赔和赔偿，维修和退换货等义务，否则甲方有权拒绝支付质保金。</w:t>
      </w:r>
    </w:p>
    <w:p w14:paraId="2D8731AD">
      <w:pPr>
        <w:spacing w:line="480" w:lineRule="auto"/>
        <w:ind w:firstLine="480" w:firstLineChars="200"/>
        <w:rPr>
          <w:rFonts w:hint="eastAsia" w:ascii="宋体" w:hAnsi="宋体" w:cs="宋体"/>
          <w:sz w:val="24"/>
          <w:szCs w:val="24"/>
        </w:rPr>
      </w:pPr>
      <w:r>
        <w:rPr>
          <w:rFonts w:hint="eastAsia" w:ascii="宋体" w:hAnsi="宋体" w:cs="宋体"/>
          <w:sz w:val="24"/>
          <w:szCs w:val="24"/>
        </w:rPr>
        <w:t>4.乙方的开户银行、帐户名称、银行帐号以本合同提供的为准，如有变更，乙方应在合同规定的相关付款期限十日之前以书面方式通知甲方并加盖财务专用章。如未正确依照上述规定执行而影响相关款项的支付，则由此产生的责任由乙方自负。</w:t>
      </w:r>
    </w:p>
    <w:p w14:paraId="55455584">
      <w:pPr>
        <w:numPr>
          <w:ilvl w:val="0"/>
          <w:numId w:val="2"/>
        </w:numPr>
        <w:spacing w:line="480" w:lineRule="auto"/>
        <w:rPr>
          <w:rFonts w:hint="eastAsia" w:ascii="宋体" w:hAnsi="宋体" w:cs="宋体"/>
          <w:b/>
          <w:bCs/>
          <w:sz w:val="24"/>
          <w:szCs w:val="24"/>
        </w:rPr>
      </w:pPr>
      <w:r>
        <w:rPr>
          <w:rFonts w:hint="eastAsia" w:ascii="宋体" w:hAnsi="宋体" w:cs="宋体"/>
          <w:b/>
          <w:bCs/>
          <w:sz w:val="24"/>
          <w:szCs w:val="24"/>
        </w:rPr>
        <w:t>权利侵害的防止</w:t>
      </w:r>
    </w:p>
    <w:p w14:paraId="067F6032">
      <w:pPr>
        <w:spacing w:line="480" w:lineRule="auto"/>
        <w:ind w:firstLine="480" w:firstLineChars="200"/>
        <w:rPr>
          <w:rFonts w:hint="eastAsia" w:ascii="宋体" w:hAnsi="宋体" w:cs="宋体"/>
          <w:sz w:val="24"/>
          <w:szCs w:val="24"/>
        </w:rPr>
      </w:pPr>
      <w:r>
        <w:rPr>
          <w:rFonts w:hint="eastAsia" w:ascii="宋体" w:hAnsi="宋体" w:cs="宋体"/>
          <w:sz w:val="24"/>
          <w:szCs w:val="24"/>
        </w:rPr>
        <w:t>1.乙方保证，交付的商品不存在任何违反相关的法律法规、政府指令或政策等或侵犯了第三者的合法权利（包括但不限于知识产权）的情况。</w:t>
      </w:r>
    </w:p>
    <w:p w14:paraId="14ADFD21">
      <w:pPr>
        <w:spacing w:line="480" w:lineRule="auto"/>
        <w:ind w:firstLine="480" w:firstLineChars="200"/>
        <w:rPr>
          <w:rFonts w:hint="eastAsia" w:ascii="宋体" w:hAnsi="宋体" w:cs="宋体"/>
          <w:sz w:val="24"/>
          <w:szCs w:val="24"/>
        </w:rPr>
      </w:pPr>
      <w:r>
        <w:rPr>
          <w:rFonts w:hint="eastAsia" w:ascii="宋体" w:hAnsi="宋体" w:cs="宋体"/>
          <w:sz w:val="24"/>
          <w:szCs w:val="24"/>
        </w:rPr>
        <w:t>2.如存在上述情况，乙方必须事前通知甲方，并应负责解决由此而产生的侵权纠纷。</w:t>
      </w:r>
    </w:p>
    <w:p w14:paraId="200B62E5">
      <w:pPr>
        <w:spacing w:line="480" w:lineRule="auto"/>
        <w:ind w:firstLine="480" w:firstLineChars="200"/>
        <w:rPr>
          <w:rFonts w:hint="eastAsia" w:ascii="宋体" w:hAnsi="宋体" w:cs="宋体"/>
          <w:sz w:val="24"/>
          <w:szCs w:val="24"/>
        </w:rPr>
      </w:pPr>
      <w:r>
        <w:rPr>
          <w:rFonts w:hint="eastAsia" w:ascii="宋体" w:hAnsi="宋体" w:cs="宋体"/>
          <w:sz w:val="24"/>
          <w:szCs w:val="24"/>
        </w:rPr>
        <w:t>3.乙方违反本条第1款的保证，而与第三方产生纠纷时，应对由此而引起的纠纷承担所有的法律责任，并承担甲方因此造成的全部损失，甲方对该纠纷不承担任何责任，损失及费用。</w:t>
      </w:r>
    </w:p>
    <w:p w14:paraId="7DB9FE9D">
      <w:pPr>
        <w:spacing w:line="480" w:lineRule="auto"/>
        <w:ind w:firstLine="480" w:firstLineChars="200"/>
        <w:rPr>
          <w:rFonts w:hint="eastAsia" w:ascii="宋体" w:hAnsi="宋体" w:cs="宋体"/>
          <w:sz w:val="24"/>
          <w:szCs w:val="24"/>
        </w:rPr>
      </w:pPr>
      <w:r>
        <w:rPr>
          <w:rFonts w:hint="eastAsia" w:ascii="宋体" w:hAnsi="宋体" w:cs="宋体"/>
          <w:sz w:val="24"/>
          <w:szCs w:val="24"/>
        </w:rPr>
        <w:t>4.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 】%赔偿甲方因此受到的损失，且不能免除乙方履行本合同的义务。</w:t>
      </w:r>
    </w:p>
    <w:p w14:paraId="4AA2A683">
      <w:pPr>
        <w:numPr>
          <w:ilvl w:val="0"/>
          <w:numId w:val="2"/>
        </w:numPr>
        <w:spacing w:line="480" w:lineRule="auto"/>
        <w:rPr>
          <w:rFonts w:hint="eastAsia" w:ascii="宋体" w:hAnsi="宋体" w:cs="宋体"/>
          <w:b/>
          <w:bCs/>
          <w:sz w:val="24"/>
          <w:szCs w:val="24"/>
        </w:rPr>
      </w:pPr>
      <w:r>
        <w:rPr>
          <w:rFonts w:hint="eastAsia" w:ascii="宋体" w:hAnsi="宋体" w:cs="宋体"/>
          <w:b/>
          <w:bCs/>
          <w:sz w:val="24"/>
          <w:szCs w:val="24"/>
        </w:rPr>
        <w:t>不可抗力 </w:t>
      </w:r>
    </w:p>
    <w:p w14:paraId="0A3556CC">
      <w:pPr>
        <w:spacing w:line="480" w:lineRule="auto"/>
        <w:ind w:firstLine="480" w:firstLineChars="200"/>
        <w:rPr>
          <w:rFonts w:hint="eastAsia" w:ascii="宋体" w:hAnsi="宋体" w:cs="宋体"/>
          <w:sz w:val="24"/>
          <w:szCs w:val="24"/>
        </w:rPr>
      </w:pPr>
      <w:r>
        <w:rPr>
          <w:rFonts w:hint="eastAsia" w:ascii="宋体" w:hAnsi="宋体" w:cs="宋体"/>
          <w:sz w:val="24"/>
          <w:szCs w:val="24"/>
        </w:rPr>
        <w:t>1.甲乙任何一方因自然灾害、战争、疾病或其他甲乙任何一方均不能预见、不能避免且不能克服的事由（以下简称“不可抗力”），延迟履行或不能完全履行本合同规定的责任和义务的，遭遇不可抗力事由的该当事人可免除承担相应的违约责任。</w:t>
      </w:r>
    </w:p>
    <w:p w14:paraId="60068E6C">
      <w:pPr>
        <w:spacing w:line="480" w:lineRule="auto"/>
        <w:ind w:firstLine="480" w:firstLineChars="200"/>
        <w:rPr>
          <w:rFonts w:hint="eastAsia" w:ascii="宋体" w:hAnsi="宋体" w:cs="宋体"/>
          <w:sz w:val="24"/>
          <w:szCs w:val="24"/>
        </w:rPr>
      </w:pPr>
      <w:r>
        <w:rPr>
          <w:rFonts w:hint="eastAsia" w:ascii="宋体" w:hAnsi="宋体" w:cs="宋体"/>
          <w:sz w:val="24"/>
          <w:szCs w:val="24"/>
        </w:rPr>
        <w:t>2.由于不可抗力，甲乙任何一方未履行本合同项下的己方义务时，直至该当事人履行该义务止的期间，另一方可停止履行本合同项下的己方义务，而无需对该当事人承担任何责任。</w:t>
      </w:r>
    </w:p>
    <w:p w14:paraId="10C3971A">
      <w:pPr>
        <w:spacing w:line="480" w:lineRule="auto"/>
        <w:ind w:left="105"/>
        <w:rPr>
          <w:rFonts w:hint="eastAsia" w:ascii="宋体" w:hAnsi="宋体" w:cs="宋体"/>
          <w:b/>
          <w:bCs/>
          <w:sz w:val="24"/>
          <w:szCs w:val="24"/>
        </w:rPr>
      </w:pPr>
      <w:r>
        <w:rPr>
          <w:rFonts w:hint="eastAsia" w:ascii="宋体" w:hAnsi="宋体" w:cs="宋体"/>
          <w:b/>
          <w:bCs/>
          <w:sz w:val="24"/>
          <w:szCs w:val="24"/>
        </w:rPr>
        <w:t>七、乙方责任</w:t>
      </w:r>
    </w:p>
    <w:p w14:paraId="26621E59">
      <w:pPr>
        <w:spacing w:line="480" w:lineRule="auto"/>
        <w:ind w:firstLine="480" w:firstLineChars="200"/>
        <w:rPr>
          <w:rFonts w:hint="eastAsia" w:ascii="宋体" w:hAnsi="宋体" w:cs="宋体"/>
          <w:sz w:val="24"/>
          <w:szCs w:val="24"/>
        </w:rPr>
      </w:pPr>
      <w:r>
        <w:rPr>
          <w:rFonts w:hint="eastAsia" w:ascii="宋体" w:hAnsi="宋体" w:cs="宋体"/>
          <w:sz w:val="24"/>
          <w:szCs w:val="24"/>
        </w:rPr>
        <w:t>1.乙方逾期交货的，每延期一天，乙方应向甲方以延期交货部分货款总值【</w:t>
      </w:r>
      <w:r>
        <w:rPr>
          <w:rFonts w:hint="eastAsia" w:ascii="宋体" w:hAnsi="宋体" w:cs="宋体"/>
          <w:sz w:val="24"/>
          <w:szCs w:val="24"/>
          <w:lang w:val="en-US" w:eastAsia="zh-CN"/>
        </w:rPr>
        <w:t xml:space="preserve"> </w:t>
      </w:r>
      <w:r>
        <w:rPr>
          <w:rFonts w:hint="eastAsia" w:ascii="宋体" w:hAnsi="宋体" w:cs="宋体"/>
          <w:sz w:val="24"/>
          <w:szCs w:val="24"/>
        </w:rPr>
        <w:t>】%的罚金，并承担甲方因此所受的损失费用。</w:t>
      </w:r>
    </w:p>
    <w:p w14:paraId="1600D35D">
      <w:pPr>
        <w:spacing w:line="480" w:lineRule="auto"/>
        <w:ind w:firstLine="480" w:firstLineChars="200"/>
        <w:rPr>
          <w:rFonts w:hint="eastAsia" w:ascii="宋体" w:hAnsi="宋体" w:cs="宋体"/>
          <w:sz w:val="24"/>
          <w:szCs w:val="24"/>
        </w:rPr>
      </w:pPr>
      <w:r>
        <w:rPr>
          <w:rFonts w:hint="eastAsia" w:ascii="宋体" w:hAnsi="宋体" w:cs="宋体"/>
          <w:sz w:val="24"/>
          <w:szCs w:val="24"/>
        </w:rPr>
        <w:t>2.乙方在合同约定的交货日期届满后【 】天内仍不能交货的，甲方有权解除合同，且乙方应向甲方偿付不能交货部分货款【 】%的违约金。</w:t>
      </w:r>
    </w:p>
    <w:p w14:paraId="33F79482">
      <w:pPr>
        <w:spacing w:line="480" w:lineRule="auto"/>
        <w:ind w:firstLine="480" w:firstLineChars="200"/>
        <w:rPr>
          <w:rFonts w:hint="eastAsia" w:ascii="宋体" w:hAnsi="宋体" w:cs="宋体"/>
          <w:sz w:val="24"/>
          <w:szCs w:val="24"/>
        </w:rPr>
      </w:pPr>
      <w:r>
        <w:rPr>
          <w:rFonts w:hint="eastAsia" w:ascii="宋体" w:hAnsi="宋体" w:cs="宋体"/>
          <w:sz w:val="24"/>
          <w:szCs w:val="24"/>
        </w:rPr>
        <w:t>3.乙方所交货物品种、规格、质量不符合合同规定的，如果甲方同意利用，应当按质论价；如果甲方不同意或不能利用的，由乙方负责按甲方要求包换、包修、包退，并承担修理、调换或退货而支付的实际费用。乙方不能修理或者不能调换的，按不能交货处理。</w:t>
      </w:r>
    </w:p>
    <w:p w14:paraId="15A168F4">
      <w:pPr>
        <w:spacing w:line="480" w:lineRule="auto"/>
        <w:ind w:firstLine="480" w:firstLineChars="200"/>
        <w:rPr>
          <w:rFonts w:hint="eastAsia" w:ascii="宋体" w:hAnsi="宋体" w:cs="宋体"/>
          <w:sz w:val="24"/>
          <w:szCs w:val="24"/>
        </w:rPr>
      </w:pPr>
      <w:r>
        <w:rPr>
          <w:rFonts w:hint="eastAsia" w:ascii="宋体" w:hAnsi="宋体" w:cs="宋体"/>
          <w:sz w:val="24"/>
          <w:szCs w:val="24"/>
        </w:rPr>
        <w:t>4.乙方未按合同规定的货物数量交货时，少交的部分，甲方如果需要，应照数补交。甲方如不需要，可以退货。由于退货所造成的损失，由乙方承担。</w:t>
      </w:r>
    </w:p>
    <w:p w14:paraId="64F7B136">
      <w:pPr>
        <w:spacing w:line="480" w:lineRule="auto"/>
        <w:ind w:firstLine="480" w:firstLineChars="200"/>
        <w:rPr>
          <w:rFonts w:hint="eastAsia" w:ascii="宋体" w:hAnsi="宋体" w:cs="宋体"/>
          <w:sz w:val="24"/>
          <w:szCs w:val="24"/>
        </w:rPr>
      </w:pPr>
      <w:r>
        <w:rPr>
          <w:rFonts w:hint="eastAsia" w:ascii="宋体" w:hAnsi="宋体" w:cs="宋体"/>
          <w:sz w:val="24"/>
          <w:szCs w:val="24"/>
        </w:rPr>
        <w:t>5.货物包装不符合合同规定时，乙方必须返修或重新包装，并承担返修或重新包装的费用。甲方不要求返修或重新包装而要求赔偿损失的，乙方应当偿付甲方该不合格包装物低于合格包装物的价值部分。因包装不符合规定造成货物损坏或灭失的，乙方应当负责赔偿。</w:t>
      </w:r>
    </w:p>
    <w:p w14:paraId="7351E951">
      <w:pPr>
        <w:spacing w:line="480" w:lineRule="auto"/>
        <w:ind w:firstLine="480" w:firstLineChars="200"/>
        <w:rPr>
          <w:rFonts w:hint="eastAsia" w:ascii="宋体" w:hAnsi="宋体" w:cs="宋体"/>
          <w:sz w:val="24"/>
          <w:szCs w:val="24"/>
        </w:rPr>
      </w:pPr>
      <w:r>
        <w:rPr>
          <w:rFonts w:hint="eastAsia" w:ascii="宋体" w:hAnsi="宋体" w:cs="宋体"/>
          <w:sz w:val="24"/>
          <w:szCs w:val="24"/>
        </w:rPr>
        <w:t>6.质量保证期内，乙方逾期维修或退换货物的，每延期一天，应按本合同总价【 】%向甲方支付违约金。乙方逾期维修超过【 】天的，甲方有权自行或委托第三方维修，因此发生的费用直接从预留的质保金中抵扣，不足部分甲方有权继续向乙方追偿。乙方逾期退换货物超过【 】天的，甲方有权解除合同。</w:t>
      </w:r>
    </w:p>
    <w:p w14:paraId="23FDF41C">
      <w:pPr>
        <w:spacing w:line="480" w:lineRule="auto"/>
        <w:rPr>
          <w:rFonts w:hint="eastAsia" w:ascii="宋体" w:hAnsi="宋体" w:cs="宋体"/>
          <w:b/>
          <w:bCs/>
          <w:sz w:val="24"/>
          <w:szCs w:val="24"/>
        </w:rPr>
      </w:pPr>
      <w:r>
        <w:rPr>
          <w:rFonts w:hint="eastAsia" w:ascii="宋体" w:hAnsi="宋体" w:cs="宋体"/>
          <w:b/>
          <w:bCs/>
          <w:sz w:val="24"/>
          <w:szCs w:val="24"/>
        </w:rPr>
        <w:t>八、甲方责任</w:t>
      </w:r>
    </w:p>
    <w:p w14:paraId="7B5946C6">
      <w:pPr>
        <w:spacing w:line="480" w:lineRule="auto"/>
        <w:ind w:left="420" w:leftChars="200"/>
        <w:rPr>
          <w:rFonts w:hint="eastAsia" w:ascii="宋体" w:hAnsi="宋体" w:cs="宋体"/>
          <w:sz w:val="24"/>
          <w:szCs w:val="24"/>
        </w:rPr>
      </w:pPr>
      <w:r>
        <w:rPr>
          <w:rFonts w:hint="eastAsia" w:ascii="宋体" w:hAnsi="宋体" w:cs="宋体"/>
          <w:sz w:val="24"/>
          <w:szCs w:val="24"/>
        </w:rPr>
        <w:t>1.甲方无正当理由违反合同规定拒绝接货的，应当承担由此造成的损失。</w:t>
      </w:r>
    </w:p>
    <w:p w14:paraId="4F743447">
      <w:pPr>
        <w:spacing w:line="480" w:lineRule="auto"/>
        <w:ind w:left="420" w:leftChars="200" w:firstLine="240" w:firstLineChars="100"/>
        <w:rPr>
          <w:rFonts w:hint="eastAsia" w:ascii="宋体" w:hAnsi="宋体" w:cs="宋体"/>
          <w:sz w:val="24"/>
          <w:szCs w:val="24"/>
        </w:rPr>
      </w:pPr>
      <w:r>
        <w:rPr>
          <w:rFonts w:hint="eastAsia" w:ascii="宋体" w:hAnsi="宋体" w:cs="宋体"/>
          <w:sz w:val="24"/>
          <w:szCs w:val="24"/>
        </w:rPr>
        <w:t>2.甲方应按规定日期向乙方付款。如逾期付款，应就逾期付款部分按照中国人民银行规定的同期贷款利率向乙方支付违约金。</w:t>
      </w:r>
    </w:p>
    <w:p w14:paraId="38746690">
      <w:pPr>
        <w:spacing w:line="480" w:lineRule="auto"/>
        <w:rPr>
          <w:rFonts w:hint="eastAsia" w:ascii="宋体" w:hAnsi="宋体" w:cs="宋体"/>
          <w:b/>
          <w:bCs/>
          <w:sz w:val="24"/>
          <w:szCs w:val="24"/>
        </w:rPr>
      </w:pPr>
      <w:r>
        <w:rPr>
          <w:rFonts w:hint="eastAsia" w:ascii="宋体" w:hAnsi="宋体" w:cs="宋体"/>
          <w:b/>
          <w:bCs/>
          <w:sz w:val="24"/>
          <w:szCs w:val="24"/>
        </w:rPr>
        <w:t>九、合同争议的解决方式</w:t>
      </w:r>
    </w:p>
    <w:p w14:paraId="499F90B4">
      <w:pPr>
        <w:spacing w:line="480" w:lineRule="auto"/>
        <w:ind w:firstLine="240" w:firstLineChars="100"/>
        <w:rPr>
          <w:rFonts w:hint="eastAsia" w:ascii="宋体" w:hAnsi="宋体" w:cs="宋体"/>
          <w:sz w:val="24"/>
          <w:szCs w:val="24"/>
        </w:rPr>
      </w:pPr>
      <w:r>
        <w:rPr>
          <w:rFonts w:hint="eastAsia" w:ascii="宋体" w:hAnsi="宋体" w:cs="宋体"/>
          <w:sz w:val="24"/>
          <w:szCs w:val="24"/>
        </w:rPr>
        <w:t>本合同在履行过程中发生的争议，由双方当事人协商解决；协商或调解不成的依法向合同签订地人民法院起诉。 </w:t>
      </w:r>
    </w:p>
    <w:p w14:paraId="08600BA3">
      <w:pPr>
        <w:spacing w:line="480" w:lineRule="auto"/>
        <w:rPr>
          <w:rFonts w:hint="eastAsia" w:ascii="宋体" w:hAnsi="宋体" w:cs="宋体"/>
          <w:b/>
          <w:bCs/>
          <w:sz w:val="24"/>
          <w:szCs w:val="24"/>
        </w:rPr>
      </w:pPr>
      <w:r>
        <w:rPr>
          <w:rFonts w:hint="eastAsia" w:ascii="宋体" w:hAnsi="宋体" w:cs="宋体"/>
          <w:b/>
          <w:bCs/>
          <w:sz w:val="24"/>
          <w:szCs w:val="24"/>
        </w:rPr>
        <w:t>十、送达</w:t>
      </w:r>
    </w:p>
    <w:p w14:paraId="73B53ACE">
      <w:pPr>
        <w:spacing w:line="480" w:lineRule="auto"/>
        <w:ind w:left="210" w:leftChars="100" w:firstLine="480" w:firstLineChars="200"/>
        <w:rPr>
          <w:rFonts w:hint="eastAsia" w:ascii="宋体" w:hAnsi="宋体" w:cs="宋体"/>
          <w:sz w:val="24"/>
          <w:szCs w:val="24"/>
        </w:rPr>
      </w:pPr>
      <w:r>
        <w:rPr>
          <w:rFonts w:hint="eastAsia" w:ascii="宋体" w:hAnsi="宋体" w:cs="宋体"/>
          <w:sz w:val="24"/>
          <w:szCs w:val="24"/>
        </w:rPr>
        <w:t>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1FE219F">
      <w:pPr>
        <w:spacing w:line="480" w:lineRule="auto"/>
        <w:ind w:left="210" w:leftChars="100" w:firstLine="480" w:firstLineChars="200"/>
        <w:rPr>
          <w:rFonts w:hint="eastAsia" w:ascii="宋体" w:hAnsi="宋体" w:cs="宋体"/>
          <w:sz w:val="24"/>
          <w:szCs w:val="24"/>
        </w:rPr>
      </w:pPr>
      <w:r>
        <w:rPr>
          <w:rFonts w:hint="eastAsia" w:ascii="宋体" w:hAnsi="宋体" w:cs="宋体"/>
          <w:sz w:val="24"/>
          <w:szCs w:val="24"/>
        </w:rPr>
        <w:t>2.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w:t>
      </w:r>
    </w:p>
    <w:p w14:paraId="1964634E">
      <w:pPr>
        <w:spacing w:line="480" w:lineRule="auto"/>
        <w:ind w:left="210" w:leftChars="100" w:firstLine="480" w:firstLineChars="200"/>
        <w:rPr>
          <w:rFonts w:hint="eastAsia" w:ascii="宋体" w:hAnsi="宋体" w:cs="宋体"/>
          <w:sz w:val="24"/>
          <w:szCs w:val="24"/>
        </w:rPr>
      </w:pPr>
      <w:r>
        <w:rPr>
          <w:rFonts w:hint="eastAsia" w:ascii="宋体" w:hAnsi="宋体" w:cs="宋体"/>
          <w:sz w:val="24"/>
          <w:szCs w:val="24"/>
        </w:rPr>
        <w:t>3.合同送达条款与保密条款、争议解决条款均为独立条款，不受合同整体或其他条款的效力的影响。</w:t>
      </w:r>
    </w:p>
    <w:p w14:paraId="0096EB40">
      <w:pPr>
        <w:spacing w:line="480" w:lineRule="auto"/>
        <w:rPr>
          <w:rFonts w:hint="eastAsia" w:ascii="宋体" w:hAnsi="宋体" w:cs="宋体"/>
          <w:b/>
          <w:bCs/>
          <w:sz w:val="24"/>
          <w:szCs w:val="24"/>
        </w:rPr>
      </w:pPr>
      <w:r>
        <w:rPr>
          <w:rFonts w:hint="eastAsia" w:ascii="宋体" w:hAnsi="宋体" w:cs="宋体"/>
          <w:b/>
          <w:bCs/>
          <w:sz w:val="24"/>
          <w:szCs w:val="24"/>
        </w:rPr>
        <w:t>十一、其他</w:t>
      </w:r>
    </w:p>
    <w:p w14:paraId="687FDA68">
      <w:pPr>
        <w:spacing w:line="480" w:lineRule="auto"/>
        <w:ind w:firstLine="720" w:firstLineChars="300"/>
        <w:rPr>
          <w:rFonts w:hint="eastAsia" w:ascii="宋体" w:hAnsi="宋体" w:cs="宋体"/>
          <w:sz w:val="24"/>
          <w:szCs w:val="24"/>
        </w:rPr>
      </w:pPr>
      <w:r>
        <w:rPr>
          <w:rFonts w:hint="eastAsia" w:ascii="宋体" w:hAnsi="宋体" w:cs="宋体"/>
          <w:sz w:val="24"/>
          <w:szCs w:val="24"/>
        </w:rPr>
        <w:t>1.本合同自双方法定代表人或委托代理人签字盖章后生效，至合同条款履行完毕时终止。</w:t>
      </w:r>
    </w:p>
    <w:p w14:paraId="0984538F">
      <w:pPr>
        <w:spacing w:line="480" w:lineRule="auto"/>
        <w:ind w:firstLine="720" w:firstLineChars="300"/>
        <w:rPr>
          <w:rFonts w:hint="eastAsia" w:ascii="宋体" w:hAnsi="宋体" w:cs="宋体"/>
          <w:sz w:val="24"/>
          <w:szCs w:val="24"/>
        </w:rPr>
      </w:pPr>
      <w:r>
        <w:rPr>
          <w:rFonts w:hint="eastAsia" w:ascii="宋体" w:hAnsi="宋体" w:cs="宋体"/>
          <w:sz w:val="24"/>
          <w:szCs w:val="24"/>
        </w:rPr>
        <w:t>2.合同如有未尽事宜，须经双方共同协商，签订补充协议，补充协议与本合同具有同等效力。本合同一式【 】份，甲方执【 】份，乙方执【 】份。</w:t>
      </w:r>
    </w:p>
    <w:p w14:paraId="67C07A39">
      <w:pPr>
        <w:spacing w:line="480" w:lineRule="auto"/>
        <w:ind w:left="105" w:firstLine="240" w:firstLineChars="100"/>
        <w:rPr>
          <w:rFonts w:hint="eastAsia" w:ascii="宋体" w:hAnsi="宋体" w:cs="宋体"/>
          <w:sz w:val="24"/>
          <w:szCs w:val="24"/>
        </w:rPr>
      </w:pPr>
    </w:p>
    <w:p w14:paraId="38874D52">
      <w:pPr>
        <w:spacing w:line="480" w:lineRule="auto"/>
        <w:ind w:left="105" w:firstLine="240" w:firstLineChars="100"/>
        <w:rPr>
          <w:rFonts w:hint="eastAsia" w:ascii="宋体" w:hAnsi="宋体" w:cs="宋体"/>
          <w:sz w:val="24"/>
          <w:szCs w:val="24"/>
        </w:rPr>
      </w:pPr>
      <w:r>
        <w:rPr>
          <w:rFonts w:hint="eastAsia" w:ascii="宋体" w:hAnsi="宋体" w:cs="宋体"/>
          <w:sz w:val="24"/>
          <w:szCs w:val="24"/>
        </w:rPr>
        <w:t>（以下无正文）</w:t>
      </w:r>
    </w:p>
    <w:p w14:paraId="71468441">
      <w:pPr>
        <w:pStyle w:val="43"/>
        <w:rPr>
          <w:rFonts w:hint="eastAsia" w:ascii="宋体" w:hAnsi="宋体" w:cs="宋体"/>
          <w:szCs w:val="24"/>
        </w:rPr>
      </w:pPr>
    </w:p>
    <w:p w14:paraId="444E998E">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甲方（盖章）：                         乙方（盖章）：</w:t>
      </w:r>
    </w:p>
    <w:p w14:paraId="7FB6334E">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法人代表：                            法人代表：</w:t>
      </w:r>
    </w:p>
    <w:p w14:paraId="5C1D893E">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或委托代理人：                        或委托代理人：</w:t>
      </w:r>
    </w:p>
    <w:p w14:paraId="66491DB1">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开户行：                              开户行：</w:t>
      </w:r>
    </w:p>
    <w:p w14:paraId="0870CBED">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账号：                                账号：</w:t>
      </w:r>
    </w:p>
    <w:p w14:paraId="7F4F7658">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联系人：                              联系人：</w:t>
      </w:r>
    </w:p>
    <w:p w14:paraId="67401B0C">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电话：                                电话：</w:t>
      </w:r>
    </w:p>
    <w:p w14:paraId="5633148A">
      <w:pPr>
        <w:spacing w:line="480" w:lineRule="auto"/>
        <w:ind w:left="105" w:firstLine="241" w:firstLineChars="100"/>
        <w:rPr>
          <w:rFonts w:hint="eastAsia" w:ascii="宋体" w:hAnsi="宋体" w:cs="宋体"/>
          <w:b/>
          <w:bCs/>
          <w:sz w:val="24"/>
          <w:szCs w:val="24"/>
        </w:rPr>
      </w:pPr>
      <w:r>
        <w:rPr>
          <w:rFonts w:hint="eastAsia" w:ascii="宋体" w:hAnsi="宋体" w:cs="宋体"/>
          <w:b/>
          <w:bCs/>
          <w:sz w:val="24"/>
          <w:szCs w:val="24"/>
        </w:rPr>
        <w:t>住所：                                住所：</w:t>
      </w:r>
    </w:p>
    <w:p w14:paraId="516CB384">
      <w:pPr>
        <w:rPr>
          <w:rFonts w:hint="eastAsia" w:ascii="宋体" w:hAnsi="宋体" w:eastAsia="宋体" w:cs="宋体"/>
          <w:color w:val="auto"/>
          <w:sz w:val="24"/>
          <w:szCs w:val="24"/>
          <w:highlight w:val="none"/>
        </w:rPr>
      </w:pPr>
    </w:p>
    <w:p w14:paraId="570233BA">
      <w:pPr>
        <w:pStyle w:val="14"/>
        <w:ind w:firstLine="0"/>
        <w:jc w:val="center"/>
        <w:rPr>
          <w:rFonts w:hint="eastAsia" w:ascii="宋体" w:hAnsi="宋体" w:eastAsia="宋体" w:cs="宋体"/>
          <w:color w:val="auto"/>
          <w:szCs w:val="28"/>
          <w:highlight w:val="none"/>
        </w:rPr>
      </w:pPr>
    </w:p>
    <w:p w14:paraId="3BB0B30C">
      <w:pPr>
        <w:spacing w:line="360" w:lineRule="auto"/>
        <w:rPr>
          <w:rFonts w:hint="eastAsia" w:ascii="宋体" w:hAnsi="宋体" w:eastAsia="宋体" w:cs="宋体"/>
          <w:sz w:val="24"/>
        </w:rPr>
      </w:pPr>
      <w:r>
        <w:rPr>
          <w:rFonts w:hint="eastAsia" w:ascii="宋体" w:hAnsi="宋体" w:eastAsia="宋体" w:cs="宋体"/>
          <w:b/>
          <w:sz w:val="36"/>
          <w:szCs w:val="36"/>
          <w:lang w:val="en-US" w:eastAsia="zh-CN"/>
        </w:rPr>
        <w:t xml:space="preserve">    </w:t>
      </w:r>
    </w:p>
    <w:p w14:paraId="6E3C1E84">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20DD917F">
      <w:pPr>
        <w:pStyle w:val="105"/>
        <w:spacing w:line="360" w:lineRule="auto"/>
        <w:ind w:left="0" w:leftChars="0" w:firstLine="0" w:firstLineChars="0"/>
        <w:rPr>
          <w:rFonts w:hint="eastAsia" w:ascii="宋体" w:hAnsi="宋体" w:eastAsia="宋体" w:cs="宋体"/>
          <w:b w:val="0"/>
          <w:bCs w:val="0"/>
          <w:color w:val="auto"/>
          <w:sz w:val="24"/>
          <w:szCs w:val="24"/>
          <w:highlight w:val="none"/>
          <w:lang w:val="en-US" w:eastAsia="zh-CN"/>
        </w:rPr>
      </w:pPr>
    </w:p>
    <w:p w14:paraId="7F1ADFDC">
      <w:pPr>
        <w:pStyle w:val="4"/>
        <w:numPr>
          <w:ilvl w:val="0"/>
          <w:numId w:val="3"/>
        </w:numPr>
        <w:bidi w:val="0"/>
        <w:ind w:leftChars="0" w:firstLine="2530" w:firstLineChars="700"/>
        <w:jc w:val="both"/>
        <w:rPr>
          <w:rFonts w:hint="eastAsia" w:ascii="宋体" w:hAnsi="宋体" w:eastAsia="宋体" w:cs="宋体"/>
          <w:color w:val="auto"/>
          <w:sz w:val="36"/>
          <w:szCs w:val="36"/>
          <w:highlight w:val="none"/>
          <w:lang w:val="en-US" w:eastAsia="zh-CN"/>
        </w:rPr>
      </w:pPr>
      <w:bookmarkStart w:id="184" w:name="_Toc4148"/>
      <w:r>
        <w:rPr>
          <w:rFonts w:hint="eastAsia" w:ascii="宋体" w:hAnsi="宋体" w:eastAsia="宋体" w:cs="宋体"/>
          <w:color w:val="auto"/>
          <w:sz w:val="36"/>
          <w:szCs w:val="36"/>
          <w:highlight w:val="none"/>
          <w:lang w:val="en-US" w:eastAsia="zh-CN"/>
        </w:rPr>
        <w:t xml:space="preserve"> 采购需求</w:t>
      </w:r>
      <w:bookmarkEnd w:id="184"/>
    </w:p>
    <w:p w14:paraId="193CFF25">
      <w:pPr>
        <w:numPr>
          <w:ilvl w:val="0"/>
          <w:numId w:val="0"/>
        </w:numPr>
        <w:rPr>
          <w:rFonts w:hint="eastAsia"/>
          <w:lang w:eastAsia="zh-CN"/>
        </w:rPr>
      </w:pPr>
    </w:p>
    <w:p w14:paraId="32C47628">
      <w:pPr>
        <w:pStyle w:val="39"/>
        <w:rPr>
          <w:rFonts w:hint="eastAsia"/>
          <w:lang w:eastAsia="zh-CN"/>
        </w:rPr>
      </w:pPr>
    </w:p>
    <w:p w14:paraId="1C6BEAAA">
      <w:pPr>
        <w:spacing w:line="480" w:lineRule="auto"/>
        <w:ind w:firstLine="720" w:firstLineChars="300"/>
        <w:rPr>
          <w:rFonts w:hint="eastAsia" w:ascii="宋体" w:hAnsi="宋体" w:eastAsia="宋体" w:cs="宋体"/>
          <w:sz w:val="24"/>
          <w:szCs w:val="24"/>
        </w:rPr>
      </w:pPr>
      <w:r>
        <w:rPr>
          <w:rFonts w:hint="default" w:ascii="宋体" w:hAnsi="宋体" w:eastAsia="宋体" w:cs="宋体"/>
          <w:sz w:val="24"/>
          <w:szCs w:val="24"/>
          <w:lang w:val="en-US" w:eastAsia="zh-CN"/>
        </w:rPr>
        <w:t>一、</w:t>
      </w:r>
      <w:r>
        <w:rPr>
          <w:rFonts w:hint="eastAsia" w:ascii="宋体" w:hAnsi="宋体" w:eastAsia="宋体" w:cs="宋体"/>
          <w:sz w:val="24"/>
          <w:szCs w:val="24"/>
        </w:rPr>
        <w:t>用途说明：腹部、妇产科、疼痛科、心脏、小器官、泌尿、血管、儿科、急诊、麻醉、介入、神经、肌骨、颅脑、术中及其它</w:t>
      </w:r>
    </w:p>
    <w:p w14:paraId="2888A914">
      <w:pPr>
        <w:spacing w:line="480" w:lineRule="auto"/>
        <w:ind w:firstLine="720" w:firstLineChars="300"/>
        <w:rPr>
          <w:rFonts w:hint="eastAsia" w:ascii="宋体" w:hAnsi="宋体" w:eastAsia="宋体" w:cs="宋体"/>
          <w:sz w:val="24"/>
          <w:szCs w:val="24"/>
        </w:rPr>
      </w:pPr>
      <w:r>
        <w:rPr>
          <w:rFonts w:hint="default" w:ascii="宋体" w:hAnsi="宋体" w:eastAsia="宋体" w:cs="宋体"/>
          <w:sz w:val="24"/>
          <w:szCs w:val="24"/>
          <w:lang w:val="en-US" w:eastAsia="zh-CN"/>
        </w:rPr>
        <w:t>二、</w:t>
      </w:r>
      <w:r>
        <w:rPr>
          <w:rFonts w:hint="eastAsia" w:ascii="宋体" w:hAnsi="宋体" w:eastAsia="宋体" w:cs="宋体"/>
          <w:sz w:val="24"/>
          <w:szCs w:val="24"/>
        </w:rPr>
        <w:t>主要技术规格及系统概述：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3"/>
        <w:gridCol w:w="7429"/>
      </w:tblGrid>
      <w:tr w14:paraId="2372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8C34726">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kern w:val="2"/>
                <w:sz w:val="24"/>
                <w:szCs w:val="24"/>
              </w:rPr>
              <w:t>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43903E2">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主机系统性能</w:t>
            </w:r>
          </w:p>
        </w:tc>
      </w:tr>
      <w:tr w14:paraId="6A8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5F48A0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3D5FAD1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全数字化笔记本式便携彩色多普勒超声诊断系统主机</w:t>
            </w:r>
          </w:p>
        </w:tc>
      </w:tr>
      <w:tr w14:paraId="717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D5799D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11293E8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≥15.3英寸超薄宽屏高分辨率彩色液晶显示器</w:t>
            </w:r>
          </w:p>
        </w:tc>
      </w:tr>
      <w:tr w14:paraId="1E9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321A541">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B6D3E6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主机重量≤4.6kg（带电池）</w:t>
            </w:r>
          </w:p>
        </w:tc>
      </w:tr>
      <w:tr w14:paraId="4FE9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6E7D98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F1DEB8F">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显示器开合角度≥160°（提供证明图片）</w:t>
            </w:r>
          </w:p>
        </w:tc>
      </w:tr>
      <w:tr w14:paraId="3620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60439F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3177FCE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全物理键盘及轨迹球操作，非触摸板操作</w:t>
            </w:r>
          </w:p>
        </w:tc>
      </w:tr>
      <w:tr w14:paraId="5B43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BBB83F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1.6</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D342F2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主机内置探头接口1个，可扩展至3个接口</w:t>
            </w:r>
          </w:p>
        </w:tc>
      </w:tr>
      <w:tr w14:paraId="4284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933C78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1.7</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725B1C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系统冷启动时间≤35秒</w:t>
            </w:r>
          </w:p>
        </w:tc>
      </w:tr>
      <w:tr w14:paraId="0925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0686B71">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1.8</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856FED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具备待机功能</w:t>
            </w:r>
          </w:p>
        </w:tc>
      </w:tr>
      <w:tr w14:paraId="0DD3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76B5A0F">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1.9</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9FB527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数字波束形成器</w:t>
            </w:r>
          </w:p>
        </w:tc>
      </w:tr>
      <w:tr w14:paraId="4A1A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B0E5A4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1.10</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DD6331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多倍信号并行处理技术</w:t>
            </w:r>
          </w:p>
        </w:tc>
      </w:tr>
      <w:tr w14:paraId="24EE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167813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0ED96B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数字化全程动态聚焦</w:t>
            </w:r>
          </w:p>
        </w:tc>
      </w:tr>
      <w:tr w14:paraId="0A26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9EDA23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77A1DB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数字化可变孔径及动态变迹技术，A/D≥12bit</w:t>
            </w:r>
          </w:p>
        </w:tc>
      </w:tr>
      <w:tr w14:paraId="1A0D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5D29E3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11D784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接收方式：发射、接收通道≥1024</w:t>
            </w:r>
          </w:p>
        </w:tc>
      </w:tr>
      <w:tr w14:paraId="072E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D658E8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2105B7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二维灰阶成像单元</w:t>
            </w:r>
          </w:p>
        </w:tc>
      </w:tr>
      <w:tr w14:paraId="1A48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DBEBF7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5D0BEB0">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谐波成像单元，支持组织谐波成像、脉冲反相谐波成像</w:t>
            </w:r>
          </w:p>
        </w:tc>
      </w:tr>
      <w:tr w14:paraId="7493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5313A6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1.16</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6103E4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M型成像单元</w:t>
            </w:r>
          </w:p>
        </w:tc>
      </w:tr>
      <w:tr w14:paraId="0BD6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05D2DF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1.17</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6F7716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彩色多普勒成像单元</w:t>
            </w:r>
          </w:p>
        </w:tc>
      </w:tr>
      <w:tr w14:paraId="7D5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17A91A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1.18</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BE5CF01">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频谱多普勒成像单元</w:t>
            </w:r>
          </w:p>
        </w:tc>
      </w:tr>
      <w:tr w14:paraId="184A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B1CDEF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1.19</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D64075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000000"/>
                <w:kern w:val="2"/>
                <w:sz w:val="24"/>
                <w:szCs w:val="24"/>
              </w:rPr>
              <w:t>可选配</w:t>
            </w:r>
            <w:r>
              <w:rPr>
                <w:rFonts w:hint="eastAsia" w:ascii="宋体" w:hAnsi="宋体" w:eastAsia="宋体" w:cs="宋体"/>
                <w:color w:val="171717"/>
                <w:kern w:val="2"/>
                <w:sz w:val="24"/>
                <w:szCs w:val="24"/>
              </w:rPr>
              <w:t>解剖M型成像，≥3线，360°可调</w:t>
            </w:r>
          </w:p>
        </w:tc>
      </w:tr>
      <w:tr w14:paraId="7CBB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8E649EF">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1.20</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3A2D387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空间复合成像，≥4级可调，最高可支持9线空间复合（提供图片证明）</w:t>
            </w:r>
          </w:p>
        </w:tc>
      </w:tr>
      <w:tr w14:paraId="43FB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8B380A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F88894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支持自适应焦点范围，可用于二维、彩色、能量、组织多普勒模式</w:t>
            </w:r>
          </w:p>
        </w:tc>
      </w:tr>
      <w:tr w14:paraId="621A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291570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B55B60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二维角度独立偏转成像，≥5级可调</w:t>
            </w:r>
          </w:p>
        </w:tc>
      </w:tr>
      <w:tr w14:paraId="4954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B9BFDD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9B5D57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斑点噪音抑制，多级可调</w:t>
            </w:r>
          </w:p>
        </w:tc>
      </w:tr>
      <w:tr w14:paraId="149D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A81E6A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C4BCDC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扩展成像，支持线阵、凸阵，支持与二维、彩色、能量多普勒等成像模式配合使用</w:t>
            </w:r>
          </w:p>
        </w:tc>
      </w:tr>
      <w:tr w14:paraId="53A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6EF3EC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AB258A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一键自动优化，支持B模式、M模式、彩色模式、PW模式</w:t>
            </w:r>
          </w:p>
        </w:tc>
      </w:tr>
      <w:tr w14:paraId="69F0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8A4CB6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1.26</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19A51B8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图像放大功能，支持前端放大、后端放大</w:t>
            </w:r>
          </w:p>
        </w:tc>
      </w:tr>
      <w:tr w14:paraId="3DAD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090681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1.27</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92DC19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一键全屏放大，≥2级可调</w:t>
            </w:r>
          </w:p>
        </w:tc>
      </w:tr>
      <w:tr w14:paraId="3837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3F74DC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1.28</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34E0381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多语言操作界面：支持中英文键盘输入</w:t>
            </w:r>
          </w:p>
        </w:tc>
      </w:tr>
      <w:tr w14:paraId="63B1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5E9331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1.29</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1EC953C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支持穿刺引导功能，具备单线引导、双线引导以及中位线引导，具备点状引导线、标识进针深度，沿引导线可移动滑块、有深度数值显示</w:t>
            </w:r>
          </w:p>
        </w:tc>
      </w:tr>
      <w:tr w14:paraId="3F11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D052E2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1.3</w:t>
            </w:r>
            <w:r>
              <w:rPr>
                <w:rFonts w:hint="eastAsia" w:ascii="宋体" w:hAnsi="宋体" w:eastAsia="宋体" w:cs="宋体"/>
                <w:b w:val="0"/>
                <w:bCs w:val="0"/>
                <w:i w:val="0"/>
                <w:iCs w:val="0"/>
                <w:caps w:val="0"/>
                <w:spacing w:val="0"/>
                <w:kern w:val="2"/>
                <w:sz w:val="24"/>
                <w:szCs w:val="24"/>
                <w:lang w:val="en-US" w:eastAsia="zh-CN"/>
              </w:rPr>
              <w:t>0</w:t>
            </w:r>
            <w:r>
              <w:rPr>
                <w:rFonts w:hint="eastAsia" w:ascii="宋体" w:hAnsi="宋体" w:eastAsia="宋体" w:cs="宋体"/>
                <w:color w:val="auto"/>
                <w:sz w:val="24"/>
                <w:szCs w:val="24"/>
                <w:highlight w:val="none"/>
              </w:rPr>
              <w:t>★</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1ADC501">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组织特异性成像，能够独立选择实质、普通、脂肪、液性成像模式（提供图片证明）</w:t>
            </w:r>
          </w:p>
        </w:tc>
      </w:tr>
      <w:tr w14:paraId="6464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622B8C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1.31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C171CC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图形化预设置：针对不同的检查脏器，预置最佳的图像检查条件，并以脏器图标直观显示</w:t>
            </w:r>
          </w:p>
        </w:tc>
      </w:tr>
      <w:tr w14:paraId="1514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E21374D">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color w:val="171717"/>
                <w:kern w:val="2"/>
                <w:sz w:val="24"/>
                <w:szCs w:val="24"/>
              </w:rPr>
              <w:t>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EC584BF">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color w:val="171717"/>
                <w:kern w:val="2"/>
                <w:sz w:val="24"/>
                <w:szCs w:val="24"/>
              </w:rPr>
              <w:t>探头规格</w:t>
            </w:r>
          </w:p>
        </w:tc>
      </w:tr>
      <w:tr w14:paraId="3728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505F9A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2.1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FED662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超宽频变频探头：基波≥5种，谐波≥5种，彩色多普勒≥3种，PW≥3种，可视可调</w:t>
            </w:r>
          </w:p>
        </w:tc>
      </w:tr>
      <w:tr w14:paraId="0949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8467DD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2.2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2CE68A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探头配置：支持凸阵、线阵、相控阵、微凸阵、腔内等探头</w:t>
            </w:r>
          </w:p>
        </w:tc>
      </w:tr>
      <w:tr w14:paraId="65CF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A50002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2.3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7791D5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腹部凸阵探头，探头频率：2.0-6.0MHz</w:t>
            </w:r>
          </w:p>
        </w:tc>
      </w:tr>
      <w:tr w14:paraId="7421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4167C7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2.4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1F5550B1">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浅表线阵探头，探头频率：5.0-15.0MHz</w:t>
            </w:r>
          </w:p>
        </w:tc>
      </w:tr>
      <w:tr w14:paraId="61A4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14047CC">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color w:val="171717"/>
                <w:kern w:val="2"/>
                <w:sz w:val="24"/>
                <w:szCs w:val="24"/>
              </w:rPr>
              <w:t>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5DD4288">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color w:val="171717"/>
                <w:kern w:val="2"/>
                <w:sz w:val="24"/>
                <w:szCs w:val="24"/>
              </w:rPr>
              <w:t>二维灰阶参数</w:t>
            </w:r>
          </w:p>
        </w:tc>
      </w:tr>
      <w:tr w14:paraId="5629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4874CE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3.1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415746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发射声束聚焦：聚焦区域多级可调</w:t>
            </w:r>
          </w:p>
        </w:tc>
      </w:tr>
      <w:tr w14:paraId="1C4B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3433A1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3.2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2DBD38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二维增益调节范围≥250dB</w:t>
            </w:r>
          </w:p>
        </w:tc>
      </w:tr>
      <w:tr w14:paraId="60FE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ABBBC0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3.3</w:t>
            </w:r>
            <w:r>
              <w:rPr>
                <w:rFonts w:hint="eastAsia" w:ascii="宋体" w:hAnsi="宋体" w:cs="宋体"/>
                <w:color w:val="auto"/>
                <w:sz w:val="24"/>
                <w:szCs w:val="24"/>
                <w:highlight w:val="none"/>
                <w:shd w:val="clear" w:color="auto" w:fill="FFFFFF"/>
              </w:rPr>
              <w:t xml:space="preserve"> </w:t>
            </w:r>
            <w:r>
              <w:rPr>
                <w:rFonts w:hint="eastAsia" w:ascii="宋体" w:hAnsi="宋体" w:eastAsia="宋体" w:cs="宋体"/>
                <w:color w:val="auto"/>
                <w:sz w:val="24"/>
                <w:szCs w:val="24"/>
                <w:highlight w:val="none"/>
              </w:rPr>
              <w:t>★</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73C871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动态范围≥300dB，可视可调（提供图片证明）</w:t>
            </w:r>
          </w:p>
        </w:tc>
      </w:tr>
      <w:tr w14:paraId="6C94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C009AB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3.4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57ED10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灰阶曲线≥12种</w:t>
            </w:r>
          </w:p>
        </w:tc>
      </w:tr>
      <w:tr w14:paraId="0C78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6780F8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3.5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78AE93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物理滑动TGC分段调节≥8段，具有TGC曲线显示</w:t>
            </w:r>
          </w:p>
        </w:tc>
      </w:tr>
      <w:tr w14:paraId="063C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5C5ED9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3.6</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1C7C852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伪彩≥12种</w:t>
            </w:r>
          </w:p>
        </w:tc>
      </w:tr>
      <w:tr w14:paraId="2A82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72C568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3.7</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37D500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声功率1–100%，可视可调</w:t>
            </w:r>
          </w:p>
        </w:tc>
      </w:tr>
      <w:tr w14:paraId="0432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1B686F8">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color w:val="171717"/>
                <w:kern w:val="2"/>
                <w:sz w:val="24"/>
                <w:szCs w:val="24"/>
              </w:rPr>
              <w:t>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D87862B">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color w:val="171717"/>
                <w:kern w:val="2"/>
                <w:sz w:val="24"/>
                <w:szCs w:val="24"/>
              </w:rPr>
              <w:t>彩色多普勒参数</w:t>
            </w:r>
          </w:p>
        </w:tc>
      </w:tr>
      <w:tr w14:paraId="67A2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651B3A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4.1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DA0311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包括速度、速度方差、能量、方向能量成像模式等</w:t>
            </w:r>
          </w:p>
        </w:tc>
      </w:tr>
      <w:tr w14:paraId="70AD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71A66A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4.2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08AD9E5">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多普勒增益≥250dB</w:t>
            </w:r>
          </w:p>
        </w:tc>
      </w:tr>
      <w:tr w14:paraId="57C9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A3FE4B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4.3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27F0C4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支持B/C双实时</w:t>
            </w:r>
          </w:p>
        </w:tc>
      </w:tr>
      <w:tr w14:paraId="1D1F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86CE8C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4.4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798B48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一键隐藏血流</w:t>
            </w:r>
          </w:p>
        </w:tc>
      </w:tr>
      <w:tr w14:paraId="14CA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3B8D06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4.5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822FE3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彩色多普勒定量分析软件：彩色血流剖面图、定点测速功能</w:t>
            </w:r>
          </w:p>
        </w:tc>
      </w:tr>
      <w:tr w14:paraId="3F0A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9DB3A82">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color w:val="171717"/>
                <w:kern w:val="2"/>
                <w:sz w:val="24"/>
                <w:szCs w:val="24"/>
              </w:rPr>
              <w:t>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E063B12">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color w:val="171717"/>
                <w:kern w:val="2"/>
                <w:sz w:val="24"/>
                <w:szCs w:val="24"/>
              </w:rPr>
              <w:t>频谱多普勒参数</w:t>
            </w:r>
          </w:p>
        </w:tc>
      </w:tr>
      <w:tr w14:paraId="65CA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6BDB95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5.1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F0B551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方式：脉冲波多普勒（PW）、</w:t>
            </w:r>
          </w:p>
        </w:tc>
      </w:tr>
      <w:tr w14:paraId="4517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5EA6BF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5.2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3FD375F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B/D兼用：线阵：B/PW，凸阵：B/PW，扇扫：B/PW、B/CW</w:t>
            </w:r>
          </w:p>
        </w:tc>
      </w:tr>
      <w:tr w14:paraId="26EB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008383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5.3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359D36D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快速角度校正功能</w:t>
            </w:r>
          </w:p>
        </w:tc>
      </w:tr>
      <w:tr w14:paraId="1123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25A877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5.4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FB6DC7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取样宽度及位置范围：宽度0.5–24mm</w:t>
            </w:r>
          </w:p>
        </w:tc>
      </w:tr>
      <w:tr w14:paraId="1598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843E40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5.5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5729E5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显示控制：反转显示（左/右；上/下）</w:t>
            </w:r>
          </w:p>
        </w:tc>
      </w:tr>
      <w:tr w14:paraId="4450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C77684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5.6</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2C6C5A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频谱实时包络功能，在实时诊断下，频谱实时包络并显示血流参数，可自定义设置测量参数项</w:t>
            </w:r>
          </w:p>
        </w:tc>
      </w:tr>
      <w:tr w14:paraId="0A2D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AACD92A">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color w:val="171717"/>
                <w:kern w:val="2"/>
                <w:sz w:val="24"/>
                <w:szCs w:val="24"/>
              </w:rPr>
              <w:t>6</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1B92BBB">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color w:val="171717"/>
                <w:kern w:val="2"/>
                <w:sz w:val="24"/>
                <w:szCs w:val="24"/>
              </w:rPr>
              <w:t>系统通用技术规格</w:t>
            </w:r>
          </w:p>
        </w:tc>
      </w:tr>
      <w:tr w14:paraId="060D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FD1BB11">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6.1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BABAA7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内置锂电池独立供电，电池独立供电工作时间&gt;1.3小时</w:t>
            </w:r>
          </w:p>
        </w:tc>
      </w:tr>
      <w:tr w14:paraId="6D5F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4D7F8A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6.2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7A599F41">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主机内置HDMI视频输出接口</w:t>
            </w:r>
          </w:p>
        </w:tc>
      </w:tr>
      <w:tr w14:paraId="29E9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D6D7F2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6.3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1BE0A73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主机内置USB接口≥2个</w:t>
            </w:r>
          </w:p>
        </w:tc>
      </w:tr>
      <w:tr w14:paraId="2560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B1ECCE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6.4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14E64CF">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kern w:val="2"/>
                <w:sz w:val="24"/>
                <w:szCs w:val="24"/>
              </w:rPr>
              <w:t>接口扩展盒</w:t>
            </w:r>
          </w:p>
        </w:tc>
      </w:tr>
      <w:tr w14:paraId="1438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7A44BB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6.5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CE187E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升降台车</w:t>
            </w:r>
          </w:p>
        </w:tc>
      </w:tr>
      <w:tr w14:paraId="6F03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5D575D9">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color w:val="171717"/>
                <w:kern w:val="2"/>
                <w:sz w:val="24"/>
                <w:szCs w:val="24"/>
              </w:rPr>
              <w:t>7</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B759B1F">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color w:val="171717"/>
                <w:kern w:val="2"/>
                <w:sz w:val="24"/>
                <w:szCs w:val="24"/>
              </w:rPr>
              <w:t>测量和分析</w:t>
            </w:r>
          </w:p>
        </w:tc>
      </w:tr>
      <w:tr w14:paraId="3B96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2844CB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51CA6F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基础测量软件包：距离、面积、体积、角度、时间、斜率、心率等</w:t>
            </w:r>
          </w:p>
        </w:tc>
      </w:tr>
      <w:tr w14:paraId="0A77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92D9FA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4692F4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腹部测量软件包</w:t>
            </w:r>
          </w:p>
        </w:tc>
      </w:tr>
      <w:tr w14:paraId="0A23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05D007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395DA7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妇科测量软件包</w:t>
            </w:r>
          </w:p>
        </w:tc>
      </w:tr>
      <w:tr w14:paraId="290E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B431A3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06DAD9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产科测量软件包：具有≥4胞胎对比测量分析，支持胎儿生长曲线显示等</w:t>
            </w:r>
          </w:p>
        </w:tc>
      </w:tr>
      <w:tr w14:paraId="1D34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EC00C6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5BB90C8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心脏测量软件包</w:t>
            </w:r>
          </w:p>
        </w:tc>
      </w:tr>
      <w:tr w14:paraId="0592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A58505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7.6</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76BD8E7">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泌尿测量软件包</w:t>
            </w:r>
          </w:p>
        </w:tc>
      </w:tr>
      <w:tr w14:paraId="7722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0CE227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7.7</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4FCF1FE">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小器官测量软件包</w:t>
            </w:r>
          </w:p>
        </w:tc>
      </w:tr>
      <w:tr w14:paraId="78BF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057533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7.8</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C4DF20B">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儿科测量软件包</w:t>
            </w:r>
          </w:p>
        </w:tc>
      </w:tr>
      <w:tr w14:paraId="03D0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E5239E2">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color w:val="171717"/>
                <w:kern w:val="2"/>
                <w:sz w:val="24"/>
                <w:szCs w:val="24"/>
              </w:rPr>
              <w:t>8</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C03B2F4">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color w:val="171717"/>
                <w:kern w:val="2"/>
                <w:sz w:val="24"/>
                <w:szCs w:val="24"/>
              </w:rPr>
              <w:t>图像存储，回放和浏览</w:t>
            </w:r>
          </w:p>
        </w:tc>
      </w:tr>
      <w:tr w14:paraId="7969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2478D89">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8.1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6B78F8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同屏一体化智能剪切板</w:t>
            </w:r>
          </w:p>
        </w:tc>
      </w:tr>
      <w:tr w14:paraId="6374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1E2F13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8.2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CD747BF">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支持快速存储和浏览屏幕图像、电影</w:t>
            </w:r>
          </w:p>
        </w:tc>
      </w:tr>
      <w:tr w14:paraId="7664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8065EDF">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8.3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3206058">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支持向后存储和向前存储，时间长度可预置</w:t>
            </w:r>
          </w:p>
        </w:tc>
      </w:tr>
      <w:tr w14:paraId="3EFA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6C795A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8.4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61B89CB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图像管理和记录装置：存储动、静态图像，屏幕可显示硬盘容量数据信息</w:t>
            </w:r>
          </w:p>
        </w:tc>
      </w:tr>
      <w:tr w14:paraId="6A13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39E9050C">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8.5</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E826A7A">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主机内置报告系统：可更改报告底板颜色、字体大小、字体颜色等</w:t>
            </w:r>
          </w:p>
        </w:tc>
      </w:tr>
      <w:tr w14:paraId="688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2863EE3">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i w:val="0"/>
                <w:kern w:val="2"/>
                <w:sz w:val="24"/>
                <w:szCs w:val="24"/>
              </w:rPr>
              <w:t>9</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4E32F825">
            <w:pPr>
              <w:pStyle w:val="24"/>
              <w:keepNext w:val="0"/>
              <w:keepLines w:val="0"/>
              <w:widowControl/>
              <w:suppressLineNumbers w:val="0"/>
              <w:spacing w:before="120" w:beforeAutospacing="0" w:after="0"/>
              <w:ind w:left="0" w:leftChars="0" w:right="0" w:firstLine="0" w:firstLineChars="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图文工作站</w:t>
            </w:r>
          </w:p>
        </w:tc>
      </w:tr>
      <w:tr w14:paraId="7378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2B8952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9.1</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10C74B52">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D1B11"/>
                <w:kern w:val="2"/>
                <w:sz w:val="24"/>
                <w:szCs w:val="24"/>
              </w:rPr>
              <w:t>系统可存储</w:t>
            </w:r>
            <w:r>
              <w:rPr>
                <w:rFonts w:hint="eastAsia" w:ascii="宋体" w:hAnsi="宋体" w:eastAsia="宋体" w:cs="宋体"/>
                <w:color w:val="171717"/>
                <w:kern w:val="2"/>
                <w:sz w:val="24"/>
                <w:szCs w:val="24"/>
              </w:rPr>
              <w:t>病人信息，可查询、检索、调阅历史信息</w:t>
            </w:r>
          </w:p>
        </w:tc>
      </w:tr>
      <w:tr w14:paraId="5A2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74706D0">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9.2</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0D75A7A3">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支持动、静态图像文件及病人报告的存储，以及病人图像的快速浏览</w:t>
            </w:r>
          </w:p>
        </w:tc>
      </w:tr>
      <w:tr w14:paraId="748B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1082C10">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9.3</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3DAA2E44">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支持以下存储介质：内部硬盘、USB移动存储设备</w:t>
            </w:r>
          </w:p>
        </w:tc>
      </w:tr>
      <w:tr w14:paraId="6259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DDA548D">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b w:val="0"/>
                <w:bCs w:val="0"/>
                <w:i w:val="0"/>
                <w:iCs w:val="0"/>
                <w:caps w:val="0"/>
                <w:spacing w:val="0"/>
                <w:kern w:val="2"/>
                <w:sz w:val="24"/>
                <w:szCs w:val="24"/>
              </w:rPr>
              <w:t>9.4</w:t>
            </w:r>
          </w:p>
        </w:tc>
        <w:tc>
          <w:tcPr>
            <w:tcW w:w="7429" w:type="dxa"/>
            <w:tcBorders>
              <w:top w:val="single" w:color="auto" w:sz="4" w:space="0"/>
              <w:left w:val="single" w:color="auto" w:sz="4" w:space="0"/>
              <w:bottom w:val="single" w:color="auto" w:sz="4" w:space="0"/>
              <w:right w:val="single" w:color="auto" w:sz="4" w:space="0"/>
            </w:tcBorders>
            <w:shd w:val="clear" w:color="auto" w:fill="auto"/>
            <w:vAlign w:val="center"/>
          </w:tcPr>
          <w:p w14:paraId="2754C466">
            <w:pPr>
              <w:pStyle w:val="24"/>
              <w:keepNext w:val="0"/>
              <w:keepLines w:val="0"/>
              <w:widowControl/>
              <w:suppressLineNumbers w:val="0"/>
              <w:spacing w:before="0" w:beforeAutospacing="1" w:after="0"/>
              <w:ind w:left="630" w:leftChars="0" w:right="0" w:hanging="420" w:firstLineChars="0"/>
              <w:jc w:val="both"/>
              <w:rPr>
                <w:rFonts w:hint="eastAsia" w:ascii="宋体" w:hAnsi="宋体" w:eastAsia="宋体" w:cs="宋体"/>
                <w:color w:val="171717"/>
                <w:kern w:val="2"/>
                <w:sz w:val="24"/>
                <w:szCs w:val="24"/>
              </w:rPr>
            </w:pPr>
            <w:r>
              <w:rPr>
                <w:rFonts w:hint="eastAsia" w:ascii="宋体" w:hAnsi="宋体" w:eastAsia="宋体" w:cs="宋体"/>
                <w:color w:val="171717"/>
                <w:kern w:val="2"/>
                <w:sz w:val="24"/>
                <w:szCs w:val="24"/>
              </w:rPr>
              <w:t>支持AVI、WMV、JPG、BMP、TIF等格式输出</w:t>
            </w:r>
          </w:p>
        </w:tc>
      </w:tr>
    </w:tbl>
    <w:p w14:paraId="6E0380B6">
      <w:pPr>
        <w:rPr>
          <w:rFonts w:hint="eastAsia" w:asciiTheme="minorEastAsia" w:hAnsiTheme="minorEastAsia" w:eastAsiaTheme="minorEastAsia" w:cstheme="minorEastAsia"/>
          <w:b w:val="0"/>
          <w:bCs w:val="0"/>
          <w:sz w:val="21"/>
          <w:szCs w:val="21"/>
        </w:rPr>
      </w:pPr>
    </w:p>
    <w:p w14:paraId="2D0EFE81">
      <w:pP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br w:type="page"/>
      </w:r>
    </w:p>
    <w:p w14:paraId="04455BA2">
      <w:pPr>
        <w:rPr>
          <w:rFonts w:hint="eastAsia" w:ascii="宋体" w:hAnsi="宋体" w:eastAsia="宋体" w:cs="宋体"/>
          <w:color w:val="auto"/>
          <w:sz w:val="36"/>
          <w:szCs w:val="36"/>
          <w:highlight w:val="none"/>
          <w:lang w:val="en-US" w:eastAsia="zh-CN"/>
        </w:rPr>
      </w:pPr>
    </w:p>
    <w:p w14:paraId="234BDBBF">
      <w:pPr>
        <w:pStyle w:val="4"/>
        <w:numPr>
          <w:ilvl w:val="0"/>
          <w:numId w:val="0"/>
        </w:numPr>
        <w:bidi w:val="0"/>
        <w:ind w:leftChars="0" w:firstLine="2530" w:firstLineChars="700"/>
        <w:jc w:val="both"/>
        <w:rPr>
          <w:rFonts w:hint="eastAsia" w:ascii="宋体" w:hAnsi="宋体" w:eastAsia="宋体" w:cs="宋体"/>
          <w:color w:val="auto"/>
          <w:sz w:val="36"/>
          <w:szCs w:val="36"/>
          <w:highlight w:val="none"/>
          <w:lang w:val="en-US" w:eastAsia="zh-CN"/>
        </w:rPr>
      </w:pPr>
      <w:bookmarkStart w:id="185" w:name="_Toc25030"/>
      <w:r>
        <w:rPr>
          <w:rFonts w:hint="eastAsia" w:ascii="宋体" w:hAnsi="宋体" w:eastAsia="宋体" w:cs="宋体"/>
          <w:color w:val="auto"/>
          <w:sz w:val="36"/>
          <w:szCs w:val="36"/>
          <w:highlight w:val="none"/>
          <w:lang w:val="en-US" w:eastAsia="zh-CN"/>
        </w:rPr>
        <w:t>第六章  响应文件格式</w:t>
      </w:r>
      <w:bookmarkEnd w:id="185"/>
      <w:bookmarkStart w:id="186" w:name="_Toc8087"/>
    </w:p>
    <w:bookmarkEnd w:id="186"/>
    <w:p w14:paraId="66AAA234">
      <w:pPr>
        <w:rPr>
          <w:rFonts w:hint="eastAsia" w:ascii="宋体" w:hAnsi="宋体" w:eastAsia="宋体" w:cs="宋体"/>
          <w:color w:val="auto"/>
          <w:highlight w:val="none"/>
        </w:rPr>
      </w:pPr>
    </w:p>
    <w:p w14:paraId="1E20572E">
      <w:pPr>
        <w:widowControl/>
        <w:spacing w:after="0" w:line="240" w:lineRule="auto"/>
        <w:jc w:val="left"/>
        <w:rPr>
          <w:rFonts w:hint="eastAsia" w:ascii="宋体" w:hAnsi="宋体" w:eastAsia="宋体" w:cs="宋体"/>
          <w:b/>
          <w:color w:val="auto"/>
          <w:highlight w:val="none"/>
        </w:rPr>
      </w:pPr>
    </w:p>
    <w:p w14:paraId="5DBCCE7B">
      <w:pPr>
        <w:jc w:val="center"/>
        <w:rPr>
          <w:rFonts w:hint="eastAsia" w:ascii="宋体" w:hAnsi="宋体" w:eastAsia="宋体" w:cs="宋体"/>
          <w:b/>
          <w:bCs w:val="0"/>
          <w:color w:val="auto"/>
          <w:sz w:val="36"/>
          <w:szCs w:val="36"/>
          <w:highlight w:val="none"/>
          <w:lang w:val="en-US" w:eastAsia="zh-CN"/>
        </w:rPr>
      </w:pPr>
      <w:r>
        <w:rPr>
          <w:rFonts w:hint="eastAsia" w:ascii="宋体" w:hAnsi="宋体" w:eastAsia="宋体" w:cs="宋体"/>
          <w:b/>
          <w:bCs w:val="0"/>
          <w:color w:val="auto"/>
          <w:sz w:val="36"/>
          <w:szCs w:val="36"/>
          <w:highlight w:val="none"/>
          <w:lang w:val="en-US" w:eastAsia="zh-CN"/>
        </w:rPr>
        <w:t xml:space="preserve">                                      </w:t>
      </w:r>
      <w:r>
        <w:rPr>
          <w:rFonts w:hint="eastAsia" w:ascii="宋体" w:hAnsi="宋体" w:eastAsia="宋体" w:cs="宋体"/>
          <w:b/>
          <w:bCs w:val="0"/>
          <w:color w:val="auto"/>
          <w:sz w:val="36"/>
          <w:szCs w:val="36"/>
          <w:highlight w:val="none"/>
          <w:lang w:eastAsia="zh-CN"/>
        </w:rPr>
        <w:t>正</w:t>
      </w:r>
      <w:r>
        <w:rPr>
          <w:rFonts w:hint="eastAsia" w:ascii="宋体" w:hAnsi="宋体" w:eastAsia="宋体" w:cs="宋体"/>
          <w:b/>
          <w:bCs w:val="0"/>
          <w:color w:val="auto"/>
          <w:sz w:val="36"/>
          <w:szCs w:val="36"/>
          <w:highlight w:val="none"/>
          <w:lang w:val="en-US" w:eastAsia="zh-CN"/>
        </w:rPr>
        <w:t>/副本</w:t>
      </w:r>
    </w:p>
    <w:p w14:paraId="58E61E65">
      <w:pPr>
        <w:pStyle w:val="2"/>
        <w:rPr>
          <w:rFonts w:hint="eastAsia" w:ascii="宋体" w:hAnsi="宋体" w:eastAsia="宋体" w:cs="宋体"/>
          <w:b w:val="0"/>
          <w:bCs/>
          <w:color w:val="auto"/>
          <w:highlight w:val="none"/>
        </w:rPr>
      </w:pPr>
    </w:p>
    <w:p w14:paraId="59FA14EF">
      <w:pPr>
        <w:pStyle w:val="23"/>
        <w:rPr>
          <w:rFonts w:hint="eastAsia" w:ascii="宋体" w:hAnsi="宋体" w:eastAsia="宋体" w:cs="宋体"/>
          <w:color w:val="auto"/>
          <w:highlight w:val="none"/>
        </w:rPr>
      </w:pPr>
    </w:p>
    <w:p w14:paraId="39E7BE60">
      <w:pPr>
        <w:ind w:right="210" w:firstLine="1084" w:firstLineChars="300"/>
        <w:jc w:val="left"/>
        <w:rPr>
          <w:rFonts w:hint="eastAsia" w:ascii="宋体" w:hAnsi="宋体" w:eastAsia="宋体" w:cs="宋体"/>
          <w:b/>
          <w:bCs w:val="0"/>
          <w:color w:val="auto"/>
          <w:sz w:val="36"/>
          <w:szCs w:val="36"/>
          <w:highlight w:val="none"/>
          <w:u w:val="single"/>
          <w:lang w:val="en-US" w:eastAsia="zh-CN"/>
        </w:rPr>
      </w:pPr>
      <w:r>
        <w:rPr>
          <w:rFonts w:hint="eastAsia" w:ascii="宋体" w:hAnsi="宋体" w:eastAsia="宋体" w:cs="宋体"/>
          <w:b/>
          <w:bCs w:val="0"/>
          <w:color w:val="auto"/>
          <w:sz w:val="36"/>
          <w:szCs w:val="36"/>
          <w:highlight w:val="none"/>
          <w:u w:val="single"/>
        </w:rPr>
        <w:t xml:space="preserve">                              </w:t>
      </w:r>
      <w:r>
        <w:rPr>
          <w:rFonts w:hint="eastAsia" w:ascii="宋体" w:hAnsi="宋体" w:eastAsia="宋体" w:cs="宋体"/>
          <w:b/>
          <w:bCs w:val="0"/>
          <w:color w:val="auto"/>
          <w:sz w:val="36"/>
          <w:szCs w:val="36"/>
          <w:highlight w:val="none"/>
        </w:rPr>
        <w:t>（项目名</w:t>
      </w:r>
      <w:r>
        <w:rPr>
          <w:rFonts w:hint="eastAsia" w:ascii="宋体" w:hAnsi="宋体" w:eastAsia="宋体" w:cs="宋体"/>
          <w:b/>
          <w:bCs w:val="0"/>
          <w:color w:val="auto"/>
          <w:sz w:val="36"/>
          <w:szCs w:val="36"/>
          <w:highlight w:val="none"/>
          <w:u w:val="none"/>
        </w:rPr>
        <w:t>称）</w:t>
      </w:r>
    </w:p>
    <w:p w14:paraId="2783F28A">
      <w:pPr>
        <w:ind w:right="105"/>
        <w:jc w:val="both"/>
        <w:rPr>
          <w:rFonts w:hint="eastAsia" w:ascii="宋体" w:hAnsi="宋体" w:eastAsia="宋体" w:cs="宋体"/>
          <w:b/>
          <w:bCs w:val="0"/>
          <w:color w:val="auto"/>
          <w:sz w:val="36"/>
          <w:szCs w:val="36"/>
          <w:highlight w:val="none"/>
        </w:rPr>
      </w:pPr>
    </w:p>
    <w:p w14:paraId="14F2FD00">
      <w:pPr>
        <w:pStyle w:val="23"/>
        <w:rPr>
          <w:rFonts w:hint="eastAsia" w:ascii="宋体" w:hAnsi="宋体" w:eastAsia="宋体" w:cs="宋体"/>
          <w:b w:val="0"/>
          <w:bCs/>
          <w:color w:val="auto"/>
          <w:sz w:val="32"/>
          <w:szCs w:val="32"/>
          <w:highlight w:val="none"/>
        </w:rPr>
      </w:pPr>
    </w:p>
    <w:p w14:paraId="7DE0AD73">
      <w:pPr>
        <w:pStyle w:val="23"/>
        <w:rPr>
          <w:rFonts w:hint="eastAsia" w:ascii="宋体" w:hAnsi="宋体" w:eastAsia="宋体" w:cs="宋体"/>
          <w:b w:val="0"/>
          <w:bCs/>
          <w:color w:val="auto"/>
          <w:sz w:val="32"/>
          <w:szCs w:val="32"/>
          <w:highlight w:val="none"/>
        </w:rPr>
      </w:pPr>
    </w:p>
    <w:p w14:paraId="6ED5791A">
      <w:pPr>
        <w:ind w:right="105"/>
        <w:jc w:val="center"/>
        <w:rPr>
          <w:rFonts w:hint="eastAsia" w:ascii="宋体" w:hAnsi="宋体" w:eastAsia="宋体" w:cs="宋体"/>
          <w:b/>
          <w:bCs w:val="0"/>
          <w:color w:val="auto"/>
          <w:sz w:val="84"/>
          <w:szCs w:val="84"/>
          <w:highlight w:val="none"/>
        </w:rPr>
      </w:pPr>
      <w:bookmarkStart w:id="187" w:name="_Toc7914"/>
      <w:bookmarkStart w:id="188" w:name="_Toc496"/>
      <w:r>
        <w:rPr>
          <w:rFonts w:hint="eastAsia" w:ascii="宋体" w:hAnsi="宋体" w:eastAsia="宋体" w:cs="宋体"/>
          <w:b/>
          <w:bCs w:val="0"/>
          <w:color w:val="auto"/>
          <w:sz w:val="84"/>
          <w:szCs w:val="84"/>
          <w:highlight w:val="none"/>
        </w:rPr>
        <w:t>响</w:t>
      </w:r>
      <w:r>
        <w:rPr>
          <w:rFonts w:hint="eastAsia" w:ascii="宋体" w:hAnsi="宋体" w:eastAsia="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rPr>
        <w:t>应</w:t>
      </w:r>
      <w:r>
        <w:rPr>
          <w:rFonts w:hint="eastAsia" w:ascii="宋体" w:hAnsi="宋体" w:eastAsia="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rPr>
        <w:t>文</w:t>
      </w:r>
      <w:r>
        <w:rPr>
          <w:rFonts w:hint="eastAsia" w:ascii="宋体" w:hAnsi="宋体" w:eastAsia="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rPr>
        <w:t>件</w:t>
      </w:r>
      <w:bookmarkEnd w:id="187"/>
      <w:bookmarkEnd w:id="188"/>
    </w:p>
    <w:p w14:paraId="6115AC94">
      <w:pPr>
        <w:rPr>
          <w:rFonts w:hint="eastAsia" w:ascii="宋体" w:hAnsi="宋体" w:eastAsia="宋体" w:cs="宋体"/>
          <w:b w:val="0"/>
          <w:bCs/>
          <w:color w:val="auto"/>
          <w:sz w:val="24"/>
          <w:szCs w:val="24"/>
          <w:highlight w:val="none"/>
        </w:rPr>
      </w:pPr>
    </w:p>
    <w:p w14:paraId="081D0766">
      <w:pPr>
        <w:pStyle w:val="2"/>
        <w:rPr>
          <w:rFonts w:hint="eastAsia" w:ascii="宋体" w:hAnsi="宋体" w:eastAsia="宋体" w:cs="宋体"/>
          <w:b w:val="0"/>
          <w:bCs/>
          <w:color w:val="auto"/>
          <w:sz w:val="24"/>
          <w:szCs w:val="24"/>
          <w:highlight w:val="none"/>
        </w:rPr>
      </w:pPr>
    </w:p>
    <w:p w14:paraId="1D5FE6AD">
      <w:pPr>
        <w:rPr>
          <w:rFonts w:hint="eastAsia" w:ascii="宋体" w:hAnsi="宋体" w:eastAsia="宋体" w:cs="宋体"/>
          <w:b w:val="0"/>
          <w:bCs/>
          <w:color w:val="auto"/>
          <w:sz w:val="24"/>
          <w:szCs w:val="24"/>
          <w:highlight w:val="none"/>
        </w:rPr>
      </w:pPr>
    </w:p>
    <w:p w14:paraId="5D275DFA">
      <w:pPr>
        <w:pStyle w:val="2"/>
        <w:rPr>
          <w:rFonts w:hint="eastAsia" w:ascii="宋体" w:hAnsi="宋体" w:eastAsia="宋体" w:cs="宋体"/>
          <w:b w:val="0"/>
          <w:bCs/>
          <w:color w:val="auto"/>
          <w:sz w:val="24"/>
          <w:szCs w:val="24"/>
          <w:highlight w:val="none"/>
        </w:rPr>
      </w:pPr>
    </w:p>
    <w:p w14:paraId="015919E9">
      <w:pPr>
        <w:rPr>
          <w:rFonts w:hint="eastAsia" w:ascii="宋体" w:hAnsi="宋体" w:eastAsia="宋体" w:cs="宋体"/>
          <w:color w:val="auto"/>
          <w:highlight w:val="none"/>
        </w:rPr>
      </w:pPr>
    </w:p>
    <w:p w14:paraId="42B034BB">
      <w:pPr>
        <w:rPr>
          <w:rFonts w:hint="eastAsia" w:ascii="宋体" w:hAnsi="宋体" w:eastAsia="宋体" w:cs="宋体"/>
          <w:b w:val="0"/>
          <w:bCs/>
          <w:color w:val="auto"/>
          <w:sz w:val="24"/>
          <w:szCs w:val="24"/>
          <w:highlight w:val="none"/>
        </w:rPr>
      </w:pPr>
    </w:p>
    <w:p w14:paraId="0DA84756">
      <w:pPr>
        <w:rPr>
          <w:rFonts w:hint="eastAsia" w:ascii="宋体" w:hAnsi="宋体" w:eastAsia="宋体" w:cs="宋体"/>
          <w:b w:val="0"/>
          <w:bCs/>
          <w:color w:val="auto"/>
          <w:sz w:val="24"/>
          <w:szCs w:val="24"/>
          <w:highlight w:val="none"/>
        </w:rPr>
      </w:pPr>
    </w:p>
    <w:p w14:paraId="6CAA5D4B">
      <w:pPr>
        <w:tabs>
          <w:tab w:val="left" w:pos="5176"/>
        </w:tabs>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14:paraId="1053B441">
      <w:pPr>
        <w:rPr>
          <w:rFonts w:hint="eastAsia" w:ascii="宋体" w:hAnsi="宋体" w:eastAsia="宋体" w:cs="宋体"/>
          <w:b w:val="0"/>
          <w:bCs/>
          <w:color w:val="auto"/>
          <w:sz w:val="24"/>
          <w:szCs w:val="24"/>
          <w:highlight w:val="none"/>
        </w:rPr>
      </w:pPr>
    </w:p>
    <w:p w14:paraId="065AFA93">
      <w:pPr>
        <w:ind w:firstLine="1560" w:firstLineChars="650"/>
        <w:rPr>
          <w:rFonts w:hint="eastAsia" w:ascii="宋体" w:hAnsi="宋体" w:eastAsia="宋体" w:cs="宋体"/>
          <w:b w:val="0"/>
          <w:bCs/>
          <w:color w:val="auto"/>
          <w:sz w:val="24"/>
          <w:szCs w:val="24"/>
          <w:highlight w:val="none"/>
        </w:rPr>
      </w:pPr>
    </w:p>
    <w:p w14:paraId="58B8EB5B">
      <w:pPr>
        <w:ind w:firstLine="1560" w:firstLineChars="650"/>
        <w:rPr>
          <w:rFonts w:hint="eastAsia" w:ascii="宋体" w:hAnsi="宋体" w:eastAsia="宋体" w:cs="宋体"/>
          <w:b w:val="0"/>
          <w:bCs/>
          <w:color w:val="auto"/>
          <w:sz w:val="24"/>
          <w:szCs w:val="24"/>
          <w:highlight w:val="none"/>
        </w:rPr>
      </w:pPr>
    </w:p>
    <w:p w14:paraId="5C2DA605">
      <w:pPr>
        <w:ind w:firstLine="1560" w:firstLineChars="650"/>
        <w:rPr>
          <w:rFonts w:hint="eastAsia" w:ascii="宋体" w:hAnsi="宋体" w:eastAsia="宋体" w:cs="宋体"/>
          <w:b w:val="0"/>
          <w:bCs/>
          <w:color w:val="auto"/>
          <w:sz w:val="24"/>
          <w:szCs w:val="24"/>
          <w:highlight w:val="none"/>
        </w:rPr>
      </w:pPr>
    </w:p>
    <w:p w14:paraId="0739984A">
      <w:pPr>
        <w:spacing w:line="360" w:lineRule="auto"/>
        <w:ind w:firstLine="964" w:firstLineChars="300"/>
        <w:rPr>
          <w:rFonts w:hint="eastAsia" w:ascii="宋体" w:hAnsi="宋体" w:eastAsia="宋体" w:cs="宋体"/>
          <w:b/>
          <w:bCs w:val="0"/>
          <w:color w:val="auto"/>
          <w:sz w:val="32"/>
          <w:szCs w:val="32"/>
          <w:highlight w:val="none"/>
        </w:rPr>
      </w:pPr>
      <w:bookmarkStart w:id="189" w:name="_Toc32465"/>
      <w:bookmarkStart w:id="190" w:name="_Toc11831"/>
      <w:r>
        <w:rPr>
          <w:rFonts w:hint="eastAsia" w:ascii="宋体" w:hAnsi="宋体" w:eastAsia="宋体" w:cs="宋体"/>
          <w:b/>
          <w:bCs w:val="0"/>
          <w:color w:val="auto"/>
          <w:sz w:val="32"/>
          <w:szCs w:val="32"/>
          <w:highlight w:val="none"/>
          <w:lang w:eastAsia="zh-CN"/>
        </w:rPr>
        <w:t>供应商</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（盖章）</w:t>
      </w:r>
      <w:bookmarkEnd w:id="189"/>
      <w:bookmarkEnd w:id="190"/>
      <w:r>
        <w:rPr>
          <w:rFonts w:hint="eastAsia" w:ascii="宋体" w:hAnsi="宋体" w:eastAsia="宋体" w:cs="宋体"/>
          <w:b/>
          <w:bCs w:val="0"/>
          <w:color w:val="auto"/>
          <w:sz w:val="32"/>
          <w:szCs w:val="32"/>
          <w:highlight w:val="none"/>
        </w:rPr>
        <w:t xml:space="preserve">            </w:t>
      </w:r>
    </w:p>
    <w:p w14:paraId="706FB4A7">
      <w:pPr>
        <w:spacing w:line="360" w:lineRule="auto"/>
        <w:ind w:firstLine="964" w:firstLineChars="300"/>
        <w:rPr>
          <w:rFonts w:hint="eastAsia" w:ascii="宋体" w:hAnsi="宋体" w:eastAsia="宋体" w:cs="宋体"/>
          <w:b/>
          <w:bCs w:val="0"/>
          <w:color w:val="auto"/>
          <w:sz w:val="32"/>
          <w:szCs w:val="32"/>
          <w:highlight w:val="none"/>
        </w:rPr>
      </w:pPr>
      <w:bookmarkStart w:id="191" w:name="_Toc11003"/>
      <w:bookmarkStart w:id="192" w:name="_Toc11842"/>
      <w:r>
        <w:rPr>
          <w:rFonts w:hint="eastAsia" w:ascii="宋体" w:hAnsi="宋体" w:eastAsia="宋体" w:cs="宋体"/>
          <w:b/>
          <w:bCs w:val="0"/>
          <w:color w:val="auto"/>
          <w:sz w:val="32"/>
          <w:szCs w:val="32"/>
          <w:highlight w:val="none"/>
        </w:rPr>
        <w:t>法定代表人或其委托代理人：</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（签字或盖章）</w:t>
      </w:r>
      <w:bookmarkEnd w:id="191"/>
      <w:bookmarkEnd w:id="192"/>
    </w:p>
    <w:p w14:paraId="5CC3C434">
      <w:pPr>
        <w:spacing w:line="360" w:lineRule="auto"/>
        <w:ind w:firstLine="2249" w:firstLineChars="70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u w:val="single"/>
        </w:rPr>
        <w:t xml:space="preserve">        </w:t>
      </w:r>
      <w:bookmarkStart w:id="193" w:name="_Toc17010"/>
      <w:bookmarkStart w:id="194" w:name="_Toc16410"/>
      <w:r>
        <w:rPr>
          <w:rFonts w:hint="eastAsia" w:ascii="宋体" w:hAnsi="宋体" w:eastAsia="宋体" w:cs="宋体"/>
          <w:b/>
          <w:bCs w:val="0"/>
          <w:color w:val="auto"/>
          <w:sz w:val="32"/>
          <w:szCs w:val="32"/>
          <w:highlight w:val="none"/>
        </w:rPr>
        <w:t>年</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月</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日</w:t>
      </w:r>
      <w:bookmarkEnd w:id="193"/>
      <w:bookmarkEnd w:id="194"/>
    </w:p>
    <w:p w14:paraId="6EEC4B87">
      <w:pPr>
        <w:pStyle w:val="2"/>
        <w:spacing w:line="360" w:lineRule="auto"/>
        <w:rPr>
          <w:rFonts w:hint="eastAsia" w:ascii="宋体" w:hAnsi="宋体" w:eastAsia="宋体" w:cs="宋体"/>
          <w:b/>
          <w:bCs w:val="0"/>
          <w:color w:val="auto"/>
          <w:sz w:val="32"/>
          <w:szCs w:val="32"/>
          <w:highlight w:val="none"/>
          <w:lang w:val="en-US" w:eastAsia="zh-CN"/>
        </w:rPr>
      </w:pPr>
    </w:p>
    <w:p w14:paraId="5A4EF5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AE43DF4">
      <w:pPr>
        <w:spacing w:after="0" w:line="360" w:lineRule="auto"/>
        <w:jc w:val="center"/>
        <w:rPr>
          <w:rFonts w:hint="eastAsia" w:ascii="宋体" w:hAnsi="宋体" w:eastAsia="宋体" w:cs="宋体"/>
          <w:b/>
          <w:bCs w:val="0"/>
          <w:color w:val="auto"/>
          <w:sz w:val="36"/>
          <w:szCs w:val="36"/>
          <w:highlight w:val="none"/>
        </w:rPr>
      </w:pPr>
    </w:p>
    <w:p w14:paraId="4BC43586">
      <w:pPr>
        <w:spacing w:after="0" w:line="360" w:lineRule="auto"/>
        <w:jc w:val="center"/>
        <w:rPr>
          <w:rFonts w:ascii="宋体"/>
          <w:b w:val="0"/>
          <w:bCs/>
          <w:color w:val="auto"/>
          <w:sz w:val="28"/>
          <w:szCs w:val="28"/>
          <w:highlight w:val="none"/>
        </w:rPr>
      </w:pPr>
      <w:r>
        <w:rPr>
          <w:rFonts w:hint="eastAsia" w:ascii="宋体" w:hAnsi="宋体"/>
          <w:b w:val="0"/>
          <w:bCs/>
          <w:color w:val="auto"/>
          <w:sz w:val="28"/>
          <w:szCs w:val="28"/>
          <w:highlight w:val="none"/>
        </w:rPr>
        <w:t>目</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录</w:t>
      </w:r>
    </w:p>
    <w:p w14:paraId="5D391E04">
      <w:pPr>
        <w:spacing w:after="0" w:line="360" w:lineRule="auto"/>
        <w:rPr>
          <w:rFonts w:hint="eastAsia" w:ascii="宋体" w:eastAsia="宋体"/>
          <w:b w:val="0"/>
          <w:bCs/>
          <w:color w:val="auto"/>
          <w:sz w:val="24"/>
          <w:szCs w:val="24"/>
          <w:highlight w:val="none"/>
          <w:lang w:eastAsia="zh-CN"/>
        </w:rPr>
      </w:pPr>
      <w:r>
        <w:rPr>
          <w:rFonts w:hint="eastAsia" w:ascii="宋体"/>
          <w:b w:val="0"/>
          <w:bCs/>
          <w:color w:val="auto"/>
          <w:sz w:val="24"/>
          <w:szCs w:val="24"/>
          <w:highlight w:val="none"/>
        </w:rPr>
        <w:t>一、投标</w:t>
      </w:r>
      <w:r>
        <w:rPr>
          <w:rFonts w:hint="eastAsia" w:ascii="宋体"/>
          <w:b w:val="0"/>
          <w:bCs/>
          <w:color w:val="auto"/>
          <w:sz w:val="24"/>
          <w:szCs w:val="24"/>
          <w:highlight w:val="none"/>
          <w:lang w:eastAsia="zh-CN"/>
        </w:rPr>
        <w:t>函</w:t>
      </w:r>
    </w:p>
    <w:p w14:paraId="2ECF74D1">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二、法定代表人身份证明或附有法定代表人身份证明的企业法定代表人授权书</w:t>
      </w:r>
    </w:p>
    <w:p w14:paraId="38BE4687">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三、开标一览表</w:t>
      </w:r>
    </w:p>
    <w:p w14:paraId="2C4AEFF4">
      <w:pPr>
        <w:spacing w:after="0" w:line="360" w:lineRule="auto"/>
        <w:rPr>
          <w:rFonts w:hint="eastAsia" w:ascii="宋体" w:eastAsia="宋体"/>
          <w:b w:val="0"/>
          <w:bCs/>
          <w:color w:val="auto"/>
          <w:sz w:val="24"/>
          <w:szCs w:val="24"/>
          <w:highlight w:val="none"/>
          <w:lang w:eastAsia="zh-CN"/>
        </w:rPr>
      </w:pPr>
      <w:r>
        <w:rPr>
          <w:rFonts w:hint="eastAsia" w:ascii="宋体"/>
          <w:b w:val="0"/>
          <w:bCs/>
          <w:color w:val="auto"/>
          <w:sz w:val="24"/>
          <w:szCs w:val="24"/>
          <w:highlight w:val="none"/>
        </w:rPr>
        <w:t>四、技术规格响应表</w:t>
      </w:r>
    </w:p>
    <w:p w14:paraId="1CC011B0">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五、 投标承诺函</w:t>
      </w:r>
    </w:p>
    <w:p w14:paraId="20375F39">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六、资格证明材料</w:t>
      </w:r>
    </w:p>
    <w:p w14:paraId="6603FAFE">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七、商务部分资料</w:t>
      </w:r>
    </w:p>
    <w:p w14:paraId="1930F87B">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八、技术部分资料</w:t>
      </w:r>
    </w:p>
    <w:p w14:paraId="7BA34071">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九、其他资料</w:t>
      </w:r>
    </w:p>
    <w:p w14:paraId="1C48D5D1">
      <w:pPr>
        <w:spacing w:after="0" w:line="360" w:lineRule="auto"/>
        <w:rPr>
          <w:rFonts w:hint="eastAsia" w:ascii="宋体"/>
          <w:b w:val="0"/>
          <w:bCs/>
          <w:color w:val="auto"/>
          <w:sz w:val="24"/>
          <w:szCs w:val="24"/>
          <w:highlight w:val="none"/>
        </w:rPr>
      </w:pPr>
    </w:p>
    <w:p w14:paraId="67C7EE17">
      <w:pPr>
        <w:spacing w:after="0" w:line="360" w:lineRule="auto"/>
        <w:rPr>
          <w:rFonts w:hint="eastAsia" w:ascii="宋体"/>
          <w:b/>
          <w:color w:val="auto"/>
          <w:sz w:val="24"/>
          <w:szCs w:val="24"/>
          <w:highlight w:val="none"/>
        </w:rPr>
      </w:pPr>
    </w:p>
    <w:p w14:paraId="7FC7B5C4">
      <w:pPr>
        <w:spacing w:after="0" w:line="360" w:lineRule="auto"/>
        <w:rPr>
          <w:rFonts w:ascii="宋体"/>
          <w:b/>
          <w:color w:val="auto"/>
          <w:sz w:val="24"/>
          <w:szCs w:val="24"/>
          <w:highlight w:val="none"/>
        </w:rPr>
      </w:pPr>
    </w:p>
    <w:p w14:paraId="105690EF">
      <w:pPr>
        <w:spacing w:after="0" w:line="360" w:lineRule="auto"/>
        <w:rPr>
          <w:rFonts w:ascii="宋体"/>
          <w:b/>
          <w:color w:val="auto"/>
          <w:sz w:val="24"/>
          <w:szCs w:val="24"/>
          <w:highlight w:val="none"/>
        </w:rPr>
      </w:pPr>
    </w:p>
    <w:p w14:paraId="338E9D64">
      <w:pPr>
        <w:spacing w:after="0" w:line="360" w:lineRule="auto"/>
        <w:rPr>
          <w:rFonts w:ascii="宋体"/>
          <w:b/>
          <w:color w:val="auto"/>
          <w:sz w:val="24"/>
          <w:szCs w:val="24"/>
          <w:highlight w:val="none"/>
        </w:rPr>
      </w:pPr>
    </w:p>
    <w:p w14:paraId="21AB8D15">
      <w:pPr>
        <w:spacing w:after="0" w:line="360" w:lineRule="auto"/>
        <w:rPr>
          <w:rFonts w:ascii="宋体"/>
          <w:b/>
          <w:color w:val="auto"/>
          <w:sz w:val="24"/>
          <w:szCs w:val="24"/>
          <w:highlight w:val="none"/>
        </w:rPr>
      </w:pPr>
    </w:p>
    <w:p w14:paraId="411363A2">
      <w:pPr>
        <w:spacing w:after="0" w:line="360" w:lineRule="auto"/>
        <w:rPr>
          <w:rFonts w:ascii="宋体"/>
          <w:b/>
          <w:color w:val="auto"/>
          <w:sz w:val="24"/>
          <w:szCs w:val="24"/>
          <w:highlight w:val="none"/>
        </w:rPr>
      </w:pPr>
    </w:p>
    <w:p w14:paraId="068A2E72">
      <w:pPr>
        <w:spacing w:after="0" w:line="360" w:lineRule="auto"/>
        <w:rPr>
          <w:rFonts w:ascii="宋体"/>
          <w:b/>
          <w:color w:val="auto"/>
          <w:sz w:val="24"/>
          <w:szCs w:val="24"/>
          <w:highlight w:val="none"/>
        </w:rPr>
      </w:pPr>
    </w:p>
    <w:p w14:paraId="023F77BE">
      <w:pPr>
        <w:spacing w:after="0" w:line="360" w:lineRule="auto"/>
        <w:rPr>
          <w:rFonts w:ascii="宋体"/>
          <w:b/>
          <w:color w:val="auto"/>
          <w:sz w:val="24"/>
          <w:szCs w:val="24"/>
          <w:highlight w:val="none"/>
        </w:rPr>
      </w:pPr>
    </w:p>
    <w:p w14:paraId="3D00C83C">
      <w:pPr>
        <w:pStyle w:val="5"/>
        <w:spacing w:line="360" w:lineRule="auto"/>
        <w:jc w:val="center"/>
        <w:rPr>
          <w:rFonts w:hint="eastAsia" w:ascii="宋体" w:hAnsi="宋体" w:eastAsia="宋体" w:cs="仿宋_GB2312"/>
          <w:color w:val="auto"/>
          <w:sz w:val="28"/>
          <w:szCs w:val="28"/>
          <w:highlight w:val="none"/>
          <w:lang w:eastAsia="zh-CN"/>
        </w:rPr>
      </w:pPr>
      <w:r>
        <w:rPr>
          <w:rFonts w:ascii="宋体"/>
          <w:b/>
          <w:color w:val="auto"/>
          <w:sz w:val="24"/>
          <w:szCs w:val="24"/>
          <w:highlight w:val="none"/>
        </w:rPr>
        <w:br w:type="page"/>
      </w:r>
      <w:bookmarkStart w:id="195" w:name="_Toc8840"/>
      <w:bookmarkStart w:id="196" w:name="_Toc4448_WPSOffice_Level1"/>
      <w:bookmarkStart w:id="197" w:name="_Toc4922"/>
      <w:bookmarkStart w:id="198" w:name="_Toc12330"/>
      <w:bookmarkStart w:id="199" w:name="_Toc22098_WPSOffice_Level1"/>
      <w:r>
        <w:rPr>
          <w:rFonts w:hint="eastAsia" w:ascii="宋体" w:hAnsi="宋体" w:eastAsia="宋体" w:cs="宋体"/>
          <w:b/>
          <w:bCs w:val="0"/>
          <w:color w:val="auto"/>
          <w:sz w:val="28"/>
          <w:szCs w:val="28"/>
          <w:highlight w:val="none"/>
        </w:rPr>
        <w:t>一、投标</w:t>
      </w:r>
      <w:bookmarkEnd w:id="195"/>
      <w:bookmarkEnd w:id="196"/>
      <w:bookmarkEnd w:id="197"/>
      <w:bookmarkEnd w:id="198"/>
      <w:bookmarkEnd w:id="199"/>
      <w:r>
        <w:rPr>
          <w:rFonts w:hint="eastAsia" w:ascii="宋体" w:hAnsi="宋体" w:cs="宋体"/>
          <w:b/>
          <w:bCs w:val="0"/>
          <w:color w:val="auto"/>
          <w:sz w:val="28"/>
          <w:szCs w:val="28"/>
          <w:highlight w:val="none"/>
          <w:lang w:eastAsia="zh-CN"/>
        </w:rPr>
        <w:t>函</w:t>
      </w:r>
    </w:p>
    <w:p w14:paraId="4C80892C">
      <w:pPr>
        <w:keepNext w:val="0"/>
        <w:keepLines w:val="0"/>
        <w:pageBreakBefore w:val="0"/>
        <w:widowControl w:val="0"/>
        <w:kinsoku/>
        <w:wordWrap/>
        <w:overflowPunct/>
        <w:topLinePunct w:val="0"/>
        <w:autoSpaceDE/>
        <w:autoSpaceDN/>
        <w:bidi w:val="0"/>
        <w:adjustRightInd/>
        <w:snapToGrid/>
        <w:spacing w:after="0" w:line="360" w:lineRule="auto"/>
        <w:ind w:firstLine="48" w:firstLineChars="20"/>
        <w:textAlignment w:val="auto"/>
        <w:rPr>
          <w:rFonts w:ascii="宋体" w:hAnsi="宋体" w:cs="仿宋_GB2312"/>
          <w:color w:val="auto"/>
          <w:sz w:val="24"/>
          <w:highlight w:val="none"/>
        </w:rPr>
      </w:pPr>
      <w:r>
        <w:rPr>
          <w:rFonts w:hint="eastAsia" w:ascii="宋体" w:hAnsi="宋体" w:cs="仿宋_GB2312"/>
          <w:color w:val="auto"/>
          <w:sz w:val="24"/>
          <w:highlight w:val="none"/>
        </w:rPr>
        <w:t>________________(</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 xml:space="preserve">）： </w:t>
      </w:r>
    </w:p>
    <w:p w14:paraId="58AEC75D">
      <w:pPr>
        <w:keepNext w:val="0"/>
        <w:keepLines w:val="0"/>
        <w:pageBreakBefore w:val="0"/>
        <w:widowControl w:val="0"/>
        <w:kinsoku/>
        <w:wordWrap/>
        <w:overflowPunct/>
        <w:topLinePunct w:val="0"/>
        <w:autoSpaceDE/>
        <w:autoSpaceDN/>
        <w:bidi w:val="0"/>
        <w:adjustRightInd/>
        <w:snapToGrid/>
        <w:spacing w:after="0" w:line="360" w:lineRule="auto"/>
        <w:ind w:firstLine="528" w:firstLineChars="220"/>
        <w:textAlignment w:val="auto"/>
        <w:rPr>
          <w:rFonts w:ascii="宋体" w:hAnsi="宋体" w:cs="仿宋_GB2312"/>
          <w:color w:val="auto"/>
          <w:sz w:val="24"/>
          <w:highlight w:val="none"/>
        </w:rPr>
      </w:pPr>
      <w:r>
        <w:rPr>
          <w:rFonts w:hint="eastAsia" w:ascii="宋体" w:hAnsi="宋体" w:cs="仿宋_GB2312"/>
          <w:color w:val="auto"/>
          <w:sz w:val="24"/>
          <w:highlight w:val="none"/>
        </w:rPr>
        <w:t>我方已仔细阅读并研究了</w:t>
      </w:r>
      <w:r>
        <w:rPr>
          <w:rFonts w:hint="eastAsia" w:ascii="宋体" w:hAnsi="宋体" w:cs="仿宋_GB2312"/>
          <w:color w:val="auto"/>
          <w:sz w:val="24"/>
          <w:highlight w:val="none"/>
          <w:u w:val="single"/>
        </w:rPr>
        <w:t>（项目名称）</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磋商文件的全部内容（包含本项目的所有补遗、澄清和变更资料），我们完全熟悉其中的要求、条款和条件，愿意以</w:t>
      </w:r>
      <w:r>
        <w:rPr>
          <w:rFonts w:hint="eastAsia" w:ascii="宋体" w:hAnsi="宋体" w:cs="仿宋_GB2312"/>
          <w:color w:val="auto"/>
          <w:sz w:val="24"/>
          <w:highlight w:val="none"/>
          <w:u w:val="single"/>
        </w:rPr>
        <w:t>大写：            （小写</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 xml:space="preserve">   元）</w:t>
      </w:r>
      <w:r>
        <w:rPr>
          <w:rFonts w:hint="eastAsia" w:ascii="宋体" w:hAnsi="宋体" w:cs="仿宋_GB2312"/>
          <w:color w:val="auto"/>
          <w:sz w:val="24"/>
          <w:highlight w:val="none"/>
        </w:rPr>
        <w:t>的磋商报价进行投标。我方完全接受本次</w:t>
      </w:r>
      <w:r>
        <w:rPr>
          <w:rFonts w:hint="eastAsia" w:ascii="宋体" w:hAnsi="宋体" w:cs="仿宋_GB2312"/>
          <w:color w:val="auto"/>
          <w:sz w:val="24"/>
          <w:highlight w:val="none"/>
          <w:lang w:eastAsia="zh-CN"/>
        </w:rPr>
        <w:t>磋商文件</w:t>
      </w:r>
      <w:r>
        <w:rPr>
          <w:rFonts w:hint="eastAsia" w:ascii="宋体" w:hAnsi="宋体" w:cs="仿宋_GB2312"/>
          <w:color w:val="auto"/>
          <w:sz w:val="24"/>
          <w:highlight w:val="none"/>
        </w:rPr>
        <w:t>规定的所有要求，并承诺在中标后履行我方的全部义务。我方的最终报价为总承包价，保证不以任何理由增加报价。如有缺项、漏项</w:t>
      </w:r>
      <w:r>
        <w:rPr>
          <w:rFonts w:hint="eastAsia" w:ascii="宋体" w:hAnsi="宋体" w:cs="仿宋_GB2312"/>
          <w:color w:val="auto"/>
          <w:sz w:val="24"/>
          <w:highlight w:val="none"/>
          <w:lang w:eastAsia="zh-CN"/>
        </w:rPr>
        <w:t>部分</w:t>
      </w:r>
      <w:r>
        <w:rPr>
          <w:rFonts w:hint="eastAsia" w:ascii="宋体" w:hAnsi="宋体" w:cs="仿宋_GB2312"/>
          <w:color w:val="auto"/>
          <w:sz w:val="24"/>
          <w:highlight w:val="none"/>
        </w:rPr>
        <w:t>，均由我方无条件负责补齐。</w:t>
      </w:r>
    </w:p>
    <w:p w14:paraId="30DEAB1C">
      <w:pPr>
        <w:keepNext w:val="0"/>
        <w:keepLines w:val="0"/>
        <w:pageBreakBefore w:val="0"/>
        <w:widowControl w:val="0"/>
        <w:kinsoku/>
        <w:wordWrap/>
        <w:overflowPunct/>
        <w:topLinePunct w:val="0"/>
        <w:autoSpaceDE/>
        <w:autoSpaceDN/>
        <w:bidi w:val="0"/>
        <w:adjustRightInd/>
        <w:snapToGrid/>
        <w:spacing w:after="0" w:line="360" w:lineRule="auto"/>
        <w:ind w:firstLine="528" w:firstLineChars="220"/>
        <w:textAlignment w:val="auto"/>
        <w:rPr>
          <w:rFonts w:ascii="宋体" w:hAnsi="宋体" w:cs="仿宋_GB2312"/>
          <w:color w:val="auto"/>
          <w:sz w:val="24"/>
          <w:highlight w:val="none"/>
        </w:rPr>
      </w:pPr>
      <w:r>
        <w:rPr>
          <w:rFonts w:hint="eastAsia" w:ascii="宋体" w:hAnsi="宋体" w:cs="仿宋_GB2312"/>
          <w:color w:val="auto"/>
          <w:sz w:val="24"/>
          <w:highlight w:val="none"/>
        </w:rPr>
        <w:t>2.一旦我方中标，我方保证在合同签订后_______日内交货完毕。</w:t>
      </w:r>
    </w:p>
    <w:p w14:paraId="375A5159">
      <w:pPr>
        <w:keepNext w:val="0"/>
        <w:keepLines w:val="0"/>
        <w:pageBreakBefore w:val="0"/>
        <w:widowControl w:val="0"/>
        <w:kinsoku/>
        <w:wordWrap/>
        <w:overflowPunct/>
        <w:topLinePunct w:val="0"/>
        <w:autoSpaceDE/>
        <w:autoSpaceDN/>
        <w:bidi w:val="0"/>
        <w:adjustRightInd/>
        <w:snapToGrid/>
        <w:spacing w:after="0" w:line="360" w:lineRule="auto"/>
        <w:ind w:firstLine="57"/>
        <w:textAlignment w:val="auto"/>
        <w:rPr>
          <w:rFonts w:ascii="宋体" w:hAnsi="宋体" w:cs="仿宋_GB2312"/>
          <w:color w:val="auto"/>
          <w:sz w:val="24"/>
          <w:highlight w:val="none"/>
        </w:rPr>
      </w:pPr>
      <w:r>
        <w:rPr>
          <w:rFonts w:hint="eastAsia" w:ascii="宋体" w:hAnsi="宋体" w:cs="仿宋_GB2312"/>
          <w:color w:val="auto"/>
          <w:sz w:val="24"/>
          <w:highlight w:val="none"/>
        </w:rPr>
        <w:t xml:space="preserve">    3.</w:t>
      </w:r>
      <w:r>
        <w:rPr>
          <w:rFonts w:hint="eastAsia" w:ascii="宋体" w:hAnsi="宋体" w:cs="仿宋_GB2312"/>
          <w:color w:val="auto"/>
          <w:sz w:val="24"/>
          <w:szCs w:val="22"/>
          <w:highlight w:val="none"/>
        </w:rPr>
        <w:t>本投标有效期为自</w:t>
      </w:r>
      <w:r>
        <w:rPr>
          <w:rFonts w:hint="eastAsia" w:ascii="宋体" w:hAnsi="宋体" w:cs="仿宋_GB2312"/>
          <w:color w:val="auto"/>
          <w:sz w:val="24"/>
          <w:szCs w:val="22"/>
          <w:highlight w:val="none"/>
          <w:lang w:eastAsia="zh-CN"/>
        </w:rPr>
        <w:t>响应文件</w:t>
      </w:r>
      <w:r>
        <w:rPr>
          <w:rFonts w:hint="eastAsia" w:ascii="宋体" w:hAnsi="宋体" w:cs="仿宋_GB2312"/>
          <w:color w:val="auto"/>
          <w:sz w:val="24"/>
          <w:szCs w:val="22"/>
          <w:highlight w:val="none"/>
        </w:rPr>
        <w:t>递交截止之日起</w:t>
      </w:r>
      <w:r>
        <w:rPr>
          <w:rFonts w:hint="eastAsia" w:ascii="宋体" w:hAnsi="宋体" w:cs="仿宋_GB2312"/>
          <w:color w:val="auto"/>
          <w:sz w:val="24"/>
          <w:szCs w:val="22"/>
          <w:highlight w:val="none"/>
          <w:u w:val="single"/>
          <w:lang w:val="en-US" w:eastAsia="zh-CN"/>
        </w:rPr>
        <w:t xml:space="preserve">        </w:t>
      </w:r>
      <w:r>
        <w:rPr>
          <w:rFonts w:hint="eastAsia" w:ascii="宋体" w:hAnsi="宋体" w:cs="仿宋_GB2312"/>
          <w:color w:val="auto"/>
          <w:sz w:val="24"/>
          <w:szCs w:val="22"/>
          <w:highlight w:val="none"/>
        </w:rPr>
        <w:t>日历天。</w:t>
      </w:r>
    </w:p>
    <w:p w14:paraId="5ADC2F0A">
      <w:pPr>
        <w:keepNext w:val="0"/>
        <w:keepLines w:val="0"/>
        <w:pageBreakBefore w:val="0"/>
        <w:widowControl w:val="0"/>
        <w:kinsoku/>
        <w:wordWrap/>
        <w:overflowPunct/>
        <w:topLinePunct w:val="0"/>
        <w:autoSpaceDE/>
        <w:autoSpaceDN/>
        <w:bidi w:val="0"/>
        <w:adjustRightInd/>
        <w:snapToGrid/>
        <w:spacing w:after="0" w:line="360" w:lineRule="auto"/>
        <w:ind w:firstLine="528" w:firstLineChars="220"/>
        <w:textAlignment w:val="auto"/>
        <w:rPr>
          <w:rFonts w:ascii="宋体" w:hAnsi="宋体" w:cs="仿宋_GB2312"/>
          <w:color w:val="auto"/>
          <w:sz w:val="24"/>
          <w:highlight w:val="none"/>
        </w:rPr>
      </w:pPr>
      <w:r>
        <w:rPr>
          <w:rFonts w:hint="eastAsia" w:ascii="宋体" w:hAnsi="宋体" w:cs="仿宋_GB2312"/>
          <w:color w:val="auto"/>
          <w:sz w:val="24"/>
          <w:highlight w:val="none"/>
        </w:rPr>
        <w:t>4.我方郑重声明：所提供的</w:t>
      </w:r>
      <w:r>
        <w:rPr>
          <w:rFonts w:hint="eastAsia" w:ascii="宋体" w:hAnsi="宋体" w:cs="仿宋_GB2312"/>
          <w:color w:val="auto"/>
          <w:sz w:val="24"/>
          <w:highlight w:val="none"/>
          <w:lang w:eastAsia="zh-CN"/>
        </w:rPr>
        <w:t>响应文件</w:t>
      </w:r>
      <w:r>
        <w:rPr>
          <w:rFonts w:hint="eastAsia" w:ascii="宋体" w:hAnsi="宋体" w:cs="仿宋_GB2312"/>
          <w:color w:val="auto"/>
          <w:sz w:val="24"/>
          <w:highlight w:val="none"/>
        </w:rPr>
        <w:t>内容全部真实有效。</w:t>
      </w:r>
    </w:p>
    <w:p w14:paraId="2C6F4FDA">
      <w:pPr>
        <w:keepNext w:val="0"/>
        <w:keepLines w:val="0"/>
        <w:pageBreakBefore w:val="0"/>
        <w:widowControl w:val="0"/>
        <w:kinsoku/>
        <w:wordWrap/>
        <w:overflowPunct/>
        <w:topLinePunct w:val="0"/>
        <w:autoSpaceDE/>
        <w:autoSpaceDN/>
        <w:bidi w:val="0"/>
        <w:adjustRightInd/>
        <w:snapToGrid/>
        <w:spacing w:after="0" w:line="360" w:lineRule="auto"/>
        <w:ind w:firstLine="528" w:firstLineChars="220"/>
        <w:textAlignment w:val="auto"/>
        <w:rPr>
          <w:rFonts w:ascii="宋体" w:hAnsi="宋体" w:cs="仿宋_GB2312"/>
          <w:color w:val="auto"/>
          <w:sz w:val="24"/>
          <w:highlight w:val="none"/>
        </w:rPr>
      </w:pPr>
      <w:r>
        <w:rPr>
          <w:rFonts w:hint="eastAsia" w:ascii="宋体" w:hAnsi="宋体" w:cs="仿宋_GB2312"/>
          <w:color w:val="auto"/>
          <w:sz w:val="24"/>
          <w:highlight w:val="none"/>
        </w:rPr>
        <w:t>5.我方同意提供</w:t>
      </w:r>
      <w:r>
        <w:rPr>
          <w:rFonts w:hint="eastAsia" w:ascii="宋体" w:hAnsi="宋体" w:cs="仿宋_GB2312"/>
          <w:color w:val="auto"/>
          <w:kern w:val="0"/>
          <w:sz w:val="24"/>
          <w:highlight w:val="none"/>
        </w:rPr>
        <w:t>按照贵方</w:t>
      </w:r>
      <w:r>
        <w:rPr>
          <w:rFonts w:hint="eastAsia" w:ascii="宋体" w:hAnsi="宋体" w:cs="仿宋_GB2312"/>
          <w:color w:val="auto"/>
          <w:sz w:val="24"/>
          <w:highlight w:val="none"/>
        </w:rPr>
        <w:t>可能另外要求的与其投标有关的任何数据或资料。除非另外达成协议并生效，否则，中标通知书和本</w:t>
      </w:r>
      <w:r>
        <w:rPr>
          <w:rFonts w:hint="eastAsia" w:ascii="宋体" w:hAnsi="宋体" w:cs="仿宋_GB2312"/>
          <w:color w:val="auto"/>
          <w:sz w:val="24"/>
          <w:highlight w:val="none"/>
          <w:lang w:eastAsia="zh-CN"/>
        </w:rPr>
        <w:t>响应文件</w:t>
      </w:r>
      <w:r>
        <w:rPr>
          <w:rFonts w:hint="eastAsia" w:ascii="宋体" w:hAnsi="宋体" w:cs="仿宋_GB2312"/>
          <w:color w:val="auto"/>
          <w:sz w:val="24"/>
          <w:highlight w:val="none"/>
        </w:rPr>
        <w:t>将构成约束双方合同的组成部分。</w:t>
      </w:r>
    </w:p>
    <w:p w14:paraId="45442F95">
      <w:pPr>
        <w:spacing w:line="360" w:lineRule="auto"/>
        <w:ind w:firstLine="607" w:firstLineChars="253"/>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73C52647">
      <w:pPr>
        <w:spacing w:line="360" w:lineRule="auto"/>
        <w:ind w:firstLine="688" w:firstLineChars="287"/>
        <w:rPr>
          <w:rFonts w:ascii="宋体" w:hAnsi="宋体" w:cs="仿宋_GB2312"/>
          <w:color w:val="auto"/>
          <w:kern w:val="0"/>
          <w:sz w:val="24"/>
          <w:highlight w:val="none"/>
        </w:rPr>
      </w:pPr>
    </w:p>
    <w:p w14:paraId="11CD5409">
      <w:pPr>
        <w:pStyle w:val="13"/>
        <w:spacing w:line="360" w:lineRule="auto"/>
        <w:ind w:left="5539" w:leftChars="2302" w:right="57" w:hanging="705" w:hangingChars="294"/>
        <w:rPr>
          <w:rFonts w:hAnsi="宋体" w:cs="仿宋_GB2312"/>
          <w:b/>
          <w:bCs/>
          <w:color w:val="auto"/>
          <w:sz w:val="24"/>
          <w:szCs w:val="24"/>
          <w:highlight w:val="none"/>
        </w:rPr>
      </w:pPr>
      <w:r>
        <w:rPr>
          <w:rFonts w:hint="eastAsia" w:hAnsi="宋体" w:cs="仿宋_GB2312"/>
          <w:color w:val="auto"/>
          <w:sz w:val="24"/>
          <w:szCs w:val="24"/>
          <w:highlight w:val="none"/>
          <w:lang w:eastAsia="zh-CN"/>
        </w:rPr>
        <w:t>供应商</w:t>
      </w:r>
      <w:r>
        <w:rPr>
          <w:rFonts w:hint="eastAsia" w:hAnsi="宋体" w:cs="仿宋_GB2312"/>
          <w:color w:val="auto"/>
          <w:sz w:val="24"/>
          <w:szCs w:val="24"/>
          <w:highlight w:val="none"/>
        </w:rPr>
        <w:t>名称</w:t>
      </w:r>
      <w:r>
        <w:rPr>
          <w:rFonts w:hint="eastAsia" w:hAnsi="宋体" w:cs="仿宋_GB2312"/>
          <w:color w:val="auto"/>
          <w:sz w:val="24"/>
          <w:szCs w:val="24"/>
          <w:highlight w:val="none"/>
          <w:lang w:eastAsia="zh-CN"/>
        </w:rPr>
        <w:t>：</w:t>
      </w:r>
      <w:r>
        <w:rPr>
          <w:rFonts w:hint="eastAsia" w:hAnsi="宋体" w:cs="仿宋_GB2312"/>
          <w:color w:val="auto"/>
          <w:sz w:val="24"/>
          <w:szCs w:val="24"/>
          <w:highlight w:val="none"/>
          <w:u w:val="single"/>
          <w:lang w:val="en-US" w:eastAsia="zh-CN"/>
        </w:rPr>
        <w:t xml:space="preserve">        </w:t>
      </w:r>
      <w:r>
        <w:rPr>
          <w:rFonts w:hint="eastAsia" w:hAnsi="宋体" w:cs="仿宋_GB2312"/>
          <w:color w:val="auto"/>
          <w:sz w:val="24"/>
          <w:szCs w:val="24"/>
          <w:highlight w:val="none"/>
        </w:rPr>
        <w:t>（加盖公章）</w:t>
      </w:r>
    </w:p>
    <w:p w14:paraId="4A48C445">
      <w:pPr>
        <w:spacing w:line="360" w:lineRule="auto"/>
        <w:ind w:firstLine="638" w:firstLineChars="266"/>
        <w:rPr>
          <w:rFonts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bCs/>
          <w:color w:val="auto"/>
          <w:sz w:val="24"/>
          <w:highlight w:val="none"/>
        </w:rPr>
        <w:t>（签字或盖章）</w:t>
      </w:r>
    </w:p>
    <w:p w14:paraId="7BD83EE7">
      <w:pPr>
        <w:rPr>
          <w:rFonts w:hint="eastAsia"/>
          <w:color w:val="auto"/>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年    月     日</w:t>
      </w:r>
    </w:p>
    <w:p w14:paraId="14B981FA">
      <w:pPr>
        <w:rPr>
          <w:rFonts w:hint="eastAsia"/>
          <w:color w:val="auto"/>
        </w:rPr>
      </w:pPr>
    </w:p>
    <w:p w14:paraId="4DA36B5A">
      <w:pPr>
        <w:jc w:val="right"/>
        <w:rPr>
          <w:color w:val="auto"/>
          <w:highlight w:val="none"/>
        </w:rPr>
      </w:pPr>
      <w:r>
        <w:rPr>
          <w:color w:val="auto"/>
          <w:highlight w:val="none"/>
        </w:rPr>
        <w:br w:type="page"/>
      </w:r>
    </w:p>
    <w:p w14:paraId="479C0513">
      <w:pPr>
        <w:spacing w:line="360" w:lineRule="auto"/>
        <w:jc w:val="center"/>
        <w:outlineLvl w:val="1"/>
        <w:rPr>
          <w:rFonts w:hint="eastAsia" w:ascii="宋体" w:hAnsi="宋体" w:eastAsia="宋体" w:cs="宋体"/>
          <w:b/>
          <w:bCs w:val="0"/>
          <w:color w:val="auto"/>
          <w:kern w:val="2"/>
          <w:sz w:val="28"/>
          <w:szCs w:val="28"/>
          <w:highlight w:val="none"/>
          <w:lang w:val="en-US" w:eastAsia="zh-CN" w:bidi="ar-SA"/>
        </w:rPr>
      </w:pPr>
      <w:bookmarkStart w:id="200" w:name="_Toc4358"/>
      <w:r>
        <w:rPr>
          <w:rFonts w:hint="eastAsia" w:ascii="宋体" w:hAnsi="宋体" w:eastAsia="宋体" w:cs="宋体"/>
          <w:b/>
          <w:bCs w:val="0"/>
          <w:color w:val="auto"/>
          <w:kern w:val="2"/>
          <w:sz w:val="28"/>
          <w:szCs w:val="28"/>
          <w:highlight w:val="none"/>
          <w:lang w:val="en-US" w:eastAsia="zh-CN" w:bidi="ar-SA"/>
        </w:rPr>
        <w:t>二、法定代表人身份证明或附有法定代表人身份证明的企业</w:t>
      </w:r>
      <w:bookmarkEnd w:id="200"/>
    </w:p>
    <w:p w14:paraId="44B13AB8">
      <w:pPr>
        <w:spacing w:line="360" w:lineRule="auto"/>
        <w:jc w:val="center"/>
        <w:rPr>
          <w:rFonts w:hint="eastAsia" w:ascii="宋体" w:hAnsi="宋体" w:eastAsia="宋体" w:cs="宋体"/>
          <w:color w:val="auto"/>
          <w:sz w:val="24"/>
          <w:highlight w:val="none"/>
          <w:lang w:val="en-US" w:eastAsia="zh-CN"/>
        </w:rPr>
      </w:pPr>
      <w:bookmarkStart w:id="201" w:name="_Toc4427"/>
      <w:r>
        <w:rPr>
          <w:rFonts w:hint="eastAsia" w:ascii="宋体" w:hAnsi="宋体" w:eastAsia="宋体" w:cs="宋体"/>
          <w:b/>
          <w:color w:val="auto"/>
          <w:kern w:val="0"/>
          <w:sz w:val="28"/>
          <w:szCs w:val="28"/>
          <w:highlight w:val="none"/>
          <w:lang w:val="en-US" w:eastAsia="zh-CN" w:bidi="ar-SA"/>
        </w:rPr>
        <w:t>法定代表人授权书</w:t>
      </w:r>
      <w:bookmarkEnd w:id="201"/>
    </w:p>
    <w:p w14:paraId="7323DA6A">
      <w:pPr>
        <w:spacing w:line="360" w:lineRule="auto"/>
        <w:jc w:val="center"/>
        <w:rPr>
          <w:rFonts w:hint="eastAsia" w:ascii="宋体" w:hAnsi="宋体" w:cs="仿宋_GB2312"/>
          <w:b/>
          <w:bCs/>
          <w:color w:val="auto"/>
          <w:sz w:val="24"/>
          <w:highlight w:val="none"/>
        </w:rPr>
      </w:pPr>
      <w:bookmarkStart w:id="202" w:name="_Toc6838"/>
      <w:r>
        <w:rPr>
          <w:rFonts w:hint="eastAsia" w:ascii="宋体" w:hAnsi="宋体" w:cs="仿宋_GB2312"/>
          <w:b/>
          <w:bCs/>
          <w:color w:val="auto"/>
          <w:sz w:val="24"/>
          <w:highlight w:val="none"/>
        </w:rPr>
        <w:t>1.法定代表人身份证明</w:t>
      </w:r>
      <w:bookmarkEnd w:id="202"/>
    </w:p>
    <w:p w14:paraId="6B6A5C04">
      <w:pPr>
        <w:spacing w:line="360" w:lineRule="auto"/>
        <w:ind w:left="718" w:leftChars="342"/>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6F69BFA8">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0D4182F8">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0B5D5AB">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0631468">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6B700AF6">
      <w:pPr>
        <w:spacing w:line="360" w:lineRule="auto"/>
        <w:ind w:left="718" w:leftChars="34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7AA7F18C">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名称）的法定代表人。</w:t>
      </w:r>
    </w:p>
    <w:p w14:paraId="131A4E53">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附：法定代表人身份证原件</w:t>
      </w:r>
      <w:r>
        <w:rPr>
          <w:rFonts w:hint="eastAsia" w:ascii="宋体" w:hAnsi="宋体" w:eastAsia="宋体" w:cs="宋体"/>
          <w:color w:val="auto"/>
          <w:sz w:val="24"/>
          <w:szCs w:val="24"/>
          <w:highlight w:val="none"/>
          <w:lang w:eastAsia="zh-CN"/>
        </w:rPr>
        <w:t>复印件或</w:t>
      </w:r>
      <w:r>
        <w:rPr>
          <w:rFonts w:hint="eastAsia" w:ascii="宋体" w:hAnsi="宋体" w:eastAsia="宋体" w:cs="宋体"/>
          <w:color w:val="auto"/>
          <w:sz w:val="24"/>
          <w:szCs w:val="24"/>
          <w:highlight w:val="none"/>
        </w:rPr>
        <w:t>扫描件。</w:t>
      </w:r>
    </w:p>
    <w:p w14:paraId="67AC7D4C">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6987B70">
      <w:pPr>
        <w:spacing w:line="360" w:lineRule="auto"/>
        <w:ind w:firstLine="2640" w:firstLineChars="1100"/>
        <w:rPr>
          <w:rFonts w:hint="eastAsia" w:ascii="宋体" w:hAnsi="宋体" w:cs="宋体"/>
          <w:color w:val="auto"/>
          <w:sz w:val="24"/>
          <w:szCs w:val="24"/>
          <w:highlight w:val="none"/>
          <w:lang w:val="en-US" w:eastAsia="zh-CN"/>
        </w:rPr>
      </w:pPr>
    </w:p>
    <w:p w14:paraId="593899FD">
      <w:pPr>
        <w:spacing w:line="360" w:lineRule="auto"/>
        <w:ind w:firstLine="2640" w:firstLineChars="1100"/>
        <w:rPr>
          <w:rFonts w:hint="eastAsia" w:ascii="宋体" w:hAnsi="宋体" w:cs="宋体"/>
          <w:color w:val="auto"/>
          <w:sz w:val="24"/>
          <w:szCs w:val="24"/>
          <w:highlight w:val="none"/>
          <w:lang w:val="en-US" w:eastAsia="zh-CN"/>
        </w:rPr>
      </w:pPr>
    </w:p>
    <w:p w14:paraId="10C88AEB">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33626B4">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cs="宋体"/>
          <w:color w:val="auto"/>
          <w:sz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07AB91A">
      <w:pPr>
        <w:spacing w:line="360" w:lineRule="auto"/>
        <w:rPr>
          <w:rFonts w:hint="eastAsia" w:ascii="宋体" w:hAnsi="宋体" w:eastAsia="宋体" w:cs="宋体"/>
          <w:color w:val="auto"/>
          <w:szCs w:val="21"/>
          <w:highlight w:val="none"/>
        </w:rPr>
      </w:pPr>
    </w:p>
    <w:p w14:paraId="166A1857">
      <w:pPr>
        <w:spacing w:line="440" w:lineRule="exact"/>
        <w:rPr>
          <w:rFonts w:hint="eastAsia" w:ascii="宋体" w:hAnsi="宋体" w:eastAsia="宋体" w:cs="宋体"/>
          <w:color w:val="auto"/>
          <w:szCs w:val="21"/>
          <w:highlight w:val="none"/>
        </w:rPr>
      </w:pPr>
    </w:p>
    <w:p w14:paraId="5C870E23">
      <w:pPr>
        <w:spacing w:line="440" w:lineRule="exact"/>
        <w:rPr>
          <w:rFonts w:hint="eastAsia" w:ascii="宋体" w:hAnsi="宋体" w:eastAsia="宋体" w:cs="宋体"/>
          <w:color w:val="auto"/>
          <w:szCs w:val="21"/>
          <w:highlight w:val="none"/>
        </w:rPr>
      </w:pPr>
    </w:p>
    <w:p w14:paraId="05907731">
      <w:pPr>
        <w:rPr>
          <w:rFonts w:hint="eastAsia" w:ascii="宋体" w:hAnsi="宋体" w:cs="仿宋_GB2312"/>
          <w:color w:val="auto"/>
          <w:sz w:val="24"/>
          <w:highlight w:val="none"/>
        </w:rPr>
      </w:pPr>
      <w:bookmarkStart w:id="203" w:name="_Toc22390"/>
      <w:r>
        <w:rPr>
          <w:rFonts w:hint="eastAsia" w:ascii="宋体" w:hAnsi="宋体" w:cs="仿宋_GB2312"/>
          <w:color w:val="auto"/>
          <w:sz w:val="24"/>
          <w:highlight w:val="none"/>
        </w:rPr>
        <w:br w:type="page"/>
      </w:r>
    </w:p>
    <w:p w14:paraId="2A56C5BE">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2.企业法定代表人授权书</w:t>
      </w:r>
      <w:bookmarkEnd w:id="203"/>
    </w:p>
    <w:p w14:paraId="03FB7B79">
      <w:pPr>
        <w:spacing w:line="360" w:lineRule="auto"/>
        <w:ind w:left="-158" w:leftChars="-75" w:firstLine="523" w:firstLineChars="218"/>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本人</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（姓名）系</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名称）的法定代表人，现委托</w:t>
      </w:r>
      <w:r>
        <w:rPr>
          <w:rFonts w:hint="eastAsia" w:ascii="宋体" w:hAnsi="宋体" w:eastAsia="宋体" w:cs="宋体"/>
          <w:bCs w:val="0"/>
          <w:color w:val="auto"/>
          <w:sz w:val="24"/>
          <w:szCs w:val="24"/>
          <w:highlight w:val="none"/>
          <w:u w:val="single"/>
        </w:rPr>
        <w:t xml:space="preserve">         （姓名）</w:t>
      </w:r>
      <w:r>
        <w:rPr>
          <w:rFonts w:hint="eastAsia" w:ascii="宋体" w:hAnsi="宋体" w:eastAsia="宋体" w:cs="宋体"/>
          <w:bCs w:val="0"/>
          <w:color w:val="auto"/>
          <w:sz w:val="24"/>
          <w:szCs w:val="24"/>
          <w:highlight w:val="none"/>
        </w:rPr>
        <w:t>为我方代理人。代理人根据授权，以我方名义签署、澄清、说明、补正、递交、撤回、修改</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（项目名称）</w:t>
      </w:r>
      <w:r>
        <w:rPr>
          <w:rFonts w:hint="eastAsia" w:ascii="宋体" w:hAnsi="宋体" w:cs="宋体"/>
          <w:bCs w:val="0"/>
          <w:color w:val="auto"/>
          <w:sz w:val="24"/>
          <w:szCs w:val="24"/>
          <w:highlight w:val="none"/>
          <w:u w:val="none"/>
          <w:lang w:val="en-US" w:eastAsia="zh-CN"/>
        </w:rPr>
        <w:t xml:space="preserve"> 响应</w:t>
      </w:r>
      <w:r>
        <w:rPr>
          <w:rFonts w:hint="eastAsia" w:ascii="宋体" w:hAnsi="宋体" w:eastAsia="宋体" w:cs="宋体"/>
          <w:bCs w:val="0"/>
          <w:color w:val="auto"/>
          <w:sz w:val="24"/>
          <w:szCs w:val="24"/>
          <w:highlight w:val="none"/>
          <w:u w:val="none"/>
        </w:rPr>
        <w:t>文</w:t>
      </w:r>
      <w:r>
        <w:rPr>
          <w:rFonts w:hint="eastAsia" w:ascii="宋体" w:hAnsi="宋体" w:eastAsia="宋体" w:cs="宋体"/>
          <w:bCs w:val="0"/>
          <w:color w:val="auto"/>
          <w:sz w:val="24"/>
          <w:szCs w:val="24"/>
          <w:highlight w:val="none"/>
        </w:rPr>
        <w:t xml:space="preserve">件、签订合同和处理有关事宜，其法律后果由我方承担。 </w:t>
      </w:r>
    </w:p>
    <w:p w14:paraId="34E9F1D9">
      <w:pPr>
        <w:spacing w:line="360" w:lineRule="auto"/>
        <w:ind w:left="-158" w:leftChars="-75" w:firstLine="523" w:firstLineChars="218"/>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委托期限：</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w:t>
      </w:r>
    </w:p>
    <w:p w14:paraId="09584780">
      <w:pPr>
        <w:spacing w:line="360" w:lineRule="auto"/>
        <w:ind w:left="-158" w:leftChars="-75" w:firstLine="523" w:firstLineChars="218"/>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代理人无转委托权。</w:t>
      </w:r>
    </w:p>
    <w:p w14:paraId="0AAE1C77">
      <w:pPr>
        <w:spacing w:line="360" w:lineRule="auto"/>
        <w:ind w:firstLine="410" w:firstLineChars="171"/>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附：法定代表人身份证明和委托代理人身份证原件</w:t>
      </w:r>
      <w:r>
        <w:rPr>
          <w:rFonts w:hint="eastAsia" w:ascii="宋体" w:hAnsi="宋体" w:eastAsia="宋体" w:cs="宋体"/>
          <w:bCs w:val="0"/>
          <w:color w:val="auto"/>
          <w:sz w:val="24"/>
          <w:szCs w:val="24"/>
          <w:highlight w:val="none"/>
          <w:lang w:eastAsia="zh-CN"/>
        </w:rPr>
        <w:t>复印件或</w:t>
      </w:r>
      <w:r>
        <w:rPr>
          <w:rFonts w:hint="eastAsia" w:ascii="宋体" w:hAnsi="宋体" w:eastAsia="宋体" w:cs="宋体"/>
          <w:bCs w:val="0"/>
          <w:color w:val="auto"/>
          <w:sz w:val="24"/>
          <w:szCs w:val="24"/>
          <w:highlight w:val="none"/>
        </w:rPr>
        <w:t>扫描件。</w:t>
      </w:r>
    </w:p>
    <w:p w14:paraId="05B63786">
      <w:pPr>
        <w:spacing w:line="360" w:lineRule="auto"/>
        <w:ind w:left="840"/>
        <w:rPr>
          <w:rFonts w:hint="eastAsia" w:ascii="宋体" w:hAnsi="宋体" w:eastAsia="宋体" w:cs="宋体"/>
          <w:bCs w:val="0"/>
          <w:color w:val="auto"/>
          <w:sz w:val="24"/>
          <w:szCs w:val="24"/>
          <w:highlight w:val="none"/>
        </w:rPr>
      </w:pPr>
    </w:p>
    <w:p w14:paraId="5F04FB6C">
      <w:pPr>
        <w:spacing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法定代表人：</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55F8CEC">
      <w:pPr>
        <w:spacing w:line="360" w:lineRule="auto"/>
        <w:rPr>
          <w:rFonts w:hint="eastAsia" w:ascii="宋体" w:hAnsi="宋体" w:eastAsia="宋体" w:cs="宋体"/>
          <w:bCs w:val="0"/>
          <w:color w:val="auto"/>
          <w:sz w:val="24"/>
          <w:szCs w:val="24"/>
          <w:highlight w:val="none"/>
          <w:u w:val="single"/>
        </w:rPr>
      </w:pPr>
      <w:r>
        <w:rPr>
          <w:rFonts w:hint="eastAsia" w:ascii="宋体" w:hAnsi="宋体" w:eastAsia="宋体" w:cs="宋体"/>
          <w:bCs w:val="0"/>
          <w:color w:val="auto"/>
          <w:sz w:val="24"/>
          <w:szCs w:val="24"/>
          <w:highlight w:val="none"/>
        </w:rPr>
        <w:t>身份证号码：</w:t>
      </w:r>
      <w:r>
        <w:rPr>
          <w:rFonts w:hint="eastAsia" w:ascii="宋体" w:hAnsi="宋体" w:eastAsia="宋体" w:cs="宋体"/>
          <w:bCs w:val="0"/>
          <w:color w:val="auto"/>
          <w:sz w:val="24"/>
          <w:szCs w:val="24"/>
          <w:highlight w:val="none"/>
          <w:u w:val="single"/>
        </w:rPr>
        <w:t xml:space="preserve">                  </w:t>
      </w:r>
      <w:r>
        <w:rPr>
          <w:rFonts w:hint="eastAsia" w:ascii="宋体" w:hAnsi="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 xml:space="preserve">  </w:t>
      </w:r>
    </w:p>
    <w:p w14:paraId="306F44D4">
      <w:pPr>
        <w:spacing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委托代理人：</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B1EC0AF">
      <w:pPr>
        <w:spacing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身份证号码：</w:t>
      </w:r>
      <w:r>
        <w:rPr>
          <w:rFonts w:hint="eastAsia" w:ascii="宋体" w:hAnsi="宋体" w:eastAsia="宋体" w:cs="宋体"/>
          <w:bCs w:val="0"/>
          <w:color w:val="auto"/>
          <w:sz w:val="24"/>
          <w:szCs w:val="24"/>
          <w:highlight w:val="none"/>
          <w:u w:val="single"/>
        </w:rPr>
        <w:t xml:space="preserve">                      </w:t>
      </w:r>
    </w:p>
    <w:p w14:paraId="28382F52">
      <w:pPr>
        <w:spacing w:line="360" w:lineRule="auto"/>
        <w:jc w:val="right"/>
        <w:rPr>
          <w:rFonts w:hint="eastAsia" w:ascii="宋体" w:hAnsi="宋体" w:cs="仿宋_GB2312"/>
          <w:color w:val="auto"/>
          <w:sz w:val="24"/>
          <w:szCs w:val="24"/>
          <w:highlight w:val="none"/>
        </w:rPr>
      </w:pPr>
      <w:bookmarkStart w:id="204" w:name="_Toc28448"/>
      <w:r>
        <w:rPr>
          <w:rFonts w:hint="eastAsia" w:ascii="宋体" w:hAnsi="宋体" w:cs="仿宋_GB2312"/>
          <w:color w:val="auto"/>
          <w:sz w:val="24"/>
          <w:szCs w:val="24"/>
          <w:highlight w:val="none"/>
          <w:lang w:val="en-US" w:eastAsia="zh-CN"/>
        </w:rPr>
        <w:t xml:space="preserve">    供应商</w:t>
      </w:r>
      <w:r>
        <w:rPr>
          <w:rFonts w:hint="eastAsia" w:ascii="宋体" w:hAnsi="宋体" w:cs="仿宋_GB2312"/>
          <w:color w:val="auto"/>
          <w:sz w:val="24"/>
          <w:szCs w:val="24"/>
          <w:highlight w:val="none"/>
        </w:rPr>
        <w:t>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lang w:val="en-US" w:eastAsia="zh-CN"/>
        </w:rPr>
        <w:t xml:space="preserve">  </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（盖单位章）</w:t>
      </w:r>
      <w:bookmarkEnd w:id="204"/>
    </w:p>
    <w:p w14:paraId="701E4377">
      <w:pPr>
        <w:spacing w:line="360" w:lineRule="auto"/>
        <w:ind w:left="2480" w:leftChars="1181" w:firstLine="2160" w:firstLineChars="900"/>
        <w:rPr>
          <w:rFonts w:hint="eastAsia" w:ascii="宋体" w:hAnsi="宋体" w:eastAsia="宋体" w:cs="宋体"/>
          <w:bCs w:val="0"/>
          <w:color w:val="auto"/>
          <w:sz w:val="24"/>
          <w:szCs w:val="24"/>
          <w:highlight w:val="none"/>
        </w:rPr>
      </w:pPr>
      <w:r>
        <w:rPr>
          <w:rFonts w:hint="eastAsia" w:ascii="宋体" w:hAnsi="宋体" w:cs="宋体"/>
          <w:color w:val="auto"/>
          <w:sz w:val="24"/>
          <w:highlight w:val="none"/>
          <w:lang w:val="zh-CN"/>
        </w:rPr>
        <w:t>日期：</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年</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月</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日</w:t>
      </w:r>
    </w:p>
    <w:p w14:paraId="73D9D52C">
      <w:pPr>
        <w:pStyle w:val="2"/>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注：无</w:t>
      </w:r>
      <w:r>
        <w:rPr>
          <w:rFonts w:hint="eastAsia" w:ascii="宋体" w:hAnsi="宋体" w:cs="宋体"/>
          <w:b w:val="0"/>
          <w:bCs/>
          <w:color w:val="auto"/>
          <w:sz w:val="24"/>
          <w:szCs w:val="24"/>
          <w:highlight w:val="none"/>
          <w:lang w:eastAsia="zh-CN"/>
        </w:rPr>
        <w:t>委托代理人</w:t>
      </w:r>
      <w:r>
        <w:rPr>
          <w:rFonts w:hint="eastAsia" w:ascii="宋体" w:hAnsi="宋体" w:eastAsia="宋体" w:cs="宋体"/>
          <w:b w:val="0"/>
          <w:bCs/>
          <w:color w:val="auto"/>
          <w:sz w:val="24"/>
          <w:szCs w:val="24"/>
          <w:highlight w:val="none"/>
        </w:rPr>
        <w:t>的无须提供企业法定代表人授权书，仅提供法定代表人身份证明即可。</w:t>
      </w:r>
    </w:p>
    <w:p w14:paraId="19883A0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01855C16">
      <w:pPr>
        <w:spacing w:line="360" w:lineRule="auto"/>
        <w:jc w:val="center"/>
        <w:outlineLvl w:val="1"/>
        <w:rPr>
          <w:rFonts w:hint="eastAsia" w:ascii="宋体" w:hAnsi="宋体" w:eastAsia="宋体" w:cs="宋体"/>
          <w:b/>
          <w:bCs w:val="0"/>
          <w:color w:val="auto"/>
          <w:kern w:val="2"/>
          <w:sz w:val="28"/>
          <w:szCs w:val="28"/>
          <w:highlight w:val="none"/>
          <w:lang w:val="en-US" w:eastAsia="zh-CN" w:bidi="ar-SA"/>
        </w:rPr>
      </w:pPr>
      <w:bookmarkStart w:id="205" w:name="_Toc11772_WPSOffice_Level1"/>
      <w:bookmarkStart w:id="206" w:name="_Toc7153"/>
      <w:bookmarkStart w:id="207" w:name="_Toc20721_WPSOffice_Level1"/>
      <w:bookmarkStart w:id="208" w:name="_Toc29584"/>
      <w:bookmarkStart w:id="209" w:name="_Toc28712"/>
      <w:r>
        <w:rPr>
          <w:rFonts w:hint="eastAsia" w:ascii="宋体" w:hAnsi="宋体" w:eastAsia="宋体" w:cs="宋体"/>
          <w:b/>
          <w:bCs w:val="0"/>
          <w:color w:val="auto"/>
          <w:kern w:val="2"/>
          <w:sz w:val="28"/>
          <w:szCs w:val="28"/>
          <w:highlight w:val="none"/>
          <w:lang w:val="en-US" w:eastAsia="zh-CN" w:bidi="ar-SA"/>
        </w:rPr>
        <w:t>三、开标一览表</w:t>
      </w:r>
      <w:bookmarkEnd w:id="205"/>
      <w:bookmarkEnd w:id="206"/>
      <w:bookmarkEnd w:id="207"/>
      <w:bookmarkEnd w:id="208"/>
      <w:bookmarkEnd w:id="209"/>
    </w:p>
    <w:p w14:paraId="12E7E2BF">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p>
    <w:p w14:paraId="4B029B92">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color w:val="auto"/>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25"/>
      </w:tblGrid>
      <w:tr w14:paraId="033F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75" w:type="dxa"/>
            <w:noWrap w:val="0"/>
            <w:vAlign w:val="center"/>
          </w:tcPr>
          <w:p w14:paraId="1C1D495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w:t>
            </w:r>
          </w:p>
        </w:tc>
        <w:tc>
          <w:tcPr>
            <w:tcW w:w="7225" w:type="dxa"/>
            <w:noWrap w:val="0"/>
            <w:vAlign w:val="center"/>
          </w:tcPr>
          <w:p w14:paraId="37F13F0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color w:val="auto"/>
                <w:sz w:val="24"/>
                <w:szCs w:val="24"/>
                <w:highlight w:val="none"/>
                <w:lang w:eastAsia="zh-CN"/>
              </w:rPr>
            </w:pPr>
          </w:p>
        </w:tc>
      </w:tr>
      <w:tr w14:paraId="1725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75" w:type="dxa"/>
            <w:noWrap w:val="0"/>
            <w:vAlign w:val="center"/>
          </w:tcPr>
          <w:p w14:paraId="06D57D9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lang w:eastAsia="zh-CN"/>
              </w:rPr>
            </w:pPr>
            <w:bookmarkStart w:id="210" w:name="_Toc257360971"/>
            <w:bookmarkStart w:id="211" w:name="_Toc4613"/>
            <w:bookmarkStart w:id="212" w:name="_Toc359330010"/>
            <w:bookmarkStart w:id="213" w:name="_Toc266431138"/>
            <w:bookmarkStart w:id="214" w:name="_Toc257989764"/>
            <w:bookmarkStart w:id="215" w:name="_Toc257990001"/>
            <w:bookmarkStart w:id="216" w:name="_Toc257360794"/>
            <w:r>
              <w:rPr>
                <w:rFonts w:hint="eastAsia" w:ascii="宋体" w:hAnsi="宋体" w:eastAsia="宋体" w:cs="宋体"/>
                <w:b w:val="0"/>
                <w:bCs w:val="0"/>
                <w:color w:val="auto"/>
                <w:sz w:val="24"/>
                <w:szCs w:val="24"/>
                <w:highlight w:val="none"/>
                <w:lang w:eastAsia="zh-CN"/>
              </w:rPr>
              <w:t>投标</w:t>
            </w:r>
            <w:r>
              <w:rPr>
                <w:rFonts w:hint="eastAsia" w:ascii="宋体" w:hAnsi="宋体" w:cs="宋体"/>
                <w:b w:val="0"/>
                <w:bCs w:val="0"/>
                <w:color w:val="auto"/>
                <w:sz w:val="24"/>
                <w:szCs w:val="24"/>
                <w:highlight w:val="none"/>
                <w:lang w:eastAsia="zh-CN"/>
              </w:rPr>
              <w:t>内容</w:t>
            </w:r>
          </w:p>
        </w:tc>
        <w:tc>
          <w:tcPr>
            <w:tcW w:w="7225" w:type="dxa"/>
            <w:noWrap w:val="0"/>
            <w:vAlign w:val="center"/>
          </w:tcPr>
          <w:p w14:paraId="7890AFD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color w:val="auto"/>
                <w:sz w:val="24"/>
                <w:szCs w:val="24"/>
                <w:highlight w:val="none"/>
                <w:lang w:eastAsia="zh-CN"/>
              </w:rPr>
            </w:pPr>
          </w:p>
        </w:tc>
      </w:tr>
      <w:tr w14:paraId="3896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775" w:type="dxa"/>
            <w:noWrap w:val="0"/>
            <w:vAlign w:val="center"/>
          </w:tcPr>
          <w:p w14:paraId="7D8C071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投标</w:t>
            </w:r>
            <w:bookmarkEnd w:id="210"/>
            <w:bookmarkEnd w:id="211"/>
            <w:bookmarkEnd w:id="212"/>
            <w:bookmarkEnd w:id="213"/>
            <w:bookmarkEnd w:id="214"/>
            <w:bookmarkEnd w:id="215"/>
            <w:bookmarkEnd w:id="216"/>
            <w:r>
              <w:rPr>
                <w:rFonts w:hint="eastAsia" w:ascii="宋体" w:hAnsi="宋体" w:cs="宋体"/>
                <w:b w:val="0"/>
                <w:bCs w:val="0"/>
                <w:color w:val="auto"/>
                <w:sz w:val="24"/>
                <w:szCs w:val="24"/>
                <w:highlight w:val="none"/>
                <w:lang w:eastAsia="zh-CN"/>
              </w:rPr>
              <w:t>报价</w:t>
            </w:r>
          </w:p>
        </w:tc>
        <w:tc>
          <w:tcPr>
            <w:tcW w:w="7225" w:type="dxa"/>
            <w:noWrap w:val="0"/>
            <w:vAlign w:val="center"/>
          </w:tcPr>
          <w:p w14:paraId="4339DF9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rPr>
              <w:t>大写：</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 xml:space="preserve">  小</w:t>
            </w:r>
            <w:r>
              <w:rPr>
                <w:rFonts w:hint="eastAsia" w:ascii="宋体" w:hAnsi="宋体" w:cs="宋体"/>
                <w:b w:val="0"/>
                <w:bCs w:val="0"/>
                <w:color w:val="auto"/>
                <w:sz w:val="24"/>
                <w:szCs w:val="24"/>
                <w:highlight w:val="none"/>
                <w:u w:val="none"/>
                <w:lang w:val="en-US" w:eastAsia="zh-CN"/>
              </w:rPr>
              <w:t>写：</w:t>
            </w:r>
            <w:r>
              <w:rPr>
                <w:rFonts w:hint="eastAsia" w:ascii="宋体" w:hAnsi="宋体" w:cs="宋体"/>
                <w:b w:val="0"/>
                <w:bCs w:val="0"/>
                <w:color w:val="auto"/>
                <w:sz w:val="24"/>
                <w:szCs w:val="24"/>
                <w:highlight w:val="none"/>
                <w:u w:val="single"/>
                <w:lang w:val="en-US" w:eastAsia="zh-CN"/>
              </w:rPr>
              <w:t xml:space="preserve">          </w:t>
            </w:r>
          </w:p>
        </w:tc>
      </w:tr>
      <w:tr w14:paraId="1476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75" w:type="dxa"/>
            <w:noWrap w:val="0"/>
            <w:vAlign w:val="center"/>
          </w:tcPr>
          <w:p w14:paraId="4C8B3E7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交货期</w:t>
            </w:r>
          </w:p>
        </w:tc>
        <w:tc>
          <w:tcPr>
            <w:tcW w:w="7225" w:type="dxa"/>
            <w:noWrap w:val="0"/>
            <w:vAlign w:val="center"/>
          </w:tcPr>
          <w:p w14:paraId="67EA2AD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p>
        </w:tc>
      </w:tr>
      <w:tr w14:paraId="3586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75" w:type="dxa"/>
            <w:noWrap w:val="0"/>
            <w:vAlign w:val="center"/>
          </w:tcPr>
          <w:p w14:paraId="3EAF60A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cs="宋体"/>
                <w:b w:val="0"/>
                <w:bCs w:val="0"/>
                <w:color w:val="auto"/>
                <w:sz w:val="24"/>
                <w:szCs w:val="24"/>
                <w:highlight w:val="none"/>
                <w:vertAlign w:val="baseline"/>
                <w:lang w:eastAsia="zh-CN"/>
              </w:rPr>
            </w:pPr>
            <w:bookmarkStart w:id="217" w:name="_Toc266431147"/>
            <w:bookmarkStart w:id="218" w:name="_Toc359330015"/>
            <w:bookmarkStart w:id="219" w:name="_Toc31572"/>
            <w:r>
              <w:rPr>
                <w:rFonts w:hint="eastAsia" w:ascii="宋体" w:hAnsi="宋体" w:cs="宋体"/>
                <w:b w:val="0"/>
                <w:bCs w:val="0"/>
                <w:color w:val="auto"/>
                <w:sz w:val="24"/>
                <w:szCs w:val="24"/>
                <w:highlight w:val="none"/>
                <w:vertAlign w:val="baseline"/>
                <w:lang w:eastAsia="zh-CN"/>
              </w:rPr>
              <w:t>质保期</w:t>
            </w:r>
          </w:p>
        </w:tc>
        <w:tc>
          <w:tcPr>
            <w:tcW w:w="7225" w:type="dxa"/>
            <w:noWrap w:val="0"/>
            <w:vAlign w:val="center"/>
          </w:tcPr>
          <w:p w14:paraId="6D2C285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p>
        </w:tc>
      </w:tr>
      <w:tr w14:paraId="1E8D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5" w:type="dxa"/>
            <w:noWrap w:val="0"/>
            <w:vAlign w:val="center"/>
          </w:tcPr>
          <w:p w14:paraId="7F7CA82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交货</w:t>
            </w:r>
            <w:r>
              <w:rPr>
                <w:rFonts w:hint="eastAsia" w:ascii="宋体" w:hAnsi="宋体" w:eastAsia="宋体" w:cs="宋体"/>
                <w:b w:val="0"/>
                <w:bCs w:val="0"/>
                <w:color w:val="auto"/>
                <w:sz w:val="24"/>
                <w:szCs w:val="24"/>
                <w:highlight w:val="none"/>
              </w:rPr>
              <w:t>地点</w:t>
            </w:r>
          </w:p>
        </w:tc>
        <w:tc>
          <w:tcPr>
            <w:tcW w:w="7225" w:type="dxa"/>
            <w:noWrap w:val="0"/>
            <w:vAlign w:val="center"/>
          </w:tcPr>
          <w:p w14:paraId="3B7C54B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p>
        </w:tc>
      </w:tr>
      <w:tr w14:paraId="115A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75" w:type="dxa"/>
            <w:noWrap w:val="0"/>
            <w:vAlign w:val="center"/>
          </w:tcPr>
          <w:p w14:paraId="068AF4D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质量要求</w:t>
            </w:r>
          </w:p>
        </w:tc>
        <w:tc>
          <w:tcPr>
            <w:tcW w:w="7225" w:type="dxa"/>
            <w:noWrap w:val="0"/>
            <w:vAlign w:val="center"/>
          </w:tcPr>
          <w:p w14:paraId="2CE4AB6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p>
        </w:tc>
      </w:tr>
      <w:tr w14:paraId="5499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75" w:type="dxa"/>
            <w:noWrap w:val="0"/>
            <w:vAlign w:val="center"/>
          </w:tcPr>
          <w:p w14:paraId="74806CD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投标有效期</w:t>
            </w:r>
          </w:p>
        </w:tc>
        <w:tc>
          <w:tcPr>
            <w:tcW w:w="7225" w:type="dxa"/>
            <w:noWrap w:val="0"/>
            <w:vAlign w:val="center"/>
          </w:tcPr>
          <w:p w14:paraId="15C5497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p>
        </w:tc>
      </w:tr>
      <w:tr w14:paraId="7C51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775" w:type="dxa"/>
            <w:noWrap w:val="0"/>
            <w:vAlign w:val="center"/>
          </w:tcPr>
          <w:p w14:paraId="0B1D0DC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备  注</w:t>
            </w:r>
            <w:bookmarkEnd w:id="217"/>
            <w:bookmarkEnd w:id="218"/>
            <w:bookmarkEnd w:id="219"/>
          </w:p>
        </w:tc>
        <w:tc>
          <w:tcPr>
            <w:tcW w:w="7225" w:type="dxa"/>
            <w:noWrap w:val="0"/>
            <w:vAlign w:val="center"/>
          </w:tcPr>
          <w:p w14:paraId="0EFD227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val="0"/>
                <w:color w:val="auto"/>
                <w:sz w:val="24"/>
                <w:szCs w:val="24"/>
                <w:highlight w:val="none"/>
                <w:vertAlign w:val="baseline"/>
              </w:rPr>
            </w:pPr>
          </w:p>
        </w:tc>
      </w:tr>
    </w:tbl>
    <w:p w14:paraId="012E9B82">
      <w:pPr>
        <w:pStyle w:val="27"/>
        <w:ind w:left="0" w:leftChars="0" w:firstLine="0" w:firstLineChars="0"/>
        <w:rPr>
          <w:rFonts w:hint="eastAsia"/>
          <w:color w:val="auto"/>
        </w:rPr>
      </w:pPr>
    </w:p>
    <w:p w14:paraId="44C21D8F">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说明：1.所有价格均系用人民币表示，单位为元。</w:t>
      </w:r>
    </w:p>
    <w:p w14:paraId="059BEA6F">
      <w:pPr>
        <w:adjustRightInd w:val="0"/>
        <w:snapToGrid w:val="0"/>
        <w:spacing w:line="360" w:lineRule="auto"/>
        <w:ind w:firstLine="720" w:firstLineChars="300"/>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eastAsia="宋体" w:cs="宋体"/>
          <w:bCs/>
          <w:color w:val="auto"/>
          <w:sz w:val="24"/>
          <w:highlight w:val="none"/>
        </w:rPr>
        <w:t>本投标报价为</w:t>
      </w:r>
      <w:r>
        <w:rPr>
          <w:rFonts w:hint="eastAsia" w:ascii="宋体" w:hAnsi="宋体" w:cs="宋体"/>
          <w:bCs/>
          <w:color w:val="auto"/>
          <w:sz w:val="24"/>
          <w:highlight w:val="none"/>
          <w:lang w:eastAsia="zh-CN"/>
        </w:rPr>
        <w:t>每套</w:t>
      </w:r>
      <w:r>
        <w:rPr>
          <w:rFonts w:hint="eastAsia" w:ascii="宋体" w:hAnsi="宋体" w:eastAsia="宋体" w:cs="宋体"/>
          <w:bCs/>
          <w:color w:val="auto"/>
          <w:sz w:val="24"/>
          <w:highlight w:val="none"/>
        </w:rPr>
        <w:t>内容所需的所有费用</w:t>
      </w:r>
      <w:r>
        <w:rPr>
          <w:rFonts w:hint="eastAsia" w:ascii="宋体" w:hAnsi="宋体" w:cs="仿宋_GB2312"/>
          <w:color w:val="auto"/>
          <w:sz w:val="24"/>
          <w:highlight w:val="none"/>
        </w:rPr>
        <w:t>。</w:t>
      </w:r>
    </w:p>
    <w:p w14:paraId="31E67090">
      <w:pPr>
        <w:spacing w:line="360" w:lineRule="auto"/>
        <w:ind w:firstLine="720" w:firstLineChars="300"/>
        <w:rPr>
          <w:rFonts w:ascii="宋体" w:hAnsi="宋体" w:cs="仿宋_GB2312"/>
          <w:color w:val="auto"/>
          <w:sz w:val="24"/>
          <w:highlight w:val="none"/>
        </w:rPr>
      </w:pPr>
      <w:r>
        <w:rPr>
          <w:rFonts w:hint="eastAsia" w:ascii="宋体" w:hAnsi="宋体" w:cs="仿宋_GB2312"/>
          <w:color w:val="auto"/>
          <w:sz w:val="24"/>
          <w:highlight w:val="none"/>
        </w:rPr>
        <w:t>3.以上内容缺一不可，格式、内容和签署、盖章必须完整，否则为无效投标。</w:t>
      </w:r>
    </w:p>
    <w:p w14:paraId="65A05BF1">
      <w:pPr>
        <w:spacing w:line="360" w:lineRule="auto"/>
        <w:rPr>
          <w:rFonts w:ascii="宋体" w:hAnsi="宋体" w:cs="仿宋_GB2312"/>
          <w:b/>
          <w:bCs/>
          <w:color w:val="auto"/>
          <w:sz w:val="24"/>
          <w:highlight w:val="none"/>
        </w:rPr>
      </w:pPr>
    </w:p>
    <w:p w14:paraId="29376BEA">
      <w:pPr>
        <w:pStyle w:val="13"/>
        <w:spacing w:line="360" w:lineRule="auto"/>
        <w:ind w:left="5248" w:leftChars="1504" w:right="57" w:hanging="2090"/>
        <w:rPr>
          <w:rFonts w:hAnsi="宋体" w:cs="仿宋_GB2312"/>
          <w:color w:val="auto"/>
          <w:sz w:val="24"/>
          <w:szCs w:val="24"/>
          <w:highlight w:val="none"/>
        </w:rPr>
      </w:pPr>
    </w:p>
    <w:p w14:paraId="59CCA947">
      <w:pPr>
        <w:pStyle w:val="13"/>
        <w:spacing w:line="360" w:lineRule="auto"/>
        <w:ind w:left="5539" w:leftChars="2302" w:right="57" w:hanging="705" w:hangingChars="294"/>
        <w:rPr>
          <w:rFonts w:hAnsi="宋体" w:cs="仿宋_GB2312"/>
          <w:b/>
          <w:bCs/>
          <w:color w:val="auto"/>
          <w:sz w:val="24"/>
          <w:szCs w:val="24"/>
          <w:highlight w:val="none"/>
        </w:rPr>
      </w:pPr>
      <w:r>
        <w:rPr>
          <w:rFonts w:hint="eastAsia" w:hAnsi="宋体" w:cs="仿宋_GB2312"/>
          <w:color w:val="auto"/>
          <w:sz w:val="24"/>
          <w:szCs w:val="24"/>
          <w:highlight w:val="none"/>
          <w:lang w:eastAsia="zh-CN"/>
        </w:rPr>
        <w:t>供应商</w:t>
      </w:r>
      <w:r>
        <w:rPr>
          <w:rFonts w:hint="eastAsia" w:hAnsi="宋体" w:cs="仿宋_GB2312"/>
          <w:color w:val="auto"/>
          <w:sz w:val="24"/>
          <w:szCs w:val="24"/>
          <w:highlight w:val="none"/>
        </w:rPr>
        <w:t>名称</w:t>
      </w:r>
      <w:r>
        <w:rPr>
          <w:rFonts w:hint="eastAsia" w:hAnsi="宋体" w:cs="仿宋_GB2312"/>
          <w:color w:val="auto"/>
          <w:sz w:val="24"/>
          <w:szCs w:val="24"/>
          <w:highlight w:val="none"/>
          <w:lang w:eastAsia="zh-CN"/>
        </w:rPr>
        <w:t>：</w:t>
      </w:r>
      <w:r>
        <w:rPr>
          <w:rFonts w:hint="eastAsia" w:hAnsi="宋体" w:cs="仿宋_GB2312"/>
          <w:color w:val="auto"/>
          <w:sz w:val="24"/>
          <w:szCs w:val="24"/>
          <w:highlight w:val="none"/>
          <w:u w:val="single"/>
          <w:lang w:val="en-US" w:eastAsia="zh-CN"/>
        </w:rPr>
        <w:t xml:space="preserve">        </w:t>
      </w:r>
      <w:r>
        <w:rPr>
          <w:rFonts w:hint="eastAsia" w:hAnsi="宋体" w:cs="仿宋_GB2312"/>
          <w:color w:val="auto"/>
          <w:sz w:val="24"/>
          <w:szCs w:val="24"/>
          <w:highlight w:val="none"/>
        </w:rPr>
        <w:t>（加盖公章）</w:t>
      </w:r>
    </w:p>
    <w:p w14:paraId="4D142DF9">
      <w:pPr>
        <w:spacing w:line="360" w:lineRule="auto"/>
        <w:ind w:firstLine="638" w:firstLineChars="266"/>
        <w:rPr>
          <w:rFonts w:ascii="宋体" w:hAnsi="宋体" w:cs="仿宋_GB2312"/>
          <w:bCs/>
          <w:color w:val="auto"/>
          <w:sz w:val="24"/>
          <w:highlight w:val="none"/>
          <w:u w:val="single"/>
        </w:rPr>
      </w:pPr>
      <w:r>
        <w:rPr>
          <w:rFonts w:hint="eastAsia" w:ascii="宋体" w:hAnsi="宋体" w:cs="仿宋_GB2312"/>
          <w:bCs/>
          <w:color w:val="auto"/>
          <w:sz w:val="24"/>
          <w:highlight w:val="none"/>
        </w:rPr>
        <w:t xml:space="preserve">                     </w:t>
      </w:r>
      <w:bookmarkStart w:id="220" w:name="_Toc257990017"/>
      <w:bookmarkStart w:id="221" w:name="_Toc257360987"/>
      <w:bookmarkStart w:id="222" w:name="_Toc257989780"/>
      <w:bookmarkStart w:id="223" w:name="_Toc257360810"/>
      <w:bookmarkStart w:id="224" w:name="_Toc266431148"/>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bCs/>
          <w:color w:val="auto"/>
          <w:sz w:val="24"/>
          <w:highlight w:val="none"/>
        </w:rPr>
        <w:t>（签字或盖章）</w:t>
      </w:r>
      <w:bookmarkEnd w:id="220"/>
      <w:bookmarkEnd w:id="221"/>
      <w:bookmarkEnd w:id="222"/>
      <w:bookmarkEnd w:id="223"/>
      <w:bookmarkEnd w:id="224"/>
    </w:p>
    <w:p w14:paraId="385EE906">
      <w:pPr>
        <w:rPr>
          <w:rFonts w:hint="eastAsia"/>
          <w:color w:val="auto"/>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年    月     日</w:t>
      </w:r>
    </w:p>
    <w:p w14:paraId="2BEE6320">
      <w:pPr>
        <w:rPr>
          <w:rFonts w:hint="eastAsia"/>
          <w:color w:val="auto"/>
        </w:rPr>
      </w:pPr>
    </w:p>
    <w:p w14:paraId="121FB110">
      <w:pPr>
        <w:rPr>
          <w:rFonts w:hint="eastAsia"/>
          <w:color w:val="auto"/>
        </w:rPr>
      </w:pPr>
    </w:p>
    <w:p w14:paraId="0198524F">
      <w:pPr>
        <w:rPr>
          <w:rFonts w:hint="eastAsia"/>
          <w:color w:val="auto"/>
        </w:rPr>
      </w:pPr>
    </w:p>
    <w:p w14:paraId="421A22C8">
      <w:pPr>
        <w:rPr>
          <w:rFonts w:hint="eastAsia"/>
          <w:color w:val="auto"/>
        </w:rPr>
      </w:pPr>
    </w:p>
    <w:p w14:paraId="662E376C">
      <w:pPr>
        <w:rPr>
          <w:rFonts w:hint="eastAsia"/>
          <w:color w:val="auto"/>
        </w:rPr>
      </w:pPr>
    </w:p>
    <w:p w14:paraId="7CA0ACD9">
      <w:pPr>
        <w:spacing w:line="360" w:lineRule="auto"/>
        <w:jc w:val="center"/>
        <w:outlineLvl w:val="1"/>
        <w:rPr>
          <w:rFonts w:hint="eastAsia" w:ascii="宋体" w:hAnsi="宋体" w:eastAsia="宋体" w:cs="宋体"/>
          <w:b/>
          <w:bCs w:val="0"/>
          <w:color w:val="auto"/>
          <w:kern w:val="2"/>
          <w:sz w:val="28"/>
          <w:szCs w:val="28"/>
          <w:highlight w:val="none"/>
          <w:lang w:val="en-US" w:eastAsia="zh-CN" w:bidi="ar-SA"/>
        </w:rPr>
      </w:pPr>
      <w:r>
        <w:rPr>
          <w:rFonts w:hint="eastAsia" w:ascii="宋体" w:hAnsi="宋体" w:cs="宋体"/>
          <w:b/>
          <w:bCs w:val="0"/>
          <w:color w:val="auto"/>
          <w:kern w:val="2"/>
          <w:sz w:val="28"/>
          <w:szCs w:val="28"/>
          <w:highlight w:val="none"/>
          <w:lang w:val="en-US" w:eastAsia="zh-CN" w:bidi="ar-SA"/>
        </w:rPr>
        <w:t>四</w:t>
      </w:r>
      <w:r>
        <w:rPr>
          <w:rFonts w:hint="eastAsia" w:ascii="宋体" w:hAnsi="宋体" w:eastAsia="宋体" w:cs="宋体"/>
          <w:b/>
          <w:bCs w:val="0"/>
          <w:color w:val="auto"/>
          <w:kern w:val="2"/>
          <w:sz w:val="28"/>
          <w:szCs w:val="28"/>
          <w:highlight w:val="none"/>
          <w:lang w:val="en-US" w:eastAsia="zh-CN" w:bidi="ar-SA"/>
        </w:rPr>
        <w:t>、技术规格响应表</w:t>
      </w:r>
    </w:p>
    <w:tbl>
      <w:tblPr>
        <w:tblStyle w:val="28"/>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51"/>
        <w:gridCol w:w="1693"/>
        <w:gridCol w:w="2593"/>
        <w:gridCol w:w="1639"/>
        <w:gridCol w:w="1506"/>
      </w:tblGrid>
      <w:tr w14:paraId="30BA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62FF2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b/>
                <w:bCs/>
                <w:color w:val="auto"/>
                <w:sz w:val="24"/>
                <w:highlight w:val="none"/>
              </w:rPr>
            </w:pPr>
            <w:r>
              <w:rPr>
                <w:rFonts w:hint="eastAsia" w:ascii="宋体" w:hAnsi="宋体" w:cs="仿宋_GB2312"/>
                <w:b/>
                <w:bCs/>
                <w:color w:val="auto"/>
                <w:sz w:val="24"/>
                <w:highlight w:val="none"/>
              </w:rPr>
              <w:t>序号</w:t>
            </w:r>
          </w:p>
        </w:tc>
        <w:tc>
          <w:tcPr>
            <w:tcW w:w="1251" w:type="dxa"/>
            <w:vAlign w:val="center"/>
          </w:tcPr>
          <w:p w14:paraId="374C1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名称</w:t>
            </w:r>
          </w:p>
        </w:tc>
        <w:tc>
          <w:tcPr>
            <w:tcW w:w="1693" w:type="dxa"/>
            <w:vAlign w:val="center"/>
          </w:tcPr>
          <w:p w14:paraId="08D02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b/>
                <w:bCs/>
                <w:color w:val="auto"/>
                <w:sz w:val="24"/>
                <w:highlight w:val="none"/>
              </w:rPr>
            </w:pPr>
            <w:r>
              <w:rPr>
                <w:rFonts w:hint="eastAsia" w:ascii="宋体" w:hAnsi="宋体" w:cs="仿宋_GB2312"/>
                <w:b/>
                <w:bCs/>
                <w:color w:val="auto"/>
                <w:sz w:val="24"/>
                <w:highlight w:val="none"/>
                <w:lang w:eastAsia="zh-CN"/>
              </w:rPr>
              <w:t>磋商文件</w:t>
            </w:r>
            <w:r>
              <w:rPr>
                <w:rFonts w:hint="eastAsia" w:ascii="宋体" w:hAnsi="宋体" w:cs="仿宋_GB2312"/>
                <w:b/>
                <w:bCs/>
                <w:color w:val="auto"/>
                <w:sz w:val="24"/>
                <w:highlight w:val="none"/>
              </w:rPr>
              <w:t>要求</w:t>
            </w:r>
          </w:p>
          <w:p w14:paraId="23C6A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b/>
                <w:bCs/>
                <w:color w:val="auto"/>
                <w:sz w:val="24"/>
                <w:highlight w:val="none"/>
              </w:rPr>
            </w:pPr>
            <w:r>
              <w:rPr>
                <w:rFonts w:hint="eastAsia" w:ascii="宋体" w:hAnsi="宋体" w:cs="仿宋_GB2312"/>
                <w:b/>
                <w:bCs/>
                <w:color w:val="auto"/>
                <w:sz w:val="24"/>
                <w:highlight w:val="none"/>
              </w:rPr>
              <w:t>技术参数</w:t>
            </w:r>
          </w:p>
        </w:tc>
        <w:tc>
          <w:tcPr>
            <w:tcW w:w="2593" w:type="dxa"/>
            <w:vAlign w:val="center"/>
          </w:tcPr>
          <w:p w14:paraId="64EE0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b/>
                <w:bCs/>
                <w:color w:val="auto"/>
                <w:sz w:val="24"/>
                <w:highlight w:val="none"/>
              </w:rPr>
            </w:pPr>
            <w:r>
              <w:rPr>
                <w:rFonts w:hint="eastAsia" w:ascii="宋体" w:hAnsi="宋体" w:cs="仿宋_GB2312"/>
                <w:b/>
                <w:bCs/>
                <w:color w:val="auto"/>
                <w:sz w:val="24"/>
                <w:highlight w:val="none"/>
                <w:lang w:eastAsia="zh-CN"/>
              </w:rPr>
              <w:t>供应商</w:t>
            </w:r>
            <w:r>
              <w:rPr>
                <w:rFonts w:hint="eastAsia" w:ascii="宋体" w:hAnsi="宋体" w:cs="仿宋_GB2312"/>
                <w:b/>
                <w:bCs/>
                <w:color w:val="auto"/>
                <w:sz w:val="24"/>
                <w:highlight w:val="none"/>
              </w:rPr>
              <w:t xml:space="preserve">提供 </w:t>
            </w:r>
          </w:p>
          <w:p w14:paraId="1A940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b/>
                <w:bCs/>
                <w:color w:val="auto"/>
                <w:sz w:val="24"/>
                <w:highlight w:val="none"/>
              </w:rPr>
            </w:pPr>
            <w:r>
              <w:rPr>
                <w:rFonts w:hint="eastAsia" w:ascii="宋体" w:hAnsi="宋体" w:cs="仿宋_GB2312"/>
                <w:b/>
                <w:bCs/>
                <w:color w:val="auto"/>
                <w:sz w:val="24"/>
                <w:highlight w:val="none"/>
              </w:rPr>
              <w:t>技术参数</w:t>
            </w:r>
          </w:p>
        </w:tc>
        <w:tc>
          <w:tcPr>
            <w:tcW w:w="1639" w:type="dxa"/>
            <w:vAlign w:val="center"/>
          </w:tcPr>
          <w:p w14:paraId="39EC3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rPr>
              <w:t>响应程度</w:t>
            </w:r>
          </w:p>
        </w:tc>
        <w:tc>
          <w:tcPr>
            <w:tcW w:w="1506" w:type="dxa"/>
            <w:vAlign w:val="center"/>
          </w:tcPr>
          <w:p w14:paraId="5DC5E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b/>
                <w:bCs/>
                <w:color w:val="auto"/>
                <w:sz w:val="24"/>
                <w:highlight w:val="none"/>
              </w:rPr>
            </w:pPr>
            <w:r>
              <w:rPr>
                <w:rFonts w:hint="eastAsia" w:ascii="宋体" w:hAnsi="宋体" w:cs="仿宋_GB2312"/>
                <w:b/>
                <w:bCs/>
                <w:color w:val="auto"/>
                <w:sz w:val="24"/>
                <w:highlight w:val="none"/>
              </w:rPr>
              <w:t>备注</w:t>
            </w:r>
          </w:p>
        </w:tc>
      </w:tr>
      <w:tr w14:paraId="3A3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4C900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251" w:type="dxa"/>
            <w:vAlign w:val="center"/>
          </w:tcPr>
          <w:p w14:paraId="0AB0F4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693" w:type="dxa"/>
            <w:vAlign w:val="center"/>
          </w:tcPr>
          <w:p w14:paraId="3736E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2593" w:type="dxa"/>
            <w:vAlign w:val="center"/>
          </w:tcPr>
          <w:p w14:paraId="0A20A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639" w:type="dxa"/>
            <w:vAlign w:val="center"/>
          </w:tcPr>
          <w:p w14:paraId="01344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506" w:type="dxa"/>
            <w:vAlign w:val="center"/>
          </w:tcPr>
          <w:p w14:paraId="75A75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651" w:leftChars="786" w:right="0"/>
              <w:textAlignment w:val="auto"/>
              <w:rPr>
                <w:rFonts w:hint="default" w:ascii="宋体" w:hAnsi="宋体" w:cs="仿宋_GB2312"/>
                <w:color w:val="auto"/>
                <w:sz w:val="24"/>
                <w:highlight w:val="none"/>
              </w:rPr>
            </w:pPr>
          </w:p>
        </w:tc>
      </w:tr>
      <w:tr w14:paraId="7DA4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72924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251" w:type="dxa"/>
            <w:vAlign w:val="center"/>
          </w:tcPr>
          <w:p w14:paraId="45BE3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693" w:type="dxa"/>
            <w:vAlign w:val="center"/>
          </w:tcPr>
          <w:p w14:paraId="34639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2593" w:type="dxa"/>
            <w:vAlign w:val="center"/>
          </w:tcPr>
          <w:p w14:paraId="231E1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639" w:type="dxa"/>
            <w:vAlign w:val="center"/>
          </w:tcPr>
          <w:p w14:paraId="27345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506" w:type="dxa"/>
            <w:vAlign w:val="center"/>
          </w:tcPr>
          <w:p w14:paraId="02B10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r>
      <w:tr w14:paraId="0F9C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59B60D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251" w:type="dxa"/>
            <w:vAlign w:val="center"/>
          </w:tcPr>
          <w:p w14:paraId="39BFD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693" w:type="dxa"/>
            <w:vAlign w:val="center"/>
          </w:tcPr>
          <w:p w14:paraId="4CB70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2593" w:type="dxa"/>
            <w:vAlign w:val="center"/>
          </w:tcPr>
          <w:p w14:paraId="3E0FF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color w:val="auto"/>
                <w:sz w:val="24"/>
                <w:highlight w:val="none"/>
              </w:rPr>
            </w:pPr>
          </w:p>
        </w:tc>
        <w:tc>
          <w:tcPr>
            <w:tcW w:w="1639" w:type="dxa"/>
            <w:vAlign w:val="center"/>
          </w:tcPr>
          <w:p w14:paraId="24B3B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506" w:type="dxa"/>
            <w:vAlign w:val="center"/>
          </w:tcPr>
          <w:p w14:paraId="0010A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r>
      <w:tr w14:paraId="328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50B37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color w:val="auto"/>
                <w:sz w:val="24"/>
                <w:highlight w:val="none"/>
              </w:rPr>
            </w:pPr>
          </w:p>
        </w:tc>
        <w:tc>
          <w:tcPr>
            <w:tcW w:w="1251" w:type="dxa"/>
            <w:vAlign w:val="center"/>
          </w:tcPr>
          <w:p w14:paraId="7EF5B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color w:val="auto"/>
                <w:sz w:val="24"/>
                <w:highlight w:val="none"/>
              </w:rPr>
            </w:pPr>
          </w:p>
        </w:tc>
        <w:tc>
          <w:tcPr>
            <w:tcW w:w="1693" w:type="dxa"/>
            <w:vAlign w:val="center"/>
          </w:tcPr>
          <w:p w14:paraId="6BDF3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2593" w:type="dxa"/>
            <w:vAlign w:val="center"/>
          </w:tcPr>
          <w:p w14:paraId="1C189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639" w:type="dxa"/>
            <w:vAlign w:val="center"/>
          </w:tcPr>
          <w:p w14:paraId="71708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506" w:type="dxa"/>
            <w:vAlign w:val="center"/>
          </w:tcPr>
          <w:p w14:paraId="1CE74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r>
      <w:tr w14:paraId="260B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245F6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color w:val="auto"/>
                <w:sz w:val="24"/>
                <w:highlight w:val="none"/>
              </w:rPr>
            </w:pPr>
            <w:r>
              <w:rPr>
                <w:rFonts w:hint="eastAsia" w:ascii="宋体" w:hAnsi="宋体" w:cs="仿宋_GB2312"/>
                <w:color w:val="auto"/>
                <w:sz w:val="24"/>
                <w:highlight w:val="none"/>
              </w:rPr>
              <w:t>...</w:t>
            </w:r>
          </w:p>
        </w:tc>
        <w:tc>
          <w:tcPr>
            <w:tcW w:w="1251" w:type="dxa"/>
            <w:vAlign w:val="center"/>
          </w:tcPr>
          <w:p w14:paraId="16B23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仿宋_GB2312"/>
                <w:color w:val="auto"/>
                <w:sz w:val="24"/>
                <w:highlight w:val="none"/>
              </w:rPr>
            </w:pPr>
          </w:p>
        </w:tc>
        <w:tc>
          <w:tcPr>
            <w:tcW w:w="1693" w:type="dxa"/>
            <w:vAlign w:val="center"/>
          </w:tcPr>
          <w:p w14:paraId="677AD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2593" w:type="dxa"/>
            <w:vAlign w:val="center"/>
          </w:tcPr>
          <w:p w14:paraId="59ECA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639" w:type="dxa"/>
            <w:vAlign w:val="center"/>
          </w:tcPr>
          <w:p w14:paraId="04790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c>
          <w:tcPr>
            <w:tcW w:w="1506" w:type="dxa"/>
            <w:vAlign w:val="center"/>
          </w:tcPr>
          <w:p w14:paraId="55477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仿宋_GB2312"/>
                <w:color w:val="auto"/>
                <w:sz w:val="24"/>
                <w:highlight w:val="none"/>
              </w:rPr>
            </w:pPr>
          </w:p>
        </w:tc>
      </w:tr>
    </w:tbl>
    <w:p w14:paraId="42D93925">
      <w:pPr>
        <w:keepNext w:val="0"/>
        <w:keepLines w:val="0"/>
        <w:pageBreakBefore w:val="0"/>
        <w:widowControl w:val="0"/>
        <w:kinsoku/>
        <w:wordWrap/>
        <w:overflowPunct/>
        <w:topLinePunct w:val="0"/>
        <w:autoSpaceDE/>
        <w:autoSpaceDN/>
        <w:bidi w:val="0"/>
        <w:adjustRightInd/>
        <w:spacing w:line="420" w:lineRule="exact"/>
        <w:rPr>
          <w:rFonts w:ascii="宋体" w:hAnsi="宋体" w:cs="仿宋_GB2312"/>
          <w:color w:val="auto"/>
          <w:sz w:val="28"/>
          <w:szCs w:val="28"/>
          <w:highlight w:val="none"/>
        </w:rPr>
      </w:pPr>
      <w:r>
        <w:rPr>
          <w:rFonts w:hint="eastAsia" w:ascii="宋体" w:hAnsi="宋体" w:cs="宋体"/>
          <w:color w:val="auto"/>
          <w:kern w:val="0"/>
          <w:sz w:val="24"/>
          <w:highlight w:val="none"/>
        </w:rPr>
        <w:t>注：</w:t>
      </w: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应按照“</w:t>
      </w:r>
      <w:r>
        <w:rPr>
          <w:rFonts w:hint="eastAsia" w:ascii="宋体" w:hAnsi="宋体" w:cs="仿宋_GB2312"/>
          <w:color w:val="auto"/>
          <w:sz w:val="24"/>
          <w:highlight w:val="none"/>
          <w:lang w:val="en-US" w:eastAsia="zh-CN"/>
        </w:rPr>
        <w:t>采购内容及要求</w:t>
      </w:r>
      <w:r>
        <w:rPr>
          <w:rFonts w:hint="eastAsia" w:ascii="宋体" w:hAnsi="宋体" w:cs="仿宋_GB2312"/>
          <w:color w:val="auto"/>
          <w:sz w:val="24"/>
          <w:highlight w:val="none"/>
        </w:rPr>
        <w:t>”中确定的</w:t>
      </w:r>
      <w:r>
        <w:rPr>
          <w:rFonts w:hint="eastAsia" w:ascii="宋体" w:hAnsi="宋体" w:cs="仿宋_GB2312"/>
          <w:color w:val="auto"/>
          <w:sz w:val="24"/>
          <w:highlight w:val="none"/>
          <w:lang w:eastAsia="zh-CN"/>
        </w:rPr>
        <w:t>技术</w:t>
      </w:r>
      <w:r>
        <w:rPr>
          <w:rFonts w:hint="eastAsia" w:ascii="宋体" w:hAnsi="宋体" w:cs="仿宋_GB2312"/>
          <w:bCs/>
          <w:color w:val="auto"/>
          <w:sz w:val="24"/>
          <w:highlight w:val="none"/>
        </w:rPr>
        <w:t>参数，</w:t>
      </w:r>
      <w:r>
        <w:rPr>
          <w:rFonts w:hint="eastAsia" w:ascii="宋体" w:hAnsi="宋体" w:cs="仿宋_GB2312"/>
          <w:color w:val="auto"/>
          <w:sz w:val="24"/>
          <w:highlight w:val="none"/>
        </w:rPr>
        <w:t>将投标产品的技术参数逐一列出，以证明投标产品对</w:t>
      </w:r>
      <w:r>
        <w:rPr>
          <w:rFonts w:hint="eastAsia" w:ascii="宋体" w:hAnsi="宋体" w:cs="仿宋_GB2312"/>
          <w:color w:val="auto"/>
          <w:sz w:val="24"/>
          <w:highlight w:val="none"/>
          <w:lang w:eastAsia="zh-CN"/>
        </w:rPr>
        <w:t>磋商文件</w:t>
      </w:r>
      <w:r>
        <w:rPr>
          <w:rFonts w:hint="eastAsia" w:ascii="宋体" w:hAnsi="宋体" w:cs="仿宋_GB2312"/>
          <w:color w:val="auto"/>
          <w:sz w:val="24"/>
          <w:highlight w:val="none"/>
        </w:rPr>
        <w:t>要求的技术参数做出实质性响应。</w:t>
      </w:r>
    </w:p>
    <w:p w14:paraId="05B57EEA">
      <w:pPr>
        <w:autoSpaceDE w:val="0"/>
        <w:autoSpaceDN w:val="0"/>
        <w:adjustRightInd w:val="0"/>
        <w:spacing w:line="360" w:lineRule="auto"/>
        <w:rPr>
          <w:rFonts w:hint="eastAsia" w:ascii="宋体" w:hAnsi="宋体" w:cs="宋体"/>
          <w:color w:val="auto"/>
          <w:sz w:val="24"/>
          <w:szCs w:val="24"/>
          <w:highlight w:val="none"/>
        </w:rPr>
      </w:pPr>
    </w:p>
    <w:p w14:paraId="60B23F06">
      <w:pPr>
        <w:autoSpaceDE w:val="0"/>
        <w:autoSpaceDN w:val="0"/>
        <w:adjustRightInd w:val="0"/>
        <w:spacing w:line="360" w:lineRule="auto"/>
        <w:rPr>
          <w:rFonts w:hint="eastAsia" w:ascii="宋体" w:hAnsi="宋体" w:cs="宋体"/>
          <w:color w:val="auto"/>
          <w:sz w:val="24"/>
          <w:szCs w:val="24"/>
          <w:highlight w:val="none"/>
        </w:rPr>
      </w:pPr>
    </w:p>
    <w:p w14:paraId="61EE8BEC">
      <w:pPr>
        <w:pStyle w:val="13"/>
        <w:spacing w:line="360" w:lineRule="auto"/>
        <w:ind w:left="5539" w:leftChars="2302" w:right="57" w:hanging="705" w:hangingChars="294"/>
        <w:rPr>
          <w:rFonts w:hAnsi="宋体" w:cs="仿宋_GB2312"/>
          <w:b/>
          <w:bCs/>
          <w:color w:val="auto"/>
          <w:sz w:val="24"/>
          <w:szCs w:val="24"/>
          <w:highlight w:val="none"/>
        </w:rPr>
      </w:pPr>
      <w:r>
        <w:rPr>
          <w:rFonts w:hint="eastAsia" w:hAnsi="宋体" w:cs="仿宋_GB2312"/>
          <w:color w:val="auto"/>
          <w:sz w:val="24"/>
          <w:szCs w:val="24"/>
          <w:highlight w:val="none"/>
          <w:lang w:eastAsia="zh-CN"/>
        </w:rPr>
        <w:t>供应商</w:t>
      </w:r>
      <w:r>
        <w:rPr>
          <w:rFonts w:hint="eastAsia" w:hAnsi="宋体" w:cs="仿宋_GB2312"/>
          <w:color w:val="auto"/>
          <w:sz w:val="24"/>
          <w:szCs w:val="24"/>
          <w:highlight w:val="none"/>
        </w:rPr>
        <w:t>名称</w:t>
      </w:r>
      <w:r>
        <w:rPr>
          <w:rFonts w:hint="eastAsia" w:hAnsi="宋体" w:cs="仿宋_GB2312"/>
          <w:color w:val="auto"/>
          <w:sz w:val="24"/>
          <w:szCs w:val="24"/>
          <w:highlight w:val="none"/>
          <w:lang w:eastAsia="zh-CN"/>
        </w:rPr>
        <w:t>：</w:t>
      </w:r>
      <w:r>
        <w:rPr>
          <w:rFonts w:hint="eastAsia" w:hAnsi="宋体" w:cs="仿宋_GB2312"/>
          <w:color w:val="auto"/>
          <w:sz w:val="24"/>
          <w:szCs w:val="24"/>
          <w:highlight w:val="none"/>
          <w:u w:val="single"/>
          <w:lang w:val="en-US" w:eastAsia="zh-CN"/>
        </w:rPr>
        <w:t xml:space="preserve">        </w:t>
      </w:r>
      <w:r>
        <w:rPr>
          <w:rFonts w:hint="eastAsia" w:hAnsi="宋体" w:cs="仿宋_GB2312"/>
          <w:color w:val="auto"/>
          <w:sz w:val="24"/>
          <w:szCs w:val="24"/>
          <w:highlight w:val="none"/>
        </w:rPr>
        <w:t>（加盖公章）</w:t>
      </w:r>
    </w:p>
    <w:p w14:paraId="7C2C9174">
      <w:pPr>
        <w:spacing w:line="360" w:lineRule="auto"/>
        <w:ind w:firstLine="638" w:firstLineChars="266"/>
        <w:rPr>
          <w:rFonts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bCs/>
          <w:color w:val="auto"/>
          <w:sz w:val="24"/>
          <w:highlight w:val="none"/>
        </w:rPr>
        <w:t>（签字或盖章）</w:t>
      </w:r>
    </w:p>
    <w:p w14:paraId="3C7D05DF">
      <w:pPr>
        <w:spacing w:line="360" w:lineRule="auto"/>
        <w:rPr>
          <w:rFonts w:hint="eastAsia" w:ascii="宋体" w:hAnsi="宋体" w:cs="宋体"/>
          <w:color w:val="auto"/>
          <w:sz w:val="24"/>
          <w:highlight w:val="none"/>
          <w:lang w:val="zh-CN"/>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年    月     日</w:t>
      </w:r>
    </w:p>
    <w:p w14:paraId="784D1F44">
      <w:pPr>
        <w:spacing w:line="360" w:lineRule="auto"/>
        <w:rPr>
          <w:rFonts w:hint="eastAsia" w:ascii="宋体" w:hAnsi="宋体" w:cs="宋体"/>
          <w:color w:val="auto"/>
          <w:sz w:val="24"/>
          <w:highlight w:val="none"/>
          <w:lang w:val="zh-CN"/>
        </w:rPr>
      </w:pPr>
    </w:p>
    <w:p w14:paraId="25A4F36A">
      <w:pPr>
        <w:spacing w:line="360" w:lineRule="auto"/>
        <w:rPr>
          <w:rFonts w:hint="eastAsia" w:ascii="宋体" w:hAnsi="宋体" w:cs="宋体"/>
          <w:color w:val="auto"/>
          <w:sz w:val="24"/>
          <w:highlight w:val="none"/>
          <w:lang w:val="zh-CN"/>
        </w:rPr>
      </w:pPr>
    </w:p>
    <w:p w14:paraId="55519997">
      <w:pPr>
        <w:spacing w:line="360" w:lineRule="auto"/>
        <w:rPr>
          <w:rFonts w:hint="eastAsia" w:ascii="宋体" w:hAnsi="宋体" w:cs="宋体"/>
          <w:color w:val="auto"/>
          <w:sz w:val="24"/>
          <w:highlight w:val="none"/>
          <w:lang w:val="zh-CN"/>
        </w:rPr>
      </w:pPr>
    </w:p>
    <w:p w14:paraId="7E52D47F">
      <w:pPr>
        <w:spacing w:line="360" w:lineRule="auto"/>
        <w:rPr>
          <w:rFonts w:hint="eastAsia" w:ascii="宋体" w:hAnsi="宋体" w:cs="宋体"/>
          <w:color w:val="auto"/>
          <w:sz w:val="24"/>
          <w:highlight w:val="none"/>
          <w:lang w:val="zh-CN"/>
        </w:rPr>
      </w:pPr>
    </w:p>
    <w:p w14:paraId="33DF16DF">
      <w:pPr>
        <w:spacing w:line="360" w:lineRule="auto"/>
        <w:rPr>
          <w:rFonts w:hint="eastAsia" w:ascii="宋体" w:hAnsi="宋体" w:cs="宋体"/>
          <w:color w:val="auto"/>
          <w:sz w:val="24"/>
          <w:highlight w:val="none"/>
          <w:lang w:val="zh-CN"/>
        </w:rPr>
      </w:pPr>
    </w:p>
    <w:p w14:paraId="3FDD21EA">
      <w:pPr>
        <w:spacing w:line="360" w:lineRule="auto"/>
        <w:rPr>
          <w:rFonts w:hint="eastAsia" w:ascii="宋体" w:hAnsi="宋体" w:cs="宋体"/>
          <w:color w:val="auto"/>
          <w:sz w:val="24"/>
          <w:highlight w:val="none"/>
          <w:lang w:val="zh-CN"/>
        </w:rPr>
      </w:pPr>
    </w:p>
    <w:p w14:paraId="61C0AB83">
      <w:pPr>
        <w:spacing w:line="360" w:lineRule="auto"/>
        <w:rPr>
          <w:rFonts w:hint="eastAsia" w:ascii="宋体" w:hAnsi="宋体" w:cs="宋体"/>
          <w:color w:val="auto"/>
          <w:sz w:val="24"/>
          <w:highlight w:val="none"/>
          <w:lang w:val="zh-CN"/>
        </w:rPr>
      </w:pPr>
    </w:p>
    <w:p w14:paraId="41CDD644">
      <w:pPr>
        <w:keepNext w:val="0"/>
        <w:keepLines w:val="0"/>
        <w:pageBreakBefore w:val="0"/>
        <w:widowControl w:val="0"/>
        <w:kinsoku/>
        <w:wordWrap/>
        <w:overflowPunct/>
        <w:topLinePunct w:val="0"/>
        <w:autoSpaceDE/>
        <w:autoSpaceDN/>
        <w:bidi w:val="0"/>
        <w:adjustRightInd/>
        <w:spacing w:line="420" w:lineRule="exact"/>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技术参数证明材料附后：</w:t>
      </w:r>
    </w:p>
    <w:p w14:paraId="081DD6A1">
      <w:r>
        <w:br w:type="page"/>
      </w:r>
    </w:p>
    <w:p w14:paraId="114D5D06">
      <w:pPr>
        <w:spacing w:line="360" w:lineRule="auto"/>
        <w:jc w:val="center"/>
        <w:outlineLvl w:val="1"/>
        <w:rPr>
          <w:rFonts w:hint="eastAsia" w:ascii="宋体" w:hAnsi="宋体" w:eastAsia="宋体" w:cs="宋体"/>
          <w:b/>
          <w:bCs w:val="0"/>
          <w:color w:val="auto"/>
          <w:kern w:val="2"/>
          <w:sz w:val="28"/>
          <w:szCs w:val="28"/>
          <w:highlight w:val="none"/>
          <w:lang w:val="en-US" w:eastAsia="zh-CN" w:bidi="ar-SA"/>
        </w:rPr>
      </w:pPr>
      <w:bookmarkStart w:id="225" w:name="_Toc3828_WPSOffice_Level1"/>
      <w:bookmarkStart w:id="226" w:name="_Toc23210_WPSOffice_Level1"/>
      <w:bookmarkStart w:id="227" w:name="_Toc19751"/>
      <w:bookmarkStart w:id="228" w:name="_Toc24564"/>
      <w:r>
        <w:rPr>
          <w:rFonts w:hint="eastAsia" w:ascii="宋体" w:hAnsi="宋体" w:cs="宋体"/>
          <w:b/>
          <w:bCs w:val="0"/>
          <w:color w:val="auto"/>
          <w:kern w:val="2"/>
          <w:sz w:val="28"/>
          <w:szCs w:val="28"/>
          <w:highlight w:val="none"/>
          <w:lang w:val="en-US" w:eastAsia="zh-CN" w:bidi="ar-SA"/>
        </w:rPr>
        <w:t>五</w:t>
      </w:r>
      <w:r>
        <w:rPr>
          <w:rFonts w:hint="eastAsia" w:ascii="宋体" w:hAnsi="宋体" w:eastAsia="宋体" w:cs="宋体"/>
          <w:b/>
          <w:bCs w:val="0"/>
          <w:color w:val="auto"/>
          <w:kern w:val="2"/>
          <w:sz w:val="28"/>
          <w:szCs w:val="28"/>
          <w:highlight w:val="none"/>
          <w:lang w:val="en-US" w:eastAsia="zh-CN" w:bidi="ar-SA"/>
        </w:rPr>
        <w:t>、</w:t>
      </w:r>
      <w:bookmarkEnd w:id="225"/>
      <w:bookmarkEnd w:id="226"/>
      <w:r>
        <w:rPr>
          <w:rFonts w:hint="eastAsia" w:ascii="宋体" w:hAnsi="宋体" w:eastAsia="宋体" w:cs="宋体"/>
          <w:b/>
          <w:bCs w:val="0"/>
          <w:color w:val="auto"/>
          <w:kern w:val="2"/>
          <w:sz w:val="28"/>
          <w:szCs w:val="28"/>
          <w:highlight w:val="none"/>
          <w:lang w:val="en-US" w:eastAsia="zh-CN" w:bidi="ar-SA"/>
        </w:rPr>
        <w:t>投标承诺函</w:t>
      </w:r>
      <w:bookmarkEnd w:id="227"/>
      <w:bookmarkEnd w:id="228"/>
    </w:p>
    <w:p w14:paraId="0EDD6EA6">
      <w:pPr>
        <w:keepNext w:val="0"/>
        <w:keepLines w:val="0"/>
        <w:pageBreakBefore w:val="0"/>
        <w:widowControl w:val="0"/>
        <w:kinsoku/>
        <w:wordWrap/>
        <w:overflowPunct/>
        <w:topLinePunct w:val="0"/>
        <w:bidi w:val="0"/>
        <w:snapToGrid/>
        <w:spacing w:after="0" w:line="360" w:lineRule="auto"/>
        <w:jc w:val="center"/>
        <w:textAlignment w:val="auto"/>
        <w:rPr>
          <w:rFonts w:ascii="宋体" w:hAnsi="宋体"/>
          <w:b/>
          <w:bCs/>
          <w:color w:val="auto"/>
          <w:sz w:val="27"/>
          <w:szCs w:val="22"/>
          <w:highlight w:val="none"/>
        </w:rPr>
      </w:pPr>
      <w:r>
        <w:rPr>
          <w:rFonts w:hint="eastAsia" w:ascii="宋体" w:hAnsi="宋体"/>
          <w:b/>
          <w:bCs/>
          <w:color w:val="auto"/>
          <w:sz w:val="27"/>
          <w:szCs w:val="22"/>
          <w:highlight w:val="none"/>
        </w:rPr>
        <w:t>投标承诺函</w:t>
      </w:r>
    </w:p>
    <w:p w14:paraId="63455F8F">
      <w:pPr>
        <w:keepNext w:val="0"/>
        <w:keepLines w:val="0"/>
        <w:pageBreakBefore w:val="0"/>
        <w:widowControl w:val="0"/>
        <w:tabs>
          <w:tab w:val="left" w:pos="0"/>
        </w:tabs>
        <w:kinsoku/>
        <w:wordWrap/>
        <w:overflowPunct/>
        <w:topLinePunct w:val="0"/>
        <w:bidi w:val="0"/>
        <w:snapToGrid/>
        <w:spacing w:after="0" w:line="360" w:lineRule="auto"/>
        <w:ind w:right="-26"/>
        <w:jc w:val="left"/>
        <w:textAlignment w:val="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（采购人名称）：</w:t>
      </w:r>
    </w:p>
    <w:p w14:paraId="3AF08628">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1、完全理解和接受</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的一切规定和要求。</w:t>
      </w:r>
    </w:p>
    <w:p w14:paraId="2E817FD9">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2、投标报价在投标有效期和合同有效期内，该报价固定不变。</w:t>
      </w:r>
    </w:p>
    <w:p w14:paraId="3AD0AC82">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3、若中标，我方将按照</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的具体规定与项目法人签订合同，并且严格履行合同义务，按时交货，为</w:t>
      </w:r>
      <w:r>
        <w:rPr>
          <w:rFonts w:hint="eastAsia" w:ascii="宋体" w:hAnsi="宋体"/>
          <w:color w:val="auto"/>
          <w:sz w:val="24"/>
          <w:szCs w:val="24"/>
          <w:highlight w:val="none"/>
          <w:lang w:eastAsia="zh-CN"/>
        </w:rPr>
        <w:t>项目</w:t>
      </w:r>
      <w:r>
        <w:rPr>
          <w:rFonts w:hint="eastAsia" w:ascii="宋体" w:hAnsi="宋体"/>
          <w:color w:val="auto"/>
          <w:sz w:val="24"/>
          <w:szCs w:val="24"/>
          <w:highlight w:val="none"/>
        </w:rPr>
        <w:t>提供优质的服务。如果在合同执行过程中，发现质量问题，我方一定尽快更换，并承诺相应的经济责任。</w:t>
      </w:r>
    </w:p>
    <w:p w14:paraId="08E28EED">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4、在整个招标过程中，我方若有违规行为，贵方可按</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之规定给予惩罚，我方完全接受。</w:t>
      </w:r>
    </w:p>
    <w:p w14:paraId="1594B254">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若中标，我方将严格按照磋商文件的规定及时、足额向招标代理机构支付代理服务费。</w:t>
      </w:r>
    </w:p>
    <w:p w14:paraId="1590157A">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若中标，本承诺函将成为合同不可分割的一部分。与合同具有同等的法律效力。</w:t>
      </w:r>
    </w:p>
    <w:p w14:paraId="6B6942F0">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color w:val="auto"/>
          <w:sz w:val="24"/>
          <w:szCs w:val="24"/>
          <w:highlight w:val="none"/>
        </w:rPr>
      </w:pPr>
    </w:p>
    <w:p w14:paraId="0E298895">
      <w:pPr>
        <w:keepNext w:val="0"/>
        <w:keepLines w:val="0"/>
        <w:pageBreakBefore w:val="0"/>
        <w:widowControl w:val="0"/>
        <w:tabs>
          <w:tab w:val="left" w:pos="0"/>
        </w:tabs>
        <w:kinsoku/>
        <w:wordWrap/>
        <w:overflowPunct/>
        <w:topLinePunct w:val="0"/>
        <w:bidi w:val="0"/>
        <w:snapToGrid/>
        <w:spacing w:after="0" w:line="360" w:lineRule="auto"/>
        <w:ind w:left="-26" w:right="-26" w:firstLine="501" w:firstLineChars="209"/>
        <w:jc w:val="left"/>
        <w:textAlignment w:val="auto"/>
        <w:rPr>
          <w:rFonts w:ascii="宋体" w:hAnsi="宋体"/>
          <w:color w:val="auto"/>
          <w:sz w:val="24"/>
          <w:szCs w:val="24"/>
          <w:highlight w:val="none"/>
        </w:rPr>
      </w:pPr>
    </w:p>
    <w:p w14:paraId="1664430B">
      <w:pPr>
        <w:pStyle w:val="13"/>
        <w:spacing w:line="360" w:lineRule="auto"/>
        <w:ind w:left="5539" w:leftChars="2302" w:right="57" w:hanging="705" w:hangingChars="294"/>
        <w:rPr>
          <w:rFonts w:hAnsi="宋体" w:cs="仿宋_GB2312"/>
          <w:b/>
          <w:bCs/>
          <w:color w:val="auto"/>
          <w:sz w:val="24"/>
          <w:szCs w:val="24"/>
          <w:highlight w:val="none"/>
        </w:rPr>
      </w:pPr>
      <w:r>
        <w:rPr>
          <w:rFonts w:hint="eastAsia" w:hAnsi="宋体" w:cs="仿宋_GB2312"/>
          <w:color w:val="auto"/>
          <w:sz w:val="24"/>
          <w:szCs w:val="24"/>
          <w:highlight w:val="none"/>
          <w:lang w:eastAsia="zh-CN"/>
        </w:rPr>
        <w:t>供应商</w:t>
      </w:r>
      <w:r>
        <w:rPr>
          <w:rFonts w:hint="eastAsia" w:hAnsi="宋体" w:cs="仿宋_GB2312"/>
          <w:color w:val="auto"/>
          <w:sz w:val="24"/>
          <w:szCs w:val="24"/>
          <w:highlight w:val="none"/>
        </w:rPr>
        <w:t>名称</w:t>
      </w:r>
      <w:r>
        <w:rPr>
          <w:rFonts w:hint="eastAsia" w:hAnsi="宋体" w:cs="仿宋_GB2312"/>
          <w:color w:val="auto"/>
          <w:sz w:val="24"/>
          <w:szCs w:val="24"/>
          <w:highlight w:val="none"/>
          <w:lang w:eastAsia="zh-CN"/>
        </w:rPr>
        <w:t>：</w:t>
      </w:r>
      <w:r>
        <w:rPr>
          <w:rFonts w:hint="eastAsia" w:hAnsi="宋体" w:cs="仿宋_GB2312"/>
          <w:color w:val="auto"/>
          <w:sz w:val="24"/>
          <w:szCs w:val="24"/>
          <w:highlight w:val="none"/>
          <w:u w:val="single"/>
          <w:lang w:val="en-US" w:eastAsia="zh-CN"/>
        </w:rPr>
        <w:t xml:space="preserve">        </w:t>
      </w:r>
      <w:r>
        <w:rPr>
          <w:rFonts w:hint="eastAsia" w:hAnsi="宋体" w:cs="仿宋_GB2312"/>
          <w:color w:val="auto"/>
          <w:sz w:val="24"/>
          <w:szCs w:val="24"/>
          <w:highlight w:val="none"/>
        </w:rPr>
        <w:t>（加盖公章）</w:t>
      </w:r>
    </w:p>
    <w:p w14:paraId="5161D8E9">
      <w:pPr>
        <w:spacing w:line="360" w:lineRule="auto"/>
        <w:ind w:firstLine="638" w:firstLineChars="266"/>
        <w:rPr>
          <w:rFonts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bCs/>
          <w:color w:val="auto"/>
          <w:sz w:val="24"/>
          <w:highlight w:val="none"/>
        </w:rPr>
        <w:t>（签字或盖章）</w:t>
      </w:r>
    </w:p>
    <w:p w14:paraId="464307B1">
      <w:pPr>
        <w:rPr>
          <w:rFonts w:hint="eastAsia" w:ascii="Times New Roman" w:hAnsi="Times New Roman" w:eastAsia="宋体" w:cs="Times New Roman"/>
          <w:color w:val="auto"/>
          <w:sz w:val="24"/>
          <w:highlight w:val="none"/>
          <w:lang w:val="zh-CN"/>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年    月     日</w:t>
      </w:r>
      <w:r>
        <w:rPr>
          <w:rFonts w:hint="eastAsia" w:ascii="Times New Roman" w:hAnsi="Times New Roman" w:eastAsia="宋体" w:cs="Times New Roman"/>
          <w:color w:val="auto"/>
          <w:sz w:val="24"/>
          <w:highlight w:val="none"/>
          <w:lang w:val="zh-CN"/>
        </w:rPr>
        <w:br w:type="page"/>
      </w:r>
    </w:p>
    <w:p w14:paraId="1F3D9245">
      <w:pPr>
        <w:pStyle w:val="5"/>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六</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资格性证明材料</w:t>
      </w:r>
    </w:p>
    <w:p w14:paraId="7003EA97">
      <w:pPr>
        <w:jc w:val="center"/>
        <w:rPr>
          <w:rFonts w:hint="eastAsia" w:eastAsia="宋体"/>
          <w:color w:val="auto"/>
          <w:sz w:val="24"/>
          <w:szCs w:val="24"/>
          <w:highlight w:val="none"/>
          <w:lang w:eastAsia="zh-CN"/>
        </w:rPr>
      </w:pPr>
      <w:r>
        <w:rPr>
          <w:rFonts w:hint="eastAsia" w:ascii="宋体" w:hAnsi="宋体" w:cs="仿宋_GB2312"/>
          <w:color w:val="auto"/>
          <w:sz w:val="24"/>
          <w:szCs w:val="24"/>
          <w:highlight w:val="none"/>
          <w:lang w:eastAsia="zh-CN"/>
        </w:rPr>
        <w:t>（按照磋商公告要求逐一提供并加盖单位公章）</w:t>
      </w:r>
    </w:p>
    <w:p w14:paraId="137F27F8">
      <w:pPr>
        <w:rPr>
          <w:rFonts w:hint="eastAsia"/>
          <w:color w:val="auto"/>
          <w:highlight w:val="none"/>
          <w:lang w:val="en-US" w:eastAsia="zh-CN"/>
        </w:rPr>
      </w:pPr>
      <w:r>
        <w:rPr>
          <w:rFonts w:hint="eastAsia"/>
          <w:color w:val="auto"/>
          <w:highlight w:val="none"/>
          <w:lang w:val="en-US" w:eastAsia="zh-CN"/>
        </w:rPr>
        <w:br w:type="page"/>
      </w:r>
    </w:p>
    <w:p w14:paraId="5FC880A2">
      <w:pPr>
        <w:pStyle w:val="5"/>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、商务部分资料</w:t>
      </w:r>
    </w:p>
    <w:p w14:paraId="3DB3EE63">
      <w:pPr>
        <w:jc w:val="center"/>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格式自拟</w:t>
      </w: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加盖单位公章</w:t>
      </w:r>
      <w:r>
        <w:rPr>
          <w:rFonts w:hint="eastAsia" w:ascii="宋体" w:hAnsi="宋体" w:cs="仿宋_GB2312"/>
          <w:color w:val="auto"/>
          <w:sz w:val="24"/>
          <w:szCs w:val="24"/>
          <w:highlight w:val="none"/>
          <w:lang w:val="en-US" w:eastAsia="zh-CN"/>
        </w:rPr>
        <w:t>)</w:t>
      </w:r>
    </w:p>
    <w:p w14:paraId="1F1869EC">
      <w:pPr>
        <w:pStyle w:val="39"/>
        <w:rPr>
          <w:rFonts w:hint="eastAsia" w:ascii="宋体" w:hAnsi="宋体" w:cs="仿宋_GB2312"/>
          <w:color w:val="auto"/>
          <w:sz w:val="24"/>
          <w:szCs w:val="24"/>
          <w:highlight w:val="none"/>
          <w:lang w:val="en-US" w:eastAsia="zh-CN"/>
        </w:rPr>
      </w:pPr>
    </w:p>
    <w:p w14:paraId="2ECDAB1D">
      <w:pPr>
        <w:rPr>
          <w:rFonts w:hint="eastAsia" w:ascii="宋体" w:hAnsi="宋体" w:cs="仿宋_GB2312"/>
          <w:color w:val="auto"/>
          <w:sz w:val="24"/>
          <w:szCs w:val="24"/>
          <w:highlight w:val="none"/>
          <w:lang w:val="en-US" w:eastAsia="zh-CN"/>
        </w:rPr>
      </w:pPr>
    </w:p>
    <w:p w14:paraId="4E5662C7">
      <w:pPr>
        <w:pStyle w:val="39"/>
        <w:rPr>
          <w:rFonts w:hint="eastAsia"/>
          <w:lang w:val="en-US" w:eastAsia="zh-CN"/>
        </w:rPr>
      </w:pPr>
    </w:p>
    <w:p w14:paraId="37D28CD3">
      <w:pPr>
        <w:pStyle w:val="39"/>
        <w:numPr>
          <w:ilvl w:val="0"/>
          <w:numId w:val="0"/>
        </w:numPr>
        <w:ind w:firstLine="3120" w:firstLineChars="1300"/>
        <w:jc w:val="both"/>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sz w:val="24"/>
          <w:lang w:val="en-US" w:eastAsia="zh-CN"/>
        </w:rPr>
        <w:t>一、</w:t>
      </w:r>
      <w:r>
        <w:rPr>
          <w:rFonts w:hint="eastAsia" w:ascii="宋体" w:hAnsi="宋体" w:eastAsia="宋体" w:cs="仿宋_GB2312"/>
          <w:color w:val="auto"/>
          <w:kern w:val="2"/>
          <w:sz w:val="24"/>
          <w:szCs w:val="24"/>
          <w:highlight w:val="none"/>
          <w:lang w:val="en-US" w:eastAsia="zh-CN" w:bidi="ar-SA"/>
        </w:rPr>
        <w:t>业绩</w:t>
      </w:r>
    </w:p>
    <w:p w14:paraId="2F10E70C">
      <w:pPr>
        <w:spacing w:line="360" w:lineRule="auto"/>
        <w:ind w:firstLine="3120" w:firstLineChars="130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仿宋_GB2312"/>
          <w:color w:val="auto"/>
          <w:kern w:val="2"/>
          <w:sz w:val="24"/>
          <w:szCs w:val="24"/>
          <w:highlight w:val="none"/>
          <w:lang w:val="en-US" w:eastAsia="zh-CN" w:bidi="ar-SA"/>
        </w:rPr>
        <w:t>售后服务方案</w:t>
      </w:r>
    </w:p>
    <w:p w14:paraId="1A6705BF">
      <w:pPr>
        <w:pStyle w:val="39"/>
        <w:rPr>
          <w:rFonts w:hint="default"/>
          <w:lang w:val="en-US" w:eastAsia="zh-CN"/>
        </w:rPr>
      </w:pPr>
    </w:p>
    <w:p w14:paraId="734E4F54">
      <w:pPr>
        <w:rPr>
          <w:rFonts w:hint="eastAsia"/>
          <w:color w:val="auto"/>
          <w:highlight w:val="none"/>
          <w:lang w:val="en-US" w:eastAsia="zh-CN"/>
        </w:rPr>
      </w:pPr>
      <w:r>
        <w:rPr>
          <w:rFonts w:hint="eastAsia"/>
          <w:color w:val="auto"/>
          <w:highlight w:val="none"/>
          <w:lang w:val="en-US" w:eastAsia="zh-CN"/>
        </w:rPr>
        <w:br w:type="page"/>
      </w:r>
    </w:p>
    <w:p w14:paraId="3825F4A0">
      <w:pPr>
        <w:pStyle w:val="5"/>
        <w:spacing w:line="360" w:lineRule="auto"/>
        <w:jc w:val="center"/>
        <w:rPr>
          <w:rFonts w:hint="eastAsia" w:ascii="宋体" w:hAnsi="宋体" w:cs="仿宋_GB2312"/>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、技术部分资料</w:t>
      </w:r>
    </w:p>
    <w:p w14:paraId="40DEBBBD">
      <w:pPr>
        <w:pStyle w:val="74"/>
        <w:ind w:left="0" w:leftChars="0" w:firstLine="0" w:firstLineChars="0"/>
        <w:jc w:val="center"/>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格式自拟</w:t>
      </w: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加盖单位公章</w:t>
      </w:r>
      <w:r>
        <w:rPr>
          <w:rFonts w:hint="eastAsia" w:ascii="宋体" w:hAnsi="宋体" w:cs="仿宋_GB2312"/>
          <w:color w:val="auto"/>
          <w:sz w:val="24"/>
          <w:szCs w:val="24"/>
          <w:highlight w:val="none"/>
          <w:lang w:val="en-US" w:eastAsia="zh-CN"/>
        </w:rPr>
        <w:t>)</w:t>
      </w:r>
    </w:p>
    <w:p w14:paraId="1B93EA2F">
      <w:pPr>
        <w:pStyle w:val="74"/>
        <w:ind w:left="0" w:leftChars="0" w:firstLine="0" w:firstLineChars="0"/>
        <w:jc w:val="center"/>
        <w:rPr>
          <w:rFonts w:hint="eastAsia" w:ascii="宋体" w:hAnsi="宋体" w:cs="仿宋_GB2312"/>
          <w:color w:val="auto"/>
          <w:sz w:val="24"/>
          <w:szCs w:val="24"/>
          <w:highlight w:val="none"/>
          <w:lang w:val="en-US" w:eastAsia="zh-CN"/>
        </w:rPr>
      </w:pPr>
    </w:p>
    <w:p w14:paraId="330108E2">
      <w:pPr>
        <w:pStyle w:val="74"/>
        <w:ind w:left="0" w:leftChars="0" w:firstLine="0" w:firstLineChars="0"/>
        <w:jc w:val="center"/>
        <w:rPr>
          <w:rFonts w:hint="eastAsia" w:ascii="宋体" w:hAnsi="宋体" w:cs="仿宋_GB2312"/>
          <w:color w:val="auto"/>
          <w:sz w:val="24"/>
          <w:szCs w:val="24"/>
          <w:highlight w:val="none"/>
          <w:lang w:val="en-US" w:eastAsia="zh-CN"/>
        </w:rPr>
      </w:pPr>
    </w:p>
    <w:p w14:paraId="23D22F53">
      <w:pPr>
        <w:spacing w:line="360" w:lineRule="auto"/>
        <w:ind w:firstLine="3360" w:firstLineChars="1400"/>
        <w:jc w:val="left"/>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培训方案</w:t>
      </w:r>
    </w:p>
    <w:p w14:paraId="33BC515E">
      <w:pPr>
        <w:spacing w:line="360" w:lineRule="auto"/>
        <w:ind w:firstLine="3360" w:firstLineChars="1400"/>
        <w:jc w:val="left"/>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color w:val="auto"/>
          <w:sz w:val="24"/>
          <w:szCs w:val="24"/>
          <w:highlight w:val="none"/>
          <w:shd w:val="clear" w:color="auto" w:fill="FFFFFF"/>
          <w:lang w:val="en-US" w:eastAsia="zh-CN"/>
        </w:rPr>
        <w:t>供货</w:t>
      </w:r>
      <w:r>
        <w:rPr>
          <w:rFonts w:hint="eastAsia" w:ascii="宋体" w:hAnsi="宋体" w:eastAsia="宋体" w:cs="宋体"/>
          <w:color w:val="auto"/>
          <w:sz w:val="24"/>
          <w:szCs w:val="24"/>
          <w:highlight w:val="none"/>
          <w:shd w:val="clear" w:color="auto" w:fill="FFFFFF"/>
        </w:rPr>
        <w:t>、调试实施</w:t>
      </w:r>
      <w:r>
        <w:rPr>
          <w:rFonts w:hint="eastAsia" w:ascii="宋体" w:hAnsi="宋体" w:eastAsia="宋体" w:cs="宋体"/>
          <w:sz w:val="24"/>
        </w:rPr>
        <w:t>方案</w:t>
      </w:r>
    </w:p>
    <w:p w14:paraId="0032B2A2">
      <w:pPr>
        <w:pStyle w:val="74"/>
        <w:ind w:left="0" w:leftChars="0" w:firstLine="0" w:firstLineChars="0"/>
        <w:jc w:val="center"/>
        <w:rPr>
          <w:rFonts w:hint="eastAsia" w:ascii="宋体" w:hAnsi="宋体" w:cs="仿宋_GB2312"/>
          <w:color w:val="auto"/>
          <w:sz w:val="24"/>
          <w:szCs w:val="24"/>
          <w:highlight w:val="none"/>
          <w:lang w:val="en-US" w:eastAsia="zh-CN"/>
        </w:rPr>
      </w:pPr>
    </w:p>
    <w:p w14:paraId="73156C96">
      <w:pPr>
        <w:rPr>
          <w:rFonts w:hint="eastAsia"/>
          <w:color w:val="auto"/>
          <w:highlight w:val="none"/>
          <w:lang w:val="en-US" w:eastAsia="zh-CN"/>
        </w:rPr>
      </w:pPr>
      <w:r>
        <w:rPr>
          <w:rFonts w:hint="eastAsia"/>
          <w:color w:val="auto"/>
          <w:highlight w:val="none"/>
          <w:lang w:val="en-US" w:eastAsia="zh-CN"/>
        </w:rPr>
        <w:br w:type="page"/>
      </w:r>
    </w:p>
    <w:p w14:paraId="606BC8EF">
      <w:pPr>
        <w:pStyle w:val="5"/>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、其他资料</w:t>
      </w:r>
    </w:p>
    <w:p w14:paraId="7A55AF93">
      <w:pPr>
        <w:jc w:val="center"/>
        <w:rPr>
          <w:rFonts w:hint="default"/>
          <w:color w:val="auto"/>
          <w:highlight w:val="none"/>
          <w:lang w:val="en-US" w:eastAsia="zh-CN"/>
        </w:rPr>
      </w:pPr>
      <w:r>
        <w:rPr>
          <w:rFonts w:hint="eastAsia" w:ascii="宋体" w:hAnsi="宋体" w:cs="仿宋_GB2312"/>
          <w:color w:val="auto"/>
          <w:sz w:val="28"/>
          <w:szCs w:val="28"/>
          <w:highlight w:val="none"/>
          <w:lang w:val="en-US" w:eastAsia="zh-CN"/>
        </w:rPr>
        <w:t>(供应商认为需要提供的其他资料)</w:t>
      </w:r>
    </w:p>
    <w:p w14:paraId="2415D83A">
      <w:pPr>
        <w:rPr>
          <w:rFonts w:hint="eastAsia"/>
          <w:color w:val="auto"/>
          <w:highlight w:val="none"/>
          <w:lang w:val="en-US" w:eastAsia="zh-CN"/>
        </w:rPr>
      </w:pPr>
      <w:r>
        <w:rPr>
          <w:rFonts w:hint="eastAsia"/>
          <w:color w:val="auto"/>
          <w:highlight w:val="none"/>
          <w:lang w:val="en-US" w:eastAsia="zh-CN"/>
        </w:rPr>
        <w:br w:type="page"/>
      </w:r>
    </w:p>
    <w:p w14:paraId="0ED891A5">
      <w:pPr>
        <w:jc w:val="center"/>
        <w:rPr>
          <w:rFonts w:hint="eastAsia"/>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w:t>
      </w:r>
      <w:r>
        <w:rPr>
          <w:rFonts w:hint="eastAsia"/>
          <w:b/>
          <w:bCs/>
          <w:color w:val="auto"/>
          <w:sz w:val="28"/>
          <w:szCs w:val="28"/>
          <w:highlight w:val="none"/>
        </w:rPr>
        <w:t>中小企业声明函（货物）</w:t>
      </w:r>
    </w:p>
    <w:p w14:paraId="19CF2AB1">
      <w:pPr>
        <w:jc w:val="center"/>
        <w:rPr>
          <w:rFonts w:hint="eastAsia"/>
          <w:b/>
          <w:bCs/>
          <w:color w:val="auto"/>
          <w:sz w:val="28"/>
          <w:szCs w:val="28"/>
          <w:highlight w:val="none"/>
        </w:rPr>
      </w:pPr>
    </w:p>
    <w:p w14:paraId="435EFA90">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 xml:space="preserve">本公司（联合体）郑重声明，根据《政府采购促进中小 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14:paraId="4538B4D2">
      <w:pPr>
        <w:numPr>
          <w:ilvl w:val="0"/>
          <w:numId w:val="4"/>
        </w:num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（标的名称）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，属于（</w:t>
      </w:r>
      <w:r>
        <w:rPr>
          <w:rFonts w:hint="eastAsia" w:ascii="宋体" w:hAnsi="宋体" w:cs="仿宋_GB2312"/>
          <w:color w:val="auto"/>
          <w:sz w:val="24"/>
          <w:highlight w:val="none"/>
          <w:lang w:eastAsia="zh-CN"/>
        </w:rPr>
        <w:t>磋商文件</w:t>
      </w:r>
      <w:r>
        <w:rPr>
          <w:rFonts w:hint="eastAsia" w:ascii="宋体" w:hAnsi="宋体" w:cs="仿宋_GB2312"/>
          <w:color w:val="auto"/>
          <w:sz w:val="24"/>
          <w:highlight w:val="none"/>
        </w:rPr>
        <w:t>中明确的所属行业）</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行业；制造商为（企业名称）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，从业人员</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人，营业收入为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万元，资产总额为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万元属于（中型企业、小型企业、微型企业）； </w:t>
      </w:r>
    </w:p>
    <w:p w14:paraId="6EAE3D98">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2. （标的名称）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，属于（</w:t>
      </w:r>
      <w:r>
        <w:rPr>
          <w:rFonts w:hint="eastAsia" w:ascii="宋体" w:hAnsi="宋体" w:cs="仿宋_GB2312"/>
          <w:color w:val="auto"/>
          <w:sz w:val="24"/>
          <w:highlight w:val="none"/>
          <w:lang w:eastAsia="zh-CN"/>
        </w:rPr>
        <w:t>磋商文件</w:t>
      </w:r>
      <w:r>
        <w:rPr>
          <w:rFonts w:hint="eastAsia" w:ascii="宋体" w:hAnsi="宋体" w:cs="仿宋_GB2312"/>
          <w:color w:val="auto"/>
          <w:sz w:val="24"/>
          <w:highlight w:val="none"/>
        </w:rPr>
        <w:t>中明确的所属行业）</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行业；制造商为（企业名称）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，从业人员</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人，营业收入为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万元，资产总额为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万元属于（中型企业、小型企业、微型企业）； </w:t>
      </w:r>
    </w:p>
    <w:p w14:paraId="070FD1DE">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w:t>
      </w:r>
    </w:p>
    <w:p w14:paraId="200C4545">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以上企业，不属于大企业的分支机构，不存在控股股东为大企业的情形，也不存在与大企业的负责人为同一人的情形。</w:t>
      </w:r>
    </w:p>
    <w:p w14:paraId="0259B122">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 xml:space="preserve">本企业对上述声明内容的真实性负责。如有虚假，将依法承担相应责任。 </w:t>
      </w:r>
    </w:p>
    <w:p w14:paraId="43461017">
      <w:pPr>
        <w:snapToGrid w:val="0"/>
        <w:spacing w:line="560" w:lineRule="exact"/>
        <w:ind w:firstLine="4468" w:firstLineChars="1862"/>
        <w:rPr>
          <w:rFonts w:hint="eastAsia" w:ascii="宋体" w:hAnsi="宋体" w:cs="仿宋_GB2312"/>
          <w:color w:val="auto"/>
          <w:sz w:val="24"/>
          <w:highlight w:val="none"/>
        </w:rPr>
      </w:pPr>
    </w:p>
    <w:p w14:paraId="428C331D">
      <w:pPr>
        <w:snapToGrid w:val="0"/>
        <w:spacing w:line="560" w:lineRule="exact"/>
        <w:ind w:firstLine="4468" w:firstLineChars="1862"/>
        <w:rPr>
          <w:rFonts w:ascii="宋体" w:hAnsi="宋体" w:cs="仿宋_GB2312"/>
          <w:color w:val="auto"/>
          <w:sz w:val="24"/>
          <w:highlight w:val="none"/>
        </w:rPr>
      </w:pPr>
      <w:r>
        <w:rPr>
          <w:rFonts w:hint="eastAsia" w:ascii="宋体" w:hAnsi="宋体" w:cs="仿宋_GB2312"/>
          <w:color w:val="auto"/>
          <w:sz w:val="24"/>
          <w:highlight w:val="none"/>
        </w:rPr>
        <w:t>企业名称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（盖章）</w:t>
      </w:r>
    </w:p>
    <w:p w14:paraId="2B7B488A">
      <w:pPr>
        <w:snapToGrid w:val="0"/>
        <w:spacing w:line="560" w:lineRule="exact"/>
        <w:ind w:firstLine="4468" w:firstLineChars="1862"/>
        <w:rPr>
          <w:rFonts w:ascii="宋体" w:hAnsi="宋体" w:cs="仿宋_GB2312"/>
          <w:color w:val="auto"/>
          <w:sz w:val="24"/>
          <w:highlight w:val="none"/>
        </w:rPr>
      </w:pPr>
      <w:r>
        <w:rPr>
          <w:rFonts w:hint="eastAsia" w:ascii="宋体" w:hAnsi="宋体" w:cs="仿宋_GB2312"/>
          <w:color w:val="auto"/>
          <w:sz w:val="24"/>
          <w:highlight w:val="none"/>
        </w:rPr>
        <w:t xml:space="preserve">日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期： </w:t>
      </w:r>
    </w:p>
    <w:p w14:paraId="778FCCC6">
      <w:pPr>
        <w:widowControl/>
        <w:ind w:firstLine="540" w:firstLineChars="300"/>
        <w:jc w:val="left"/>
        <w:rPr>
          <w:rFonts w:ascii="宋体" w:hAnsi="宋体" w:cs="宋体"/>
          <w:color w:val="auto"/>
          <w:kern w:val="0"/>
          <w:sz w:val="18"/>
          <w:szCs w:val="18"/>
          <w:highlight w:val="none"/>
        </w:rPr>
      </w:pPr>
    </w:p>
    <w:p w14:paraId="7807F594">
      <w:pPr>
        <w:widowControl/>
        <w:ind w:firstLine="540" w:firstLineChars="300"/>
        <w:jc w:val="left"/>
        <w:rPr>
          <w:rFonts w:ascii="宋体" w:hAnsi="宋体" w:cs="宋体"/>
          <w:color w:val="auto"/>
          <w:kern w:val="0"/>
          <w:sz w:val="18"/>
          <w:szCs w:val="18"/>
          <w:highlight w:val="none"/>
        </w:rPr>
      </w:pPr>
    </w:p>
    <w:p w14:paraId="2FE80E3D">
      <w:pPr>
        <w:widowControl/>
        <w:ind w:firstLine="210" w:firstLineChars="100"/>
        <w:jc w:val="both"/>
        <w:rPr>
          <w:color w:val="auto"/>
          <w:sz w:val="21"/>
          <w:szCs w:val="21"/>
          <w:highlight w:val="none"/>
        </w:rPr>
      </w:pPr>
      <w:r>
        <w:rPr>
          <w:rFonts w:hint="eastAsia" w:ascii="宋体" w:hAnsi="宋体" w:cs="宋体"/>
          <w:color w:val="auto"/>
          <w:kern w:val="0"/>
          <w:sz w:val="21"/>
          <w:szCs w:val="21"/>
          <w:highlight w:val="none"/>
        </w:rPr>
        <w:t>从业人员、营业收入、资产总额填报上一年度数据，无上一年度数据的新成立企业可不填报。</w:t>
      </w:r>
    </w:p>
    <w:p w14:paraId="33774D03">
      <w:pPr>
        <w:rPr>
          <w:rFonts w:hint="eastAsia"/>
          <w:color w:val="auto"/>
          <w:sz w:val="21"/>
          <w:szCs w:val="21"/>
          <w:highlight w:val="none"/>
          <w:lang w:val="en-US" w:eastAsia="zh-CN"/>
        </w:rPr>
      </w:pPr>
      <w:r>
        <w:rPr>
          <w:rFonts w:hint="eastAsia"/>
          <w:color w:val="auto"/>
          <w:sz w:val="21"/>
          <w:szCs w:val="21"/>
          <w:highlight w:val="none"/>
          <w:lang w:val="en-US" w:eastAsia="zh-CN"/>
        </w:rPr>
        <w:br w:type="page"/>
      </w:r>
    </w:p>
    <w:p w14:paraId="67F702AF">
      <w:pPr>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附件2、残疾人福利性单位声明函</w:t>
      </w:r>
    </w:p>
    <w:p w14:paraId="10774007">
      <w:pPr>
        <w:pStyle w:val="43"/>
        <w:rPr>
          <w:rFonts w:hint="eastAsia"/>
          <w:color w:val="auto"/>
          <w:sz w:val="28"/>
          <w:szCs w:val="28"/>
          <w:highlight w:val="none"/>
          <w:lang w:val="en-US" w:eastAsia="zh-CN"/>
        </w:rPr>
      </w:pPr>
    </w:p>
    <w:p w14:paraId="52EB5641">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中国残疾人联合会关于促进残疾人就业政府采购 政策的通知》（财库〔2017〕 141 号）的规定，本单位为符合条件的残疾人福利性单位，且本 单位参加</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单位的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66B34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7AEBF776">
      <w:pPr>
        <w:pStyle w:val="6"/>
        <w:rPr>
          <w:color w:val="auto"/>
          <w:sz w:val="24"/>
          <w:szCs w:val="24"/>
          <w:highlight w:val="none"/>
        </w:rPr>
      </w:pPr>
    </w:p>
    <w:p w14:paraId="58725030">
      <w:pPr>
        <w:snapToGrid w:val="0"/>
        <w:spacing w:line="560" w:lineRule="exact"/>
        <w:ind w:firstLine="4468" w:firstLineChars="1862"/>
        <w:rPr>
          <w:rFonts w:ascii="宋体" w:hAnsi="宋体" w:cs="仿宋_GB2312"/>
          <w:color w:val="auto"/>
          <w:sz w:val="24"/>
          <w:highlight w:val="none"/>
        </w:rPr>
      </w:pPr>
      <w:r>
        <w:rPr>
          <w:rFonts w:hint="eastAsia" w:ascii="宋体" w:hAnsi="宋体" w:cs="仿宋_GB2312"/>
          <w:color w:val="auto"/>
          <w:sz w:val="24"/>
          <w:highlight w:val="none"/>
        </w:rPr>
        <w:t>企业名称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（盖章）</w:t>
      </w:r>
    </w:p>
    <w:p w14:paraId="23E5C24E">
      <w:pPr>
        <w:snapToGrid w:val="0"/>
        <w:spacing w:line="560" w:lineRule="exact"/>
        <w:ind w:firstLine="4468" w:firstLineChars="1862"/>
        <w:rPr>
          <w:rFonts w:ascii="宋体" w:hAnsi="宋体" w:cs="仿宋_GB2312"/>
          <w:color w:val="auto"/>
          <w:sz w:val="24"/>
          <w:highlight w:val="none"/>
        </w:rPr>
      </w:pPr>
      <w:r>
        <w:rPr>
          <w:rFonts w:hint="eastAsia" w:ascii="宋体" w:hAnsi="宋体" w:cs="仿宋_GB2312"/>
          <w:color w:val="auto"/>
          <w:sz w:val="24"/>
          <w:highlight w:val="none"/>
        </w:rPr>
        <w:t xml:space="preserve">日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期： </w:t>
      </w:r>
    </w:p>
    <w:p w14:paraId="78E6F792">
      <w:pPr>
        <w:pStyle w:val="6"/>
        <w:rPr>
          <w:color w:val="auto"/>
          <w:highlight w:val="none"/>
        </w:rPr>
      </w:pPr>
    </w:p>
    <w:p w14:paraId="51ECA30C">
      <w:pPr>
        <w:keepNext w:val="0"/>
        <w:keepLines w:val="0"/>
        <w:widowControl/>
        <w:suppressLineNumbers w:val="0"/>
        <w:spacing w:line="360" w:lineRule="auto"/>
        <w:jc w:val="left"/>
        <w:rPr>
          <w:color w:val="auto"/>
          <w:highlight w:val="none"/>
        </w:rPr>
      </w:pPr>
      <w:r>
        <w:rPr>
          <w:rFonts w:hint="eastAsia" w:ascii="宋体" w:hAnsi="宋体" w:eastAsia="宋体" w:cs="宋体"/>
          <w:b/>
          <w:bCs/>
          <w:color w:val="auto"/>
          <w:kern w:val="0"/>
          <w:sz w:val="21"/>
          <w:szCs w:val="21"/>
          <w:highlight w:val="none"/>
          <w:lang w:val="en-US" w:eastAsia="zh-CN" w:bidi="ar"/>
        </w:rPr>
        <w:t>（提醒：如果</w:t>
      </w:r>
      <w:r>
        <w:rPr>
          <w:rFonts w:hint="eastAsia" w:ascii="宋体" w:hAnsi="宋体" w:cs="宋体"/>
          <w:b/>
          <w:bCs/>
          <w:color w:val="auto"/>
          <w:kern w:val="0"/>
          <w:sz w:val="21"/>
          <w:szCs w:val="21"/>
          <w:highlight w:val="none"/>
          <w:lang w:val="en-US" w:eastAsia="zh-CN" w:bidi="ar"/>
        </w:rPr>
        <w:t>供应商</w:t>
      </w:r>
      <w:r>
        <w:rPr>
          <w:rFonts w:hint="eastAsia" w:ascii="宋体" w:hAnsi="宋体" w:eastAsia="宋体" w:cs="宋体"/>
          <w:b/>
          <w:bCs/>
          <w:color w:val="auto"/>
          <w:kern w:val="0"/>
          <w:sz w:val="21"/>
          <w:szCs w:val="21"/>
          <w:highlight w:val="none"/>
          <w:lang w:val="en-US" w:eastAsia="zh-CN" w:bidi="ar"/>
        </w:rPr>
        <w:t>不是残疾人福利性单位，则不需要填写《残疾人福利性单位声明函》。否则，因此导致虚假投标的后果由</w:t>
      </w:r>
      <w:r>
        <w:rPr>
          <w:rFonts w:hint="eastAsia" w:ascii="宋体" w:hAnsi="宋体" w:cs="宋体"/>
          <w:b/>
          <w:bCs/>
          <w:color w:val="auto"/>
          <w:kern w:val="0"/>
          <w:sz w:val="21"/>
          <w:szCs w:val="21"/>
          <w:highlight w:val="none"/>
          <w:lang w:val="en-US" w:eastAsia="zh-CN" w:bidi="ar"/>
        </w:rPr>
        <w:t>供应商</w:t>
      </w:r>
      <w:r>
        <w:rPr>
          <w:rFonts w:hint="eastAsia" w:ascii="宋体" w:hAnsi="宋体" w:eastAsia="宋体" w:cs="宋体"/>
          <w:b/>
          <w:bCs/>
          <w:color w:val="auto"/>
          <w:kern w:val="0"/>
          <w:sz w:val="21"/>
          <w:szCs w:val="21"/>
          <w:highlight w:val="none"/>
          <w:lang w:val="en-US" w:eastAsia="zh-CN" w:bidi="ar"/>
        </w:rPr>
        <w:t xml:space="preserve">自行承担。） </w:t>
      </w:r>
    </w:p>
    <w:p w14:paraId="7889584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《财政部民政部中国残疾人联合会关于促进残疾人就业政府采购政策的通知》（财库（</w:t>
      </w:r>
      <w:r>
        <w:rPr>
          <w:rFonts w:hint="default" w:ascii="Times New Roman" w:hAnsi="Times New Roman" w:eastAsia="宋体" w:cs="Times New Roman"/>
          <w:color w:val="auto"/>
          <w:kern w:val="0"/>
          <w:sz w:val="21"/>
          <w:szCs w:val="21"/>
          <w:highlight w:val="none"/>
          <w:lang w:val="en-US" w:eastAsia="zh-CN" w:bidi="ar"/>
        </w:rPr>
        <w:t>2017</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141</w:t>
      </w:r>
      <w:r>
        <w:rPr>
          <w:rFonts w:hint="eastAsia" w:ascii="宋体" w:hAnsi="宋体" w:eastAsia="宋体" w:cs="宋体"/>
          <w:color w:val="auto"/>
          <w:kern w:val="0"/>
          <w:sz w:val="21"/>
          <w:szCs w:val="21"/>
          <w:highlight w:val="none"/>
          <w:lang w:val="en-US" w:eastAsia="zh-CN" w:bidi="ar"/>
        </w:rPr>
        <w:t xml:space="preserve">〕号）的规定： </w:t>
      </w:r>
    </w:p>
    <w:p w14:paraId="3FD3894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1.享受政府采购支持政策的残疾人福利性单位应当同时满足以下条件： </w:t>
      </w:r>
    </w:p>
    <w:p w14:paraId="404350D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）安置的残疾人占本单位在职职工人数的比例不低于 </w:t>
      </w:r>
      <w:r>
        <w:rPr>
          <w:rFonts w:hint="default" w:ascii="Times New Roman" w:hAnsi="Times New Roman" w:eastAsia="宋体" w:cs="Times New Roman"/>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（含 </w:t>
      </w:r>
      <w:r>
        <w:rPr>
          <w:rFonts w:hint="default" w:ascii="Times New Roman" w:hAnsi="Times New Roman" w:eastAsia="宋体" w:cs="Times New Roman"/>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），并且安置的残疾人人数不 少于 </w:t>
      </w:r>
      <w:r>
        <w:rPr>
          <w:rFonts w:hint="default" w:ascii="Times New Roman" w:hAnsi="Times New Roman" w:eastAsia="宋体" w:cs="Times New Roman"/>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 xml:space="preserve">人（含 </w:t>
      </w:r>
      <w:r>
        <w:rPr>
          <w:rFonts w:hint="default" w:ascii="Times New Roman" w:hAnsi="Times New Roman" w:eastAsia="宋体" w:cs="Times New Roman"/>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 xml:space="preserve">人）； </w:t>
      </w:r>
    </w:p>
    <w:p w14:paraId="58C0853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）依法与安置的每位残疾人签订了一年以上（含一年）的劳动合同或服务协议； </w:t>
      </w:r>
    </w:p>
    <w:p w14:paraId="4D6BE57F">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）为安置的每位残疾人按月足额缴纳了基本养老保险、基本医疗保险、失业保险、工伤保险和生 育保险等社会保险费； </w:t>
      </w:r>
    </w:p>
    <w:p w14:paraId="057EE03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）通过银行等金融机构向安置的每位残疾人，按月支付了不低于单位所在区县适用的经省级人民 政府批准的月最低工资标准的工资； </w:t>
      </w:r>
    </w:p>
    <w:p w14:paraId="740C393D">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）提供本单位制造的货物、承担的工程或者服务（以下简称产品），或者提供其他残疾人福利性 单位制造的货物（不包括使用非残疾人福利性单位注册商标的货物）。 </w:t>
      </w:r>
    </w:p>
    <w:p w14:paraId="0BE73C86">
      <w:pPr>
        <w:pStyle w:val="39"/>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2.中标人为残疾人福利性单位的，采购人或者其委托的采购代理机构应当随中标、中标结果同时公告其《残疾人福利性单位声明函》，接受社会监督。</w:t>
      </w:r>
    </w:p>
    <w:p w14:paraId="54222AFC">
      <w:pPr>
        <w:pStyle w:val="20"/>
        <w:rPr>
          <w:color w:val="auto"/>
          <w:highlight w:val="none"/>
        </w:rPr>
      </w:pPr>
    </w:p>
    <w:p w14:paraId="0C7AA830">
      <w:pPr>
        <w:pStyle w:val="45"/>
        <w:ind w:firstLine="3092" w:firstLineChars="1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附件3、监狱企业</w:t>
      </w:r>
    </w:p>
    <w:p w14:paraId="616B1E85">
      <w:pPr>
        <w:pStyle w:val="45"/>
        <w:ind w:firstLine="2811" w:firstLineChars="1000"/>
        <w:rPr>
          <w:rFonts w:hint="eastAsia" w:ascii="宋体" w:hAnsi="宋体" w:eastAsia="宋体" w:cs="宋体"/>
          <w:b/>
          <w:bCs/>
          <w:color w:val="auto"/>
          <w:sz w:val="28"/>
          <w:szCs w:val="28"/>
          <w:highlight w:val="none"/>
          <w:lang w:val="en-US" w:eastAsia="zh-CN"/>
        </w:rPr>
      </w:pPr>
    </w:p>
    <w:p w14:paraId="7099819C">
      <w:pPr>
        <w:pStyle w:val="45"/>
        <w:spacing w:line="360" w:lineRule="auto"/>
        <w:ind w:firstLine="480" w:firstLineChars="200"/>
        <w:rPr>
          <w:rFonts w:hint="eastAsia" w:ascii="宋体" w:hAnsi="宋体" w:eastAsia="宋体" w:cs="宋体"/>
          <w:b/>
          <w:bCs/>
          <w:color w:val="auto"/>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监狱企业参加政府采购活动时,应当提供由省级以上监狱管理局</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戒毒管理局(含新疆生产建设兵团)出具的属于监狱企业的证明文件,材料不全的不予折扣。经</w:t>
      </w:r>
      <w:r>
        <w:rPr>
          <w:rFonts w:hint="eastAsia" w:ascii="宋体" w:hAnsi="宋体" w:cs="宋体"/>
          <w:i w:val="0"/>
          <w:iCs w:val="0"/>
          <w:caps w:val="0"/>
          <w:color w:val="auto"/>
          <w:spacing w:val="0"/>
          <w:sz w:val="24"/>
          <w:szCs w:val="24"/>
          <w:highlight w:val="none"/>
          <w:shd w:val="clear" w:fill="FFFFFF"/>
          <w:lang w:eastAsia="zh-CN"/>
        </w:rPr>
        <w:t>评委会</w:t>
      </w:r>
      <w:r>
        <w:rPr>
          <w:rFonts w:hint="eastAsia" w:ascii="宋体" w:hAnsi="宋体" w:eastAsia="宋体" w:cs="宋体"/>
          <w:i w:val="0"/>
          <w:iCs w:val="0"/>
          <w:caps w:val="0"/>
          <w:color w:val="auto"/>
          <w:spacing w:val="0"/>
          <w:sz w:val="24"/>
          <w:szCs w:val="24"/>
          <w:highlight w:val="none"/>
          <w:shd w:val="clear" w:fill="FFFFFF"/>
        </w:rPr>
        <w:t>审核确认投标供应商属于监狱企业的,在评</w:t>
      </w:r>
      <w:r>
        <w:rPr>
          <w:rFonts w:hint="eastAsia" w:ascii="宋体" w:hAnsi="宋体" w:cs="宋体"/>
          <w:i w:val="0"/>
          <w:iCs w:val="0"/>
          <w:caps w:val="0"/>
          <w:color w:val="auto"/>
          <w:spacing w:val="0"/>
          <w:sz w:val="24"/>
          <w:szCs w:val="24"/>
          <w:highlight w:val="none"/>
          <w:shd w:val="clear" w:fill="FFFFFF"/>
          <w:lang w:eastAsia="zh-CN"/>
        </w:rPr>
        <w:t>审</w:t>
      </w:r>
      <w:r>
        <w:rPr>
          <w:rFonts w:hint="eastAsia" w:ascii="宋体" w:hAnsi="宋体" w:eastAsia="宋体" w:cs="宋体"/>
          <w:i w:val="0"/>
          <w:iCs w:val="0"/>
          <w:caps w:val="0"/>
          <w:color w:val="auto"/>
          <w:spacing w:val="0"/>
          <w:sz w:val="24"/>
          <w:szCs w:val="24"/>
          <w:highlight w:val="none"/>
          <w:shd w:val="clear" w:fill="FFFFFF"/>
        </w:rPr>
        <w:t>时视同小</w:t>
      </w:r>
      <w:r>
        <w:rPr>
          <w:rFonts w:hint="eastAsia" w:ascii="宋体" w:hAnsi="宋体" w:cs="宋体"/>
          <w:i w:val="0"/>
          <w:iCs w:val="0"/>
          <w:caps w:val="0"/>
          <w:color w:val="auto"/>
          <w:spacing w:val="0"/>
          <w:sz w:val="24"/>
          <w:szCs w:val="24"/>
          <w:highlight w:val="none"/>
          <w:shd w:val="clear" w:fill="FFFFFF"/>
          <w:lang w:eastAsia="zh-CN"/>
        </w:rPr>
        <w:t>微</w:t>
      </w:r>
      <w:r>
        <w:rPr>
          <w:rFonts w:hint="eastAsia" w:ascii="宋体" w:hAnsi="宋体" w:eastAsia="宋体" w:cs="宋体"/>
          <w:i w:val="0"/>
          <w:iCs w:val="0"/>
          <w:caps w:val="0"/>
          <w:color w:val="auto"/>
          <w:spacing w:val="0"/>
          <w:sz w:val="24"/>
          <w:szCs w:val="24"/>
          <w:highlight w:val="none"/>
          <w:shd w:val="clear" w:fill="FFFFFF"/>
        </w:rPr>
        <w:t>企业。</w:t>
      </w:r>
      <w:r>
        <w:rPr>
          <w:rFonts w:hint="eastAsia" w:ascii="宋体" w:hAnsi="宋体" w:eastAsia="宋体" w:cs="宋体"/>
          <w:i w:val="0"/>
          <w:iCs w:val="0"/>
          <w:caps w:val="0"/>
          <w:color w:val="auto"/>
          <w:spacing w:val="0"/>
          <w:sz w:val="24"/>
          <w:szCs w:val="24"/>
          <w:highlight w:val="none"/>
          <w:shd w:val="clear" w:fill="FFFFFF"/>
          <w:lang w:eastAsia="zh-CN"/>
        </w:rPr>
        <w:t>不是监狱企业的，不用提供。</w:t>
      </w:r>
    </w:p>
    <w:p w14:paraId="165C6D8D">
      <w:pPr>
        <w:pStyle w:val="45"/>
        <w:rPr>
          <w:rFonts w:hint="eastAsia"/>
          <w:b/>
          <w:bCs/>
          <w:color w:val="auto"/>
          <w:highlight w:val="none"/>
          <w:lang w:val="en-US" w:eastAsia="zh-CN"/>
        </w:rPr>
      </w:pPr>
    </w:p>
    <w:p w14:paraId="6411E3BE">
      <w:pPr>
        <w:pStyle w:val="45"/>
        <w:rPr>
          <w:rFonts w:hint="eastAsia"/>
          <w:b/>
          <w:bCs/>
          <w:color w:val="auto"/>
          <w:highlight w:val="none"/>
          <w:lang w:val="en-US" w:eastAsia="zh-CN"/>
        </w:rPr>
      </w:pPr>
    </w:p>
    <w:p w14:paraId="54C0F11F">
      <w:pPr>
        <w:pStyle w:val="45"/>
        <w:rPr>
          <w:rFonts w:hint="eastAsia"/>
          <w:b/>
          <w:bCs/>
          <w:color w:val="auto"/>
          <w:highlight w:val="none"/>
          <w:lang w:val="en-US" w:eastAsia="zh-CN"/>
        </w:rPr>
      </w:pPr>
    </w:p>
    <w:p w14:paraId="1042DA2F">
      <w:pPr>
        <w:pStyle w:val="45"/>
        <w:rPr>
          <w:rFonts w:hint="eastAsia"/>
          <w:b/>
          <w:bCs/>
          <w:color w:val="auto"/>
          <w:highlight w:val="none"/>
          <w:lang w:val="en-US" w:eastAsia="zh-CN"/>
        </w:rPr>
      </w:pPr>
    </w:p>
    <w:p w14:paraId="5E02F38E">
      <w:pPr>
        <w:pStyle w:val="45"/>
        <w:rPr>
          <w:rFonts w:hint="eastAsia"/>
          <w:b/>
          <w:bCs/>
          <w:color w:val="auto"/>
          <w:highlight w:val="none"/>
          <w:lang w:val="en-US" w:eastAsia="zh-CN"/>
        </w:rPr>
      </w:pPr>
    </w:p>
    <w:p w14:paraId="1109BD12">
      <w:pPr>
        <w:pStyle w:val="45"/>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附件4、节能环保产品证明文件</w:t>
      </w:r>
    </w:p>
    <w:p w14:paraId="62C35CFE">
      <w:pPr>
        <w:pStyle w:val="27"/>
        <w:spacing w:line="360" w:lineRule="auto"/>
        <w:ind w:leftChars="0" w:firstLineChars="0"/>
        <w:rPr>
          <w:rFonts w:hint="eastAsia" w:ascii="宋体" w:hAnsi="宋体"/>
          <w:color w:val="auto"/>
          <w:highlight w:val="none"/>
        </w:rPr>
      </w:pPr>
    </w:p>
    <w:p w14:paraId="2ADB52FB">
      <w:pPr>
        <w:adjustRightInd w:val="0"/>
        <w:snapToGrid w:val="0"/>
        <w:spacing w:line="360" w:lineRule="auto"/>
        <w:ind w:firstLine="480" w:firstLineChars="200"/>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国家确定的认证机构出具的、处于有效期之内的节能产品、环境标志产品认证证书。</w:t>
      </w:r>
      <w:r>
        <w:rPr>
          <w:rFonts w:hint="eastAsia" w:ascii="宋体" w:hAnsi="宋体" w:eastAsia="宋体" w:cs="宋体"/>
          <w:i w:val="0"/>
          <w:iCs w:val="0"/>
          <w:caps w:val="0"/>
          <w:color w:val="auto"/>
          <w:spacing w:val="0"/>
          <w:sz w:val="24"/>
          <w:szCs w:val="24"/>
          <w:highlight w:val="none"/>
          <w:shd w:val="clear" w:color="auto" w:fill="FFFFFF"/>
          <w:lang w:eastAsia="zh-CN"/>
        </w:rPr>
        <w:t>不是节能环保产品的，不用提供。</w:t>
      </w:r>
    </w:p>
    <w:p w14:paraId="542F96E5">
      <w:pPr>
        <w:pStyle w:val="45"/>
        <w:rPr>
          <w:rFonts w:hint="eastAsia"/>
          <w:b/>
          <w:bCs/>
          <w:color w:val="auto"/>
          <w:highlight w:val="none"/>
          <w:lang w:val="en-US" w:eastAsia="zh-CN"/>
        </w:rPr>
      </w:pPr>
    </w:p>
    <w:p w14:paraId="3EADF3B6">
      <w:pPr>
        <w:pStyle w:val="45"/>
        <w:rPr>
          <w:rFonts w:hint="eastAsia"/>
          <w:b/>
          <w:bCs/>
          <w:color w:val="auto"/>
          <w:highlight w:val="none"/>
          <w:lang w:val="en-US" w:eastAsia="zh-CN"/>
        </w:rPr>
      </w:pPr>
    </w:p>
    <w:p w14:paraId="6C455B53">
      <w:pPr>
        <w:pStyle w:val="45"/>
        <w:rPr>
          <w:rFonts w:hint="eastAsia"/>
          <w:b/>
          <w:bCs/>
          <w:color w:val="auto"/>
          <w:highlight w:val="none"/>
          <w:lang w:val="en-US" w:eastAsia="zh-CN"/>
        </w:rPr>
      </w:pPr>
    </w:p>
    <w:p w14:paraId="579BCD64">
      <w:pPr>
        <w:pStyle w:val="45"/>
        <w:rPr>
          <w:rFonts w:hint="eastAsia"/>
          <w:b/>
          <w:bCs/>
          <w:color w:val="auto"/>
          <w:highlight w:val="none"/>
          <w:lang w:val="en-US" w:eastAsia="zh-CN"/>
        </w:rPr>
      </w:pPr>
    </w:p>
    <w:p w14:paraId="4A0D6438">
      <w:pPr>
        <w:pStyle w:val="45"/>
        <w:rPr>
          <w:rFonts w:hint="eastAsia"/>
          <w:b/>
          <w:bCs/>
          <w:color w:val="auto"/>
          <w:highlight w:val="none"/>
          <w:lang w:val="en-US" w:eastAsia="zh-CN"/>
        </w:rPr>
      </w:pPr>
    </w:p>
    <w:p w14:paraId="45D3110C">
      <w:pPr>
        <w:pStyle w:val="45"/>
        <w:rPr>
          <w:rFonts w:hint="eastAsia"/>
          <w:b/>
          <w:bCs/>
          <w:color w:val="auto"/>
          <w:highlight w:val="none"/>
          <w:lang w:val="en-US" w:eastAsia="zh-CN"/>
        </w:rPr>
      </w:pPr>
    </w:p>
    <w:p w14:paraId="6EDC7691">
      <w:pPr>
        <w:pStyle w:val="45"/>
        <w:rPr>
          <w:rFonts w:hint="eastAsia"/>
          <w:b/>
          <w:bCs/>
          <w:color w:val="auto"/>
          <w:highlight w:val="none"/>
          <w:lang w:val="en-US" w:eastAsia="zh-CN"/>
        </w:rPr>
      </w:pPr>
    </w:p>
    <w:p w14:paraId="3EF1A2DC">
      <w:pPr>
        <w:pStyle w:val="45"/>
        <w:rPr>
          <w:rFonts w:hint="eastAsia"/>
          <w:b/>
          <w:bCs/>
          <w:color w:val="auto"/>
          <w:highlight w:val="none"/>
          <w:lang w:val="en-US" w:eastAsia="zh-CN"/>
        </w:rPr>
      </w:pPr>
    </w:p>
    <w:p w14:paraId="457DF67D">
      <w:pPr>
        <w:pStyle w:val="45"/>
        <w:rPr>
          <w:rFonts w:hint="eastAsia"/>
          <w:b/>
          <w:bCs/>
          <w:color w:val="auto"/>
          <w:highlight w:val="none"/>
          <w:lang w:val="en-US" w:eastAsia="zh-CN"/>
        </w:rPr>
      </w:pPr>
    </w:p>
    <w:p w14:paraId="347AE154">
      <w:pPr>
        <w:pStyle w:val="45"/>
        <w:rPr>
          <w:rFonts w:hint="eastAsia"/>
          <w:b/>
          <w:bCs/>
          <w:color w:val="auto"/>
          <w:highlight w:val="none"/>
          <w:lang w:val="en-US" w:eastAsia="zh-CN"/>
        </w:rPr>
      </w:pPr>
    </w:p>
    <w:p w14:paraId="20A5D6F1">
      <w:pPr>
        <w:pStyle w:val="45"/>
        <w:rPr>
          <w:rFonts w:hint="eastAsia"/>
          <w:b/>
          <w:bCs/>
          <w:color w:val="auto"/>
          <w:highlight w:val="none"/>
          <w:lang w:val="en-US" w:eastAsia="zh-CN"/>
        </w:rPr>
      </w:pPr>
    </w:p>
    <w:p w14:paraId="5487D59E">
      <w:pPr>
        <w:pStyle w:val="45"/>
        <w:rPr>
          <w:rFonts w:hint="eastAsia"/>
          <w:b/>
          <w:bCs/>
          <w:color w:val="auto"/>
          <w:highlight w:val="none"/>
          <w:lang w:val="en-US" w:eastAsia="zh-CN"/>
        </w:rPr>
      </w:pPr>
    </w:p>
    <w:p w14:paraId="5B2E03AD">
      <w:pPr>
        <w:pStyle w:val="45"/>
        <w:rPr>
          <w:rFonts w:hint="eastAsia"/>
          <w:b/>
          <w:bCs/>
          <w:color w:val="auto"/>
          <w:highlight w:val="none"/>
          <w:lang w:val="en-US" w:eastAsia="zh-CN"/>
        </w:rPr>
      </w:pPr>
    </w:p>
    <w:p w14:paraId="6A32CAE1">
      <w:pPr>
        <w:pStyle w:val="45"/>
        <w:rPr>
          <w:rFonts w:hint="eastAsia"/>
          <w:b/>
          <w:bCs/>
          <w:color w:val="auto"/>
          <w:highlight w:val="none"/>
          <w:lang w:val="en-US" w:eastAsia="zh-CN"/>
        </w:rPr>
      </w:pPr>
    </w:p>
    <w:p w14:paraId="178621FE">
      <w:pPr>
        <w:pStyle w:val="45"/>
        <w:rPr>
          <w:rFonts w:hint="eastAsia"/>
          <w:b/>
          <w:bCs/>
          <w:color w:val="auto"/>
          <w:highlight w:val="none"/>
          <w:lang w:val="en-US" w:eastAsia="zh-CN"/>
        </w:rPr>
      </w:pPr>
    </w:p>
    <w:p w14:paraId="18DF79FF">
      <w:pPr>
        <w:pStyle w:val="45"/>
        <w:rPr>
          <w:rFonts w:hint="eastAsia"/>
          <w:b/>
          <w:bCs/>
          <w:color w:val="auto"/>
          <w:highlight w:val="none"/>
          <w:lang w:val="en-US" w:eastAsia="zh-CN"/>
        </w:rPr>
      </w:pPr>
    </w:p>
    <w:p w14:paraId="66BF507A">
      <w:pPr>
        <w:pStyle w:val="45"/>
        <w:rPr>
          <w:rFonts w:hint="eastAsia"/>
          <w:b/>
          <w:bCs/>
          <w:color w:val="auto"/>
          <w:highlight w:val="none"/>
          <w:lang w:val="en-US" w:eastAsia="zh-CN"/>
        </w:rPr>
      </w:pPr>
    </w:p>
    <w:p w14:paraId="3110F350">
      <w:pPr>
        <w:pStyle w:val="45"/>
        <w:rPr>
          <w:rFonts w:hint="eastAsia"/>
          <w:b/>
          <w:bCs/>
          <w:color w:val="auto"/>
          <w:highlight w:val="none"/>
          <w:lang w:val="en-US" w:eastAsia="zh-CN"/>
        </w:rPr>
      </w:pPr>
    </w:p>
    <w:p w14:paraId="2789B248">
      <w:pPr>
        <w:pStyle w:val="45"/>
        <w:rPr>
          <w:rFonts w:hint="eastAsia"/>
          <w:b/>
          <w:bCs/>
          <w:color w:val="auto"/>
          <w:highlight w:val="none"/>
          <w:lang w:val="en-US" w:eastAsia="zh-CN"/>
        </w:rPr>
      </w:pPr>
    </w:p>
    <w:p w14:paraId="58950FD2">
      <w:pPr>
        <w:pageBreakBefore w:val="0"/>
        <w:overflowPunct/>
        <w:topLinePunct w:val="0"/>
        <w:bidi w:val="0"/>
        <w:adjustRightInd/>
        <w:snapToGrid/>
        <w:spacing w:line="360" w:lineRule="auto"/>
        <w:ind w:left="210" w:leftChars="1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附件</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color w:val="auto"/>
          <w:kern w:val="2"/>
          <w:sz w:val="28"/>
          <w:szCs w:val="28"/>
          <w:highlight w:val="none"/>
          <w:lang w:val="en-US" w:eastAsia="zh-CN" w:bidi="ar-SA"/>
        </w:rPr>
        <w:t>反商业贿赂承诺书</w:t>
      </w:r>
    </w:p>
    <w:p w14:paraId="3EF5228C">
      <w:pPr>
        <w:pageBreakBefore w:val="0"/>
        <w:overflowPunct/>
        <w:topLinePunct w:val="0"/>
        <w:bidi w:val="0"/>
        <w:adjustRightInd/>
        <w:snapToGrid/>
        <w:spacing w:line="360" w:lineRule="auto"/>
        <w:ind w:left="210" w:left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530CC573">
      <w:pPr>
        <w:pageBreakBefore w:val="0"/>
        <w:overflowPunct/>
        <w:topLinePunct w:val="0"/>
        <w:bidi w:val="0"/>
        <w:adjustRightInd/>
        <w:snapToGri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w:t>
      </w:r>
    </w:p>
    <w:p w14:paraId="54ADE29B">
      <w:pPr>
        <w:pStyle w:val="6"/>
        <w:rPr>
          <w:rFonts w:hint="eastAsia"/>
          <w:color w:val="auto"/>
          <w:highlight w:val="none"/>
        </w:rPr>
      </w:pPr>
    </w:p>
    <w:p w14:paraId="383E4732">
      <w:pPr>
        <w:pageBreakBefore w:val="0"/>
        <w:overflowPunct/>
        <w:topLinePunct w:val="0"/>
        <w:autoSpaceDE w:val="0"/>
        <w:autoSpaceDN w:val="0"/>
        <w:bidi w:val="0"/>
        <w:adjustRightInd/>
        <w:snapToGrid/>
        <w:spacing w:line="360" w:lineRule="auto"/>
        <w:ind w:left="210" w:leftChars="100" w:firstLine="47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
          <w:sz w:val="24"/>
          <w:szCs w:val="24"/>
          <w:highlight w:val="none"/>
        </w:rPr>
        <w:t>招标活动中，我公司保证做到：</w:t>
      </w:r>
    </w:p>
    <w:p w14:paraId="47554033">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一、公平竞争参加本次招标活动。</w:t>
      </w:r>
    </w:p>
    <w:p w14:paraId="2AE4B9B1">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CCF4CA8">
      <w:pPr>
        <w:pageBreakBefore w:val="0"/>
        <w:overflowPunct/>
        <w:topLinePunct w:val="0"/>
        <w:bidi w:val="0"/>
        <w:adjustRightInd/>
        <w:snapToGrid/>
        <w:spacing w:line="360" w:lineRule="auto"/>
        <w:ind w:left="210" w:leftChars="1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三、若出现上述行为，我公司及参与投标的工作人员愿意接受按照国家法律法规等有关规定给予的处罚。 </w:t>
      </w:r>
    </w:p>
    <w:p w14:paraId="68E966A9">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1429E049">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28D36807">
      <w:pPr>
        <w:pStyle w:val="13"/>
        <w:spacing w:line="360" w:lineRule="auto"/>
        <w:ind w:left="5539" w:leftChars="2302" w:right="57" w:hanging="705" w:hangingChars="294"/>
        <w:rPr>
          <w:rFonts w:hAnsi="宋体" w:cs="仿宋_GB2312"/>
          <w:b/>
          <w:bCs/>
          <w:color w:val="auto"/>
          <w:sz w:val="24"/>
          <w:szCs w:val="24"/>
          <w:highlight w:val="none"/>
        </w:rPr>
      </w:pPr>
      <w:r>
        <w:rPr>
          <w:rFonts w:hint="eastAsia" w:hAnsi="宋体" w:cs="仿宋_GB2312"/>
          <w:color w:val="auto"/>
          <w:sz w:val="24"/>
          <w:szCs w:val="24"/>
          <w:highlight w:val="none"/>
          <w:lang w:eastAsia="zh-CN"/>
        </w:rPr>
        <w:t>供应商</w:t>
      </w:r>
      <w:r>
        <w:rPr>
          <w:rFonts w:hint="eastAsia" w:hAnsi="宋体" w:cs="仿宋_GB2312"/>
          <w:color w:val="auto"/>
          <w:sz w:val="24"/>
          <w:szCs w:val="24"/>
          <w:highlight w:val="none"/>
        </w:rPr>
        <w:t>名称</w:t>
      </w:r>
      <w:r>
        <w:rPr>
          <w:rFonts w:hint="eastAsia" w:hAnsi="宋体" w:cs="仿宋_GB2312"/>
          <w:color w:val="auto"/>
          <w:sz w:val="24"/>
          <w:szCs w:val="24"/>
          <w:highlight w:val="none"/>
          <w:lang w:eastAsia="zh-CN"/>
        </w:rPr>
        <w:t>：</w:t>
      </w:r>
      <w:r>
        <w:rPr>
          <w:rFonts w:hint="eastAsia" w:hAnsi="宋体" w:cs="仿宋_GB2312"/>
          <w:color w:val="auto"/>
          <w:sz w:val="24"/>
          <w:szCs w:val="24"/>
          <w:highlight w:val="none"/>
          <w:u w:val="single"/>
          <w:lang w:val="en-US" w:eastAsia="zh-CN"/>
        </w:rPr>
        <w:t xml:space="preserve">        </w:t>
      </w:r>
      <w:r>
        <w:rPr>
          <w:rFonts w:hint="eastAsia" w:hAnsi="宋体" w:cs="仿宋_GB2312"/>
          <w:color w:val="auto"/>
          <w:sz w:val="24"/>
          <w:szCs w:val="24"/>
          <w:highlight w:val="none"/>
        </w:rPr>
        <w:t>（加盖公章）</w:t>
      </w:r>
    </w:p>
    <w:p w14:paraId="566A99EA">
      <w:pPr>
        <w:spacing w:line="360" w:lineRule="auto"/>
        <w:ind w:firstLine="638" w:firstLineChars="266"/>
        <w:rPr>
          <w:rFonts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bCs/>
          <w:color w:val="auto"/>
          <w:sz w:val="24"/>
          <w:highlight w:val="none"/>
        </w:rPr>
        <w:t>（签字或盖章）</w:t>
      </w:r>
    </w:p>
    <w:p w14:paraId="02A2EC9A">
      <w:pPr>
        <w:pStyle w:val="45"/>
        <w:rPr>
          <w:rFonts w:hint="eastAsia"/>
          <w:b/>
          <w:bCs/>
          <w:color w:val="auto"/>
          <w:highlight w:val="none"/>
          <w:lang w:val="en-US" w:eastAsia="zh-CN"/>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年    月     日</w:t>
      </w:r>
    </w:p>
    <w:p w14:paraId="37CA9CC4">
      <w:pPr>
        <w:pStyle w:val="45"/>
        <w:rPr>
          <w:rFonts w:hint="eastAsia"/>
          <w:b/>
          <w:bCs/>
          <w:color w:val="auto"/>
          <w:highlight w:val="none"/>
          <w:lang w:val="en-US" w:eastAsia="zh-CN"/>
        </w:rPr>
      </w:pPr>
    </w:p>
    <w:p w14:paraId="39BB0F89">
      <w:pPr>
        <w:pStyle w:val="45"/>
        <w:rPr>
          <w:rFonts w:hint="eastAsia"/>
          <w:b/>
          <w:bCs/>
          <w:color w:val="auto"/>
          <w:highlight w:val="none"/>
          <w:lang w:val="en-US" w:eastAsia="zh-CN"/>
        </w:rPr>
      </w:pPr>
    </w:p>
    <w:p w14:paraId="4094D1D9">
      <w:pPr>
        <w:pStyle w:val="45"/>
        <w:rPr>
          <w:rFonts w:hint="eastAsia"/>
          <w:b/>
          <w:bCs/>
          <w:color w:val="auto"/>
          <w:highlight w:val="none"/>
          <w:lang w:val="en-US" w:eastAsia="zh-CN"/>
        </w:rPr>
      </w:pPr>
    </w:p>
    <w:p w14:paraId="39BEB7B0">
      <w:pPr>
        <w:pStyle w:val="45"/>
        <w:rPr>
          <w:rFonts w:hint="eastAsia"/>
          <w:b/>
          <w:bCs/>
          <w:color w:val="auto"/>
          <w:highlight w:val="none"/>
          <w:lang w:val="en-US" w:eastAsia="zh-CN"/>
        </w:rPr>
      </w:pPr>
    </w:p>
    <w:p w14:paraId="4B6ABCAE">
      <w:pPr>
        <w:pStyle w:val="45"/>
        <w:rPr>
          <w:rFonts w:hint="eastAsia"/>
          <w:b/>
          <w:bCs/>
          <w:color w:val="auto"/>
          <w:highlight w:val="none"/>
          <w:lang w:val="en-US" w:eastAsia="zh-CN"/>
        </w:rPr>
      </w:pPr>
    </w:p>
    <w:p w14:paraId="15FBA276">
      <w:pPr>
        <w:pStyle w:val="45"/>
        <w:rPr>
          <w:rFonts w:hint="eastAsia"/>
          <w:b/>
          <w:bCs/>
          <w:color w:val="auto"/>
          <w:highlight w:val="none"/>
          <w:lang w:val="en-US" w:eastAsia="zh-CN"/>
        </w:rPr>
      </w:pPr>
    </w:p>
    <w:p w14:paraId="129FF38B">
      <w:pPr>
        <w:pStyle w:val="45"/>
        <w:rPr>
          <w:rFonts w:hint="eastAsia"/>
          <w:b/>
          <w:bCs/>
          <w:color w:val="auto"/>
          <w:highlight w:val="none"/>
          <w:lang w:val="en-US" w:eastAsia="zh-CN"/>
        </w:rPr>
      </w:pPr>
    </w:p>
    <w:p w14:paraId="32E11846">
      <w:pPr>
        <w:pStyle w:val="45"/>
        <w:rPr>
          <w:rFonts w:hint="eastAsia"/>
          <w:b/>
          <w:bCs/>
          <w:color w:val="auto"/>
          <w:highlight w:val="none"/>
          <w:lang w:val="en-US" w:eastAsia="zh-CN"/>
        </w:rPr>
      </w:pPr>
    </w:p>
    <w:p w14:paraId="036367F1">
      <w:pPr>
        <w:pStyle w:val="45"/>
        <w:rPr>
          <w:rFonts w:hint="eastAsia"/>
          <w:b/>
          <w:bCs/>
          <w:color w:val="auto"/>
          <w:highlight w:val="none"/>
          <w:lang w:val="en-US" w:eastAsia="zh-CN"/>
        </w:rPr>
      </w:pPr>
    </w:p>
    <w:p w14:paraId="3E5A47EB">
      <w:pPr>
        <w:pStyle w:val="45"/>
        <w:rPr>
          <w:rFonts w:hint="eastAsia"/>
          <w:b/>
          <w:bCs/>
          <w:color w:val="auto"/>
          <w:highlight w:val="none"/>
          <w:lang w:val="en-US" w:eastAsia="zh-CN"/>
        </w:rPr>
      </w:pPr>
    </w:p>
    <w:p w14:paraId="31143AC0">
      <w:pPr>
        <w:pStyle w:val="45"/>
        <w:rPr>
          <w:rFonts w:hint="eastAsia"/>
          <w:b/>
          <w:bCs/>
          <w:color w:val="auto"/>
          <w:highlight w:val="none"/>
          <w:lang w:val="en-US" w:eastAsia="zh-CN"/>
        </w:rPr>
      </w:pPr>
    </w:p>
    <w:p w14:paraId="32565568">
      <w:pPr>
        <w:pStyle w:val="45"/>
        <w:rPr>
          <w:rFonts w:hint="eastAsia"/>
          <w:b/>
          <w:bCs/>
          <w:color w:val="auto"/>
          <w:highlight w:val="none"/>
          <w:lang w:val="en-US" w:eastAsia="zh-CN"/>
        </w:rPr>
      </w:pPr>
    </w:p>
    <w:p w14:paraId="444920A3">
      <w:pPr>
        <w:pStyle w:val="45"/>
        <w:rPr>
          <w:rFonts w:hint="eastAsia"/>
          <w:b/>
          <w:bCs/>
          <w:color w:val="auto"/>
          <w:highlight w:val="none"/>
          <w:lang w:val="en-US" w:eastAsia="zh-CN"/>
        </w:rPr>
      </w:pPr>
    </w:p>
    <w:p w14:paraId="370CC013">
      <w:pPr>
        <w:pStyle w:val="45"/>
        <w:rPr>
          <w:rFonts w:hint="eastAsia"/>
          <w:b/>
          <w:bCs/>
          <w:color w:val="auto"/>
          <w:highlight w:val="none"/>
          <w:lang w:val="en-US" w:eastAsia="zh-CN"/>
        </w:rPr>
      </w:pPr>
    </w:p>
    <w:p w14:paraId="62FB149C">
      <w:pPr>
        <w:pStyle w:val="45"/>
        <w:rPr>
          <w:rFonts w:hint="eastAsia"/>
          <w:b/>
          <w:bCs/>
          <w:color w:val="auto"/>
          <w:highlight w:val="none"/>
          <w:lang w:val="en-US" w:eastAsia="zh-CN"/>
        </w:rPr>
      </w:pPr>
      <w:r>
        <w:rPr>
          <w:rFonts w:hint="eastAsia"/>
          <w:b/>
          <w:bCs/>
          <w:color w:val="auto"/>
          <w:highlight w:val="none"/>
          <w:lang w:val="en-US" w:eastAsia="zh-CN"/>
        </w:rPr>
        <w:t>附表：</w:t>
      </w:r>
    </w:p>
    <w:p w14:paraId="030683C0">
      <w:pPr>
        <w:pStyle w:val="2"/>
        <w:jc w:val="center"/>
        <w:rPr>
          <w:b/>
          <w:color w:val="auto"/>
          <w:sz w:val="20"/>
        </w:rPr>
      </w:pPr>
      <w:r>
        <w:rPr>
          <w:rFonts w:hint="eastAsia"/>
          <w:b/>
          <w:color w:val="auto"/>
          <w:sz w:val="28"/>
        </w:rPr>
        <w:t>最终报价表</w:t>
      </w:r>
    </w:p>
    <w:p w14:paraId="1648B8BD">
      <w:pPr>
        <w:pStyle w:val="2"/>
        <w:spacing w:before="6"/>
        <w:rPr>
          <w:b/>
          <w:color w:val="auto"/>
          <w:sz w:val="12"/>
        </w:rPr>
      </w:pPr>
    </w:p>
    <w:tbl>
      <w:tblPr>
        <w:tblStyle w:val="28"/>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9"/>
        <w:gridCol w:w="7499"/>
      </w:tblGrid>
      <w:tr w14:paraId="3208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999" w:type="dxa"/>
            <w:vAlign w:val="center"/>
          </w:tcPr>
          <w:p w14:paraId="4E39CE6E">
            <w:pPr>
              <w:pStyle w:val="73"/>
              <w:keepNext w:val="0"/>
              <w:keepLines w:val="0"/>
              <w:suppressLineNumbers w:val="0"/>
              <w:spacing w:before="0" w:beforeAutospacing="0" w:after="0" w:afterAutospacing="0"/>
              <w:ind w:left="107" w:right="100"/>
              <w:jc w:val="center"/>
              <w:rPr>
                <w:rFonts w:hint="default"/>
                <w:b w:val="0"/>
                <w:bCs/>
                <w:color w:val="auto"/>
                <w:sz w:val="24"/>
              </w:rPr>
            </w:pPr>
            <w:r>
              <w:rPr>
                <w:rFonts w:hint="default"/>
                <w:b w:val="0"/>
                <w:bCs/>
                <w:color w:val="auto"/>
                <w:sz w:val="24"/>
              </w:rPr>
              <w:t>项目名称</w:t>
            </w:r>
          </w:p>
        </w:tc>
        <w:tc>
          <w:tcPr>
            <w:tcW w:w="7499" w:type="dxa"/>
          </w:tcPr>
          <w:p w14:paraId="41753624">
            <w:pPr>
              <w:pStyle w:val="73"/>
              <w:keepNext w:val="0"/>
              <w:keepLines w:val="0"/>
              <w:suppressLineNumbers w:val="0"/>
              <w:spacing w:before="0" w:beforeAutospacing="0" w:after="0" w:afterAutospacing="0"/>
              <w:ind w:left="0" w:right="0"/>
              <w:rPr>
                <w:rFonts w:hint="default" w:ascii="Times New Roman"/>
                <w:color w:val="auto"/>
                <w:sz w:val="24"/>
              </w:rPr>
            </w:pPr>
          </w:p>
        </w:tc>
      </w:tr>
      <w:tr w14:paraId="37130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999" w:type="dxa"/>
            <w:vAlign w:val="center"/>
          </w:tcPr>
          <w:p w14:paraId="00867D57">
            <w:pPr>
              <w:pStyle w:val="73"/>
              <w:keepNext w:val="0"/>
              <w:keepLines w:val="0"/>
              <w:suppressLineNumbers w:val="0"/>
              <w:spacing w:before="0" w:beforeAutospacing="0" w:after="0" w:afterAutospacing="0"/>
              <w:ind w:left="107" w:right="100"/>
              <w:jc w:val="center"/>
              <w:rPr>
                <w:rFonts w:hint="default"/>
                <w:b w:val="0"/>
                <w:bCs/>
                <w:color w:val="auto"/>
                <w:sz w:val="24"/>
              </w:rPr>
            </w:pPr>
            <w:r>
              <w:rPr>
                <w:rFonts w:hint="eastAsia"/>
                <w:b w:val="0"/>
                <w:bCs/>
                <w:color w:val="auto"/>
                <w:sz w:val="24"/>
                <w:lang w:eastAsia="zh-CN"/>
              </w:rPr>
              <w:t>供应商</w:t>
            </w:r>
            <w:r>
              <w:rPr>
                <w:rFonts w:hint="default"/>
                <w:b w:val="0"/>
                <w:bCs/>
                <w:color w:val="auto"/>
                <w:sz w:val="24"/>
              </w:rPr>
              <w:t>名称</w:t>
            </w:r>
          </w:p>
        </w:tc>
        <w:tc>
          <w:tcPr>
            <w:tcW w:w="7499" w:type="dxa"/>
          </w:tcPr>
          <w:p w14:paraId="78ABA411">
            <w:pPr>
              <w:pStyle w:val="73"/>
              <w:keepNext w:val="0"/>
              <w:keepLines w:val="0"/>
              <w:suppressLineNumbers w:val="0"/>
              <w:spacing w:before="0" w:beforeAutospacing="0" w:after="0" w:afterAutospacing="0"/>
              <w:ind w:left="0" w:right="0"/>
              <w:rPr>
                <w:rFonts w:hint="default" w:ascii="Times New Roman"/>
                <w:color w:val="auto"/>
                <w:sz w:val="24"/>
              </w:rPr>
            </w:pPr>
          </w:p>
        </w:tc>
      </w:tr>
      <w:tr w14:paraId="1EE8F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1999" w:type="dxa"/>
            <w:vAlign w:val="center"/>
          </w:tcPr>
          <w:p w14:paraId="09B02D9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b w:val="0"/>
                <w:bCs/>
                <w:color w:val="auto"/>
                <w:lang w:eastAsia="zh-CN"/>
              </w:rPr>
            </w:pPr>
            <w:r>
              <w:rPr>
                <w:rFonts w:hint="eastAsia" w:ascii="宋体" w:hAnsi="宋体" w:eastAsia="宋体" w:cs="宋体"/>
                <w:b w:val="0"/>
                <w:bCs w:val="0"/>
                <w:color w:val="auto"/>
                <w:sz w:val="24"/>
                <w:szCs w:val="24"/>
                <w:highlight w:val="none"/>
              </w:rPr>
              <w:t>投标</w:t>
            </w:r>
            <w:r>
              <w:rPr>
                <w:rFonts w:hint="eastAsia" w:ascii="宋体" w:hAnsi="宋体" w:cs="宋体"/>
                <w:b w:val="0"/>
                <w:bCs w:val="0"/>
                <w:color w:val="auto"/>
                <w:sz w:val="24"/>
                <w:szCs w:val="24"/>
                <w:highlight w:val="none"/>
                <w:lang w:eastAsia="zh-CN"/>
              </w:rPr>
              <w:t>报价</w:t>
            </w:r>
          </w:p>
        </w:tc>
        <w:tc>
          <w:tcPr>
            <w:tcW w:w="7499" w:type="dxa"/>
            <w:vAlign w:val="center"/>
          </w:tcPr>
          <w:p w14:paraId="6561BC0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rPr>
                <w:rFonts w:hint="default" w:eastAsia="宋体"/>
                <w:b/>
                <w:color w:val="auto"/>
                <w:sz w:val="24"/>
                <w:lang w:val="en-US" w:eastAsia="zh-CN"/>
              </w:rPr>
            </w:pPr>
            <w:r>
              <w:rPr>
                <w:rFonts w:hint="eastAsia" w:ascii="宋体" w:hAnsi="宋体" w:eastAsia="宋体" w:cs="宋体"/>
                <w:b w:val="0"/>
                <w:bCs w:val="0"/>
                <w:color w:val="auto"/>
                <w:sz w:val="24"/>
                <w:szCs w:val="24"/>
                <w:highlight w:val="none"/>
              </w:rPr>
              <w:t>大写：</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 xml:space="preserve">  小</w:t>
            </w:r>
            <w:r>
              <w:rPr>
                <w:rFonts w:hint="eastAsia" w:ascii="宋体" w:hAnsi="宋体" w:cs="宋体"/>
                <w:b w:val="0"/>
                <w:bCs w:val="0"/>
                <w:color w:val="auto"/>
                <w:sz w:val="24"/>
                <w:szCs w:val="24"/>
                <w:highlight w:val="none"/>
                <w:u w:val="none"/>
                <w:lang w:val="en-US" w:eastAsia="zh-CN"/>
              </w:rPr>
              <w:t>写：</w:t>
            </w:r>
            <w:r>
              <w:rPr>
                <w:rFonts w:hint="eastAsia" w:ascii="宋体" w:hAnsi="宋体" w:cs="宋体"/>
                <w:b w:val="0"/>
                <w:bCs w:val="0"/>
                <w:color w:val="auto"/>
                <w:sz w:val="24"/>
                <w:szCs w:val="24"/>
                <w:highlight w:val="none"/>
                <w:u w:val="single"/>
                <w:lang w:val="en-US" w:eastAsia="zh-CN"/>
              </w:rPr>
              <w:t xml:space="preserve">          </w:t>
            </w:r>
          </w:p>
        </w:tc>
      </w:tr>
      <w:tr w14:paraId="2BF40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1999" w:type="dxa"/>
            <w:vAlign w:val="center"/>
          </w:tcPr>
          <w:p w14:paraId="256467B3">
            <w:pPr>
              <w:pStyle w:val="73"/>
              <w:keepNext w:val="0"/>
              <w:keepLines w:val="0"/>
              <w:suppressLineNumbers w:val="0"/>
              <w:spacing w:before="1" w:beforeAutospacing="0" w:after="0" w:afterAutospacing="0"/>
              <w:ind w:left="0" w:right="0"/>
              <w:jc w:val="center"/>
              <w:rPr>
                <w:rFonts w:hint="default"/>
                <w:b w:val="0"/>
                <w:bCs/>
                <w:color w:val="auto"/>
              </w:rPr>
            </w:pPr>
            <w:r>
              <w:rPr>
                <w:rFonts w:hint="default"/>
                <w:b w:val="0"/>
                <w:bCs/>
                <w:color w:val="auto"/>
              </w:rPr>
              <w:t>需要说明的问题</w:t>
            </w:r>
          </w:p>
        </w:tc>
        <w:tc>
          <w:tcPr>
            <w:tcW w:w="7499" w:type="dxa"/>
          </w:tcPr>
          <w:p w14:paraId="139DC39C">
            <w:pPr>
              <w:pStyle w:val="73"/>
              <w:keepNext w:val="0"/>
              <w:keepLines w:val="0"/>
              <w:suppressLineNumbers w:val="0"/>
              <w:spacing w:before="0" w:beforeAutospacing="0" w:after="0" w:afterAutospacing="0"/>
              <w:ind w:left="0" w:right="0"/>
              <w:rPr>
                <w:rFonts w:hint="default" w:ascii="Times New Roman"/>
                <w:color w:val="auto"/>
                <w:sz w:val="24"/>
              </w:rPr>
            </w:pPr>
          </w:p>
        </w:tc>
      </w:tr>
    </w:tbl>
    <w:p w14:paraId="66AC3BC4">
      <w:pPr>
        <w:pStyle w:val="2"/>
        <w:spacing w:before="6"/>
        <w:rPr>
          <w:b/>
          <w:color w:val="auto"/>
          <w:sz w:val="40"/>
        </w:rPr>
      </w:pPr>
    </w:p>
    <w:p w14:paraId="2A9EF4EE">
      <w:pPr>
        <w:pStyle w:val="13"/>
        <w:spacing w:line="360" w:lineRule="auto"/>
        <w:ind w:left="5539" w:leftChars="2302" w:right="57" w:hanging="705" w:hangingChars="294"/>
        <w:rPr>
          <w:rFonts w:hAnsi="宋体" w:cs="仿宋_GB2312"/>
          <w:b/>
          <w:bCs/>
          <w:color w:val="auto"/>
          <w:sz w:val="24"/>
          <w:szCs w:val="24"/>
          <w:highlight w:val="none"/>
        </w:rPr>
      </w:pPr>
      <w:r>
        <w:rPr>
          <w:rFonts w:hint="eastAsia" w:hAnsi="宋体" w:cs="仿宋_GB2312"/>
          <w:color w:val="auto"/>
          <w:sz w:val="24"/>
          <w:szCs w:val="24"/>
          <w:highlight w:val="none"/>
          <w:lang w:eastAsia="zh-CN"/>
        </w:rPr>
        <w:t>供应商</w:t>
      </w:r>
      <w:r>
        <w:rPr>
          <w:rFonts w:hint="eastAsia" w:hAnsi="宋体" w:cs="仿宋_GB2312"/>
          <w:color w:val="auto"/>
          <w:sz w:val="24"/>
          <w:szCs w:val="24"/>
          <w:highlight w:val="none"/>
        </w:rPr>
        <w:t>名称</w:t>
      </w:r>
      <w:r>
        <w:rPr>
          <w:rFonts w:hint="eastAsia" w:hAnsi="宋体" w:cs="仿宋_GB2312"/>
          <w:color w:val="auto"/>
          <w:sz w:val="24"/>
          <w:szCs w:val="24"/>
          <w:highlight w:val="none"/>
          <w:lang w:eastAsia="zh-CN"/>
        </w:rPr>
        <w:t>：</w:t>
      </w:r>
      <w:r>
        <w:rPr>
          <w:rFonts w:hint="eastAsia" w:hAnsi="宋体" w:cs="仿宋_GB2312"/>
          <w:color w:val="auto"/>
          <w:sz w:val="24"/>
          <w:szCs w:val="24"/>
          <w:highlight w:val="none"/>
          <w:u w:val="single"/>
          <w:lang w:val="en-US" w:eastAsia="zh-CN"/>
        </w:rPr>
        <w:t xml:space="preserve">        </w:t>
      </w:r>
      <w:r>
        <w:rPr>
          <w:rFonts w:hint="eastAsia" w:hAnsi="宋体" w:cs="仿宋_GB2312"/>
          <w:color w:val="auto"/>
          <w:sz w:val="24"/>
          <w:szCs w:val="24"/>
          <w:highlight w:val="none"/>
        </w:rPr>
        <w:t>（加盖公章）</w:t>
      </w:r>
    </w:p>
    <w:p w14:paraId="3D2C7DBF">
      <w:pPr>
        <w:spacing w:line="360" w:lineRule="auto"/>
        <w:ind w:firstLine="638" w:firstLineChars="266"/>
        <w:rPr>
          <w:rFonts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bCs/>
          <w:color w:val="auto"/>
          <w:sz w:val="24"/>
          <w:highlight w:val="none"/>
        </w:rPr>
        <w:t>（签字或盖章）</w:t>
      </w:r>
    </w:p>
    <w:p w14:paraId="646A8D49">
      <w:pPr>
        <w:pStyle w:val="2"/>
        <w:tabs>
          <w:tab w:val="left" w:pos="6683"/>
          <w:tab w:val="left" w:pos="7643"/>
          <w:tab w:val="left" w:pos="8723"/>
        </w:tabs>
        <w:spacing w:before="144"/>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年    月     日</w:t>
      </w:r>
    </w:p>
    <w:p w14:paraId="2CC51238">
      <w:pPr>
        <w:pStyle w:val="39"/>
        <w:rPr>
          <w:rFonts w:hint="eastAsia" w:ascii="宋体" w:hAnsi="宋体" w:cs="仿宋_GB2312"/>
          <w:color w:val="auto"/>
          <w:sz w:val="24"/>
          <w:highlight w:val="none"/>
        </w:rPr>
      </w:pPr>
    </w:p>
    <w:p w14:paraId="7D8755AC">
      <w:pPr>
        <w:pStyle w:val="108"/>
        <w:rPr>
          <w:rFonts w:hint="eastAsia" w:ascii="宋体" w:hAnsi="宋体" w:cs="仿宋_GB2312"/>
          <w:color w:val="auto"/>
          <w:sz w:val="24"/>
          <w:highlight w:val="none"/>
        </w:rPr>
      </w:pPr>
    </w:p>
    <w:p w14:paraId="0DEAE617">
      <w:pPr>
        <w:pStyle w:val="27"/>
        <w:rPr>
          <w:rFonts w:hint="eastAsia" w:ascii="宋体" w:hAnsi="宋体" w:cs="仿宋_GB2312"/>
          <w:color w:val="auto"/>
          <w:sz w:val="24"/>
          <w:highlight w:val="none"/>
        </w:rPr>
      </w:pPr>
    </w:p>
    <w:p w14:paraId="6BC858BE">
      <w:pPr>
        <w:rPr>
          <w:rFonts w:hint="eastAsia" w:ascii="宋体" w:hAnsi="宋体" w:cs="仿宋_GB2312"/>
          <w:color w:val="auto"/>
          <w:sz w:val="24"/>
          <w:highlight w:val="none"/>
        </w:rPr>
      </w:pPr>
    </w:p>
    <w:p w14:paraId="6D909E47">
      <w:pPr>
        <w:pStyle w:val="43"/>
        <w:rPr>
          <w:rFonts w:hint="eastAsia" w:ascii="宋体" w:hAnsi="宋体" w:cs="仿宋_GB2312"/>
          <w:color w:val="auto"/>
          <w:sz w:val="24"/>
          <w:highlight w:val="none"/>
        </w:rPr>
      </w:pPr>
    </w:p>
    <w:p w14:paraId="5B2B6CDB">
      <w:pPr>
        <w:pStyle w:val="43"/>
        <w:rPr>
          <w:rFonts w:hint="eastAsia" w:ascii="宋体" w:hAnsi="宋体" w:cs="仿宋_GB2312"/>
          <w:color w:val="auto"/>
          <w:sz w:val="24"/>
          <w:highlight w:val="none"/>
        </w:rPr>
      </w:pPr>
    </w:p>
    <w:p w14:paraId="4373D78A">
      <w:pPr>
        <w:spacing w:line="360" w:lineRule="auto"/>
        <w:ind w:firstLine="440" w:firstLineChars="200"/>
        <w:rPr>
          <w:rFonts w:ascii="宋体" w:hAnsi="宋体"/>
          <w:b/>
          <w:color w:val="auto"/>
          <w:sz w:val="22"/>
          <w:szCs w:val="22"/>
        </w:rPr>
      </w:pPr>
      <w:r>
        <w:rPr>
          <w:rFonts w:hint="eastAsia" w:ascii="宋体" w:hAnsi="宋体"/>
          <w:color w:val="auto"/>
          <w:sz w:val="22"/>
          <w:szCs w:val="22"/>
        </w:rPr>
        <w:t>本项目共进行两次报价，本表是第二次报价（或即最终报价），</w:t>
      </w:r>
      <w:r>
        <w:rPr>
          <w:rFonts w:hint="eastAsia" w:ascii="宋体" w:hAnsi="宋体"/>
          <w:b/>
          <w:color w:val="auto"/>
          <w:sz w:val="22"/>
          <w:szCs w:val="22"/>
          <w:lang w:eastAsia="zh-CN"/>
        </w:rPr>
        <w:t>供应商</w:t>
      </w:r>
      <w:r>
        <w:rPr>
          <w:rFonts w:hint="eastAsia" w:ascii="宋体" w:hAnsi="宋体"/>
          <w:b/>
          <w:color w:val="auto"/>
          <w:sz w:val="22"/>
          <w:szCs w:val="22"/>
        </w:rPr>
        <w:t>不得在响应性文件附此表，自行准备加盖单位公章的空白报价表若干份，以便在磋商小组规定的时间</w:t>
      </w:r>
      <w:r>
        <w:rPr>
          <w:rFonts w:hint="eastAsia" w:ascii="宋体" w:hAnsi="宋体"/>
          <w:b/>
          <w:bCs/>
          <w:color w:val="auto"/>
          <w:sz w:val="22"/>
          <w:szCs w:val="22"/>
          <w:u w:val="double"/>
        </w:rPr>
        <w:t>现场填写</w:t>
      </w:r>
      <w:r>
        <w:rPr>
          <w:rFonts w:hint="eastAsia" w:ascii="宋体" w:hAnsi="宋体"/>
          <w:b/>
          <w:bCs/>
          <w:color w:val="auto"/>
          <w:sz w:val="22"/>
          <w:szCs w:val="22"/>
        </w:rPr>
        <w:t>。</w:t>
      </w:r>
    </w:p>
    <w:p w14:paraId="094FB36F">
      <w:pPr>
        <w:spacing w:line="360" w:lineRule="auto"/>
        <w:rPr>
          <w:rFonts w:ascii="宋体" w:hAnsi="宋体"/>
          <w:b/>
          <w:color w:val="auto"/>
          <w:sz w:val="22"/>
          <w:szCs w:val="22"/>
        </w:rPr>
      </w:pPr>
      <w:r>
        <w:rPr>
          <w:rFonts w:ascii="宋体" w:hAnsi="宋体"/>
          <w:b/>
          <w:color w:val="auto"/>
          <w:sz w:val="22"/>
          <w:szCs w:val="22"/>
        </w:rPr>
        <w:t>注：本报价表格</w:t>
      </w:r>
      <w:r>
        <w:rPr>
          <w:rFonts w:hint="eastAsia" w:ascii="宋体" w:hAnsi="宋体"/>
          <w:b/>
          <w:color w:val="auto"/>
          <w:sz w:val="22"/>
          <w:szCs w:val="22"/>
        </w:rPr>
        <w:t>单独提交</w:t>
      </w:r>
      <w:r>
        <w:rPr>
          <w:rFonts w:ascii="宋体" w:hAnsi="宋体"/>
          <w:b/>
          <w:color w:val="auto"/>
          <w:sz w:val="22"/>
          <w:szCs w:val="22"/>
        </w:rPr>
        <w:t>，在</w:t>
      </w:r>
      <w:r>
        <w:rPr>
          <w:rFonts w:hint="eastAsia" w:ascii="宋体" w:hAnsi="宋体"/>
          <w:b/>
          <w:color w:val="auto"/>
          <w:sz w:val="22"/>
          <w:szCs w:val="22"/>
        </w:rPr>
        <w:t>磋商</w:t>
      </w:r>
      <w:r>
        <w:rPr>
          <w:rFonts w:ascii="宋体" w:hAnsi="宋体"/>
          <w:b/>
          <w:color w:val="auto"/>
          <w:sz w:val="22"/>
          <w:szCs w:val="22"/>
        </w:rPr>
        <w:t>过程中进行第二次报价，不在响应性文件中列出。</w:t>
      </w:r>
    </w:p>
    <w:p w14:paraId="27DE11DC">
      <w:pPr>
        <w:pStyle w:val="2"/>
        <w:rPr>
          <w:rFonts w:ascii="宋体" w:hAnsi="宋体"/>
          <w:color w:val="auto"/>
        </w:rPr>
      </w:pPr>
    </w:p>
    <w:p w14:paraId="79DD5FAE">
      <w:pPr>
        <w:pStyle w:val="2"/>
        <w:rPr>
          <w:rFonts w:ascii="宋体" w:hAnsi="宋体"/>
          <w:color w:val="auto"/>
        </w:rPr>
      </w:pPr>
    </w:p>
    <w:p w14:paraId="0E26CD06">
      <w:pPr>
        <w:pStyle w:val="39"/>
        <w:rPr>
          <w:rFonts w:hint="eastAsia" w:ascii="宋体" w:hAnsi="宋体" w:cs="仿宋_GB2312"/>
          <w:color w:val="auto"/>
          <w:sz w:val="24"/>
          <w:highlight w:val="none"/>
        </w:rPr>
      </w:pPr>
    </w:p>
    <w:p w14:paraId="4E22E6BC">
      <w:pPr>
        <w:rPr>
          <w:rFonts w:hint="eastAsia" w:ascii="宋体" w:hAnsi="宋体" w:eastAsia="宋体" w:cs="宋体"/>
          <w:highlight w:val="none"/>
        </w:rPr>
      </w:pPr>
    </w:p>
    <w:p w14:paraId="749D5AD9">
      <w:pPr>
        <w:rPr>
          <w:rFonts w:hint="eastAsia" w:ascii="宋体" w:hAnsi="宋体" w:eastAsia="宋体" w:cs="宋体"/>
          <w:color w:val="auto"/>
          <w:sz w:val="24"/>
          <w:highlight w:val="none"/>
          <w:lang w:val="en-US" w:eastAsia="zh-CN"/>
        </w:rPr>
      </w:pPr>
    </w:p>
    <w:sectPr>
      <w:footerReference r:id="rId11" w:type="first"/>
      <w:footerReference r:id="rId10" w:type="default"/>
      <w:pgSz w:w="11906" w:h="16838"/>
      <w:pgMar w:top="1440" w:right="1531" w:bottom="1440"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A2C0">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A0A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D538">
    <w:pPr>
      <w:pStyle w:val="16"/>
      <w:ind w:right="360"/>
      <w:rPr>
        <w:sz w:val="21"/>
        <w:szCs w:val="21"/>
      </w:rPr>
    </w:pPr>
    <w:r>
      <w:rPr>
        <w:rFonts w:hint="eastAsia" w:ascii="宋体" w:hAnsi="宋体"/>
        <w:sz w:val="44"/>
      </w:rPr>
      <w:drawing>
        <wp:anchor distT="0" distB="0" distL="114300" distR="114300" simplePos="0" relativeHeight="251661312"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1"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3"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59264;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fsN9gAAAAL&#10;AQAADwAAAAAAAAABACAAAAAiAAAAZHJzL2Rvd25yZXYueG1sUEsBAhQAFAAAAAgAh07iQCdw1rfj&#10;AQAA5QMAAA4AAAAAAAAAAQAgAAAAJwEAAGRycy9lMm9Eb2MueG1sUEsFBgAAAAAGAAYAWQEAAHwF&#10;AA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2B9A">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- 2 -</w:t>
    </w:r>
    <w:r>
      <w:fldChar w:fldCharType="end"/>
    </w:r>
  </w:p>
  <w:p w14:paraId="4101ED70">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0A2A">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CA9A">
    <w:pPr>
      <w:pStyle w:val="16"/>
      <w:ind w:right="360"/>
      <w:rPr>
        <w:sz w:val="21"/>
        <w:szCs w:val="21"/>
      </w:rPr>
    </w:pPr>
    <w:r>
      <w:rPr>
        <w:rFonts w:hint="eastAsia" w:ascii="宋体" w:hAnsi="宋体"/>
        <w:sz w:val="44"/>
      </w:rPr>
      <w:drawing>
        <wp:anchor distT="0" distB="0" distL="114300" distR="114300" simplePos="0" relativeHeight="251663360" behindDoc="0" locked="0" layoutInCell="1" allowOverlap="1">
          <wp:simplePos x="0" y="0"/>
          <wp:positionH relativeFrom="column">
            <wp:posOffset>2707005</wp:posOffset>
          </wp:positionH>
          <wp:positionV relativeFrom="paragraph">
            <wp:posOffset>-21590</wp:posOffset>
          </wp:positionV>
          <wp:extent cx="217805" cy="156845"/>
          <wp:effectExtent l="0" t="0" r="10795" b="14605"/>
          <wp:wrapNone/>
          <wp:docPr id="20"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4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98351">
                          <w:pPr>
                            <w:pStyle w:val="16"/>
                          </w:pPr>
                          <w:r>
                            <w:t>—</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EF98351">
                    <w:pPr>
                      <w:pStyle w:val="16"/>
                    </w:pPr>
                    <w:r>
                      <w:t>—</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t xml:space="preserve"> —</w:t>
                    </w:r>
                  </w:p>
                </w:txbxContent>
              </v:textbox>
            </v:shap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21"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62336;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fsN9gAAAAL&#10;AQAADwAAAAAAAAABACAAAAAiAAAAZHJzL2Rvd25yZXYueG1sUEsBAhQAFAAAAAgAh07iQB8111Xj&#10;AQAA5gMAAA4AAAAAAAAAAQAgAAAAJwEAAGRycy9lMm9Eb2MueG1sUEsFBgAAAAAGAAYAWQEAAHwF&#10;AA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C6D6">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7413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17413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423E">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4704">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sz w:val="15"/>
        <w:szCs w:val="15"/>
        <w:lang w:val="en-US"/>
      </w:rPr>
    </w:pPr>
    <w:r>
      <w:rPr>
        <w:sz w:val="15"/>
        <w:szCs w:val="15"/>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138430</wp:posOffset>
              </wp:positionV>
              <wp:extent cx="5829300" cy="0"/>
              <wp:effectExtent l="0" t="0" r="0" b="0"/>
              <wp:wrapNone/>
              <wp:docPr id="5" name="Line 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9pt;margin-top:10.9pt;height:0pt;width:459pt;z-index:251660288;mso-width-relative:page;mso-height-relative:page;" filled="f" stroked="t" coordsize="21600,21600" o:gfxdata="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wPHXtUAAAAJAQAADwAAAAAAAAAB&#10;ACAAAAAiAAAAZHJzL2Rvd25yZXYueG1sUEsBAhQAFAAAAAgAh07iQHswPb/aAQAA2QMAAA4AAAAA&#10;AAAAAQAgAAAAJAEAAGRycy9lMm9Eb2MueG1sUEsFBgAAAAAGAAYAWQEAAHAFAAAAAA==&#10;">
              <v:fill on="f" focussize="0,0"/>
              <v:stroke color="#000000" joinstyle="round"/>
              <v:imagedata o:title=""/>
              <o:lock v:ext="edit" aspectratio="f"/>
            </v:line>
          </w:pict>
        </mc:Fallback>
      </mc:AlternateContent>
    </w:r>
    <w:r>
      <w:rPr>
        <w:rFonts w:hint="eastAsia" w:ascii="宋体" w:hAnsi="宋体" w:cs="宋体"/>
        <w:color w:val="auto"/>
        <w:sz w:val="15"/>
        <w:szCs w:val="15"/>
        <w:highlight w:val="none"/>
        <w:lang w:val="en-US" w:eastAsia="zh-CN"/>
      </w:rPr>
      <w:t>睢县妇幼保健院便携式彩超采购项目                                                                竞争性磋商文件</w:t>
    </w:r>
    <w:r>
      <w:rPr>
        <w:rFonts w:hint="eastAsia" w:ascii="宋体" w:hAnsi="宋体" w:eastAsia="宋体" w:cs="宋体"/>
        <w:color w:val="auto"/>
        <w:sz w:val="15"/>
        <w:szCs w:val="15"/>
        <w:highlight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0C17"/>
    <w:multiLevelType w:val="singleLevel"/>
    <w:tmpl w:val="85B50C17"/>
    <w:lvl w:ilvl="0" w:tentative="0">
      <w:start w:val="1"/>
      <w:numFmt w:val="chineseCounting"/>
      <w:suff w:val="nothing"/>
      <w:lvlText w:val="%1、"/>
      <w:lvlJc w:val="left"/>
      <w:rPr>
        <w:rFonts w:hint="eastAsia"/>
      </w:rPr>
    </w:lvl>
  </w:abstractNum>
  <w:abstractNum w:abstractNumId="1">
    <w:nsid w:val="EFCA584D"/>
    <w:multiLevelType w:val="singleLevel"/>
    <w:tmpl w:val="EFCA584D"/>
    <w:lvl w:ilvl="0" w:tentative="0">
      <w:start w:val="5"/>
      <w:numFmt w:val="chineseCounting"/>
      <w:suff w:val="space"/>
      <w:lvlText w:val="第%1章"/>
      <w:lvlJc w:val="left"/>
      <w:rPr>
        <w:rFonts w:hint="eastAsia"/>
      </w:rPr>
    </w:lvl>
  </w:abstractNum>
  <w:abstractNum w:abstractNumId="2">
    <w:nsid w:val="F4752500"/>
    <w:multiLevelType w:val="singleLevel"/>
    <w:tmpl w:val="F4752500"/>
    <w:lvl w:ilvl="0" w:tentative="0">
      <w:start w:val="1"/>
      <w:numFmt w:val="decimal"/>
      <w:suff w:val="space"/>
      <w:lvlText w:val="%1."/>
      <w:lvlJc w:val="left"/>
    </w:lvl>
  </w:abstractNum>
  <w:abstractNum w:abstractNumId="3">
    <w:nsid w:val="532B31EF"/>
    <w:multiLevelType w:val="singleLevel"/>
    <w:tmpl w:val="532B31EF"/>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ZmZiZDU3NjBkNjRkYmU5ZWYzZGNmNWJkMDMxNjAifQ=="/>
  </w:docVars>
  <w:rsids>
    <w:rsidRoot w:val="00172A27"/>
    <w:rsid w:val="0000076A"/>
    <w:rsid w:val="000022F7"/>
    <w:rsid w:val="00002848"/>
    <w:rsid w:val="00004D0C"/>
    <w:rsid w:val="00004D2C"/>
    <w:rsid w:val="00005671"/>
    <w:rsid w:val="0001161D"/>
    <w:rsid w:val="00012219"/>
    <w:rsid w:val="000153F8"/>
    <w:rsid w:val="00016786"/>
    <w:rsid w:val="000231AB"/>
    <w:rsid w:val="0002651F"/>
    <w:rsid w:val="00030165"/>
    <w:rsid w:val="00032556"/>
    <w:rsid w:val="0003287F"/>
    <w:rsid w:val="000338EF"/>
    <w:rsid w:val="00035227"/>
    <w:rsid w:val="000427CB"/>
    <w:rsid w:val="0004342E"/>
    <w:rsid w:val="00051D8E"/>
    <w:rsid w:val="00052C70"/>
    <w:rsid w:val="000557B6"/>
    <w:rsid w:val="00061214"/>
    <w:rsid w:val="00062952"/>
    <w:rsid w:val="00066EEE"/>
    <w:rsid w:val="000718C8"/>
    <w:rsid w:val="00071C17"/>
    <w:rsid w:val="0007300F"/>
    <w:rsid w:val="00075412"/>
    <w:rsid w:val="00076325"/>
    <w:rsid w:val="00080314"/>
    <w:rsid w:val="00080439"/>
    <w:rsid w:val="0008474A"/>
    <w:rsid w:val="000866BF"/>
    <w:rsid w:val="000914C1"/>
    <w:rsid w:val="0009179A"/>
    <w:rsid w:val="00092828"/>
    <w:rsid w:val="000A00D0"/>
    <w:rsid w:val="000A43CE"/>
    <w:rsid w:val="000A455F"/>
    <w:rsid w:val="000A6124"/>
    <w:rsid w:val="000B6A83"/>
    <w:rsid w:val="000C1D21"/>
    <w:rsid w:val="000C303E"/>
    <w:rsid w:val="000D46C1"/>
    <w:rsid w:val="000D5593"/>
    <w:rsid w:val="000D64D9"/>
    <w:rsid w:val="000D6C1B"/>
    <w:rsid w:val="000D6F92"/>
    <w:rsid w:val="000D720D"/>
    <w:rsid w:val="000E024C"/>
    <w:rsid w:val="000E1935"/>
    <w:rsid w:val="000E6D36"/>
    <w:rsid w:val="000E6F40"/>
    <w:rsid w:val="000E7E03"/>
    <w:rsid w:val="000F434C"/>
    <w:rsid w:val="000F4433"/>
    <w:rsid w:val="000F5613"/>
    <w:rsid w:val="00103BC4"/>
    <w:rsid w:val="0010679A"/>
    <w:rsid w:val="00107290"/>
    <w:rsid w:val="00113B9B"/>
    <w:rsid w:val="00115038"/>
    <w:rsid w:val="00115244"/>
    <w:rsid w:val="00115AF5"/>
    <w:rsid w:val="00124463"/>
    <w:rsid w:val="00124EEE"/>
    <w:rsid w:val="00134050"/>
    <w:rsid w:val="00136B2A"/>
    <w:rsid w:val="00140A27"/>
    <w:rsid w:val="00142164"/>
    <w:rsid w:val="00145DB3"/>
    <w:rsid w:val="0015370D"/>
    <w:rsid w:val="00155882"/>
    <w:rsid w:val="00155A62"/>
    <w:rsid w:val="001607FA"/>
    <w:rsid w:val="00160E5B"/>
    <w:rsid w:val="0016202E"/>
    <w:rsid w:val="00162949"/>
    <w:rsid w:val="00163387"/>
    <w:rsid w:val="0016507A"/>
    <w:rsid w:val="00167CC2"/>
    <w:rsid w:val="001715A5"/>
    <w:rsid w:val="00172A27"/>
    <w:rsid w:val="0017388E"/>
    <w:rsid w:val="00175779"/>
    <w:rsid w:val="00175875"/>
    <w:rsid w:val="00180150"/>
    <w:rsid w:val="0018595C"/>
    <w:rsid w:val="001864E4"/>
    <w:rsid w:val="001904B9"/>
    <w:rsid w:val="001919FB"/>
    <w:rsid w:val="00191E7E"/>
    <w:rsid w:val="00192CB8"/>
    <w:rsid w:val="00193DF4"/>
    <w:rsid w:val="001A4F0E"/>
    <w:rsid w:val="001A5901"/>
    <w:rsid w:val="001B7853"/>
    <w:rsid w:val="001C1E56"/>
    <w:rsid w:val="001C56C4"/>
    <w:rsid w:val="001C599B"/>
    <w:rsid w:val="001D0CD8"/>
    <w:rsid w:val="001D401E"/>
    <w:rsid w:val="001D7C47"/>
    <w:rsid w:val="001E3F12"/>
    <w:rsid w:val="001F0A5C"/>
    <w:rsid w:val="001F0E3C"/>
    <w:rsid w:val="001F1075"/>
    <w:rsid w:val="001F1B71"/>
    <w:rsid w:val="00203AE9"/>
    <w:rsid w:val="002108B8"/>
    <w:rsid w:val="002129F4"/>
    <w:rsid w:val="002139BB"/>
    <w:rsid w:val="002146DF"/>
    <w:rsid w:val="00216A4F"/>
    <w:rsid w:val="00216CE7"/>
    <w:rsid w:val="00221DEB"/>
    <w:rsid w:val="0022308E"/>
    <w:rsid w:val="00223FEE"/>
    <w:rsid w:val="00224B6B"/>
    <w:rsid w:val="0022670E"/>
    <w:rsid w:val="00230340"/>
    <w:rsid w:val="00232D0B"/>
    <w:rsid w:val="00237781"/>
    <w:rsid w:val="00240111"/>
    <w:rsid w:val="002408F9"/>
    <w:rsid w:val="00242779"/>
    <w:rsid w:val="0024434D"/>
    <w:rsid w:val="00244489"/>
    <w:rsid w:val="00253D1C"/>
    <w:rsid w:val="00257593"/>
    <w:rsid w:val="00270FE2"/>
    <w:rsid w:val="00275C45"/>
    <w:rsid w:val="0027755A"/>
    <w:rsid w:val="0027763E"/>
    <w:rsid w:val="00277E2E"/>
    <w:rsid w:val="00282846"/>
    <w:rsid w:val="00283E32"/>
    <w:rsid w:val="00283F81"/>
    <w:rsid w:val="00291DD9"/>
    <w:rsid w:val="00293006"/>
    <w:rsid w:val="002948CF"/>
    <w:rsid w:val="002954D6"/>
    <w:rsid w:val="00295F2A"/>
    <w:rsid w:val="00296DED"/>
    <w:rsid w:val="002B0D5A"/>
    <w:rsid w:val="002B2FF9"/>
    <w:rsid w:val="002B30FF"/>
    <w:rsid w:val="002B3437"/>
    <w:rsid w:val="002C445C"/>
    <w:rsid w:val="002C4B4C"/>
    <w:rsid w:val="002C7FA6"/>
    <w:rsid w:val="002D69E0"/>
    <w:rsid w:val="002E2E9B"/>
    <w:rsid w:val="002F0B59"/>
    <w:rsid w:val="002F78C8"/>
    <w:rsid w:val="002F7DFA"/>
    <w:rsid w:val="003018E1"/>
    <w:rsid w:val="00303826"/>
    <w:rsid w:val="0030382D"/>
    <w:rsid w:val="00305A09"/>
    <w:rsid w:val="00311777"/>
    <w:rsid w:val="00311A5F"/>
    <w:rsid w:val="003139DC"/>
    <w:rsid w:val="00314B9A"/>
    <w:rsid w:val="00317458"/>
    <w:rsid w:val="0032558B"/>
    <w:rsid w:val="00330FA3"/>
    <w:rsid w:val="0033362B"/>
    <w:rsid w:val="00333E2F"/>
    <w:rsid w:val="00334238"/>
    <w:rsid w:val="00337712"/>
    <w:rsid w:val="00342316"/>
    <w:rsid w:val="003446E3"/>
    <w:rsid w:val="00351932"/>
    <w:rsid w:val="003544B6"/>
    <w:rsid w:val="00354B48"/>
    <w:rsid w:val="00357DC8"/>
    <w:rsid w:val="00363E93"/>
    <w:rsid w:val="00365626"/>
    <w:rsid w:val="0036699C"/>
    <w:rsid w:val="00377564"/>
    <w:rsid w:val="00383530"/>
    <w:rsid w:val="00394AE2"/>
    <w:rsid w:val="00395D54"/>
    <w:rsid w:val="003969F1"/>
    <w:rsid w:val="003A13D7"/>
    <w:rsid w:val="003A1903"/>
    <w:rsid w:val="003A3C5C"/>
    <w:rsid w:val="003B094F"/>
    <w:rsid w:val="003B096A"/>
    <w:rsid w:val="003B2BE4"/>
    <w:rsid w:val="003B3C60"/>
    <w:rsid w:val="003B471A"/>
    <w:rsid w:val="003B6B63"/>
    <w:rsid w:val="003C099A"/>
    <w:rsid w:val="003D090E"/>
    <w:rsid w:val="003D36F6"/>
    <w:rsid w:val="003D3B68"/>
    <w:rsid w:val="003D584E"/>
    <w:rsid w:val="003D6B97"/>
    <w:rsid w:val="003E0B83"/>
    <w:rsid w:val="003E12D5"/>
    <w:rsid w:val="003E212E"/>
    <w:rsid w:val="003E605D"/>
    <w:rsid w:val="003F35CB"/>
    <w:rsid w:val="003F36F2"/>
    <w:rsid w:val="003F4034"/>
    <w:rsid w:val="003F4794"/>
    <w:rsid w:val="00402480"/>
    <w:rsid w:val="00406832"/>
    <w:rsid w:val="00416C16"/>
    <w:rsid w:val="00420B9F"/>
    <w:rsid w:val="00421A36"/>
    <w:rsid w:val="00422997"/>
    <w:rsid w:val="004251CA"/>
    <w:rsid w:val="00426F5A"/>
    <w:rsid w:val="0043074D"/>
    <w:rsid w:val="00432D57"/>
    <w:rsid w:val="0043360F"/>
    <w:rsid w:val="004360CF"/>
    <w:rsid w:val="0044456D"/>
    <w:rsid w:val="0045589C"/>
    <w:rsid w:val="0045761F"/>
    <w:rsid w:val="004577C8"/>
    <w:rsid w:val="004609AF"/>
    <w:rsid w:val="004642F2"/>
    <w:rsid w:val="00464D38"/>
    <w:rsid w:val="00466BA6"/>
    <w:rsid w:val="004679BF"/>
    <w:rsid w:val="004726C6"/>
    <w:rsid w:val="004742F6"/>
    <w:rsid w:val="00474E61"/>
    <w:rsid w:val="00475345"/>
    <w:rsid w:val="00481000"/>
    <w:rsid w:val="004879A7"/>
    <w:rsid w:val="00490A52"/>
    <w:rsid w:val="004911E1"/>
    <w:rsid w:val="00491D6E"/>
    <w:rsid w:val="00492808"/>
    <w:rsid w:val="00494550"/>
    <w:rsid w:val="00494938"/>
    <w:rsid w:val="004954ED"/>
    <w:rsid w:val="004968FF"/>
    <w:rsid w:val="00496B17"/>
    <w:rsid w:val="00497945"/>
    <w:rsid w:val="004A42D1"/>
    <w:rsid w:val="004A4686"/>
    <w:rsid w:val="004A6737"/>
    <w:rsid w:val="004A78BF"/>
    <w:rsid w:val="004B4D83"/>
    <w:rsid w:val="004B5637"/>
    <w:rsid w:val="004C0D9A"/>
    <w:rsid w:val="004C2418"/>
    <w:rsid w:val="004C40D0"/>
    <w:rsid w:val="004C6D71"/>
    <w:rsid w:val="004C7124"/>
    <w:rsid w:val="004D31B0"/>
    <w:rsid w:val="004D40A7"/>
    <w:rsid w:val="004D4799"/>
    <w:rsid w:val="004D75F2"/>
    <w:rsid w:val="004D7D73"/>
    <w:rsid w:val="004E2698"/>
    <w:rsid w:val="004E3329"/>
    <w:rsid w:val="004F3DF6"/>
    <w:rsid w:val="004F4FF2"/>
    <w:rsid w:val="004F5040"/>
    <w:rsid w:val="005025B3"/>
    <w:rsid w:val="00511230"/>
    <w:rsid w:val="005126C6"/>
    <w:rsid w:val="00512B0B"/>
    <w:rsid w:val="00517C93"/>
    <w:rsid w:val="005211A6"/>
    <w:rsid w:val="005211D8"/>
    <w:rsid w:val="00524412"/>
    <w:rsid w:val="00524DB4"/>
    <w:rsid w:val="00527C55"/>
    <w:rsid w:val="00527DE3"/>
    <w:rsid w:val="00530840"/>
    <w:rsid w:val="00532319"/>
    <w:rsid w:val="005336C3"/>
    <w:rsid w:val="00541C5C"/>
    <w:rsid w:val="00545E8A"/>
    <w:rsid w:val="005464C3"/>
    <w:rsid w:val="005468F9"/>
    <w:rsid w:val="00546F9F"/>
    <w:rsid w:val="00550074"/>
    <w:rsid w:val="00551B7F"/>
    <w:rsid w:val="00552170"/>
    <w:rsid w:val="00554050"/>
    <w:rsid w:val="005550EA"/>
    <w:rsid w:val="00556CF7"/>
    <w:rsid w:val="005633DA"/>
    <w:rsid w:val="00564214"/>
    <w:rsid w:val="00567AB0"/>
    <w:rsid w:val="00571910"/>
    <w:rsid w:val="005725D7"/>
    <w:rsid w:val="00574FF6"/>
    <w:rsid w:val="00577FED"/>
    <w:rsid w:val="00580BB8"/>
    <w:rsid w:val="00580E33"/>
    <w:rsid w:val="0058204B"/>
    <w:rsid w:val="005930B6"/>
    <w:rsid w:val="00594556"/>
    <w:rsid w:val="00594E2B"/>
    <w:rsid w:val="005A0691"/>
    <w:rsid w:val="005A07BE"/>
    <w:rsid w:val="005A361D"/>
    <w:rsid w:val="005A3EEE"/>
    <w:rsid w:val="005B047A"/>
    <w:rsid w:val="005B2567"/>
    <w:rsid w:val="005B3118"/>
    <w:rsid w:val="005B3CC7"/>
    <w:rsid w:val="005B6611"/>
    <w:rsid w:val="005C0C93"/>
    <w:rsid w:val="005C17F5"/>
    <w:rsid w:val="005C2A05"/>
    <w:rsid w:val="005C55B8"/>
    <w:rsid w:val="005C6209"/>
    <w:rsid w:val="005C6903"/>
    <w:rsid w:val="005D0977"/>
    <w:rsid w:val="005D6FEE"/>
    <w:rsid w:val="005E157A"/>
    <w:rsid w:val="005E164F"/>
    <w:rsid w:val="005E32D5"/>
    <w:rsid w:val="005E5AAC"/>
    <w:rsid w:val="005E6045"/>
    <w:rsid w:val="005E677F"/>
    <w:rsid w:val="005F0B34"/>
    <w:rsid w:val="005F10A2"/>
    <w:rsid w:val="005F1E74"/>
    <w:rsid w:val="005F32CF"/>
    <w:rsid w:val="005F7491"/>
    <w:rsid w:val="005F7C6D"/>
    <w:rsid w:val="005F7FCD"/>
    <w:rsid w:val="006006C2"/>
    <w:rsid w:val="006011F0"/>
    <w:rsid w:val="006028C7"/>
    <w:rsid w:val="00602ECC"/>
    <w:rsid w:val="00603FD5"/>
    <w:rsid w:val="00605B9B"/>
    <w:rsid w:val="00607928"/>
    <w:rsid w:val="00613147"/>
    <w:rsid w:val="00614215"/>
    <w:rsid w:val="00614638"/>
    <w:rsid w:val="00617E4C"/>
    <w:rsid w:val="00625944"/>
    <w:rsid w:val="00626582"/>
    <w:rsid w:val="00627A52"/>
    <w:rsid w:val="006358C1"/>
    <w:rsid w:val="006379C8"/>
    <w:rsid w:val="006413E1"/>
    <w:rsid w:val="006428EA"/>
    <w:rsid w:val="00644C0B"/>
    <w:rsid w:val="00646D03"/>
    <w:rsid w:val="0064756F"/>
    <w:rsid w:val="00651944"/>
    <w:rsid w:val="006540F4"/>
    <w:rsid w:val="00654167"/>
    <w:rsid w:val="00655FA3"/>
    <w:rsid w:val="00657269"/>
    <w:rsid w:val="00660832"/>
    <w:rsid w:val="00661E1A"/>
    <w:rsid w:val="00664F53"/>
    <w:rsid w:val="006654D8"/>
    <w:rsid w:val="00672E08"/>
    <w:rsid w:val="00672FE2"/>
    <w:rsid w:val="006735BC"/>
    <w:rsid w:val="006743E7"/>
    <w:rsid w:val="006761C1"/>
    <w:rsid w:val="00680F7E"/>
    <w:rsid w:val="00683955"/>
    <w:rsid w:val="0068497D"/>
    <w:rsid w:val="00686C36"/>
    <w:rsid w:val="00687A0A"/>
    <w:rsid w:val="00687A33"/>
    <w:rsid w:val="006942CF"/>
    <w:rsid w:val="006A1EBC"/>
    <w:rsid w:val="006A23E2"/>
    <w:rsid w:val="006B2701"/>
    <w:rsid w:val="006B361A"/>
    <w:rsid w:val="006B3E34"/>
    <w:rsid w:val="006B6C48"/>
    <w:rsid w:val="006B6EB6"/>
    <w:rsid w:val="006B72F5"/>
    <w:rsid w:val="006B7869"/>
    <w:rsid w:val="006C00EA"/>
    <w:rsid w:val="006C0531"/>
    <w:rsid w:val="006C1C09"/>
    <w:rsid w:val="006C1E36"/>
    <w:rsid w:val="006C290A"/>
    <w:rsid w:val="006C3FF2"/>
    <w:rsid w:val="006C4CC0"/>
    <w:rsid w:val="006C6724"/>
    <w:rsid w:val="006C6B3A"/>
    <w:rsid w:val="006C6C7A"/>
    <w:rsid w:val="006C6D71"/>
    <w:rsid w:val="006D063D"/>
    <w:rsid w:val="006D3A42"/>
    <w:rsid w:val="006D43F2"/>
    <w:rsid w:val="006D44D6"/>
    <w:rsid w:val="006E196D"/>
    <w:rsid w:val="006E19D3"/>
    <w:rsid w:val="006E316E"/>
    <w:rsid w:val="006E3D6A"/>
    <w:rsid w:val="006F50C0"/>
    <w:rsid w:val="006F5A99"/>
    <w:rsid w:val="006F698B"/>
    <w:rsid w:val="00712B84"/>
    <w:rsid w:val="00715050"/>
    <w:rsid w:val="00717C12"/>
    <w:rsid w:val="007215DA"/>
    <w:rsid w:val="0072299E"/>
    <w:rsid w:val="00724E05"/>
    <w:rsid w:val="00727121"/>
    <w:rsid w:val="007273A6"/>
    <w:rsid w:val="00730787"/>
    <w:rsid w:val="00731BE1"/>
    <w:rsid w:val="00733177"/>
    <w:rsid w:val="00735BAC"/>
    <w:rsid w:val="0073739F"/>
    <w:rsid w:val="00740D1A"/>
    <w:rsid w:val="007424CA"/>
    <w:rsid w:val="00745701"/>
    <w:rsid w:val="00747ECA"/>
    <w:rsid w:val="0075197D"/>
    <w:rsid w:val="00754AE6"/>
    <w:rsid w:val="00757AF5"/>
    <w:rsid w:val="0077682E"/>
    <w:rsid w:val="00777681"/>
    <w:rsid w:val="00777DC2"/>
    <w:rsid w:val="0078162D"/>
    <w:rsid w:val="007836C1"/>
    <w:rsid w:val="00787D7F"/>
    <w:rsid w:val="00792978"/>
    <w:rsid w:val="00792D90"/>
    <w:rsid w:val="007A44C1"/>
    <w:rsid w:val="007A4691"/>
    <w:rsid w:val="007A6DCE"/>
    <w:rsid w:val="007B0538"/>
    <w:rsid w:val="007B0E77"/>
    <w:rsid w:val="007B1BFC"/>
    <w:rsid w:val="007B3FDF"/>
    <w:rsid w:val="007B4009"/>
    <w:rsid w:val="007C0696"/>
    <w:rsid w:val="007C3769"/>
    <w:rsid w:val="007C4501"/>
    <w:rsid w:val="007C4FCA"/>
    <w:rsid w:val="007C73BF"/>
    <w:rsid w:val="007C7DB5"/>
    <w:rsid w:val="007E1C63"/>
    <w:rsid w:val="007E5EE7"/>
    <w:rsid w:val="007E7064"/>
    <w:rsid w:val="007F1FE4"/>
    <w:rsid w:val="007F31A0"/>
    <w:rsid w:val="007F7C35"/>
    <w:rsid w:val="008000A3"/>
    <w:rsid w:val="00800694"/>
    <w:rsid w:val="00801CBF"/>
    <w:rsid w:val="008076B7"/>
    <w:rsid w:val="00807883"/>
    <w:rsid w:val="00814DCF"/>
    <w:rsid w:val="0081737C"/>
    <w:rsid w:val="00821113"/>
    <w:rsid w:val="00822CAA"/>
    <w:rsid w:val="008261DD"/>
    <w:rsid w:val="00831B57"/>
    <w:rsid w:val="0083348D"/>
    <w:rsid w:val="0083453B"/>
    <w:rsid w:val="008345FA"/>
    <w:rsid w:val="00834713"/>
    <w:rsid w:val="00834E93"/>
    <w:rsid w:val="008403D2"/>
    <w:rsid w:val="00841354"/>
    <w:rsid w:val="00847042"/>
    <w:rsid w:val="00850543"/>
    <w:rsid w:val="00851587"/>
    <w:rsid w:val="00852ED1"/>
    <w:rsid w:val="00853C2F"/>
    <w:rsid w:val="00853D2A"/>
    <w:rsid w:val="00857D6A"/>
    <w:rsid w:val="0086113B"/>
    <w:rsid w:val="0086460E"/>
    <w:rsid w:val="008653DC"/>
    <w:rsid w:val="00867D1F"/>
    <w:rsid w:val="00872AC6"/>
    <w:rsid w:val="0087690A"/>
    <w:rsid w:val="00877820"/>
    <w:rsid w:val="00880709"/>
    <w:rsid w:val="00880F7B"/>
    <w:rsid w:val="0088541F"/>
    <w:rsid w:val="00885B90"/>
    <w:rsid w:val="00886224"/>
    <w:rsid w:val="00886453"/>
    <w:rsid w:val="00886E96"/>
    <w:rsid w:val="008916C0"/>
    <w:rsid w:val="008A6B79"/>
    <w:rsid w:val="008B2FA5"/>
    <w:rsid w:val="008B6824"/>
    <w:rsid w:val="008B7475"/>
    <w:rsid w:val="008C4298"/>
    <w:rsid w:val="008C5EA4"/>
    <w:rsid w:val="008C6E41"/>
    <w:rsid w:val="008D0CE1"/>
    <w:rsid w:val="008D126F"/>
    <w:rsid w:val="008D1756"/>
    <w:rsid w:val="008D19FA"/>
    <w:rsid w:val="008D1C16"/>
    <w:rsid w:val="008D234B"/>
    <w:rsid w:val="008D685A"/>
    <w:rsid w:val="008D6DDE"/>
    <w:rsid w:val="008E0D6F"/>
    <w:rsid w:val="008E1185"/>
    <w:rsid w:val="008F0057"/>
    <w:rsid w:val="008F11F7"/>
    <w:rsid w:val="008F3153"/>
    <w:rsid w:val="0090091B"/>
    <w:rsid w:val="00903B21"/>
    <w:rsid w:val="00921775"/>
    <w:rsid w:val="00921B0D"/>
    <w:rsid w:val="0092422C"/>
    <w:rsid w:val="009245B4"/>
    <w:rsid w:val="009253C2"/>
    <w:rsid w:val="00930704"/>
    <w:rsid w:val="00933E87"/>
    <w:rsid w:val="00934C38"/>
    <w:rsid w:val="00936DDF"/>
    <w:rsid w:val="00937B8E"/>
    <w:rsid w:val="00945516"/>
    <w:rsid w:val="0095496D"/>
    <w:rsid w:val="00954A37"/>
    <w:rsid w:val="009569B7"/>
    <w:rsid w:val="00961C62"/>
    <w:rsid w:val="009650DD"/>
    <w:rsid w:val="0096605E"/>
    <w:rsid w:val="00967A99"/>
    <w:rsid w:val="00970036"/>
    <w:rsid w:val="009716D4"/>
    <w:rsid w:val="00971C37"/>
    <w:rsid w:val="00972701"/>
    <w:rsid w:val="00972B6B"/>
    <w:rsid w:val="00974CA5"/>
    <w:rsid w:val="00976915"/>
    <w:rsid w:val="0098118F"/>
    <w:rsid w:val="00982D8A"/>
    <w:rsid w:val="0098746F"/>
    <w:rsid w:val="0099012A"/>
    <w:rsid w:val="00991142"/>
    <w:rsid w:val="00991DE6"/>
    <w:rsid w:val="00992BA7"/>
    <w:rsid w:val="00995F03"/>
    <w:rsid w:val="0099614E"/>
    <w:rsid w:val="00996F6E"/>
    <w:rsid w:val="009970AF"/>
    <w:rsid w:val="009A494A"/>
    <w:rsid w:val="009A4969"/>
    <w:rsid w:val="009A6CEC"/>
    <w:rsid w:val="009A7507"/>
    <w:rsid w:val="009B0122"/>
    <w:rsid w:val="009B24C8"/>
    <w:rsid w:val="009B4576"/>
    <w:rsid w:val="009B4D96"/>
    <w:rsid w:val="009C0B96"/>
    <w:rsid w:val="009C15CF"/>
    <w:rsid w:val="009C16DC"/>
    <w:rsid w:val="009C74AE"/>
    <w:rsid w:val="009D25FE"/>
    <w:rsid w:val="009D2770"/>
    <w:rsid w:val="009D48C6"/>
    <w:rsid w:val="009D7D8E"/>
    <w:rsid w:val="009E042C"/>
    <w:rsid w:val="009E2776"/>
    <w:rsid w:val="009E40F9"/>
    <w:rsid w:val="009F2873"/>
    <w:rsid w:val="009F5387"/>
    <w:rsid w:val="009F5ABA"/>
    <w:rsid w:val="009F7123"/>
    <w:rsid w:val="009F7BB3"/>
    <w:rsid w:val="00A00410"/>
    <w:rsid w:val="00A007BB"/>
    <w:rsid w:val="00A01906"/>
    <w:rsid w:val="00A04A63"/>
    <w:rsid w:val="00A06E4E"/>
    <w:rsid w:val="00A07A08"/>
    <w:rsid w:val="00A13089"/>
    <w:rsid w:val="00A14C4A"/>
    <w:rsid w:val="00A17E61"/>
    <w:rsid w:val="00A2100F"/>
    <w:rsid w:val="00A22868"/>
    <w:rsid w:val="00A2351D"/>
    <w:rsid w:val="00A24873"/>
    <w:rsid w:val="00A261D5"/>
    <w:rsid w:val="00A32120"/>
    <w:rsid w:val="00A32A5A"/>
    <w:rsid w:val="00A34721"/>
    <w:rsid w:val="00A40665"/>
    <w:rsid w:val="00A40A47"/>
    <w:rsid w:val="00A42D32"/>
    <w:rsid w:val="00A42DE5"/>
    <w:rsid w:val="00A5278D"/>
    <w:rsid w:val="00A54F7F"/>
    <w:rsid w:val="00A6092C"/>
    <w:rsid w:val="00A65F3C"/>
    <w:rsid w:val="00A6688E"/>
    <w:rsid w:val="00A66E1A"/>
    <w:rsid w:val="00A67342"/>
    <w:rsid w:val="00A71430"/>
    <w:rsid w:val="00A72BAD"/>
    <w:rsid w:val="00A7390C"/>
    <w:rsid w:val="00A770B1"/>
    <w:rsid w:val="00A80735"/>
    <w:rsid w:val="00A81346"/>
    <w:rsid w:val="00A87346"/>
    <w:rsid w:val="00A879C0"/>
    <w:rsid w:val="00A91257"/>
    <w:rsid w:val="00A91E8F"/>
    <w:rsid w:val="00A93B19"/>
    <w:rsid w:val="00A97B3B"/>
    <w:rsid w:val="00AA45AA"/>
    <w:rsid w:val="00AA69CA"/>
    <w:rsid w:val="00AB1192"/>
    <w:rsid w:val="00AB286A"/>
    <w:rsid w:val="00AB2D38"/>
    <w:rsid w:val="00AB67B3"/>
    <w:rsid w:val="00AC4333"/>
    <w:rsid w:val="00AC526A"/>
    <w:rsid w:val="00AC532A"/>
    <w:rsid w:val="00AC6449"/>
    <w:rsid w:val="00AC73B8"/>
    <w:rsid w:val="00AC7F6F"/>
    <w:rsid w:val="00AD1335"/>
    <w:rsid w:val="00AD74E9"/>
    <w:rsid w:val="00AE1B14"/>
    <w:rsid w:val="00AE555F"/>
    <w:rsid w:val="00AF0490"/>
    <w:rsid w:val="00AF110B"/>
    <w:rsid w:val="00AF1250"/>
    <w:rsid w:val="00AF1582"/>
    <w:rsid w:val="00AF158B"/>
    <w:rsid w:val="00AF564B"/>
    <w:rsid w:val="00AF5BE5"/>
    <w:rsid w:val="00B0145C"/>
    <w:rsid w:val="00B02855"/>
    <w:rsid w:val="00B0609A"/>
    <w:rsid w:val="00B060C1"/>
    <w:rsid w:val="00B06593"/>
    <w:rsid w:val="00B07B1D"/>
    <w:rsid w:val="00B11E8B"/>
    <w:rsid w:val="00B12525"/>
    <w:rsid w:val="00B13890"/>
    <w:rsid w:val="00B14202"/>
    <w:rsid w:val="00B1546B"/>
    <w:rsid w:val="00B21ED7"/>
    <w:rsid w:val="00B22794"/>
    <w:rsid w:val="00B24C36"/>
    <w:rsid w:val="00B26EDB"/>
    <w:rsid w:val="00B3266D"/>
    <w:rsid w:val="00B326CB"/>
    <w:rsid w:val="00B34763"/>
    <w:rsid w:val="00B37414"/>
    <w:rsid w:val="00B40A18"/>
    <w:rsid w:val="00B47E9F"/>
    <w:rsid w:val="00B50468"/>
    <w:rsid w:val="00B51E19"/>
    <w:rsid w:val="00B536F1"/>
    <w:rsid w:val="00B536FA"/>
    <w:rsid w:val="00B60659"/>
    <w:rsid w:val="00B65163"/>
    <w:rsid w:val="00B6564E"/>
    <w:rsid w:val="00B708E8"/>
    <w:rsid w:val="00B754E4"/>
    <w:rsid w:val="00B83D14"/>
    <w:rsid w:val="00B8507D"/>
    <w:rsid w:val="00B928CC"/>
    <w:rsid w:val="00B9601C"/>
    <w:rsid w:val="00BA06E6"/>
    <w:rsid w:val="00BA45BE"/>
    <w:rsid w:val="00BA4B35"/>
    <w:rsid w:val="00BA6AA6"/>
    <w:rsid w:val="00BA7BA6"/>
    <w:rsid w:val="00BB0BC7"/>
    <w:rsid w:val="00BB1CFA"/>
    <w:rsid w:val="00BB321F"/>
    <w:rsid w:val="00BB7AEA"/>
    <w:rsid w:val="00BC0605"/>
    <w:rsid w:val="00BC4083"/>
    <w:rsid w:val="00BC44AC"/>
    <w:rsid w:val="00BC56D1"/>
    <w:rsid w:val="00BC7492"/>
    <w:rsid w:val="00BC79DC"/>
    <w:rsid w:val="00BC7E76"/>
    <w:rsid w:val="00BD4239"/>
    <w:rsid w:val="00BD442F"/>
    <w:rsid w:val="00BD5777"/>
    <w:rsid w:val="00BE06BB"/>
    <w:rsid w:val="00BE14C0"/>
    <w:rsid w:val="00BE154A"/>
    <w:rsid w:val="00BE38F9"/>
    <w:rsid w:val="00BE47C1"/>
    <w:rsid w:val="00BF2D7F"/>
    <w:rsid w:val="00BF4122"/>
    <w:rsid w:val="00BF4972"/>
    <w:rsid w:val="00BF6D13"/>
    <w:rsid w:val="00BF6E01"/>
    <w:rsid w:val="00C00D58"/>
    <w:rsid w:val="00C01F3D"/>
    <w:rsid w:val="00C02DA6"/>
    <w:rsid w:val="00C06EC9"/>
    <w:rsid w:val="00C11C0D"/>
    <w:rsid w:val="00C16062"/>
    <w:rsid w:val="00C225FB"/>
    <w:rsid w:val="00C22F67"/>
    <w:rsid w:val="00C24301"/>
    <w:rsid w:val="00C24955"/>
    <w:rsid w:val="00C251AE"/>
    <w:rsid w:val="00C25F7E"/>
    <w:rsid w:val="00C27736"/>
    <w:rsid w:val="00C2795B"/>
    <w:rsid w:val="00C307F6"/>
    <w:rsid w:val="00C30F67"/>
    <w:rsid w:val="00C34BDA"/>
    <w:rsid w:val="00C44FD2"/>
    <w:rsid w:val="00C452D6"/>
    <w:rsid w:val="00C52235"/>
    <w:rsid w:val="00C52360"/>
    <w:rsid w:val="00C52A99"/>
    <w:rsid w:val="00C60250"/>
    <w:rsid w:val="00C6160F"/>
    <w:rsid w:val="00C657E9"/>
    <w:rsid w:val="00C71320"/>
    <w:rsid w:val="00C72B5B"/>
    <w:rsid w:val="00C73FE2"/>
    <w:rsid w:val="00C74B75"/>
    <w:rsid w:val="00C768FB"/>
    <w:rsid w:val="00C85F88"/>
    <w:rsid w:val="00C872F7"/>
    <w:rsid w:val="00C90FCF"/>
    <w:rsid w:val="00C92C8E"/>
    <w:rsid w:val="00C93E20"/>
    <w:rsid w:val="00C95E65"/>
    <w:rsid w:val="00CA0C04"/>
    <w:rsid w:val="00CA1BE8"/>
    <w:rsid w:val="00CA4DE6"/>
    <w:rsid w:val="00CA656A"/>
    <w:rsid w:val="00CA65D4"/>
    <w:rsid w:val="00CA7147"/>
    <w:rsid w:val="00CA7260"/>
    <w:rsid w:val="00CB1707"/>
    <w:rsid w:val="00CB3003"/>
    <w:rsid w:val="00CB324D"/>
    <w:rsid w:val="00CB60E0"/>
    <w:rsid w:val="00CB6613"/>
    <w:rsid w:val="00CC1DEC"/>
    <w:rsid w:val="00CC29FA"/>
    <w:rsid w:val="00CC45A6"/>
    <w:rsid w:val="00CC6B32"/>
    <w:rsid w:val="00CD0F01"/>
    <w:rsid w:val="00CD2EE9"/>
    <w:rsid w:val="00CD6DBC"/>
    <w:rsid w:val="00CE4AD4"/>
    <w:rsid w:val="00CE525A"/>
    <w:rsid w:val="00CF2E7D"/>
    <w:rsid w:val="00CF7C89"/>
    <w:rsid w:val="00D00072"/>
    <w:rsid w:val="00D00430"/>
    <w:rsid w:val="00D02322"/>
    <w:rsid w:val="00D026DF"/>
    <w:rsid w:val="00D05B1D"/>
    <w:rsid w:val="00D12090"/>
    <w:rsid w:val="00D3016B"/>
    <w:rsid w:val="00D330C0"/>
    <w:rsid w:val="00D35284"/>
    <w:rsid w:val="00D36675"/>
    <w:rsid w:val="00D403FA"/>
    <w:rsid w:val="00D40605"/>
    <w:rsid w:val="00D4130D"/>
    <w:rsid w:val="00D41EB0"/>
    <w:rsid w:val="00D45A78"/>
    <w:rsid w:val="00D47CE5"/>
    <w:rsid w:val="00D47D59"/>
    <w:rsid w:val="00D50459"/>
    <w:rsid w:val="00D5788E"/>
    <w:rsid w:val="00D6270D"/>
    <w:rsid w:val="00D676D6"/>
    <w:rsid w:val="00D7011D"/>
    <w:rsid w:val="00D71248"/>
    <w:rsid w:val="00D719F4"/>
    <w:rsid w:val="00D7788E"/>
    <w:rsid w:val="00D82E46"/>
    <w:rsid w:val="00D83BC0"/>
    <w:rsid w:val="00D85CF5"/>
    <w:rsid w:val="00D865DE"/>
    <w:rsid w:val="00D9091B"/>
    <w:rsid w:val="00D91EC4"/>
    <w:rsid w:val="00D93622"/>
    <w:rsid w:val="00DA4031"/>
    <w:rsid w:val="00DA60C2"/>
    <w:rsid w:val="00DA7423"/>
    <w:rsid w:val="00DB2378"/>
    <w:rsid w:val="00DB2A0F"/>
    <w:rsid w:val="00DB306F"/>
    <w:rsid w:val="00DB3A3C"/>
    <w:rsid w:val="00DC39EF"/>
    <w:rsid w:val="00DC4953"/>
    <w:rsid w:val="00DC541A"/>
    <w:rsid w:val="00DD19CD"/>
    <w:rsid w:val="00DD2A86"/>
    <w:rsid w:val="00DD36B9"/>
    <w:rsid w:val="00DD5278"/>
    <w:rsid w:val="00DD5924"/>
    <w:rsid w:val="00DD5A21"/>
    <w:rsid w:val="00DD63A7"/>
    <w:rsid w:val="00DD72BE"/>
    <w:rsid w:val="00DE07DF"/>
    <w:rsid w:val="00DE225A"/>
    <w:rsid w:val="00DF0E7A"/>
    <w:rsid w:val="00DF1A3A"/>
    <w:rsid w:val="00DF3A58"/>
    <w:rsid w:val="00DF3BDF"/>
    <w:rsid w:val="00E057C9"/>
    <w:rsid w:val="00E10EB3"/>
    <w:rsid w:val="00E11B45"/>
    <w:rsid w:val="00E13486"/>
    <w:rsid w:val="00E15C61"/>
    <w:rsid w:val="00E17553"/>
    <w:rsid w:val="00E21B0B"/>
    <w:rsid w:val="00E26A5D"/>
    <w:rsid w:val="00E30B7B"/>
    <w:rsid w:val="00E31861"/>
    <w:rsid w:val="00E4253A"/>
    <w:rsid w:val="00E42546"/>
    <w:rsid w:val="00E434C5"/>
    <w:rsid w:val="00E457ED"/>
    <w:rsid w:val="00E523D4"/>
    <w:rsid w:val="00E5384A"/>
    <w:rsid w:val="00E55C01"/>
    <w:rsid w:val="00E56718"/>
    <w:rsid w:val="00E56A09"/>
    <w:rsid w:val="00E57C86"/>
    <w:rsid w:val="00E607D0"/>
    <w:rsid w:val="00E60EFF"/>
    <w:rsid w:val="00E635C3"/>
    <w:rsid w:val="00E64220"/>
    <w:rsid w:val="00E64648"/>
    <w:rsid w:val="00E65FB8"/>
    <w:rsid w:val="00E66EF3"/>
    <w:rsid w:val="00E7728F"/>
    <w:rsid w:val="00E77293"/>
    <w:rsid w:val="00E80175"/>
    <w:rsid w:val="00E806D8"/>
    <w:rsid w:val="00E847CB"/>
    <w:rsid w:val="00E84F02"/>
    <w:rsid w:val="00E850E4"/>
    <w:rsid w:val="00E85F0B"/>
    <w:rsid w:val="00E90F14"/>
    <w:rsid w:val="00E9366E"/>
    <w:rsid w:val="00E93691"/>
    <w:rsid w:val="00E93F8E"/>
    <w:rsid w:val="00EA3782"/>
    <w:rsid w:val="00EA58AC"/>
    <w:rsid w:val="00EA77D9"/>
    <w:rsid w:val="00EB1D4A"/>
    <w:rsid w:val="00EB2D05"/>
    <w:rsid w:val="00EB3877"/>
    <w:rsid w:val="00EB6AB9"/>
    <w:rsid w:val="00EC1ADF"/>
    <w:rsid w:val="00EC1EF0"/>
    <w:rsid w:val="00EC519D"/>
    <w:rsid w:val="00EC66B9"/>
    <w:rsid w:val="00EC7EC5"/>
    <w:rsid w:val="00ED0A43"/>
    <w:rsid w:val="00ED180F"/>
    <w:rsid w:val="00ED22C4"/>
    <w:rsid w:val="00EE31C9"/>
    <w:rsid w:val="00EE3F43"/>
    <w:rsid w:val="00EF00CA"/>
    <w:rsid w:val="00EF1D41"/>
    <w:rsid w:val="00EF21D9"/>
    <w:rsid w:val="00EF32A4"/>
    <w:rsid w:val="00EF441A"/>
    <w:rsid w:val="00EF59BE"/>
    <w:rsid w:val="00F00510"/>
    <w:rsid w:val="00F014F5"/>
    <w:rsid w:val="00F02A17"/>
    <w:rsid w:val="00F03BD4"/>
    <w:rsid w:val="00F0633F"/>
    <w:rsid w:val="00F069BD"/>
    <w:rsid w:val="00F11095"/>
    <w:rsid w:val="00F14B25"/>
    <w:rsid w:val="00F14B98"/>
    <w:rsid w:val="00F170F7"/>
    <w:rsid w:val="00F17C33"/>
    <w:rsid w:val="00F20442"/>
    <w:rsid w:val="00F232DF"/>
    <w:rsid w:val="00F26C3E"/>
    <w:rsid w:val="00F302CD"/>
    <w:rsid w:val="00F31EE9"/>
    <w:rsid w:val="00F34AA5"/>
    <w:rsid w:val="00F35064"/>
    <w:rsid w:val="00F37B66"/>
    <w:rsid w:val="00F40044"/>
    <w:rsid w:val="00F40129"/>
    <w:rsid w:val="00F42041"/>
    <w:rsid w:val="00F54701"/>
    <w:rsid w:val="00F5571B"/>
    <w:rsid w:val="00F573D8"/>
    <w:rsid w:val="00F603F4"/>
    <w:rsid w:val="00F6417E"/>
    <w:rsid w:val="00F70E92"/>
    <w:rsid w:val="00F7120F"/>
    <w:rsid w:val="00F74351"/>
    <w:rsid w:val="00F77105"/>
    <w:rsid w:val="00F82198"/>
    <w:rsid w:val="00F82FA3"/>
    <w:rsid w:val="00F84762"/>
    <w:rsid w:val="00F86669"/>
    <w:rsid w:val="00F909B2"/>
    <w:rsid w:val="00F94750"/>
    <w:rsid w:val="00F979B3"/>
    <w:rsid w:val="00FA254C"/>
    <w:rsid w:val="00FB2EED"/>
    <w:rsid w:val="00FB58B8"/>
    <w:rsid w:val="00FB6679"/>
    <w:rsid w:val="00FC35AB"/>
    <w:rsid w:val="00FC6329"/>
    <w:rsid w:val="00FD01A5"/>
    <w:rsid w:val="00FD2E74"/>
    <w:rsid w:val="00FD3526"/>
    <w:rsid w:val="00FD4C4F"/>
    <w:rsid w:val="00FD5A8A"/>
    <w:rsid w:val="00FD5FB7"/>
    <w:rsid w:val="00FD7F5D"/>
    <w:rsid w:val="00FE28BF"/>
    <w:rsid w:val="00FE3DEE"/>
    <w:rsid w:val="00FE45A8"/>
    <w:rsid w:val="00FE636C"/>
    <w:rsid w:val="00FF5F06"/>
    <w:rsid w:val="011243B7"/>
    <w:rsid w:val="0132783D"/>
    <w:rsid w:val="014E3493"/>
    <w:rsid w:val="01511271"/>
    <w:rsid w:val="01653B43"/>
    <w:rsid w:val="016B3738"/>
    <w:rsid w:val="019C1C8D"/>
    <w:rsid w:val="01A70F0D"/>
    <w:rsid w:val="01B40F4E"/>
    <w:rsid w:val="01C3577B"/>
    <w:rsid w:val="01D35E86"/>
    <w:rsid w:val="01D628BE"/>
    <w:rsid w:val="01E2462E"/>
    <w:rsid w:val="02006853"/>
    <w:rsid w:val="020516B8"/>
    <w:rsid w:val="02123B4B"/>
    <w:rsid w:val="02160F0D"/>
    <w:rsid w:val="021E4F45"/>
    <w:rsid w:val="024504DC"/>
    <w:rsid w:val="029B1CD6"/>
    <w:rsid w:val="029F4003"/>
    <w:rsid w:val="02BC60A1"/>
    <w:rsid w:val="031079AA"/>
    <w:rsid w:val="03170380"/>
    <w:rsid w:val="033427F5"/>
    <w:rsid w:val="03464A85"/>
    <w:rsid w:val="034C4CF4"/>
    <w:rsid w:val="035809B4"/>
    <w:rsid w:val="036B1328"/>
    <w:rsid w:val="036F47BD"/>
    <w:rsid w:val="03995922"/>
    <w:rsid w:val="03B43225"/>
    <w:rsid w:val="03B43B60"/>
    <w:rsid w:val="03EF3054"/>
    <w:rsid w:val="03FB03BA"/>
    <w:rsid w:val="04064E0E"/>
    <w:rsid w:val="040A4A0B"/>
    <w:rsid w:val="040A7BC1"/>
    <w:rsid w:val="041C1868"/>
    <w:rsid w:val="042E7958"/>
    <w:rsid w:val="043769A7"/>
    <w:rsid w:val="0439132A"/>
    <w:rsid w:val="043F4E36"/>
    <w:rsid w:val="045427FF"/>
    <w:rsid w:val="04607864"/>
    <w:rsid w:val="04AA138F"/>
    <w:rsid w:val="04B40CF2"/>
    <w:rsid w:val="04D45FCF"/>
    <w:rsid w:val="04E74345"/>
    <w:rsid w:val="05011B04"/>
    <w:rsid w:val="05055FF8"/>
    <w:rsid w:val="05285E4F"/>
    <w:rsid w:val="052A10D8"/>
    <w:rsid w:val="053876D1"/>
    <w:rsid w:val="053F6C4E"/>
    <w:rsid w:val="05461CF6"/>
    <w:rsid w:val="05546CBB"/>
    <w:rsid w:val="056106F1"/>
    <w:rsid w:val="05AB08EA"/>
    <w:rsid w:val="05B30F86"/>
    <w:rsid w:val="05C23886"/>
    <w:rsid w:val="05D14557"/>
    <w:rsid w:val="05F844FB"/>
    <w:rsid w:val="060C5624"/>
    <w:rsid w:val="061A3AB7"/>
    <w:rsid w:val="06202254"/>
    <w:rsid w:val="062F6A41"/>
    <w:rsid w:val="06383A47"/>
    <w:rsid w:val="0644186E"/>
    <w:rsid w:val="064C6525"/>
    <w:rsid w:val="064E300E"/>
    <w:rsid w:val="06605E45"/>
    <w:rsid w:val="068A3CB5"/>
    <w:rsid w:val="06C92463"/>
    <w:rsid w:val="06E55B82"/>
    <w:rsid w:val="06E72E78"/>
    <w:rsid w:val="06EB7F41"/>
    <w:rsid w:val="06F03FFE"/>
    <w:rsid w:val="071F38C0"/>
    <w:rsid w:val="073C77E7"/>
    <w:rsid w:val="07491A3E"/>
    <w:rsid w:val="074D53D1"/>
    <w:rsid w:val="07693874"/>
    <w:rsid w:val="07731E1B"/>
    <w:rsid w:val="07761D8D"/>
    <w:rsid w:val="077E407C"/>
    <w:rsid w:val="07830DF3"/>
    <w:rsid w:val="07876E2F"/>
    <w:rsid w:val="078C7D83"/>
    <w:rsid w:val="079B25E0"/>
    <w:rsid w:val="07A33A5A"/>
    <w:rsid w:val="07AA637F"/>
    <w:rsid w:val="07B2792A"/>
    <w:rsid w:val="07B54995"/>
    <w:rsid w:val="07C338E5"/>
    <w:rsid w:val="07E75A81"/>
    <w:rsid w:val="07ED198D"/>
    <w:rsid w:val="080173B4"/>
    <w:rsid w:val="080C703A"/>
    <w:rsid w:val="08162B07"/>
    <w:rsid w:val="083838C0"/>
    <w:rsid w:val="0844796D"/>
    <w:rsid w:val="08606325"/>
    <w:rsid w:val="08636604"/>
    <w:rsid w:val="08901BC3"/>
    <w:rsid w:val="08C22A59"/>
    <w:rsid w:val="08D36287"/>
    <w:rsid w:val="08D86F1C"/>
    <w:rsid w:val="08DA70E3"/>
    <w:rsid w:val="08E20D7A"/>
    <w:rsid w:val="09176AB1"/>
    <w:rsid w:val="091F2D9D"/>
    <w:rsid w:val="093A3F69"/>
    <w:rsid w:val="095F2C2B"/>
    <w:rsid w:val="097430FA"/>
    <w:rsid w:val="098F35CC"/>
    <w:rsid w:val="0996269E"/>
    <w:rsid w:val="09C04738"/>
    <w:rsid w:val="0A037623"/>
    <w:rsid w:val="0A21210D"/>
    <w:rsid w:val="0A2460B7"/>
    <w:rsid w:val="0A290A04"/>
    <w:rsid w:val="0A643059"/>
    <w:rsid w:val="0A71382C"/>
    <w:rsid w:val="0A7804FE"/>
    <w:rsid w:val="0A7821D4"/>
    <w:rsid w:val="0A7B577C"/>
    <w:rsid w:val="0A8740E8"/>
    <w:rsid w:val="0A886687"/>
    <w:rsid w:val="0AB65CA8"/>
    <w:rsid w:val="0AFB0883"/>
    <w:rsid w:val="0B09791D"/>
    <w:rsid w:val="0B186D4E"/>
    <w:rsid w:val="0B2B4B1C"/>
    <w:rsid w:val="0B335DFF"/>
    <w:rsid w:val="0B347D3D"/>
    <w:rsid w:val="0B3628BB"/>
    <w:rsid w:val="0B3F4D4F"/>
    <w:rsid w:val="0B501E73"/>
    <w:rsid w:val="0B515FC1"/>
    <w:rsid w:val="0B5B6CF9"/>
    <w:rsid w:val="0B703C02"/>
    <w:rsid w:val="0B8761C1"/>
    <w:rsid w:val="0B94714E"/>
    <w:rsid w:val="0B9B62A6"/>
    <w:rsid w:val="0BAE21B6"/>
    <w:rsid w:val="0BB64255"/>
    <w:rsid w:val="0BCB4B16"/>
    <w:rsid w:val="0BF86793"/>
    <w:rsid w:val="0BF90648"/>
    <w:rsid w:val="0C1C61A4"/>
    <w:rsid w:val="0C1F7223"/>
    <w:rsid w:val="0C2C6625"/>
    <w:rsid w:val="0C330821"/>
    <w:rsid w:val="0C4A676F"/>
    <w:rsid w:val="0C71470F"/>
    <w:rsid w:val="0C740958"/>
    <w:rsid w:val="0C784FC8"/>
    <w:rsid w:val="0CAA1D77"/>
    <w:rsid w:val="0CAD34A8"/>
    <w:rsid w:val="0CB1770B"/>
    <w:rsid w:val="0CE23985"/>
    <w:rsid w:val="0CE822BF"/>
    <w:rsid w:val="0CFD6A86"/>
    <w:rsid w:val="0D2C3CDA"/>
    <w:rsid w:val="0D5374B9"/>
    <w:rsid w:val="0D6562B4"/>
    <w:rsid w:val="0D7D6961"/>
    <w:rsid w:val="0D8168A5"/>
    <w:rsid w:val="0D896292"/>
    <w:rsid w:val="0D9B7A1A"/>
    <w:rsid w:val="0DA41D7C"/>
    <w:rsid w:val="0DAD24B2"/>
    <w:rsid w:val="0DB65475"/>
    <w:rsid w:val="0DC007C2"/>
    <w:rsid w:val="0DC07DE4"/>
    <w:rsid w:val="0DE17323"/>
    <w:rsid w:val="0DE85C91"/>
    <w:rsid w:val="0DF608EA"/>
    <w:rsid w:val="0E1D3A1E"/>
    <w:rsid w:val="0E2560B0"/>
    <w:rsid w:val="0E2D4DDA"/>
    <w:rsid w:val="0E381153"/>
    <w:rsid w:val="0E3E1F80"/>
    <w:rsid w:val="0E59465B"/>
    <w:rsid w:val="0E712A17"/>
    <w:rsid w:val="0E7616B1"/>
    <w:rsid w:val="0E7647CB"/>
    <w:rsid w:val="0ECD14AE"/>
    <w:rsid w:val="0ECE2239"/>
    <w:rsid w:val="0EDD1EE4"/>
    <w:rsid w:val="0EEE56EB"/>
    <w:rsid w:val="0EFC4277"/>
    <w:rsid w:val="0F11030B"/>
    <w:rsid w:val="0F1F485D"/>
    <w:rsid w:val="0F371813"/>
    <w:rsid w:val="0F373F60"/>
    <w:rsid w:val="0F657030"/>
    <w:rsid w:val="0F7B4AA5"/>
    <w:rsid w:val="0F925F4A"/>
    <w:rsid w:val="0F953DB9"/>
    <w:rsid w:val="0FEE34C9"/>
    <w:rsid w:val="101D790A"/>
    <w:rsid w:val="102822F4"/>
    <w:rsid w:val="1032785A"/>
    <w:rsid w:val="10646263"/>
    <w:rsid w:val="107C3083"/>
    <w:rsid w:val="107C70AF"/>
    <w:rsid w:val="10806BD8"/>
    <w:rsid w:val="108C1492"/>
    <w:rsid w:val="1092654A"/>
    <w:rsid w:val="109821D6"/>
    <w:rsid w:val="109D3775"/>
    <w:rsid w:val="10C20BDE"/>
    <w:rsid w:val="10CC5DDC"/>
    <w:rsid w:val="10E0785E"/>
    <w:rsid w:val="10EB2570"/>
    <w:rsid w:val="10F82934"/>
    <w:rsid w:val="10FA3DB5"/>
    <w:rsid w:val="1102181E"/>
    <w:rsid w:val="11064D17"/>
    <w:rsid w:val="11175835"/>
    <w:rsid w:val="112B14E7"/>
    <w:rsid w:val="112E4CB0"/>
    <w:rsid w:val="113B5214"/>
    <w:rsid w:val="11412CCD"/>
    <w:rsid w:val="1150327B"/>
    <w:rsid w:val="116457F1"/>
    <w:rsid w:val="118E2AE1"/>
    <w:rsid w:val="11910682"/>
    <w:rsid w:val="11925FC1"/>
    <w:rsid w:val="119662B2"/>
    <w:rsid w:val="11B25AEB"/>
    <w:rsid w:val="11B5604C"/>
    <w:rsid w:val="11C5780D"/>
    <w:rsid w:val="11C95B7A"/>
    <w:rsid w:val="11CC53BF"/>
    <w:rsid w:val="11F14A22"/>
    <w:rsid w:val="11F76A92"/>
    <w:rsid w:val="11FA7F03"/>
    <w:rsid w:val="12086AC4"/>
    <w:rsid w:val="12096ADB"/>
    <w:rsid w:val="123E5441"/>
    <w:rsid w:val="12413DFE"/>
    <w:rsid w:val="12613ED3"/>
    <w:rsid w:val="1269070D"/>
    <w:rsid w:val="126B0053"/>
    <w:rsid w:val="12B952A8"/>
    <w:rsid w:val="12C361A6"/>
    <w:rsid w:val="12E3739D"/>
    <w:rsid w:val="12FF634A"/>
    <w:rsid w:val="130D198A"/>
    <w:rsid w:val="1312127D"/>
    <w:rsid w:val="13232993"/>
    <w:rsid w:val="13237A4E"/>
    <w:rsid w:val="134B4468"/>
    <w:rsid w:val="13737F6D"/>
    <w:rsid w:val="137912FC"/>
    <w:rsid w:val="138A2AE5"/>
    <w:rsid w:val="13906D71"/>
    <w:rsid w:val="13CE242D"/>
    <w:rsid w:val="13E310A9"/>
    <w:rsid w:val="13F27AB4"/>
    <w:rsid w:val="14203868"/>
    <w:rsid w:val="14455690"/>
    <w:rsid w:val="14794904"/>
    <w:rsid w:val="14FE497A"/>
    <w:rsid w:val="15276F40"/>
    <w:rsid w:val="154871D8"/>
    <w:rsid w:val="15802E15"/>
    <w:rsid w:val="15A061F5"/>
    <w:rsid w:val="161A0B74"/>
    <w:rsid w:val="164F51C6"/>
    <w:rsid w:val="16BF34C9"/>
    <w:rsid w:val="16E52493"/>
    <w:rsid w:val="16EF6275"/>
    <w:rsid w:val="16FC3064"/>
    <w:rsid w:val="17017211"/>
    <w:rsid w:val="17072D4E"/>
    <w:rsid w:val="17282F39"/>
    <w:rsid w:val="172C4ACF"/>
    <w:rsid w:val="17335C37"/>
    <w:rsid w:val="174B232F"/>
    <w:rsid w:val="178179B3"/>
    <w:rsid w:val="179158D0"/>
    <w:rsid w:val="17A55002"/>
    <w:rsid w:val="17B84AE8"/>
    <w:rsid w:val="17C35253"/>
    <w:rsid w:val="17C654E3"/>
    <w:rsid w:val="17DA597A"/>
    <w:rsid w:val="17DF02C7"/>
    <w:rsid w:val="17E70F2A"/>
    <w:rsid w:val="17E712BD"/>
    <w:rsid w:val="183813D4"/>
    <w:rsid w:val="18392E36"/>
    <w:rsid w:val="184C249C"/>
    <w:rsid w:val="18510AE8"/>
    <w:rsid w:val="18875B29"/>
    <w:rsid w:val="188A4AC3"/>
    <w:rsid w:val="188B3FAB"/>
    <w:rsid w:val="189A6FD3"/>
    <w:rsid w:val="18BC4B06"/>
    <w:rsid w:val="18C72941"/>
    <w:rsid w:val="18D3325C"/>
    <w:rsid w:val="18E60E1F"/>
    <w:rsid w:val="18F45D57"/>
    <w:rsid w:val="18FC4558"/>
    <w:rsid w:val="18FE7DC3"/>
    <w:rsid w:val="18FF4051"/>
    <w:rsid w:val="1921143C"/>
    <w:rsid w:val="193826E6"/>
    <w:rsid w:val="19434886"/>
    <w:rsid w:val="19524AC9"/>
    <w:rsid w:val="195B035F"/>
    <w:rsid w:val="195C76F5"/>
    <w:rsid w:val="196A653F"/>
    <w:rsid w:val="196C13D6"/>
    <w:rsid w:val="1973531B"/>
    <w:rsid w:val="198E46C9"/>
    <w:rsid w:val="199407ED"/>
    <w:rsid w:val="199510E7"/>
    <w:rsid w:val="19AC1A35"/>
    <w:rsid w:val="19B157A7"/>
    <w:rsid w:val="19DD0836"/>
    <w:rsid w:val="1A2D08D4"/>
    <w:rsid w:val="1A314F7E"/>
    <w:rsid w:val="1A384461"/>
    <w:rsid w:val="1A3C3170"/>
    <w:rsid w:val="1A400DC5"/>
    <w:rsid w:val="1A424B3D"/>
    <w:rsid w:val="1A46058D"/>
    <w:rsid w:val="1A730679"/>
    <w:rsid w:val="1A952ED5"/>
    <w:rsid w:val="1A964C8B"/>
    <w:rsid w:val="1A974E89"/>
    <w:rsid w:val="1AAF7DCD"/>
    <w:rsid w:val="1B022D1F"/>
    <w:rsid w:val="1B1738D4"/>
    <w:rsid w:val="1B1867F7"/>
    <w:rsid w:val="1B235628"/>
    <w:rsid w:val="1B2A76BE"/>
    <w:rsid w:val="1B46065D"/>
    <w:rsid w:val="1B610FF3"/>
    <w:rsid w:val="1B79477A"/>
    <w:rsid w:val="1B7C1AB9"/>
    <w:rsid w:val="1B8D2C20"/>
    <w:rsid w:val="1BC016EA"/>
    <w:rsid w:val="1BC577D4"/>
    <w:rsid w:val="1BDB47C6"/>
    <w:rsid w:val="1BF81957"/>
    <w:rsid w:val="1C053B84"/>
    <w:rsid w:val="1C0A11FF"/>
    <w:rsid w:val="1C580648"/>
    <w:rsid w:val="1C665CE4"/>
    <w:rsid w:val="1C686335"/>
    <w:rsid w:val="1C876837"/>
    <w:rsid w:val="1C884DB6"/>
    <w:rsid w:val="1C890801"/>
    <w:rsid w:val="1C9A61BB"/>
    <w:rsid w:val="1C9B741B"/>
    <w:rsid w:val="1C9C40CB"/>
    <w:rsid w:val="1CCC2F82"/>
    <w:rsid w:val="1CD5055E"/>
    <w:rsid w:val="1CDB3C60"/>
    <w:rsid w:val="1CE51248"/>
    <w:rsid w:val="1CE819CC"/>
    <w:rsid w:val="1CFC69E7"/>
    <w:rsid w:val="1D4110DC"/>
    <w:rsid w:val="1D454306"/>
    <w:rsid w:val="1D6B4445"/>
    <w:rsid w:val="1D98784E"/>
    <w:rsid w:val="1D9D7A6F"/>
    <w:rsid w:val="1DB45D52"/>
    <w:rsid w:val="1DB63878"/>
    <w:rsid w:val="1DC17CA0"/>
    <w:rsid w:val="1DC600F1"/>
    <w:rsid w:val="1DCF66E8"/>
    <w:rsid w:val="1DE455F4"/>
    <w:rsid w:val="1DFD14A7"/>
    <w:rsid w:val="1E0C0B57"/>
    <w:rsid w:val="1E0F3F45"/>
    <w:rsid w:val="1E2C4DA3"/>
    <w:rsid w:val="1E322EC1"/>
    <w:rsid w:val="1E3E386E"/>
    <w:rsid w:val="1E51534F"/>
    <w:rsid w:val="1E6819CE"/>
    <w:rsid w:val="1EAB3C7E"/>
    <w:rsid w:val="1EB53E16"/>
    <w:rsid w:val="1EB55259"/>
    <w:rsid w:val="1EC26675"/>
    <w:rsid w:val="1EC93137"/>
    <w:rsid w:val="1EE13326"/>
    <w:rsid w:val="1EE46B96"/>
    <w:rsid w:val="1EEA3B0B"/>
    <w:rsid w:val="1F3B6BEC"/>
    <w:rsid w:val="1F407FCA"/>
    <w:rsid w:val="1F49166F"/>
    <w:rsid w:val="1F5F1CED"/>
    <w:rsid w:val="1FB6070A"/>
    <w:rsid w:val="1FC423A8"/>
    <w:rsid w:val="1FC96EB6"/>
    <w:rsid w:val="1FFE1506"/>
    <w:rsid w:val="20201954"/>
    <w:rsid w:val="202077B5"/>
    <w:rsid w:val="202820DF"/>
    <w:rsid w:val="20405BCB"/>
    <w:rsid w:val="204A64FA"/>
    <w:rsid w:val="206A094A"/>
    <w:rsid w:val="207F146B"/>
    <w:rsid w:val="20801F1B"/>
    <w:rsid w:val="20B0298F"/>
    <w:rsid w:val="20C407B0"/>
    <w:rsid w:val="20C75F71"/>
    <w:rsid w:val="20F029B3"/>
    <w:rsid w:val="20F83B7A"/>
    <w:rsid w:val="210871DC"/>
    <w:rsid w:val="210D3C3C"/>
    <w:rsid w:val="212E7134"/>
    <w:rsid w:val="21350F58"/>
    <w:rsid w:val="213C324B"/>
    <w:rsid w:val="21506B6B"/>
    <w:rsid w:val="2188530E"/>
    <w:rsid w:val="218B0F2C"/>
    <w:rsid w:val="219B78E3"/>
    <w:rsid w:val="21A3434C"/>
    <w:rsid w:val="21AA36F4"/>
    <w:rsid w:val="21AF0D0A"/>
    <w:rsid w:val="21B01A06"/>
    <w:rsid w:val="21BA7225"/>
    <w:rsid w:val="21C3159C"/>
    <w:rsid w:val="21D000B2"/>
    <w:rsid w:val="21D37994"/>
    <w:rsid w:val="21DB5CEA"/>
    <w:rsid w:val="21E130E0"/>
    <w:rsid w:val="21FF3314"/>
    <w:rsid w:val="22121299"/>
    <w:rsid w:val="222F1FBC"/>
    <w:rsid w:val="22542E67"/>
    <w:rsid w:val="226736DD"/>
    <w:rsid w:val="226932DB"/>
    <w:rsid w:val="227A2375"/>
    <w:rsid w:val="228B7B4C"/>
    <w:rsid w:val="22A53D06"/>
    <w:rsid w:val="22BD17EE"/>
    <w:rsid w:val="22CE5740"/>
    <w:rsid w:val="22DB5B2F"/>
    <w:rsid w:val="22EF6C93"/>
    <w:rsid w:val="2309444A"/>
    <w:rsid w:val="230E2790"/>
    <w:rsid w:val="232C2DD6"/>
    <w:rsid w:val="23454D3D"/>
    <w:rsid w:val="234E39B9"/>
    <w:rsid w:val="23720350"/>
    <w:rsid w:val="238515A0"/>
    <w:rsid w:val="23896576"/>
    <w:rsid w:val="239C7906"/>
    <w:rsid w:val="239F2969"/>
    <w:rsid w:val="23F12787"/>
    <w:rsid w:val="23F5677C"/>
    <w:rsid w:val="23FA6108"/>
    <w:rsid w:val="2410185A"/>
    <w:rsid w:val="24247062"/>
    <w:rsid w:val="244B071C"/>
    <w:rsid w:val="244C209F"/>
    <w:rsid w:val="24763D61"/>
    <w:rsid w:val="247858D4"/>
    <w:rsid w:val="24AA7567"/>
    <w:rsid w:val="24AF1021"/>
    <w:rsid w:val="24CE4405"/>
    <w:rsid w:val="24F1163A"/>
    <w:rsid w:val="25067598"/>
    <w:rsid w:val="251610A0"/>
    <w:rsid w:val="25214BFA"/>
    <w:rsid w:val="254A5C25"/>
    <w:rsid w:val="255F33B8"/>
    <w:rsid w:val="258424AE"/>
    <w:rsid w:val="258B7119"/>
    <w:rsid w:val="25A963DA"/>
    <w:rsid w:val="25B12908"/>
    <w:rsid w:val="25BE50D4"/>
    <w:rsid w:val="25BF34E6"/>
    <w:rsid w:val="25C07367"/>
    <w:rsid w:val="25C47253"/>
    <w:rsid w:val="25DF4AD8"/>
    <w:rsid w:val="25EF23C1"/>
    <w:rsid w:val="260875AE"/>
    <w:rsid w:val="260A7643"/>
    <w:rsid w:val="26172EF4"/>
    <w:rsid w:val="261C6242"/>
    <w:rsid w:val="2657168D"/>
    <w:rsid w:val="26607D19"/>
    <w:rsid w:val="267F32AA"/>
    <w:rsid w:val="2697493A"/>
    <w:rsid w:val="26D623BC"/>
    <w:rsid w:val="26D71AB4"/>
    <w:rsid w:val="26E50978"/>
    <w:rsid w:val="26EF000B"/>
    <w:rsid w:val="270F4FFC"/>
    <w:rsid w:val="2729330D"/>
    <w:rsid w:val="27312012"/>
    <w:rsid w:val="273218B1"/>
    <w:rsid w:val="275553FB"/>
    <w:rsid w:val="27667021"/>
    <w:rsid w:val="276A6917"/>
    <w:rsid w:val="27B04A0D"/>
    <w:rsid w:val="27C90A32"/>
    <w:rsid w:val="282231D5"/>
    <w:rsid w:val="283C3A32"/>
    <w:rsid w:val="284B2E0F"/>
    <w:rsid w:val="284D76B0"/>
    <w:rsid w:val="284E2EF4"/>
    <w:rsid w:val="286D547B"/>
    <w:rsid w:val="28996589"/>
    <w:rsid w:val="28D66E77"/>
    <w:rsid w:val="29151464"/>
    <w:rsid w:val="291823B6"/>
    <w:rsid w:val="291C779B"/>
    <w:rsid w:val="291D29FD"/>
    <w:rsid w:val="292D3D39"/>
    <w:rsid w:val="292D5B2B"/>
    <w:rsid w:val="2954325B"/>
    <w:rsid w:val="29853D68"/>
    <w:rsid w:val="29877DF7"/>
    <w:rsid w:val="29B019A3"/>
    <w:rsid w:val="29C77A06"/>
    <w:rsid w:val="29D478FA"/>
    <w:rsid w:val="29DA6B40"/>
    <w:rsid w:val="29EE3F40"/>
    <w:rsid w:val="29F75B47"/>
    <w:rsid w:val="2A0C5F19"/>
    <w:rsid w:val="2A201310"/>
    <w:rsid w:val="2A372BFE"/>
    <w:rsid w:val="2A4027FF"/>
    <w:rsid w:val="2A48221F"/>
    <w:rsid w:val="2A501351"/>
    <w:rsid w:val="2A554419"/>
    <w:rsid w:val="2ABD5BC8"/>
    <w:rsid w:val="2ADA0B22"/>
    <w:rsid w:val="2B033E75"/>
    <w:rsid w:val="2B234A65"/>
    <w:rsid w:val="2B2A7653"/>
    <w:rsid w:val="2B2D6C40"/>
    <w:rsid w:val="2B3E774D"/>
    <w:rsid w:val="2B3F248D"/>
    <w:rsid w:val="2B7D59D5"/>
    <w:rsid w:val="2B850095"/>
    <w:rsid w:val="2B9E76FA"/>
    <w:rsid w:val="2BBE35F8"/>
    <w:rsid w:val="2BF11C08"/>
    <w:rsid w:val="2C04764A"/>
    <w:rsid w:val="2C070278"/>
    <w:rsid w:val="2C123E8C"/>
    <w:rsid w:val="2C165411"/>
    <w:rsid w:val="2C18102B"/>
    <w:rsid w:val="2C195961"/>
    <w:rsid w:val="2C1C6ADF"/>
    <w:rsid w:val="2C3B3C25"/>
    <w:rsid w:val="2C3F712F"/>
    <w:rsid w:val="2C8D241B"/>
    <w:rsid w:val="2C9B7ADD"/>
    <w:rsid w:val="2C9F7BCD"/>
    <w:rsid w:val="2CBE7E45"/>
    <w:rsid w:val="2CD94E8D"/>
    <w:rsid w:val="2CDA60E2"/>
    <w:rsid w:val="2CE36BA7"/>
    <w:rsid w:val="2CF3423C"/>
    <w:rsid w:val="2D082E33"/>
    <w:rsid w:val="2D235645"/>
    <w:rsid w:val="2D3D7099"/>
    <w:rsid w:val="2D5E0452"/>
    <w:rsid w:val="2D6901F8"/>
    <w:rsid w:val="2D6B4608"/>
    <w:rsid w:val="2D6F591F"/>
    <w:rsid w:val="2D7C3A6A"/>
    <w:rsid w:val="2D834B64"/>
    <w:rsid w:val="2D964B2C"/>
    <w:rsid w:val="2DA37249"/>
    <w:rsid w:val="2DC46E07"/>
    <w:rsid w:val="2DCA0C7A"/>
    <w:rsid w:val="2DD30DA3"/>
    <w:rsid w:val="2E584439"/>
    <w:rsid w:val="2E9A7967"/>
    <w:rsid w:val="2EC21951"/>
    <w:rsid w:val="2F012479"/>
    <w:rsid w:val="2F065CE2"/>
    <w:rsid w:val="2F613DDE"/>
    <w:rsid w:val="2F7D671D"/>
    <w:rsid w:val="2F987101"/>
    <w:rsid w:val="2F9B4F12"/>
    <w:rsid w:val="2FAB2766"/>
    <w:rsid w:val="2FCD6A90"/>
    <w:rsid w:val="2FCE5C26"/>
    <w:rsid w:val="2FE63FF6"/>
    <w:rsid w:val="301B4E64"/>
    <w:rsid w:val="302E0D3F"/>
    <w:rsid w:val="30317E66"/>
    <w:rsid w:val="304F7BF1"/>
    <w:rsid w:val="30504859"/>
    <w:rsid w:val="305C5258"/>
    <w:rsid w:val="307F105F"/>
    <w:rsid w:val="3082583C"/>
    <w:rsid w:val="30832A0D"/>
    <w:rsid w:val="30870967"/>
    <w:rsid w:val="309912E9"/>
    <w:rsid w:val="30D95C08"/>
    <w:rsid w:val="30F1527B"/>
    <w:rsid w:val="30F3168F"/>
    <w:rsid w:val="3107716B"/>
    <w:rsid w:val="311635A4"/>
    <w:rsid w:val="312132A7"/>
    <w:rsid w:val="3135465C"/>
    <w:rsid w:val="31584FF7"/>
    <w:rsid w:val="315A2315"/>
    <w:rsid w:val="315F6C99"/>
    <w:rsid w:val="31614304"/>
    <w:rsid w:val="3175714F"/>
    <w:rsid w:val="318B2C9B"/>
    <w:rsid w:val="31996C16"/>
    <w:rsid w:val="31A34EC3"/>
    <w:rsid w:val="31B83952"/>
    <w:rsid w:val="31E122C4"/>
    <w:rsid w:val="31E4525B"/>
    <w:rsid w:val="322347F6"/>
    <w:rsid w:val="323A6272"/>
    <w:rsid w:val="32631A05"/>
    <w:rsid w:val="32760FE3"/>
    <w:rsid w:val="328420C2"/>
    <w:rsid w:val="32906D4E"/>
    <w:rsid w:val="329A63E0"/>
    <w:rsid w:val="32A270F3"/>
    <w:rsid w:val="32AB7818"/>
    <w:rsid w:val="32D81BF7"/>
    <w:rsid w:val="32DB3C82"/>
    <w:rsid w:val="32E26D0E"/>
    <w:rsid w:val="32F05959"/>
    <w:rsid w:val="32F3657D"/>
    <w:rsid w:val="3302241E"/>
    <w:rsid w:val="330E3476"/>
    <w:rsid w:val="332415BC"/>
    <w:rsid w:val="33256CA3"/>
    <w:rsid w:val="3338406F"/>
    <w:rsid w:val="333F0CA1"/>
    <w:rsid w:val="335C05C6"/>
    <w:rsid w:val="33604985"/>
    <w:rsid w:val="33735022"/>
    <w:rsid w:val="339E79D6"/>
    <w:rsid w:val="33A73AD1"/>
    <w:rsid w:val="33B71CA0"/>
    <w:rsid w:val="33F153DA"/>
    <w:rsid w:val="340A2B91"/>
    <w:rsid w:val="34450DA2"/>
    <w:rsid w:val="345E036E"/>
    <w:rsid w:val="34675370"/>
    <w:rsid w:val="346F4329"/>
    <w:rsid w:val="349D2373"/>
    <w:rsid w:val="34A3530B"/>
    <w:rsid w:val="34A67BD8"/>
    <w:rsid w:val="34A7680C"/>
    <w:rsid w:val="34DD3297"/>
    <w:rsid w:val="34E13399"/>
    <w:rsid w:val="34E14E9E"/>
    <w:rsid w:val="34E940DB"/>
    <w:rsid w:val="34F03EEA"/>
    <w:rsid w:val="35035CE9"/>
    <w:rsid w:val="35141A9E"/>
    <w:rsid w:val="352549E8"/>
    <w:rsid w:val="352769B2"/>
    <w:rsid w:val="353A2A75"/>
    <w:rsid w:val="3554054C"/>
    <w:rsid w:val="355C678D"/>
    <w:rsid w:val="357065AB"/>
    <w:rsid w:val="357B288D"/>
    <w:rsid w:val="35972F9F"/>
    <w:rsid w:val="35A059EC"/>
    <w:rsid w:val="35AE423F"/>
    <w:rsid w:val="35C81D3D"/>
    <w:rsid w:val="35DB408D"/>
    <w:rsid w:val="35E154D0"/>
    <w:rsid w:val="35E718DC"/>
    <w:rsid w:val="35EC306A"/>
    <w:rsid w:val="36001358"/>
    <w:rsid w:val="3628478F"/>
    <w:rsid w:val="366C0E9A"/>
    <w:rsid w:val="36791366"/>
    <w:rsid w:val="367C4AE4"/>
    <w:rsid w:val="367D0098"/>
    <w:rsid w:val="36845849"/>
    <w:rsid w:val="369E2CA4"/>
    <w:rsid w:val="36A87DD3"/>
    <w:rsid w:val="36B70D9A"/>
    <w:rsid w:val="36D44B17"/>
    <w:rsid w:val="370B658B"/>
    <w:rsid w:val="373553B6"/>
    <w:rsid w:val="3740260C"/>
    <w:rsid w:val="37767845"/>
    <w:rsid w:val="377D49C9"/>
    <w:rsid w:val="3796705F"/>
    <w:rsid w:val="379F4EDB"/>
    <w:rsid w:val="37A17D7D"/>
    <w:rsid w:val="37F5012B"/>
    <w:rsid w:val="3801494E"/>
    <w:rsid w:val="381E23B5"/>
    <w:rsid w:val="38225C9E"/>
    <w:rsid w:val="38397128"/>
    <w:rsid w:val="38500809"/>
    <w:rsid w:val="38797524"/>
    <w:rsid w:val="388D1222"/>
    <w:rsid w:val="389518C2"/>
    <w:rsid w:val="38B36318"/>
    <w:rsid w:val="38C904AC"/>
    <w:rsid w:val="38CF7906"/>
    <w:rsid w:val="38F562D9"/>
    <w:rsid w:val="391D36F3"/>
    <w:rsid w:val="39395767"/>
    <w:rsid w:val="395B12C8"/>
    <w:rsid w:val="396A4CD9"/>
    <w:rsid w:val="396C09EB"/>
    <w:rsid w:val="3972249B"/>
    <w:rsid w:val="397C0D7A"/>
    <w:rsid w:val="3982065B"/>
    <w:rsid w:val="39A27598"/>
    <w:rsid w:val="39AD3929"/>
    <w:rsid w:val="39B316E7"/>
    <w:rsid w:val="39E7368D"/>
    <w:rsid w:val="3A013FB6"/>
    <w:rsid w:val="3A200804"/>
    <w:rsid w:val="3A47183C"/>
    <w:rsid w:val="3A4A6127"/>
    <w:rsid w:val="3A4B7C26"/>
    <w:rsid w:val="3A526E97"/>
    <w:rsid w:val="3A6174CB"/>
    <w:rsid w:val="3A6C1F6B"/>
    <w:rsid w:val="3A6E02E4"/>
    <w:rsid w:val="3A6F7A25"/>
    <w:rsid w:val="3A8F74D3"/>
    <w:rsid w:val="3AB107C3"/>
    <w:rsid w:val="3AB630E4"/>
    <w:rsid w:val="3AC70835"/>
    <w:rsid w:val="3ACC4283"/>
    <w:rsid w:val="3AE540CF"/>
    <w:rsid w:val="3AF4771F"/>
    <w:rsid w:val="3AF527BA"/>
    <w:rsid w:val="3B0A1AA6"/>
    <w:rsid w:val="3B2529E4"/>
    <w:rsid w:val="3B3E1006"/>
    <w:rsid w:val="3B4628A8"/>
    <w:rsid w:val="3B6D0BD7"/>
    <w:rsid w:val="3B6E0FD0"/>
    <w:rsid w:val="3B7566C9"/>
    <w:rsid w:val="3B7C7192"/>
    <w:rsid w:val="3BD95D06"/>
    <w:rsid w:val="3BDD6D37"/>
    <w:rsid w:val="3BE31272"/>
    <w:rsid w:val="3BF36765"/>
    <w:rsid w:val="3C062FB8"/>
    <w:rsid w:val="3C16249C"/>
    <w:rsid w:val="3C1D38EA"/>
    <w:rsid w:val="3C3A7F55"/>
    <w:rsid w:val="3C3C14B0"/>
    <w:rsid w:val="3C504A40"/>
    <w:rsid w:val="3C607CD7"/>
    <w:rsid w:val="3CAA4150"/>
    <w:rsid w:val="3CB26DAC"/>
    <w:rsid w:val="3CB95FEF"/>
    <w:rsid w:val="3CC82E64"/>
    <w:rsid w:val="3CD90A8C"/>
    <w:rsid w:val="3CDE3DFA"/>
    <w:rsid w:val="3CF018E1"/>
    <w:rsid w:val="3CF317B6"/>
    <w:rsid w:val="3D0752FB"/>
    <w:rsid w:val="3D1754AE"/>
    <w:rsid w:val="3D435B2C"/>
    <w:rsid w:val="3D473AB7"/>
    <w:rsid w:val="3D6713D5"/>
    <w:rsid w:val="3D6C01D7"/>
    <w:rsid w:val="3DA90ACC"/>
    <w:rsid w:val="3DE23DBE"/>
    <w:rsid w:val="3E1C6BE8"/>
    <w:rsid w:val="3E2B68C8"/>
    <w:rsid w:val="3E2C00BA"/>
    <w:rsid w:val="3E5558D6"/>
    <w:rsid w:val="3E7E3B9A"/>
    <w:rsid w:val="3E7E61D3"/>
    <w:rsid w:val="3E810EE1"/>
    <w:rsid w:val="3EA31F22"/>
    <w:rsid w:val="3EA464B7"/>
    <w:rsid w:val="3EAE5816"/>
    <w:rsid w:val="3EBE7B68"/>
    <w:rsid w:val="3EC86B10"/>
    <w:rsid w:val="3ED04DB2"/>
    <w:rsid w:val="3EF51CA7"/>
    <w:rsid w:val="3EFA6D03"/>
    <w:rsid w:val="3F0044FB"/>
    <w:rsid w:val="3F1F27AF"/>
    <w:rsid w:val="3F3D7A62"/>
    <w:rsid w:val="3F6425DF"/>
    <w:rsid w:val="3F680178"/>
    <w:rsid w:val="3F711643"/>
    <w:rsid w:val="3F7F7B16"/>
    <w:rsid w:val="3F8C7CE9"/>
    <w:rsid w:val="3F8E2A19"/>
    <w:rsid w:val="3F9822B1"/>
    <w:rsid w:val="3FA27361"/>
    <w:rsid w:val="3FB26998"/>
    <w:rsid w:val="3FB35DA1"/>
    <w:rsid w:val="3FCA2EBD"/>
    <w:rsid w:val="3FDF3590"/>
    <w:rsid w:val="3FDF3CDF"/>
    <w:rsid w:val="3FF043E8"/>
    <w:rsid w:val="40175FFB"/>
    <w:rsid w:val="404C2200"/>
    <w:rsid w:val="404E1296"/>
    <w:rsid w:val="40534656"/>
    <w:rsid w:val="40550877"/>
    <w:rsid w:val="405D538F"/>
    <w:rsid w:val="406D552D"/>
    <w:rsid w:val="4072769A"/>
    <w:rsid w:val="407D1338"/>
    <w:rsid w:val="409475F1"/>
    <w:rsid w:val="40AC3FD4"/>
    <w:rsid w:val="40D460AF"/>
    <w:rsid w:val="40F62813"/>
    <w:rsid w:val="40FD5C49"/>
    <w:rsid w:val="41033C84"/>
    <w:rsid w:val="410C6AE6"/>
    <w:rsid w:val="41100F01"/>
    <w:rsid w:val="41375249"/>
    <w:rsid w:val="415A6F31"/>
    <w:rsid w:val="415C7A00"/>
    <w:rsid w:val="4169240A"/>
    <w:rsid w:val="417A7DE9"/>
    <w:rsid w:val="419341B6"/>
    <w:rsid w:val="41A255BC"/>
    <w:rsid w:val="41E77BF5"/>
    <w:rsid w:val="41F15113"/>
    <w:rsid w:val="41F775A7"/>
    <w:rsid w:val="420F71E0"/>
    <w:rsid w:val="42107327"/>
    <w:rsid w:val="422505C9"/>
    <w:rsid w:val="422C129A"/>
    <w:rsid w:val="42300D53"/>
    <w:rsid w:val="42463094"/>
    <w:rsid w:val="42554B5E"/>
    <w:rsid w:val="42592EAA"/>
    <w:rsid w:val="42681653"/>
    <w:rsid w:val="428B4A24"/>
    <w:rsid w:val="429512DB"/>
    <w:rsid w:val="42AD2784"/>
    <w:rsid w:val="42BE7680"/>
    <w:rsid w:val="42C50568"/>
    <w:rsid w:val="42CE66BF"/>
    <w:rsid w:val="42D26B87"/>
    <w:rsid w:val="42DF7C63"/>
    <w:rsid w:val="42FF0487"/>
    <w:rsid w:val="432804EB"/>
    <w:rsid w:val="43487CF9"/>
    <w:rsid w:val="435B2202"/>
    <w:rsid w:val="43B54B99"/>
    <w:rsid w:val="43C755E8"/>
    <w:rsid w:val="43F569FB"/>
    <w:rsid w:val="43FA1140"/>
    <w:rsid w:val="44063681"/>
    <w:rsid w:val="440A245B"/>
    <w:rsid w:val="441E4BDC"/>
    <w:rsid w:val="4429702C"/>
    <w:rsid w:val="44391A3A"/>
    <w:rsid w:val="446A7659"/>
    <w:rsid w:val="449648A5"/>
    <w:rsid w:val="44A27FB3"/>
    <w:rsid w:val="44B475DA"/>
    <w:rsid w:val="44CF32EA"/>
    <w:rsid w:val="44D06D42"/>
    <w:rsid w:val="452C2575"/>
    <w:rsid w:val="452D0BB3"/>
    <w:rsid w:val="454D4212"/>
    <w:rsid w:val="45531534"/>
    <w:rsid w:val="45632EF0"/>
    <w:rsid w:val="458E32FC"/>
    <w:rsid w:val="45914145"/>
    <w:rsid w:val="45935D6C"/>
    <w:rsid w:val="459861AF"/>
    <w:rsid w:val="45997375"/>
    <w:rsid w:val="459D6604"/>
    <w:rsid w:val="45E16A89"/>
    <w:rsid w:val="45EE447B"/>
    <w:rsid w:val="45EF24D9"/>
    <w:rsid w:val="45F935A9"/>
    <w:rsid w:val="46064271"/>
    <w:rsid w:val="461048F2"/>
    <w:rsid w:val="4613736C"/>
    <w:rsid w:val="46330706"/>
    <w:rsid w:val="4638539E"/>
    <w:rsid w:val="4651571E"/>
    <w:rsid w:val="46927031"/>
    <w:rsid w:val="46A10931"/>
    <w:rsid w:val="46A74EA4"/>
    <w:rsid w:val="46CC73B9"/>
    <w:rsid w:val="46D70238"/>
    <w:rsid w:val="46FB3692"/>
    <w:rsid w:val="470533E6"/>
    <w:rsid w:val="4712572F"/>
    <w:rsid w:val="472510C0"/>
    <w:rsid w:val="47796F15"/>
    <w:rsid w:val="47887784"/>
    <w:rsid w:val="47A10846"/>
    <w:rsid w:val="47A345BE"/>
    <w:rsid w:val="47A74B3D"/>
    <w:rsid w:val="47A959EE"/>
    <w:rsid w:val="47AC3472"/>
    <w:rsid w:val="47B162CB"/>
    <w:rsid w:val="47B5520C"/>
    <w:rsid w:val="47F46BC7"/>
    <w:rsid w:val="47FA3CDB"/>
    <w:rsid w:val="48032C9B"/>
    <w:rsid w:val="480A41AD"/>
    <w:rsid w:val="480B27CA"/>
    <w:rsid w:val="481D3FD0"/>
    <w:rsid w:val="484B3C8E"/>
    <w:rsid w:val="486C78B4"/>
    <w:rsid w:val="487C7310"/>
    <w:rsid w:val="48863E33"/>
    <w:rsid w:val="48C76AA6"/>
    <w:rsid w:val="48D779D2"/>
    <w:rsid w:val="48EE7ABB"/>
    <w:rsid w:val="490623F5"/>
    <w:rsid w:val="490E16AC"/>
    <w:rsid w:val="491A265E"/>
    <w:rsid w:val="491F4CE5"/>
    <w:rsid w:val="492D05E3"/>
    <w:rsid w:val="495E76CE"/>
    <w:rsid w:val="49777AB0"/>
    <w:rsid w:val="49870237"/>
    <w:rsid w:val="498F2C50"/>
    <w:rsid w:val="499C7517"/>
    <w:rsid w:val="49B02F22"/>
    <w:rsid w:val="49EC4271"/>
    <w:rsid w:val="49EF0D14"/>
    <w:rsid w:val="49F733BE"/>
    <w:rsid w:val="4A356528"/>
    <w:rsid w:val="4A4A7727"/>
    <w:rsid w:val="4A50107B"/>
    <w:rsid w:val="4A60165A"/>
    <w:rsid w:val="4A604112"/>
    <w:rsid w:val="4A6D5C5B"/>
    <w:rsid w:val="4A6F2395"/>
    <w:rsid w:val="4A7139F1"/>
    <w:rsid w:val="4A7E1EC7"/>
    <w:rsid w:val="4A7F5DC3"/>
    <w:rsid w:val="4AA258AB"/>
    <w:rsid w:val="4AB501B1"/>
    <w:rsid w:val="4ABB5060"/>
    <w:rsid w:val="4AD8457E"/>
    <w:rsid w:val="4AD91877"/>
    <w:rsid w:val="4AE04280"/>
    <w:rsid w:val="4AEC627C"/>
    <w:rsid w:val="4B0D7705"/>
    <w:rsid w:val="4B156138"/>
    <w:rsid w:val="4B160AC8"/>
    <w:rsid w:val="4B2D76BA"/>
    <w:rsid w:val="4B426D92"/>
    <w:rsid w:val="4B43314E"/>
    <w:rsid w:val="4B8B15F1"/>
    <w:rsid w:val="4B8D5642"/>
    <w:rsid w:val="4B915A2B"/>
    <w:rsid w:val="4B9C2C83"/>
    <w:rsid w:val="4BB04076"/>
    <w:rsid w:val="4BB400BD"/>
    <w:rsid w:val="4BCB1D03"/>
    <w:rsid w:val="4C042D0A"/>
    <w:rsid w:val="4C1415E6"/>
    <w:rsid w:val="4C1C4F64"/>
    <w:rsid w:val="4C422C01"/>
    <w:rsid w:val="4C737CC2"/>
    <w:rsid w:val="4C781085"/>
    <w:rsid w:val="4CD54932"/>
    <w:rsid w:val="4CE42223"/>
    <w:rsid w:val="4D1135B8"/>
    <w:rsid w:val="4D176E22"/>
    <w:rsid w:val="4D280FF1"/>
    <w:rsid w:val="4D2A7842"/>
    <w:rsid w:val="4D3D28A4"/>
    <w:rsid w:val="4D8C33FE"/>
    <w:rsid w:val="4D8F321C"/>
    <w:rsid w:val="4DB309A6"/>
    <w:rsid w:val="4DC64FE4"/>
    <w:rsid w:val="4DD23507"/>
    <w:rsid w:val="4DD32BC9"/>
    <w:rsid w:val="4DE0235E"/>
    <w:rsid w:val="4DE2647A"/>
    <w:rsid w:val="4DE33966"/>
    <w:rsid w:val="4E0D1794"/>
    <w:rsid w:val="4E197388"/>
    <w:rsid w:val="4E232320"/>
    <w:rsid w:val="4E241889"/>
    <w:rsid w:val="4E28241B"/>
    <w:rsid w:val="4E29018B"/>
    <w:rsid w:val="4E3B50C6"/>
    <w:rsid w:val="4E427CCF"/>
    <w:rsid w:val="4E601E9F"/>
    <w:rsid w:val="4E686795"/>
    <w:rsid w:val="4E8820E9"/>
    <w:rsid w:val="4EA9042E"/>
    <w:rsid w:val="4EAA4409"/>
    <w:rsid w:val="4EBB4F42"/>
    <w:rsid w:val="4EBE1CDD"/>
    <w:rsid w:val="4ECB0939"/>
    <w:rsid w:val="4ED024F7"/>
    <w:rsid w:val="4F091B5D"/>
    <w:rsid w:val="4F557A80"/>
    <w:rsid w:val="4F610456"/>
    <w:rsid w:val="4F622668"/>
    <w:rsid w:val="4F757DAC"/>
    <w:rsid w:val="4F9C201E"/>
    <w:rsid w:val="4FAF683B"/>
    <w:rsid w:val="4FDF015D"/>
    <w:rsid w:val="500A6769"/>
    <w:rsid w:val="502B46AC"/>
    <w:rsid w:val="502F45D3"/>
    <w:rsid w:val="50346271"/>
    <w:rsid w:val="50451316"/>
    <w:rsid w:val="50473BD9"/>
    <w:rsid w:val="50826144"/>
    <w:rsid w:val="508B02E5"/>
    <w:rsid w:val="50AC1135"/>
    <w:rsid w:val="50C23F33"/>
    <w:rsid w:val="50CF31FB"/>
    <w:rsid w:val="50D81F61"/>
    <w:rsid w:val="50F639B0"/>
    <w:rsid w:val="510F6505"/>
    <w:rsid w:val="51290C9B"/>
    <w:rsid w:val="512F0C70"/>
    <w:rsid w:val="51600E2A"/>
    <w:rsid w:val="516B2053"/>
    <w:rsid w:val="51795D76"/>
    <w:rsid w:val="518D0942"/>
    <w:rsid w:val="51A7600F"/>
    <w:rsid w:val="51A76A58"/>
    <w:rsid w:val="51AC0513"/>
    <w:rsid w:val="51B11685"/>
    <w:rsid w:val="51BC5F00"/>
    <w:rsid w:val="51E63A25"/>
    <w:rsid w:val="51E87E4E"/>
    <w:rsid w:val="51EE380D"/>
    <w:rsid w:val="521F0D79"/>
    <w:rsid w:val="521F6F46"/>
    <w:rsid w:val="522925FF"/>
    <w:rsid w:val="52360212"/>
    <w:rsid w:val="523E560F"/>
    <w:rsid w:val="52412A09"/>
    <w:rsid w:val="52420DD2"/>
    <w:rsid w:val="52586361"/>
    <w:rsid w:val="526D7CA2"/>
    <w:rsid w:val="52743968"/>
    <w:rsid w:val="527E7720"/>
    <w:rsid w:val="528238AF"/>
    <w:rsid w:val="528B225A"/>
    <w:rsid w:val="528F5286"/>
    <w:rsid w:val="529472A2"/>
    <w:rsid w:val="529D410E"/>
    <w:rsid w:val="52B61643"/>
    <w:rsid w:val="52B80F85"/>
    <w:rsid w:val="53093FF1"/>
    <w:rsid w:val="531A7374"/>
    <w:rsid w:val="531D18C3"/>
    <w:rsid w:val="5328225C"/>
    <w:rsid w:val="53490AFB"/>
    <w:rsid w:val="534A77C1"/>
    <w:rsid w:val="535B1393"/>
    <w:rsid w:val="537A428F"/>
    <w:rsid w:val="538232D9"/>
    <w:rsid w:val="538D4BC8"/>
    <w:rsid w:val="539960AE"/>
    <w:rsid w:val="539A3D52"/>
    <w:rsid w:val="53A5521A"/>
    <w:rsid w:val="53B12496"/>
    <w:rsid w:val="53BF35B0"/>
    <w:rsid w:val="53C00C4F"/>
    <w:rsid w:val="53E6234F"/>
    <w:rsid w:val="53EA6CC2"/>
    <w:rsid w:val="53F62BDA"/>
    <w:rsid w:val="54100872"/>
    <w:rsid w:val="54281936"/>
    <w:rsid w:val="542A5485"/>
    <w:rsid w:val="54361EF5"/>
    <w:rsid w:val="543842E0"/>
    <w:rsid w:val="54422245"/>
    <w:rsid w:val="5449029B"/>
    <w:rsid w:val="545D78A2"/>
    <w:rsid w:val="545E57CA"/>
    <w:rsid w:val="54716723"/>
    <w:rsid w:val="548148DD"/>
    <w:rsid w:val="549D7E63"/>
    <w:rsid w:val="54D66C51"/>
    <w:rsid w:val="551F4A3C"/>
    <w:rsid w:val="554050F4"/>
    <w:rsid w:val="554B09F6"/>
    <w:rsid w:val="554B1ED7"/>
    <w:rsid w:val="554C20B7"/>
    <w:rsid w:val="557D555B"/>
    <w:rsid w:val="55831E66"/>
    <w:rsid w:val="55A34781"/>
    <w:rsid w:val="55A6636F"/>
    <w:rsid w:val="55BA7DB6"/>
    <w:rsid w:val="55DB4F23"/>
    <w:rsid w:val="562604F6"/>
    <w:rsid w:val="563352CC"/>
    <w:rsid w:val="5635099B"/>
    <w:rsid w:val="563715A5"/>
    <w:rsid w:val="56426A49"/>
    <w:rsid w:val="56903F5F"/>
    <w:rsid w:val="569C5F9D"/>
    <w:rsid w:val="569F0646"/>
    <w:rsid w:val="56E672CC"/>
    <w:rsid w:val="56FB3045"/>
    <w:rsid w:val="571E391C"/>
    <w:rsid w:val="571F2B37"/>
    <w:rsid w:val="573B0EEA"/>
    <w:rsid w:val="573F3226"/>
    <w:rsid w:val="574A3779"/>
    <w:rsid w:val="574D1E50"/>
    <w:rsid w:val="57520551"/>
    <w:rsid w:val="575732E5"/>
    <w:rsid w:val="575F35E9"/>
    <w:rsid w:val="57672F12"/>
    <w:rsid w:val="576D10A9"/>
    <w:rsid w:val="57931F59"/>
    <w:rsid w:val="57936CCF"/>
    <w:rsid w:val="579E009D"/>
    <w:rsid w:val="57AE3754"/>
    <w:rsid w:val="57B241B8"/>
    <w:rsid w:val="57BB212B"/>
    <w:rsid w:val="57BE32CF"/>
    <w:rsid w:val="57E55E35"/>
    <w:rsid w:val="57FB2C5D"/>
    <w:rsid w:val="580A3D5D"/>
    <w:rsid w:val="580E0F71"/>
    <w:rsid w:val="58973269"/>
    <w:rsid w:val="58980D9E"/>
    <w:rsid w:val="58A61818"/>
    <w:rsid w:val="58B10DCF"/>
    <w:rsid w:val="58BA0D1E"/>
    <w:rsid w:val="58C209EA"/>
    <w:rsid w:val="58E00B59"/>
    <w:rsid w:val="58E07AA6"/>
    <w:rsid w:val="58F00CE5"/>
    <w:rsid w:val="58FC71A2"/>
    <w:rsid w:val="5922667A"/>
    <w:rsid w:val="59325597"/>
    <w:rsid w:val="593643BE"/>
    <w:rsid w:val="595D7B77"/>
    <w:rsid w:val="59684F50"/>
    <w:rsid w:val="59690E37"/>
    <w:rsid w:val="5970475F"/>
    <w:rsid w:val="59791B24"/>
    <w:rsid w:val="598A2584"/>
    <w:rsid w:val="59B54E64"/>
    <w:rsid w:val="59D241D1"/>
    <w:rsid w:val="59EE5C35"/>
    <w:rsid w:val="59FC451E"/>
    <w:rsid w:val="5A074538"/>
    <w:rsid w:val="5A091870"/>
    <w:rsid w:val="5A577137"/>
    <w:rsid w:val="5A6251EC"/>
    <w:rsid w:val="5A6C2FE9"/>
    <w:rsid w:val="5A6E6B84"/>
    <w:rsid w:val="5A755356"/>
    <w:rsid w:val="5A7709B2"/>
    <w:rsid w:val="5A7D0C9E"/>
    <w:rsid w:val="5A84202D"/>
    <w:rsid w:val="5A8A2C88"/>
    <w:rsid w:val="5ABF68F1"/>
    <w:rsid w:val="5AD85ED5"/>
    <w:rsid w:val="5AEC2D3D"/>
    <w:rsid w:val="5B0A47BD"/>
    <w:rsid w:val="5B0E47F8"/>
    <w:rsid w:val="5B2D6DAA"/>
    <w:rsid w:val="5B2F7128"/>
    <w:rsid w:val="5B334F93"/>
    <w:rsid w:val="5B434CCD"/>
    <w:rsid w:val="5B442EB5"/>
    <w:rsid w:val="5B4821B0"/>
    <w:rsid w:val="5B5C2B1D"/>
    <w:rsid w:val="5B8E00CD"/>
    <w:rsid w:val="5B8F30B2"/>
    <w:rsid w:val="5B9725E1"/>
    <w:rsid w:val="5B9A0F5B"/>
    <w:rsid w:val="5BDA310F"/>
    <w:rsid w:val="5BE70AC5"/>
    <w:rsid w:val="5BE82E67"/>
    <w:rsid w:val="5BF8510E"/>
    <w:rsid w:val="5C081206"/>
    <w:rsid w:val="5C5D508A"/>
    <w:rsid w:val="5C893A86"/>
    <w:rsid w:val="5CE73C77"/>
    <w:rsid w:val="5CFE1554"/>
    <w:rsid w:val="5CFF7BBB"/>
    <w:rsid w:val="5D0E399E"/>
    <w:rsid w:val="5D132BF0"/>
    <w:rsid w:val="5D1E0517"/>
    <w:rsid w:val="5D270EC4"/>
    <w:rsid w:val="5D7C6E85"/>
    <w:rsid w:val="5D7F620D"/>
    <w:rsid w:val="5D810AA5"/>
    <w:rsid w:val="5DA12EF6"/>
    <w:rsid w:val="5DBF0545"/>
    <w:rsid w:val="5DC26483"/>
    <w:rsid w:val="5DC649B0"/>
    <w:rsid w:val="5DD22C6C"/>
    <w:rsid w:val="5DF26102"/>
    <w:rsid w:val="5E2A2EEB"/>
    <w:rsid w:val="5E36194B"/>
    <w:rsid w:val="5E391380"/>
    <w:rsid w:val="5E443FAD"/>
    <w:rsid w:val="5E5A6A57"/>
    <w:rsid w:val="5E6261E1"/>
    <w:rsid w:val="5E69724E"/>
    <w:rsid w:val="5E6B6A68"/>
    <w:rsid w:val="5E937A72"/>
    <w:rsid w:val="5EC92704"/>
    <w:rsid w:val="5EF41669"/>
    <w:rsid w:val="5EFE6DD6"/>
    <w:rsid w:val="5F051A97"/>
    <w:rsid w:val="5F1341A5"/>
    <w:rsid w:val="5F192F04"/>
    <w:rsid w:val="5F1C40C7"/>
    <w:rsid w:val="5F28055B"/>
    <w:rsid w:val="5F2F5EB3"/>
    <w:rsid w:val="5F3B6360"/>
    <w:rsid w:val="5F484852"/>
    <w:rsid w:val="5F553F98"/>
    <w:rsid w:val="5F61293D"/>
    <w:rsid w:val="5F943FFE"/>
    <w:rsid w:val="5FB5112F"/>
    <w:rsid w:val="5FD63A53"/>
    <w:rsid w:val="60044F04"/>
    <w:rsid w:val="600450EA"/>
    <w:rsid w:val="600551E4"/>
    <w:rsid w:val="601C2385"/>
    <w:rsid w:val="601C6A00"/>
    <w:rsid w:val="601D7DA6"/>
    <w:rsid w:val="602C1FFA"/>
    <w:rsid w:val="604858AA"/>
    <w:rsid w:val="60524492"/>
    <w:rsid w:val="605C04C5"/>
    <w:rsid w:val="6061458A"/>
    <w:rsid w:val="606746B7"/>
    <w:rsid w:val="607A58BE"/>
    <w:rsid w:val="608E4048"/>
    <w:rsid w:val="60A50815"/>
    <w:rsid w:val="60B35B40"/>
    <w:rsid w:val="60CA2D80"/>
    <w:rsid w:val="60D13AF2"/>
    <w:rsid w:val="60E779F5"/>
    <w:rsid w:val="60EF4DCF"/>
    <w:rsid w:val="60F202B0"/>
    <w:rsid w:val="611A225C"/>
    <w:rsid w:val="614D00E2"/>
    <w:rsid w:val="6151078F"/>
    <w:rsid w:val="61527B1E"/>
    <w:rsid w:val="615D5386"/>
    <w:rsid w:val="615F0024"/>
    <w:rsid w:val="61693D2A"/>
    <w:rsid w:val="61865CFF"/>
    <w:rsid w:val="61920923"/>
    <w:rsid w:val="619E0EC8"/>
    <w:rsid w:val="61CA54B9"/>
    <w:rsid w:val="61D75138"/>
    <w:rsid w:val="61E05919"/>
    <w:rsid w:val="61E4440D"/>
    <w:rsid w:val="61EF4230"/>
    <w:rsid w:val="61F83CC0"/>
    <w:rsid w:val="61FB723B"/>
    <w:rsid w:val="6210721F"/>
    <w:rsid w:val="621517BC"/>
    <w:rsid w:val="62761EE2"/>
    <w:rsid w:val="6295633B"/>
    <w:rsid w:val="62B03CFA"/>
    <w:rsid w:val="62B64EC4"/>
    <w:rsid w:val="62BA5B9D"/>
    <w:rsid w:val="62BD10B9"/>
    <w:rsid w:val="62BF2BB0"/>
    <w:rsid w:val="62D82693"/>
    <w:rsid w:val="62DF4322"/>
    <w:rsid w:val="62E61AA9"/>
    <w:rsid w:val="62F67840"/>
    <w:rsid w:val="63092D78"/>
    <w:rsid w:val="63211912"/>
    <w:rsid w:val="634A6066"/>
    <w:rsid w:val="6373126A"/>
    <w:rsid w:val="63753660"/>
    <w:rsid w:val="640811E0"/>
    <w:rsid w:val="641C6E32"/>
    <w:rsid w:val="642547AC"/>
    <w:rsid w:val="649C5E02"/>
    <w:rsid w:val="64A648F8"/>
    <w:rsid w:val="64A70DF2"/>
    <w:rsid w:val="64DB4361"/>
    <w:rsid w:val="64DF6D0B"/>
    <w:rsid w:val="64E648B6"/>
    <w:rsid w:val="64EC0EFA"/>
    <w:rsid w:val="64ED1485"/>
    <w:rsid w:val="65156591"/>
    <w:rsid w:val="65397FF9"/>
    <w:rsid w:val="653D64C9"/>
    <w:rsid w:val="656F76AE"/>
    <w:rsid w:val="657C3143"/>
    <w:rsid w:val="658A33DD"/>
    <w:rsid w:val="658D1799"/>
    <w:rsid w:val="65B45165"/>
    <w:rsid w:val="65BE22AA"/>
    <w:rsid w:val="65CB5859"/>
    <w:rsid w:val="65D16475"/>
    <w:rsid w:val="65D6157E"/>
    <w:rsid w:val="65DD33BC"/>
    <w:rsid w:val="65DF46A7"/>
    <w:rsid w:val="65E52E95"/>
    <w:rsid w:val="66312EF1"/>
    <w:rsid w:val="666B5E4F"/>
    <w:rsid w:val="667C7999"/>
    <w:rsid w:val="667D6792"/>
    <w:rsid w:val="668A2779"/>
    <w:rsid w:val="668C2539"/>
    <w:rsid w:val="669A49F8"/>
    <w:rsid w:val="669A6670"/>
    <w:rsid w:val="66E0683D"/>
    <w:rsid w:val="66EC6F90"/>
    <w:rsid w:val="66F10A4A"/>
    <w:rsid w:val="671965E5"/>
    <w:rsid w:val="672E3664"/>
    <w:rsid w:val="6734640B"/>
    <w:rsid w:val="67395F4D"/>
    <w:rsid w:val="673F17B5"/>
    <w:rsid w:val="67401A40"/>
    <w:rsid w:val="674B6263"/>
    <w:rsid w:val="674C27AF"/>
    <w:rsid w:val="67736052"/>
    <w:rsid w:val="6783130C"/>
    <w:rsid w:val="67974D72"/>
    <w:rsid w:val="67AF7FBD"/>
    <w:rsid w:val="67B850C4"/>
    <w:rsid w:val="67CB5BE6"/>
    <w:rsid w:val="67CD0C59"/>
    <w:rsid w:val="67E74F99"/>
    <w:rsid w:val="68454BED"/>
    <w:rsid w:val="684640E4"/>
    <w:rsid w:val="685E7B92"/>
    <w:rsid w:val="68614624"/>
    <w:rsid w:val="686D5118"/>
    <w:rsid w:val="68702B01"/>
    <w:rsid w:val="68912470"/>
    <w:rsid w:val="68975E15"/>
    <w:rsid w:val="68A6264E"/>
    <w:rsid w:val="68AF0A65"/>
    <w:rsid w:val="68B47F81"/>
    <w:rsid w:val="68BD2FEC"/>
    <w:rsid w:val="68C253BC"/>
    <w:rsid w:val="68D2069A"/>
    <w:rsid w:val="68D21582"/>
    <w:rsid w:val="68D221B5"/>
    <w:rsid w:val="68D82497"/>
    <w:rsid w:val="68DF54C0"/>
    <w:rsid w:val="69040D09"/>
    <w:rsid w:val="693D0C00"/>
    <w:rsid w:val="694D6913"/>
    <w:rsid w:val="694E026B"/>
    <w:rsid w:val="694E2341"/>
    <w:rsid w:val="696221AC"/>
    <w:rsid w:val="69630652"/>
    <w:rsid w:val="69652466"/>
    <w:rsid w:val="69673AF9"/>
    <w:rsid w:val="69681B5B"/>
    <w:rsid w:val="69681F9A"/>
    <w:rsid w:val="69694F35"/>
    <w:rsid w:val="696D215F"/>
    <w:rsid w:val="6976256C"/>
    <w:rsid w:val="69802B13"/>
    <w:rsid w:val="69811BFE"/>
    <w:rsid w:val="69B40DC4"/>
    <w:rsid w:val="69CD5BD4"/>
    <w:rsid w:val="69F525FF"/>
    <w:rsid w:val="6A0C153A"/>
    <w:rsid w:val="6A0E76C1"/>
    <w:rsid w:val="6A102F95"/>
    <w:rsid w:val="6A107439"/>
    <w:rsid w:val="6A1A034C"/>
    <w:rsid w:val="6A242416"/>
    <w:rsid w:val="6A2517AB"/>
    <w:rsid w:val="6A2B52A9"/>
    <w:rsid w:val="6A3F1ACC"/>
    <w:rsid w:val="6A510FE3"/>
    <w:rsid w:val="6A704B5A"/>
    <w:rsid w:val="6ABB39F5"/>
    <w:rsid w:val="6AE82164"/>
    <w:rsid w:val="6AF551E1"/>
    <w:rsid w:val="6AF82EED"/>
    <w:rsid w:val="6B081DBE"/>
    <w:rsid w:val="6B1B42E7"/>
    <w:rsid w:val="6B20689D"/>
    <w:rsid w:val="6B301415"/>
    <w:rsid w:val="6B350646"/>
    <w:rsid w:val="6B363AAB"/>
    <w:rsid w:val="6B3873E2"/>
    <w:rsid w:val="6B4A24D7"/>
    <w:rsid w:val="6B5E2426"/>
    <w:rsid w:val="6B9E323C"/>
    <w:rsid w:val="6BB16E4F"/>
    <w:rsid w:val="6BB56455"/>
    <w:rsid w:val="6BE94FA9"/>
    <w:rsid w:val="6BF947CC"/>
    <w:rsid w:val="6C035991"/>
    <w:rsid w:val="6C6E6699"/>
    <w:rsid w:val="6C8B1C1A"/>
    <w:rsid w:val="6CA51E3D"/>
    <w:rsid w:val="6CB071C9"/>
    <w:rsid w:val="6CD34D77"/>
    <w:rsid w:val="6D0F16AF"/>
    <w:rsid w:val="6D143A89"/>
    <w:rsid w:val="6D5E18F5"/>
    <w:rsid w:val="6D7955B3"/>
    <w:rsid w:val="6D8B63EC"/>
    <w:rsid w:val="6DD616F3"/>
    <w:rsid w:val="6E186E70"/>
    <w:rsid w:val="6E4B103C"/>
    <w:rsid w:val="6E4E0530"/>
    <w:rsid w:val="6E580C9C"/>
    <w:rsid w:val="6E62222D"/>
    <w:rsid w:val="6E706117"/>
    <w:rsid w:val="6E79170D"/>
    <w:rsid w:val="6EDF73DA"/>
    <w:rsid w:val="6EE03EC0"/>
    <w:rsid w:val="6F0E50B8"/>
    <w:rsid w:val="6F125A01"/>
    <w:rsid w:val="6F7D5FA4"/>
    <w:rsid w:val="6F92031C"/>
    <w:rsid w:val="6FB77D12"/>
    <w:rsid w:val="6FE05419"/>
    <w:rsid w:val="6FE16EE1"/>
    <w:rsid w:val="70156F46"/>
    <w:rsid w:val="703A67DC"/>
    <w:rsid w:val="70483BF2"/>
    <w:rsid w:val="704A532F"/>
    <w:rsid w:val="70536748"/>
    <w:rsid w:val="7056191E"/>
    <w:rsid w:val="707D6EAA"/>
    <w:rsid w:val="70880211"/>
    <w:rsid w:val="70CA1025"/>
    <w:rsid w:val="70CE6786"/>
    <w:rsid w:val="711A7541"/>
    <w:rsid w:val="71204515"/>
    <w:rsid w:val="713B1372"/>
    <w:rsid w:val="716B211A"/>
    <w:rsid w:val="71744751"/>
    <w:rsid w:val="71902C0D"/>
    <w:rsid w:val="719151A3"/>
    <w:rsid w:val="71AA5510"/>
    <w:rsid w:val="71AD0DB2"/>
    <w:rsid w:val="71BE11A3"/>
    <w:rsid w:val="71CA6073"/>
    <w:rsid w:val="71D73AE0"/>
    <w:rsid w:val="7200001E"/>
    <w:rsid w:val="72083E75"/>
    <w:rsid w:val="72287C47"/>
    <w:rsid w:val="7246696A"/>
    <w:rsid w:val="7255295D"/>
    <w:rsid w:val="726020EC"/>
    <w:rsid w:val="72807855"/>
    <w:rsid w:val="72B05B37"/>
    <w:rsid w:val="72C54B39"/>
    <w:rsid w:val="72C83C00"/>
    <w:rsid w:val="732A69DD"/>
    <w:rsid w:val="733B506B"/>
    <w:rsid w:val="733E5017"/>
    <w:rsid w:val="73412D45"/>
    <w:rsid w:val="73515C81"/>
    <w:rsid w:val="737C4833"/>
    <w:rsid w:val="738370EC"/>
    <w:rsid w:val="73C211FE"/>
    <w:rsid w:val="73E9475B"/>
    <w:rsid w:val="73F867D0"/>
    <w:rsid w:val="7423447C"/>
    <w:rsid w:val="74367A9C"/>
    <w:rsid w:val="743B3304"/>
    <w:rsid w:val="7451427E"/>
    <w:rsid w:val="74571C24"/>
    <w:rsid w:val="74650381"/>
    <w:rsid w:val="74754AD5"/>
    <w:rsid w:val="747E4204"/>
    <w:rsid w:val="74911301"/>
    <w:rsid w:val="749F61E3"/>
    <w:rsid w:val="74AE049B"/>
    <w:rsid w:val="74F0512C"/>
    <w:rsid w:val="75100EB7"/>
    <w:rsid w:val="75507BBA"/>
    <w:rsid w:val="75666953"/>
    <w:rsid w:val="75722DB1"/>
    <w:rsid w:val="757D2CAE"/>
    <w:rsid w:val="758273AA"/>
    <w:rsid w:val="75945608"/>
    <w:rsid w:val="75A0270B"/>
    <w:rsid w:val="75A0379B"/>
    <w:rsid w:val="75AA684B"/>
    <w:rsid w:val="75C54696"/>
    <w:rsid w:val="75CD61DE"/>
    <w:rsid w:val="75D51537"/>
    <w:rsid w:val="75E1612D"/>
    <w:rsid w:val="75E8143D"/>
    <w:rsid w:val="762A3631"/>
    <w:rsid w:val="763563AC"/>
    <w:rsid w:val="764C7A4B"/>
    <w:rsid w:val="767174B1"/>
    <w:rsid w:val="768005D5"/>
    <w:rsid w:val="76A20849"/>
    <w:rsid w:val="76AE6010"/>
    <w:rsid w:val="76E52316"/>
    <w:rsid w:val="76ED62F7"/>
    <w:rsid w:val="77185B7F"/>
    <w:rsid w:val="77290059"/>
    <w:rsid w:val="77356731"/>
    <w:rsid w:val="773A3D47"/>
    <w:rsid w:val="773B1910"/>
    <w:rsid w:val="774B036C"/>
    <w:rsid w:val="77654CEA"/>
    <w:rsid w:val="776718A0"/>
    <w:rsid w:val="77701517"/>
    <w:rsid w:val="778F2152"/>
    <w:rsid w:val="779055B5"/>
    <w:rsid w:val="77A37E61"/>
    <w:rsid w:val="77C356D5"/>
    <w:rsid w:val="77CD0717"/>
    <w:rsid w:val="77D355E5"/>
    <w:rsid w:val="77FC5E57"/>
    <w:rsid w:val="78025FB1"/>
    <w:rsid w:val="780E632E"/>
    <w:rsid w:val="784A46F8"/>
    <w:rsid w:val="785A2E96"/>
    <w:rsid w:val="78743289"/>
    <w:rsid w:val="787D168B"/>
    <w:rsid w:val="788F76D2"/>
    <w:rsid w:val="789C675D"/>
    <w:rsid w:val="789D7ED1"/>
    <w:rsid w:val="78A15440"/>
    <w:rsid w:val="78A3722B"/>
    <w:rsid w:val="78B10039"/>
    <w:rsid w:val="78B6437D"/>
    <w:rsid w:val="78BD5024"/>
    <w:rsid w:val="78C22246"/>
    <w:rsid w:val="78CF59BC"/>
    <w:rsid w:val="78F37C40"/>
    <w:rsid w:val="79056756"/>
    <w:rsid w:val="79305F6E"/>
    <w:rsid w:val="79A33E26"/>
    <w:rsid w:val="79A656C4"/>
    <w:rsid w:val="79AC3733"/>
    <w:rsid w:val="79BA116F"/>
    <w:rsid w:val="79C86F72"/>
    <w:rsid w:val="7A016D9E"/>
    <w:rsid w:val="7A116D77"/>
    <w:rsid w:val="7A262665"/>
    <w:rsid w:val="7A2F605F"/>
    <w:rsid w:val="7A403193"/>
    <w:rsid w:val="7A4D1FE3"/>
    <w:rsid w:val="7A756E44"/>
    <w:rsid w:val="7A7914E4"/>
    <w:rsid w:val="7A795BAE"/>
    <w:rsid w:val="7A840C8C"/>
    <w:rsid w:val="7A8B6884"/>
    <w:rsid w:val="7A944E86"/>
    <w:rsid w:val="7A9906A5"/>
    <w:rsid w:val="7A9929DA"/>
    <w:rsid w:val="7AAA4D40"/>
    <w:rsid w:val="7AC31EC5"/>
    <w:rsid w:val="7ADD40E9"/>
    <w:rsid w:val="7AE14B5A"/>
    <w:rsid w:val="7AE87E91"/>
    <w:rsid w:val="7AFA749C"/>
    <w:rsid w:val="7B0028C5"/>
    <w:rsid w:val="7B056C41"/>
    <w:rsid w:val="7B0A57DF"/>
    <w:rsid w:val="7B15607E"/>
    <w:rsid w:val="7B285B94"/>
    <w:rsid w:val="7B423576"/>
    <w:rsid w:val="7B4F4A6F"/>
    <w:rsid w:val="7B4F7C63"/>
    <w:rsid w:val="7B5C19EF"/>
    <w:rsid w:val="7B607BA8"/>
    <w:rsid w:val="7B885826"/>
    <w:rsid w:val="7BC2122B"/>
    <w:rsid w:val="7BC9561B"/>
    <w:rsid w:val="7BDA43CC"/>
    <w:rsid w:val="7BDD5D4D"/>
    <w:rsid w:val="7BFA5853"/>
    <w:rsid w:val="7BFC5A6F"/>
    <w:rsid w:val="7C0B6643"/>
    <w:rsid w:val="7C0E3AED"/>
    <w:rsid w:val="7C0E7550"/>
    <w:rsid w:val="7C286864"/>
    <w:rsid w:val="7C2D27B8"/>
    <w:rsid w:val="7C4B79CC"/>
    <w:rsid w:val="7C5A78DD"/>
    <w:rsid w:val="7C643D1C"/>
    <w:rsid w:val="7C7A7D18"/>
    <w:rsid w:val="7C806A6D"/>
    <w:rsid w:val="7C914409"/>
    <w:rsid w:val="7CB926AE"/>
    <w:rsid w:val="7CD42548"/>
    <w:rsid w:val="7CD67962"/>
    <w:rsid w:val="7CDB38D7"/>
    <w:rsid w:val="7CE94BE1"/>
    <w:rsid w:val="7D2012E9"/>
    <w:rsid w:val="7D4D1BB7"/>
    <w:rsid w:val="7D5067B0"/>
    <w:rsid w:val="7D6E26DE"/>
    <w:rsid w:val="7D713CF1"/>
    <w:rsid w:val="7D7F083B"/>
    <w:rsid w:val="7D8B70AB"/>
    <w:rsid w:val="7D9357F1"/>
    <w:rsid w:val="7D9961FE"/>
    <w:rsid w:val="7D9E22E9"/>
    <w:rsid w:val="7DCF7A9B"/>
    <w:rsid w:val="7DE46F41"/>
    <w:rsid w:val="7E237E00"/>
    <w:rsid w:val="7E2E3EDA"/>
    <w:rsid w:val="7E491928"/>
    <w:rsid w:val="7E4F0AB8"/>
    <w:rsid w:val="7E526D48"/>
    <w:rsid w:val="7E594419"/>
    <w:rsid w:val="7E5C0A47"/>
    <w:rsid w:val="7E5F5E41"/>
    <w:rsid w:val="7E6F63C2"/>
    <w:rsid w:val="7ED07DA7"/>
    <w:rsid w:val="7ED35753"/>
    <w:rsid w:val="7F1D77A1"/>
    <w:rsid w:val="7F2C3C3F"/>
    <w:rsid w:val="7F3B2FEB"/>
    <w:rsid w:val="7F494C50"/>
    <w:rsid w:val="7F651158"/>
    <w:rsid w:val="7F7156E2"/>
    <w:rsid w:val="7F871802"/>
    <w:rsid w:val="7FB03369"/>
    <w:rsid w:val="7FB52621"/>
    <w:rsid w:val="7FE51CC9"/>
    <w:rsid w:val="7FE9182C"/>
    <w:rsid w:val="7FEC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widowControl/>
      <w:tabs>
        <w:tab w:val="left" w:pos="432"/>
      </w:tabs>
      <w:ind w:left="432" w:hanging="432"/>
      <w:jc w:val="center"/>
      <w:outlineLvl w:val="0"/>
    </w:pPr>
    <w:rPr>
      <w:rFonts w:ascii="黑体"/>
      <w:b/>
      <w:kern w:val="0"/>
      <w:sz w:val="32"/>
      <w:szCs w:val="20"/>
    </w:rPr>
  </w:style>
  <w:style w:type="paragraph" w:styleId="5">
    <w:name w:val="heading 2"/>
    <w:basedOn w:val="1"/>
    <w:next w:val="1"/>
    <w:link w:val="72"/>
    <w:autoRedefine/>
    <w:qFormat/>
    <w:uiPriority w:val="0"/>
    <w:pPr>
      <w:keepNext/>
      <w:keepLines/>
      <w:spacing w:before="260" w:after="260" w:line="413" w:lineRule="auto"/>
      <w:jc w:val="left"/>
      <w:outlineLvl w:val="1"/>
    </w:pPr>
    <w:rPr>
      <w:rFonts w:ascii="Arial" w:hAnsi="Arial"/>
      <w:b/>
      <w:bCs/>
      <w:sz w:val="30"/>
      <w:szCs w:val="32"/>
    </w:rPr>
  </w:style>
  <w:style w:type="paragraph" w:styleId="6">
    <w:name w:val="heading 3"/>
    <w:basedOn w:val="1"/>
    <w:next w:val="1"/>
    <w:autoRedefine/>
    <w:qFormat/>
    <w:uiPriority w:val="0"/>
    <w:pPr>
      <w:keepNext/>
      <w:keepLines/>
      <w:spacing w:line="360" w:lineRule="auto"/>
      <w:ind w:firstLine="200" w:firstLineChars="200"/>
      <w:outlineLvl w:val="2"/>
    </w:pPr>
    <w:rPr>
      <w:b/>
      <w:bCs/>
      <w:szCs w:val="32"/>
    </w:rPr>
  </w:style>
  <w:style w:type="paragraph" w:styleId="7">
    <w:name w:val="heading 4"/>
    <w:basedOn w:val="1"/>
    <w:next w:val="8"/>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autoRedefine/>
    <w:unhideWhenUsed/>
    <w:qFormat/>
    <w:uiPriority w:val="1"/>
  </w:style>
  <w:style w:type="table" w:default="1" w:styleId="28">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qFormat/>
    <w:uiPriority w:val="99"/>
    <w:rPr>
      <w:kern w:val="0"/>
      <w:sz w:val="24"/>
    </w:rPr>
  </w:style>
  <w:style w:type="paragraph" w:styleId="3">
    <w:name w:val="Body Text 2"/>
    <w:basedOn w:val="1"/>
    <w:next w:val="2"/>
    <w:autoRedefine/>
    <w:qFormat/>
    <w:uiPriority w:val="0"/>
    <w:rPr>
      <w:b/>
    </w:rPr>
  </w:style>
  <w:style w:type="paragraph" w:styleId="8">
    <w:name w:val="Normal Indent"/>
    <w:basedOn w:val="1"/>
    <w:next w:val="3"/>
    <w:autoRedefine/>
    <w:qFormat/>
    <w:uiPriority w:val="99"/>
    <w:pPr>
      <w:ind w:firstLine="560" w:firstLineChars="200"/>
    </w:pPr>
    <w:rPr>
      <w:sz w:val="28"/>
      <w:szCs w:val="24"/>
    </w:rPr>
  </w:style>
  <w:style w:type="paragraph" w:styleId="9">
    <w:name w:val="annotation text"/>
    <w:basedOn w:val="1"/>
    <w:autoRedefine/>
    <w:qFormat/>
    <w:uiPriority w:val="0"/>
    <w:pPr>
      <w:adjustRightInd w:val="0"/>
      <w:spacing w:line="360" w:lineRule="atLeast"/>
      <w:jc w:val="left"/>
      <w:textAlignment w:val="baseline"/>
    </w:pPr>
    <w:rPr>
      <w:kern w:val="0"/>
    </w:rPr>
  </w:style>
  <w:style w:type="paragraph" w:styleId="10">
    <w:name w:val="Body Text Indent"/>
    <w:basedOn w:val="1"/>
    <w:next w:val="1"/>
    <w:autoRedefine/>
    <w:qFormat/>
    <w:uiPriority w:val="99"/>
    <w:pPr>
      <w:spacing w:after="120"/>
      <w:ind w:left="420" w:leftChars="200"/>
    </w:pPr>
    <w:rPr>
      <w:kern w:val="0"/>
      <w:sz w:val="20"/>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99"/>
    <w:rPr>
      <w:rFonts w:ascii="宋体"/>
      <w:kern w:val="0"/>
      <w:szCs w:val="21"/>
    </w:r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widowControl/>
      <w:spacing w:line="360" w:lineRule="auto"/>
      <w:ind w:firstLine="480" w:firstLineChars="200"/>
      <w:jc w:val="left"/>
    </w:pPr>
    <w:rPr>
      <w:kern w:val="0"/>
      <w:sz w:val="24"/>
      <w:szCs w:val="20"/>
    </w:rPr>
  </w:style>
  <w:style w:type="paragraph" w:styleId="15">
    <w:name w:val="Balloon Text"/>
    <w:basedOn w:val="1"/>
    <w:link w:val="4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99"/>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able of figures"/>
    <w:basedOn w:val="1"/>
    <w:next w:val="1"/>
    <w:autoRedefine/>
    <w:qFormat/>
    <w:uiPriority w:val="99"/>
    <w:pPr>
      <w:spacing w:line="360" w:lineRule="auto"/>
      <w:ind w:left="840" w:leftChars="200" w:hanging="420" w:hangingChars="200"/>
    </w:pPr>
    <w:rPr>
      <w:sz w:val="24"/>
    </w:rPr>
  </w:style>
  <w:style w:type="paragraph" w:styleId="21">
    <w:name w:val="toc 2"/>
    <w:basedOn w:val="1"/>
    <w:next w:val="1"/>
    <w:autoRedefine/>
    <w:qFormat/>
    <w:uiPriority w:val="0"/>
    <w:pPr>
      <w:tabs>
        <w:tab w:val="right" w:leader="dot" w:pos="9060"/>
      </w:tabs>
      <w:spacing w:line="440" w:lineRule="exact"/>
    </w:pPr>
    <w:rPr>
      <w:sz w:val="24"/>
    </w:rPr>
  </w:style>
  <w:style w:type="paragraph" w:styleId="22">
    <w:name w:val="List Continue 2"/>
    <w:basedOn w:val="1"/>
    <w:autoRedefine/>
    <w:qFormat/>
    <w:uiPriority w:val="0"/>
    <w:pPr>
      <w:spacing w:after="120"/>
      <w:ind w:left="840" w:leftChars="4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6" w:lineRule="atLeast"/>
      <w:jc w:val="left"/>
    </w:pPr>
    <w:rPr>
      <w:rFonts w:ascii="Arial" w:hAnsi="Arial"/>
      <w:kern w:val="0"/>
      <w:sz w:val="25"/>
      <w:szCs w:val="25"/>
    </w:rPr>
  </w:style>
  <w:style w:type="paragraph" w:styleId="24">
    <w:name w:val="Normal (Web)"/>
    <w:basedOn w:val="1"/>
    <w:autoRedefine/>
    <w:qFormat/>
    <w:uiPriority w:val="99"/>
    <w:pPr>
      <w:widowControl/>
      <w:spacing w:afterAutospacing="1"/>
      <w:jc w:val="left"/>
    </w:pPr>
    <w:rPr>
      <w:rFonts w:ascii="宋体" w:hAnsi="宋体"/>
      <w:kern w:val="0"/>
      <w:sz w:val="24"/>
    </w:rPr>
  </w:style>
  <w:style w:type="paragraph" w:styleId="25">
    <w:name w:val="Title"/>
    <w:basedOn w:val="1"/>
    <w:next w:val="1"/>
    <w:autoRedefine/>
    <w:qFormat/>
    <w:uiPriority w:val="0"/>
    <w:pPr>
      <w:spacing w:line="360" w:lineRule="auto"/>
      <w:jc w:val="center"/>
      <w:outlineLvl w:val="0"/>
    </w:pPr>
    <w:rPr>
      <w:rFonts w:ascii="宋体" w:hAnsi="宋体"/>
      <w:b/>
      <w:sz w:val="28"/>
      <w:szCs w:val="28"/>
    </w:rPr>
  </w:style>
  <w:style w:type="paragraph" w:styleId="26">
    <w:name w:val="Body Text First Indent"/>
    <w:basedOn w:val="2"/>
    <w:next w:val="1"/>
    <w:autoRedefine/>
    <w:qFormat/>
    <w:uiPriority w:val="0"/>
    <w:pPr>
      <w:ind w:firstLine="420" w:firstLineChars="100"/>
    </w:pPr>
    <w:rPr>
      <w:rFonts w:eastAsia="仿宋_GB2312"/>
      <w:sz w:val="28"/>
    </w:rPr>
  </w:style>
  <w:style w:type="paragraph" w:styleId="27">
    <w:name w:val="Body Text First Indent 2"/>
    <w:basedOn w:val="10"/>
    <w:next w:val="1"/>
    <w:autoRedefine/>
    <w:qFormat/>
    <w:uiPriority w:val="99"/>
    <w:pPr>
      <w:ind w:left="0" w:leftChars="0" w:firstLine="420" w:firstLineChars="200"/>
    </w:pPr>
    <w:rPr>
      <w:spacing w:val="4"/>
      <w:sz w:val="24"/>
      <w:szCs w:val="24"/>
    </w:r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rFonts w:hint="eastAsia" w:ascii="微软雅黑" w:hAnsi="微软雅黑" w:eastAsia="微软雅黑" w:cs="微软雅黑"/>
      <w:color w:val="428BCA"/>
      <w:u w:val="none"/>
    </w:rPr>
  </w:style>
  <w:style w:type="character" w:styleId="34">
    <w:name w:val="HTML Definition"/>
    <w:basedOn w:val="30"/>
    <w:autoRedefine/>
    <w:qFormat/>
    <w:uiPriority w:val="0"/>
    <w:rPr>
      <w:i/>
      <w:iCs/>
    </w:rPr>
  </w:style>
  <w:style w:type="character" w:styleId="35">
    <w:name w:val="Hyperlink"/>
    <w:basedOn w:val="30"/>
    <w:autoRedefine/>
    <w:qFormat/>
    <w:uiPriority w:val="99"/>
    <w:rPr>
      <w:rFonts w:ascii="微软雅黑" w:hAnsi="微软雅黑" w:eastAsia="微软雅黑" w:cs="微软雅黑"/>
      <w:color w:val="428BCA"/>
      <w:u w:val="none"/>
    </w:rPr>
  </w:style>
  <w:style w:type="character" w:styleId="36">
    <w:name w:val="HTML Code"/>
    <w:basedOn w:val="30"/>
    <w:autoRedefine/>
    <w:qFormat/>
    <w:uiPriority w:val="0"/>
    <w:rPr>
      <w:rFonts w:ascii="Consolas" w:hAnsi="Consolas" w:eastAsia="Consolas" w:cs="Consolas"/>
      <w:color w:val="C7254E"/>
      <w:sz w:val="21"/>
      <w:szCs w:val="21"/>
      <w:shd w:val="clear" w:color="auto" w:fill="F9F2F4"/>
    </w:rPr>
  </w:style>
  <w:style w:type="character" w:styleId="37">
    <w:name w:val="HTML Keyboard"/>
    <w:basedOn w:val="30"/>
    <w:autoRedefine/>
    <w:qFormat/>
    <w:uiPriority w:val="0"/>
    <w:rPr>
      <w:rFonts w:hint="default" w:ascii="Consolas" w:hAnsi="Consolas" w:eastAsia="Consolas" w:cs="Consolas"/>
      <w:color w:val="FFFFFF"/>
      <w:sz w:val="21"/>
      <w:szCs w:val="21"/>
      <w:shd w:val="clear" w:color="auto" w:fill="333333"/>
    </w:rPr>
  </w:style>
  <w:style w:type="character" w:styleId="38">
    <w:name w:val="HTML Sample"/>
    <w:basedOn w:val="30"/>
    <w:autoRedefine/>
    <w:qFormat/>
    <w:uiPriority w:val="0"/>
    <w:rPr>
      <w:rFonts w:hint="default" w:ascii="Consolas" w:hAnsi="Consolas" w:eastAsia="Consolas" w:cs="Consolas"/>
      <w:sz w:val="21"/>
      <w:szCs w:val="21"/>
    </w:rPr>
  </w:style>
  <w:style w:type="paragraph" w:customStyle="1" w:styleId="39">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style4"/>
    <w:basedOn w:val="1"/>
    <w:next w:val="4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4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3">
    <w:name w:val="无间隔1"/>
    <w:basedOn w:val="1"/>
    <w:autoRedefine/>
    <w:qFormat/>
    <w:uiPriority w:val="99"/>
    <w:pPr>
      <w:spacing w:line="400" w:lineRule="exact"/>
    </w:pPr>
    <w:rPr>
      <w:sz w:val="24"/>
    </w:rPr>
  </w:style>
  <w:style w:type="paragraph" w:customStyle="1" w:styleId="44">
    <w:name w:val="TOC Heading1"/>
    <w:next w:val="1"/>
    <w:autoRedefine/>
    <w:unhideWhenUsed/>
    <w:qFormat/>
    <w:uiPriority w:val="0"/>
    <w:pPr>
      <w:wordWrap w:val="0"/>
      <w:spacing w:beforeLines="0" w:afterLines="0"/>
    </w:pPr>
    <w:rPr>
      <w:rFonts w:hint="eastAsia" w:ascii="Times New Roman" w:hAnsi="Times New Roman" w:eastAsia="Times New Roman" w:cs="Times New Roman"/>
      <w:sz w:val="32"/>
      <w:szCs w:val="22"/>
      <w:lang w:val="en-US" w:eastAsia="zh-CN" w:bidi="ar-SA"/>
    </w:rPr>
  </w:style>
  <w:style w:type="paragraph" w:customStyle="1" w:styleId="45">
    <w:name w:val="No Spacing1"/>
    <w:basedOn w:val="1"/>
    <w:autoRedefine/>
    <w:qFormat/>
    <w:uiPriority w:val="0"/>
    <w:pPr>
      <w:spacing w:line="400" w:lineRule="exact"/>
    </w:pPr>
    <w:rPr>
      <w:sz w:val="24"/>
    </w:rPr>
  </w:style>
  <w:style w:type="character" w:customStyle="1" w:styleId="46">
    <w:name w:val="批注框文本 Char"/>
    <w:basedOn w:val="30"/>
    <w:link w:val="15"/>
    <w:autoRedefine/>
    <w:qFormat/>
    <w:uiPriority w:val="0"/>
    <w:rPr>
      <w:kern w:val="2"/>
      <w:sz w:val="18"/>
      <w:szCs w:val="18"/>
    </w:rPr>
  </w:style>
  <w:style w:type="paragraph" w:customStyle="1" w:styleId="47">
    <w:name w:val="p0"/>
    <w:basedOn w:val="1"/>
    <w:autoRedefine/>
    <w:unhideWhenUsed/>
    <w:qFormat/>
    <w:uiPriority w:val="99"/>
    <w:pPr>
      <w:widowControl/>
    </w:pPr>
    <w:rPr>
      <w:rFonts w:hint="eastAsia"/>
    </w:rPr>
  </w:style>
  <w:style w:type="paragraph" w:customStyle="1" w:styleId="48">
    <w:name w:val="列出段落1"/>
    <w:basedOn w:val="1"/>
    <w:autoRedefine/>
    <w:qFormat/>
    <w:uiPriority w:val="34"/>
    <w:pPr>
      <w:ind w:firstLine="420" w:firstLineChars="200"/>
    </w:pPr>
  </w:style>
  <w:style w:type="paragraph" w:customStyle="1" w:styleId="49">
    <w:name w:val="xl6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0">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51">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2">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3">
    <w:name w:val="xl70"/>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54">
    <w:name w:val="xl71"/>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5">
    <w:name w:val="xl72"/>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6">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57">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58">
    <w:name w:val="xl75"/>
    <w:basedOn w:val="1"/>
    <w:autoRedefine/>
    <w:qFormat/>
    <w:uiPriority w:val="0"/>
    <w:pPr>
      <w:widowControl/>
      <w:shd w:val="clear" w:color="FFFFFF" w:fill="FFFFFF"/>
      <w:spacing w:before="100" w:beforeAutospacing="1" w:after="100" w:afterAutospacing="1"/>
      <w:jc w:val="left"/>
    </w:pPr>
    <w:rPr>
      <w:rFonts w:ascii="宋体" w:hAnsi="宋体" w:cs="宋体"/>
      <w:kern w:val="0"/>
      <w:sz w:val="24"/>
    </w:rPr>
  </w:style>
  <w:style w:type="paragraph" w:customStyle="1" w:styleId="59">
    <w:name w:val="xl76"/>
    <w:basedOn w:val="1"/>
    <w:autoRedefine/>
    <w:qFormat/>
    <w:uiPriority w:val="0"/>
    <w:pPr>
      <w:widowControl/>
      <w:shd w:val="clear" w:color="FFFFFF" w:fill="FFFFFF"/>
      <w:spacing w:before="100" w:beforeAutospacing="1" w:after="100" w:afterAutospacing="1"/>
      <w:jc w:val="right"/>
    </w:pPr>
    <w:rPr>
      <w:rFonts w:ascii="宋体" w:hAnsi="宋体" w:cs="宋体"/>
      <w:kern w:val="0"/>
      <w:sz w:val="24"/>
    </w:rPr>
  </w:style>
  <w:style w:type="paragraph" w:customStyle="1" w:styleId="60">
    <w:name w:val="xl77"/>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1">
    <w:name w:val="xl78"/>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2">
    <w:name w:val="xl79"/>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3">
    <w:name w:val="xl8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4">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5">
    <w:name w:val="xl82"/>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6">
    <w:name w:val="xl83"/>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7">
    <w:name w:val="xl8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68">
    <w:name w:val="xl85"/>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69">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70">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71">
    <w:name w:val="Char Char3 Char Char"/>
    <w:basedOn w:val="1"/>
    <w:autoRedefine/>
    <w:qFormat/>
    <w:uiPriority w:val="0"/>
    <w:pPr>
      <w:autoSpaceDE w:val="0"/>
      <w:autoSpaceDN w:val="0"/>
      <w:adjustRightInd w:val="0"/>
      <w:jc w:val="left"/>
    </w:pPr>
    <w:rPr>
      <w:kern w:val="0"/>
      <w:sz w:val="20"/>
    </w:rPr>
  </w:style>
  <w:style w:type="character" w:customStyle="1" w:styleId="72">
    <w:name w:val="标题 2 Char"/>
    <w:link w:val="5"/>
    <w:autoRedefine/>
    <w:qFormat/>
    <w:locked/>
    <w:uiPriority w:val="99"/>
    <w:rPr>
      <w:rFonts w:ascii="Arial" w:hAnsi="Arial"/>
      <w:b/>
      <w:bCs/>
      <w:sz w:val="30"/>
      <w:szCs w:val="32"/>
    </w:rPr>
  </w:style>
  <w:style w:type="paragraph" w:customStyle="1" w:styleId="73">
    <w:name w:val="Table Paragraph"/>
    <w:basedOn w:val="1"/>
    <w:autoRedefine/>
    <w:qFormat/>
    <w:uiPriority w:val="99"/>
    <w:rPr>
      <w:sz w:val="24"/>
    </w:rPr>
  </w:style>
  <w:style w:type="paragraph" w:customStyle="1" w:styleId="74">
    <w:name w:val="NormalIndent"/>
    <w:basedOn w:val="1"/>
    <w:autoRedefine/>
    <w:qFormat/>
    <w:uiPriority w:val="0"/>
    <w:pPr>
      <w:spacing w:line="240" w:lineRule="auto"/>
      <w:ind w:firstLine="420" w:firstLineChars="200"/>
      <w:jc w:val="both"/>
      <w:textAlignment w:val="baseline"/>
    </w:pPr>
    <w:rPr>
      <w:rFonts w:ascii="Calibri" w:hAnsi="Calibri" w:eastAsia="宋体" w:cs="Times New Roman"/>
    </w:rPr>
  </w:style>
  <w:style w:type="character" w:customStyle="1" w:styleId="75">
    <w:name w:val="UserStyle_0"/>
    <w:autoRedefine/>
    <w:semiHidden/>
    <w:qFormat/>
    <w:uiPriority w:val="0"/>
  </w:style>
  <w:style w:type="paragraph" w:customStyle="1" w:styleId="76">
    <w:name w:val="UserStyle_5"/>
    <w:basedOn w:val="1"/>
    <w:autoRedefine/>
    <w:qFormat/>
    <w:uiPriority w:val="0"/>
    <w:pPr>
      <w:widowControl/>
      <w:spacing w:line="240" w:lineRule="auto"/>
      <w:ind w:firstLine="420" w:firstLineChars="200"/>
      <w:jc w:val="both"/>
      <w:textAlignment w:val="baseline"/>
    </w:pPr>
  </w:style>
  <w:style w:type="character" w:customStyle="1" w:styleId="77">
    <w:name w:val="UserStyle_2"/>
    <w:autoRedefine/>
    <w:semiHidden/>
    <w:qFormat/>
    <w:uiPriority w:val="0"/>
    <w:rPr>
      <w:rFonts w:ascii="Times New Roman" w:hAnsi="Times New Roman" w:eastAsia="宋体" w:cs="Times New Roman"/>
      <w:color w:val="000000"/>
      <w:sz w:val="21"/>
      <w:lang w:val="en-US" w:eastAsia="zh-CN" w:bidi="ar-SA"/>
    </w:rPr>
  </w:style>
  <w:style w:type="character" w:customStyle="1" w:styleId="78">
    <w:name w:val="hover4"/>
    <w:basedOn w:val="30"/>
    <w:autoRedefine/>
    <w:qFormat/>
    <w:uiPriority w:val="0"/>
  </w:style>
  <w:style w:type="character" w:customStyle="1" w:styleId="79">
    <w:name w:val="hover5"/>
    <w:basedOn w:val="30"/>
    <w:autoRedefine/>
    <w:qFormat/>
    <w:uiPriority w:val="0"/>
  </w:style>
  <w:style w:type="paragraph" w:customStyle="1" w:styleId="80">
    <w:name w:val="Header or footer|2"/>
    <w:basedOn w:val="1"/>
    <w:autoRedefine/>
    <w:qFormat/>
    <w:uiPriority w:val="0"/>
    <w:rPr>
      <w:sz w:val="20"/>
      <w:szCs w:val="20"/>
      <w:lang w:val="zh-TW" w:eastAsia="zh-TW" w:bidi="zh-TW"/>
    </w:rPr>
  </w:style>
  <w:style w:type="paragraph" w:customStyle="1" w:styleId="81">
    <w:name w:val="Body text|1"/>
    <w:basedOn w:val="1"/>
    <w:autoRedefine/>
    <w:qFormat/>
    <w:uiPriority w:val="0"/>
    <w:pPr>
      <w:spacing w:after="20" w:line="408" w:lineRule="auto"/>
      <w:ind w:firstLine="400"/>
    </w:pPr>
    <w:rPr>
      <w:rFonts w:ascii="宋体" w:hAnsi="宋体" w:eastAsia="宋体" w:cs="宋体"/>
      <w:sz w:val="84"/>
      <w:szCs w:val="84"/>
      <w:lang w:val="zh-TW" w:eastAsia="zh-TW" w:bidi="zh-TW"/>
    </w:rPr>
  </w:style>
  <w:style w:type="paragraph" w:customStyle="1" w:styleId="82">
    <w:name w:val="Body text|2"/>
    <w:basedOn w:val="1"/>
    <w:autoRedefine/>
    <w:qFormat/>
    <w:uiPriority w:val="0"/>
    <w:rPr>
      <w:sz w:val="32"/>
      <w:szCs w:val="32"/>
      <w:shd w:val="clear" w:color="auto" w:fill="FFFFFF"/>
    </w:rPr>
  </w:style>
  <w:style w:type="character" w:customStyle="1" w:styleId="83">
    <w:name w:val="font21"/>
    <w:basedOn w:val="30"/>
    <w:autoRedefine/>
    <w:qFormat/>
    <w:uiPriority w:val="0"/>
    <w:rPr>
      <w:rFonts w:hint="eastAsia" w:ascii="宋体" w:hAnsi="宋体" w:eastAsia="宋体" w:cs="宋体"/>
      <w:b/>
      <w:bCs/>
      <w:color w:val="FF0000"/>
      <w:sz w:val="20"/>
      <w:szCs w:val="20"/>
      <w:u w:val="none"/>
    </w:rPr>
  </w:style>
  <w:style w:type="character" w:customStyle="1" w:styleId="84">
    <w:name w:val="font81"/>
    <w:basedOn w:val="30"/>
    <w:autoRedefine/>
    <w:qFormat/>
    <w:uiPriority w:val="0"/>
    <w:rPr>
      <w:rFonts w:hint="eastAsia" w:ascii="宋体" w:hAnsi="宋体" w:eastAsia="宋体" w:cs="宋体"/>
      <w:color w:val="FF0000"/>
      <w:sz w:val="20"/>
      <w:szCs w:val="20"/>
      <w:u w:val="none"/>
    </w:rPr>
  </w:style>
  <w:style w:type="character" w:customStyle="1" w:styleId="85">
    <w:name w:val="font61"/>
    <w:basedOn w:val="30"/>
    <w:autoRedefine/>
    <w:qFormat/>
    <w:uiPriority w:val="0"/>
    <w:rPr>
      <w:rFonts w:hint="eastAsia" w:ascii="宋体" w:hAnsi="宋体" w:eastAsia="宋体" w:cs="宋体"/>
      <w:color w:val="000000"/>
      <w:sz w:val="20"/>
      <w:szCs w:val="20"/>
      <w:u w:val="none"/>
    </w:rPr>
  </w:style>
  <w:style w:type="character" w:customStyle="1" w:styleId="86">
    <w:name w:val="font71"/>
    <w:basedOn w:val="30"/>
    <w:autoRedefine/>
    <w:qFormat/>
    <w:uiPriority w:val="0"/>
    <w:rPr>
      <w:rFonts w:hint="eastAsia" w:ascii="宋体" w:hAnsi="宋体" w:eastAsia="宋体" w:cs="宋体"/>
      <w:b/>
      <w:bCs/>
      <w:color w:val="000000"/>
      <w:sz w:val="20"/>
      <w:szCs w:val="20"/>
      <w:u w:val="none"/>
    </w:rPr>
  </w:style>
  <w:style w:type="character" w:customStyle="1" w:styleId="87">
    <w:name w:val="font91"/>
    <w:basedOn w:val="30"/>
    <w:autoRedefine/>
    <w:qFormat/>
    <w:uiPriority w:val="0"/>
    <w:rPr>
      <w:rFonts w:hint="eastAsia" w:ascii="宋体" w:hAnsi="宋体" w:eastAsia="宋体" w:cs="宋体"/>
      <w:color w:val="000000"/>
      <w:sz w:val="20"/>
      <w:szCs w:val="20"/>
      <w:u w:val="none"/>
    </w:rPr>
  </w:style>
  <w:style w:type="character" w:customStyle="1" w:styleId="88">
    <w:name w:val="font101"/>
    <w:basedOn w:val="30"/>
    <w:autoRedefine/>
    <w:qFormat/>
    <w:uiPriority w:val="0"/>
    <w:rPr>
      <w:rFonts w:hint="eastAsia" w:ascii="宋体" w:hAnsi="宋体" w:eastAsia="宋体" w:cs="宋体"/>
      <w:color w:val="000000"/>
      <w:sz w:val="20"/>
      <w:szCs w:val="20"/>
      <w:u w:val="none"/>
    </w:rPr>
  </w:style>
  <w:style w:type="character" w:customStyle="1" w:styleId="89">
    <w:name w:val="font51"/>
    <w:basedOn w:val="30"/>
    <w:autoRedefine/>
    <w:qFormat/>
    <w:uiPriority w:val="0"/>
    <w:rPr>
      <w:rFonts w:hint="eastAsia" w:ascii="宋体" w:hAnsi="宋体" w:eastAsia="宋体" w:cs="宋体"/>
      <w:color w:val="000000"/>
      <w:sz w:val="20"/>
      <w:szCs w:val="20"/>
      <w:u w:val="none"/>
    </w:rPr>
  </w:style>
  <w:style w:type="character" w:customStyle="1" w:styleId="90">
    <w:name w:val="icon_ds"/>
    <w:basedOn w:val="30"/>
    <w:autoRedefine/>
    <w:qFormat/>
    <w:uiPriority w:val="0"/>
    <w:rPr>
      <w:sz w:val="21"/>
      <w:szCs w:val="21"/>
    </w:rPr>
  </w:style>
  <w:style w:type="character" w:customStyle="1" w:styleId="91">
    <w:name w:val="icon_ds1"/>
    <w:basedOn w:val="30"/>
    <w:autoRedefine/>
    <w:qFormat/>
    <w:uiPriority w:val="0"/>
  </w:style>
  <w:style w:type="character" w:customStyle="1" w:styleId="92">
    <w:name w:val="xiadan"/>
    <w:basedOn w:val="30"/>
    <w:autoRedefine/>
    <w:qFormat/>
    <w:uiPriority w:val="0"/>
    <w:rPr>
      <w:shd w:val="clear" w:fill="E4393C"/>
    </w:rPr>
  </w:style>
  <w:style w:type="character" w:customStyle="1" w:styleId="93">
    <w:name w:val="first-child1"/>
    <w:basedOn w:val="30"/>
    <w:autoRedefine/>
    <w:qFormat/>
    <w:uiPriority w:val="0"/>
    <w:rPr>
      <w:color w:val="1F3149"/>
      <w:sz w:val="24"/>
      <w:szCs w:val="24"/>
    </w:rPr>
  </w:style>
  <w:style w:type="character" w:customStyle="1" w:styleId="94">
    <w:name w:val="fr"/>
    <w:basedOn w:val="30"/>
    <w:autoRedefine/>
    <w:qFormat/>
    <w:uiPriority w:val="0"/>
  </w:style>
  <w:style w:type="character" w:customStyle="1" w:styleId="95">
    <w:name w:val="icon_gys"/>
    <w:basedOn w:val="30"/>
    <w:autoRedefine/>
    <w:qFormat/>
    <w:uiPriority w:val="0"/>
    <w:rPr>
      <w:sz w:val="21"/>
      <w:szCs w:val="21"/>
    </w:rPr>
  </w:style>
  <w:style w:type="paragraph" w:customStyle="1" w:styleId="96">
    <w:name w:val="列表段落1"/>
    <w:basedOn w:val="1"/>
    <w:autoRedefine/>
    <w:qFormat/>
    <w:uiPriority w:val="34"/>
    <w:pPr>
      <w:ind w:firstLine="420" w:firstLineChars="200"/>
    </w:pPr>
  </w:style>
  <w:style w:type="character" w:customStyle="1" w:styleId="97">
    <w:name w:val="font11"/>
    <w:basedOn w:val="30"/>
    <w:autoRedefine/>
    <w:qFormat/>
    <w:uiPriority w:val="0"/>
    <w:rPr>
      <w:rFonts w:ascii="Arial" w:hAnsi="Arial" w:cs="Arial"/>
      <w:color w:val="000000"/>
      <w:sz w:val="24"/>
      <w:szCs w:val="24"/>
      <w:u w:val="none"/>
    </w:rPr>
  </w:style>
  <w:style w:type="character" w:customStyle="1" w:styleId="98">
    <w:name w:val="font01"/>
    <w:basedOn w:val="30"/>
    <w:autoRedefine/>
    <w:qFormat/>
    <w:uiPriority w:val="0"/>
    <w:rPr>
      <w:rFonts w:hint="eastAsia" w:ascii="宋体" w:hAnsi="宋体" w:eastAsia="宋体" w:cs="宋体"/>
      <w:color w:val="000000"/>
      <w:sz w:val="24"/>
      <w:szCs w:val="24"/>
      <w:u w:val="none"/>
    </w:rPr>
  </w:style>
  <w:style w:type="paragraph" w:customStyle="1" w:styleId="99">
    <w:name w:val="正文缩进1"/>
    <w:basedOn w:val="1"/>
    <w:autoRedefine/>
    <w:qFormat/>
    <w:uiPriority w:val="0"/>
    <w:pPr>
      <w:autoSpaceDE w:val="0"/>
      <w:autoSpaceDN w:val="0"/>
      <w:adjustRightInd w:val="0"/>
      <w:ind w:firstLine="420"/>
      <w:jc w:val="left"/>
    </w:pPr>
    <w:rPr>
      <w:rFonts w:ascii="宋体" w:hAnsi="Calibri"/>
      <w:kern w:val="0"/>
      <w:sz w:val="24"/>
      <w:szCs w:val="20"/>
    </w:rPr>
  </w:style>
  <w:style w:type="paragraph" w:customStyle="1" w:styleId="100">
    <w:name w:val="索引 11"/>
    <w:basedOn w:val="1"/>
    <w:next w:val="1"/>
    <w:autoRedefine/>
    <w:qFormat/>
    <w:uiPriority w:val="0"/>
    <w:pPr>
      <w:spacing w:line="360" w:lineRule="auto"/>
    </w:pPr>
    <w:rPr>
      <w:rFonts w:ascii="仿宋_GB2312" w:eastAsia="仿宋_GB2312"/>
      <w:sz w:val="24"/>
      <w:szCs w:val="20"/>
    </w:rPr>
  </w:style>
  <w:style w:type="paragraph" w:customStyle="1" w:styleId="101">
    <w:name w:val="纯文本1"/>
    <w:basedOn w:val="1"/>
    <w:autoRedefine/>
    <w:qFormat/>
    <w:uiPriority w:val="0"/>
    <w:rPr>
      <w:rFonts w:ascii="宋体" w:hAnsi="Courier New"/>
      <w:kern w:val="0"/>
      <w:sz w:val="20"/>
      <w:szCs w:val="20"/>
    </w:rPr>
  </w:style>
  <w:style w:type="paragraph" w:customStyle="1" w:styleId="102">
    <w:name w:val="List Paragraph"/>
    <w:basedOn w:val="1"/>
    <w:autoRedefine/>
    <w:qFormat/>
    <w:uiPriority w:val="34"/>
    <w:pPr>
      <w:ind w:firstLine="420" w:firstLineChars="200"/>
    </w:pPr>
  </w:style>
  <w:style w:type="paragraph" w:customStyle="1" w:styleId="103">
    <w:name w:val="U_编号2"/>
    <w:basedOn w:val="1"/>
    <w:autoRedefine/>
    <w:qFormat/>
    <w:uiPriority w:val="0"/>
    <w:pPr>
      <w:widowControl/>
      <w:tabs>
        <w:tab w:val="left" w:pos="720"/>
        <w:tab w:val="left" w:pos="785"/>
      </w:tabs>
      <w:adjustRightInd w:val="0"/>
      <w:snapToGrid w:val="0"/>
      <w:spacing w:beforeLines="10" w:afterLines="10" w:line="300" w:lineRule="auto"/>
      <w:ind w:left="720" w:hanging="720"/>
      <w:jc w:val="left"/>
    </w:pPr>
    <w:rPr>
      <w:rFonts w:ascii="Tahoma" w:hAnsi="Tahoma"/>
      <w:kern w:val="0"/>
      <w:sz w:val="24"/>
      <w:szCs w:val="20"/>
    </w:rPr>
  </w:style>
  <w:style w:type="paragraph" w:customStyle="1" w:styleId="104">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105">
    <w:name w:val="正文+缩进"/>
    <w:basedOn w:val="1"/>
    <w:autoRedefine/>
    <w:qFormat/>
    <w:uiPriority w:val="0"/>
    <w:pPr>
      <w:ind w:firstLine="200" w:firstLineChars="200"/>
    </w:pPr>
  </w:style>
  <w:style w:type="character" w:customStyle="1" w:styleId="10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107">
    <w:name w:val="font41"/>
    <w:basedOn w:val="30"/>
    <w:autoRedefine/>
    <w:qFormat/>
    <w:uiPriority w:val="0"/>
    <w:rPr>
      <w:rFonts w:hint="eastAsia" w:ascii="微软雅黑" w:hAnsi="微软雅黑" w:eastAsia="微软雅黑" w:cs="微软雅黑"/>
      <w:b/>
      <w:color w:val="000000"/>
      <w:sz w:val="19"/>
      <w:szCs w:val="19"/>
      <w:u w:val="none"/>
    </w:rPr>
  </w:style>
  <w:style w:type="paragraph" w:customStyle="1" w:styleId="108">
    <w:name w:val="大标题"/>
    <w:basedOn w:val="1"/>
    <w:next w:val="27"/>
    <w:qFormat/>
    <w:uiPriority w:val="99"/>
    <w:pPr>
      <w:jc w:val="center"/>
    </w:pPr>
    <w:rPr>
      <w:rFonts w:ascii="Arial" w:hAnsi="Arial" w:cs="Arial"/>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EC601-444F-4274-94AE-9A0E0F8BA0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54</Pages>
  <Words>11584</Words>
  <Characters>12444</Characters>
  <Lines>1</Lines>
  <Paragraphs>1</Paragraphs>
  <TotalTime>6</TotalTime>
  <ScaleCrop>false</ScaleCrop>
  <LinksUpToDate>false</LinksUpToDate>
  <CharactersWithSpaces>12609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2012-06-04T00:26:00Z</dcterms:created>
  <dc:creator>luobo</dc:creator>
  <cp:lastModifiedBy>永不止步</cp:lastModifiedBy>
  <cp:lastPrinted>2023-09-21T08:01:00Z</cp:lastPrinted>
  <dcterms:modified xsi:type="dcterms:W3CDTF">2025-03-12T01:06:37Z</dcterms:modified>
  <dc:title>民权县实创花园一期工程施工招标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89591BF89DC6420F88A8FC1B6C42076C_13</vt:lpwstr>
  </property>
  <property fmtid="{D5CDD505-2E9C-101B-9397-08002B2CF9AE}" pid="3" name="KSOProductBuildVer">
    <vt:lpwstr>2052-12.1.0.20305</vt:lpwstr>
  </property>
  <property fmtid="{D5CDD505-2E9C-101B-9397-08002B2CF9AE}" pid="4" name="KSOTemplateDocerSaveRecord">
    <vt:lpwstr>eyJoZGlkIjoiZTg0MDQzNDgzMDBmOGQ0ODEzODI0N2EwMTQwMzU2YjciLCJ1c2VySWQiOiI4OTIxMDg3MzEifQ==</vt:lpwstr>
  </property>
</Properties>
</file>