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34418">
      <w:pPr>
        <w:jc w:val="center"/>
        <w:rPr>
          <w:rFonts w:hint="eastAsia" w:ascii="微软雅黑" w:hAnsi="微软雅黑" w:eastAsia="微软雅黑" w:cs="微软雅黑"/>
          <w:b/>
          <w:bCs/>
          <w:color w:val="auto"/>
          <w:sz w:val="36"/>
          <w:szCs w:val="36"/>
          <w:highlight w:val="none"/>
          <w:lang w:eastAsia="zh-CN"/>
        </w:rPr>
      </w:pPr>
      <w:r>
        <w:rPr>
          <w:rFonts w:hint="eastAsia" w:ascii="微软雅黑" w:hAnsi="微软雅黑" w:eastAsia="微软雅黑" w:cs="微软雅黑"/>
          <w:b/>
          <w:bCs/>
          <w:color w:val="auto"/>
          <w:sz w:val="36"/>
          <w:szCs w:val="36"/>
          <w:highlight w:val="none"/>
          <w:lang w:eastAsia="zh-CN"/>
        </w:rPr>
        <w:t>荥阳市卫生健康委员会彩票公益金支持的医养结合建设项目（“郑州华卓医院（荥阳市东元颐养公寓）项目”和“荥阳市王村卫生院医养结合项目”）项目（设备购置）项目</w:t>
      </w:r>
    </w:p>
    <w:p w14:paraId="0BCF3DFC">
      <w:pPr>
        <w:ind w:firstLine="880"/>
        <w:jc w:val="center"/>
        <w:rPr>
          <w:rFonts w:ascii="微软雅黑" w:hAnsi="微软雅黑" w:eastAsia="微软雅黑" w:cs="微软雅黑"/>
          <w:b/>
          <w:bCs/>
          <w:color w:val="auto"/>
          <w:sz w:val="44"/>
          <w:szCs w:val="44"/>
          <w:highlight w:val="none"/>
        </w:rPr>
      </w:pPr>
    </w:p>
    <w:p w14:paraId="54DDCA9B">
      <w:pPr>
        <w:pStyle w:val="25"/>
        <w:ind w:left="420" w:firstLine="420"/>
        <w:rPr>
          <w:color w:val="auto"/>
          <w:highlight w:val="none"/>
        </w:rPr>
      </w:pPr>
    </w:p>
    <w:p w14:paraId="5EDB7271">
      <w:pPr>
        <w:jc w:val="center"/>
        <w:rPr>
          <w:rFonts w:ascii="宋体" w:hAnsi="宋体" w:cs="宋体"/>
          <w:b/>
          <w:bCs/>
          <w:color w:val="auto"/>
          <w:sz w:val="52"/>
          <w:szCs w:val="52"/>
          <w:highlight w:val="none"/>
        </w:rPr>
      </w:pPr>
      <w:r>
        <w:rPr>
          <w:rFonts w:hint="eastAsia" w:ascii="宋体" w:hAnsi="宋体" w:cs="宋体"/>
          <w:b/>
          <w:bCs/>
          <w:color w:val="auto"/>
          <w:sz w:val="84"/>
          <w:szCs w:val="84"/>
          <w:highlight w:val="none"/>
        </w:rPr>
        <w:t>竞争性磋商文件</w:t>
      </w:r>
    </w:p>
    <w:p w14:paraId="4D9A7B86">
      <w:pPr>
        <w:ind w:firstLine="480"/>
        <w:jc w:val="center"/>
        <w:rPr>
          <w:rFonts w:ascii="微软雅黑" w:hAnsi="微软雅黑" w:eastAsia="微软雅黑" w:cs="微软雅黑"/>
          <w:b/>
          <w:color w:val="auto"/>
          <w:sz w:val="24"/>
          <w:highlight w:val="none"/>
        </w:rPr>
      </w:pPr>
    </w:p>
    <w:p w14:paraId="411DD657">
      <w:pPr>
        <w:pStyle w:val="10"/>
        <w:ind w:firstLine="496"/>
        <w:rPr>
          <w:rFonts w:ascii="微软雅黑" w:hAnsi="微软雅黑" w:eastAsia="微软雅黑" w:cs="微软雅黑"/>
          <w:color w:val="auto"/>
          <w:highlight w:val="none"/>
        </w:rPr>
      </w:pPr>
    </w:p>
    <w:p w14:paraId="46420A8C">
      <w:pPr>
        <w:pStyle w:val="10"/>
        <w:ind w:firstLine="496"/>
        <w:rPr>
          <w:rFonts w:ascii="微软雅黑" w:hAnsi="微软雅黑" w:eastAsia="微软雅黑" w:cs="微软雅黑"/>
          <w:color w:val="auto"/>
          <w:highlight w:val="none"/>
        </w:rPr>
      </w:pPr>
    </w:p>
    <w:p w14:paraId="32FEE131">
      <w:pPr>
        <w:ind w:firstLine="2641" w:firstLineChars="11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项目编号：荥财磋商-2025-42</w:t>
      </w:r>
    </w:p>
    <w:p w14:paraId="03D9F6F2">
      <w:pPr>
        <w:pStyle w:val="25"/>
        <w:ind w:firstLine="2161" w:firstLineChars="900"/>
        <w:rPr>
          <w:rFonts w:hint="eastAsia" w:eastAsia="微软雅黑"/>
          <w:highlight w:val="none"/>
          <w:lang w:val="en-US" w:eastAsia="zh-CN"/>
        </w:rPr>
      </w:pPr>
      <w:r>
        <w:rPr>
          <w:rFonts w:hint="eastAsia" w:ascii="微软雅黑" w:hAnsi="微软雅黑" w:eastAsia="微软雅黑" w:cs="微软雅黑"/>
          <w:b/>
          <w:color w:val="auto"/>
          <w:sz w:val="24"/>
          <w:highlight w:val="none"/>
          <w:lang w:eastAsia="zh-CN"/>
        </w:rPr>
        <w:t>标</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lang w:eastAsia="zh-CN"/>
        </w:rPr>
        <w:t>段：一标段</w:t>
      </w:r>
    </w:p>
    <w:p w14:paraId="6D39CCDD">
      <w:pPr>
        <w:pStyle w:val="25"/>
        <w:rPr>
          <w:rFonts w:hint="default"/>
          <w:highlight w:val="none"/>
          <w:lang w:val="en-US" w:eastAsia="zh-CN"/>
        </w:rPr>
      </w:pPr>
    </w:p>
    <w:p w14:paraId="594B02B4">
      <w:pPr>
        <w:ind w:left="838" w:leftChars="399" w:firstLine="960" w:firstLineChars="400"/>
        <w:jc w:val="right"/>
        <w:rPr>
          <w:rFonts w:ascii="微软雅黑" w:hAnsi="微软雅黑" w:eastAsia="微软雅黑" w:cs="微软雅黑"/>
          <w:b/>
          <w:color w:val="auto"/>
          <w:sz w:val="24"/>
          <w:highlight w:val="none"/>
        </w:rPr>
      </w:pPr>
    </w:p>
    <w:p w14:paraId="0EBB8FC0">
      <w:pPr>
        <w:pStyle w:val="24"/>
        <w:spacing w:line="240" w:lineRule="auto"/>
        <w:ind w:firstLine="0" w:firstLineChars="0"/>
        <w:rPr>
          <w:rFonts w:ascii="黑体" w:hAnsi="黑体" w:eastAsia="黑体" w:cs="黑体"/>
          <w:color w:val="auto"/>
          <w:sz w:val="84"/>
          <w:szCs w:val="84"/>
          <w:highlight w:val="none"/>
        </w:rPr>
      </w:pPr>
    </w:p>
    <w:p w14:paraId="5CE03F15">
      <w:pPr>
        <w:pStyle w:val="24"/>
        <w:spacing w:line="240" w:lineRule="auto"/>
        <w:ind w:firstLine="0" w:firstLineChars="0"/>
        <w:rPr>
          <w:rFonts w:ascii="黑体" w:hAnsi="黑体" w:eastAsia="黑体" w:cs="黑体"/>
          <w:color w:val="auto"/>
          <w:sz w:val="84"/>
          <w:szCs w:val="84"/>
          <w:highlight w:val="none"/>
        </w:rPr>
      </w:pPr>
      <w:r>
        <w:rPr>
          <w:rFonts w:hint="eastAsia" w:ascii="黑体" w:hAnsi="黑体" w:eastAsia="黑体" w:cs="黑体"/>
          <w:color w:val="auto"/>
          <w:sz w:val="84"/>
          <w:szCs w:val="84"/>
          <w:highlight w:val="none"/>
        </w:rPr>
        <w:t xml:space="preserve">      </w:t>
      </w:r>
    </w:p>
    <w:p w14:paraId="0097CB17">
      <w:pPr>
        <w:pStyle w:val="25"/>
        <w:ind w:left="0" w:leftChars="0" w:firstLine="0" w:firstLineChars="0"/>
        <w:rPr>
          <w:rFonts w:ascii="黑体" w:hAnsi="黑体" w:eastAsia="黑体" w:cs="黑体"/>
          <w:color w:val="auto"/>
          <w:sz w:val="84"/>
          <w:szCs w:val="84"/>
          <w:highlight w:val="none"/>
        </w:rPr>
      </w:pPr>
    </w:p>
    <w:p w14:paraId="4C98CC38">
      <w:pPr>
        <w:spacing w:line="360" w:lineRule="auto"/>
        <w:ind w:firstLine="1807" w:firstLineChars="600"/>
        <w:rPr>
          <w:b/>
          <w:color w:val="auto"/>
          <w:sz w:val="30"/>
          <w:szCs w:val="30"/>
          <w:highlight w:val="none"/>
        </w:rPr>
      </w:pPr>
    </w:p>
    <w:p w14:paraId="387E1892">
      <w:pPr>
        <w:spacing w:line="360" w:lineRule="auto"/>
        <w:ind w:firstLine="1807" w:firstLineChars="600"/>
        <w:rPr>
          <w:rFonts w:hint="eastAsia" w:eastAsia="宋体"/>
          <w:b/>
          <w:color w:val="auto"/>
          <w:sz w:val="30"/>
          <w:szCs w:val="30"/>
          <w:highlight w:val="none"/>
          <w:lang w:eastAsia="zh-CN"/>
        </w:rPr>
      </w:pPr>
      <w:r>
        <w:rPr>
          <w:rFonts w:hint="eastAsia"/>
          <w:b/>
          <w:color w:val="auto"/>
          <w:sz w:val="30"/>
          <w:szCs w:val="30"/>
          <w:highlight w:val="none"/>
        </w:rPr>
        <w:t>采 购 人：</w:t>
      </w:r>
      <w:r>
        <w:rPr>
          <w:rFonts w:hint="eastAsia"/>
          <w:b/>
          <w:color w:val="auto"/>
          <w:sz w:val="30"/>
          <w:szCs w:val="30"/>
          <w:highlight w:val="none"/>
          <w:lang w:eastAsia="zh-CN"/>
        </w:rPr>
        <w:t>荥阳市卫生健康委员会</w:t>
      </w:r>
    </w:p>
    <w:p w14:paraId="6DCB3C86">
      <w:pPr>
        <w:spacing w:line="360" w:lineRule="auto"/>
        <w:ind w:firstLine="1807" w:firstLineChars="600"/>
        <w:rPr>
          <w:b/>
          <w:color w:val="auto"/>
          <w:sz w:val="30"/>
          <w:szCs w:val="30"/>
          <w:highlight w:val="none"/>
        </w:rPr>
      </w:pPr>
      <w:r>
        <w:rPr>
          <w:rFonts w:hint="eastAsia"/>
          <w:b/>
          <w:color w:val="auto"/>
          <w:sz w:val="30"/>
          <w:szCs w:val="30"/>
          <w:highlight w:val="none"/>
        </w:rPr>
        <w:t>采购代理：</w:t>
      </w:r>
      <w:r>
        <w:rPr>
          <w:rFonts w:hint="eastAsia"/>
          <w:b/>
          <w:color w:val="auto"/>
          <w:sz w:val="30"/>
          <w:szCs w:val="30"/>
          <w:highlight w:val="none"/>
          <w:lang w:eastAsia="zh-CN"/>
        </w:rPr>
        <w:t>河南天禹工程咨询有限公司</w:t>
      </w:r>
      <w:r>
        <w:rPr>
          <w:rFonts w:hint="eastAsia"/>
          <w:b/>
          <w:color w:val="auto"/>
          <w:sz w:val="30"/>
          <w:szCs w:val="30"/>
          <w:highlight w:val="none"/>
        </w:rPr>
        <w:t xml:space="preserve"> </w:t>
      </w:r>
    </w:p>
    <w:p w14:paraId="757391FD">
      <w:pPr>
        <w:ind w:firstLine="1807" w:firstLineChars="600"/>
        <w:jc w:val="both"/>
        <w:rPr>
          <w:rFonts w:hint="eastAsia" w:ascii="宋体" w:hAnsi="宋体" w:cs="宋体"/>
          <w:b/>
          <w:sz w:val="30"/>
          <w:szCs w:val="30"/>
          <w:highlight w:val="none"/>
        </w:rPr>
      </w:pPr>
      <w:r>
        <w:rPr>
          <w:rFonts w:hint="eastAsia"/>
          <w:b/>
          <w:color w:val="auto"/>
          <w:sz w:val="30"/>
          <w:szCs w:val="30"/>
          <w:highlight w:val="none"/>
        </w:rPr>
        <w:t>编制日期：二〇二五年</w:t>
      </w:r>
      <w:r>
        <w:rPr>
          <w:rFonts w:hint="eastAsia"/>
          <w:b/>
          <w:color w:val="auto"/>
          <w:sz w:val="30"/>
          <w:szCs w:val="30"/>
          <w:highlight w:val="none"/>
          <w:lang w:eastAsia="zh-CN"/>
        </w:rPr>
        <w:t>九</w:t>
      </w:r>
      <w:r>
        <w:rPr>
          <w:rFonts w:hint="eastAsia"/>
          <w:b/>
          <w:color w:val="auto"/>
          <w:sz w:val="30"/>
          <w:szCs w:val="30"/>
          <w:highlight w:val="none"/>
        </w:rPr>
        <w:t>月</w:t>
      </w:r>
    </w:p>
    <w:p w14:paraId="17D26C75">
      <w:pPr>
        <w:pStyle w:val="42"/>
        <w:rPr>
          <w:rFonts w:hint="eastAsia" w:hAnsi="宋体"/>
          <w:b/>
          <w:sz w:val="30"/>
          <w:szCs w:val="30"/>
          <w:highlight w:val="none"/>
        </w:rPr>
      </w:pPr>
    </w:p>
    <w:p w14:paraId="7E977A9A">
      <w:pPr>
        <w:pStyle w:val="42"/>
        <w:rPr>
          <w:rFonts w:hint="eastAsia" w:hAnsi="宋体"/>
          <w:b/>
          <w:sz w:val="30"/>
          <w:szCs w:val="30"/>
          <w:highlight w:val="none"/>
        </w:rPr>
      </w:pPr>
    </w:p>
    <w:p w14:paraId="14475C56">
      <w:pPr>
        <w:pStyle w:val="24"/>
        <w:ind w:firstLine="0" w:firstLineChars="0"/>
        <w:jc w:val="center"/>
        <w:rPr>
          <w:rFonts w:hint="eastAsia" w:ascii="宋体" w:hAnsi="宋体" w:cs="宋体"/>
          <w:b/>
          <w:kern w:val="2"/>
          <w:sz w:val="21"/>
          <w:szCs w:val="21"/>
          <w:highlight w:val="none"/>
        </w:rPr>
      </w:pPr>
      <w:r>
        <w:rPr>
          <w:rFonts w:hint="eastAsia" w:ascii="宋体" w:hAnsi="宋体" w:cs="宋体"/>
          <w:b/>
          <w:kern w:val="2"/>
          <w:sz w:val="36"/>
          <w:szCs w:val="36"/>
          <w:highlight w:val="none"/>
        </w:rPr>
        <w:t>目 录</w:t>
      </w:r>
    </w:p>
    <w:p w14:paraId="10AE026C">
      <w:pPr>
        <w:pStyle w:val="19"/>
        <w:tabs>
          <w:tab w:val="right" w:leader="dot" w:pos="8305"/>
        </w:tabs>
        <w:spacing w:line="480" w:lineRule="auto"/>
        <w:rPr>
          <w:rFonts w:hint="eastAsia" w:ascii="宋体" w:hAnsi="宋体" w:cs="宋体"/>
          <w:sz w:val="32"/>
          <w:szCs w:val="32"/>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"1-3" \h \u </w:instrText>
      </w:r>
      <w:r>
        <w:rPr>
          <w:rFonts w:hint="eastAsia" w:ascii="宋体" w:hAnsi="宋体" w:cs="宋体"/>
          <w:sz w:val="32"/>
          <w:szCs w:val="32"/>
          <w:highlight w:val="none"/>
        </w:rPr>
        <w:fldChar w:fldCharType="separate"/>
      </w:r>
      <w:r>
        <w:rPr>
          <w:highlight w:val="none"/>
        </w:rPr>
        <w:fldChar w:fldCharType="begin"/>
      </w:r>
      <w:r>
        <w:rPr>
          <w:highlight w:val="none"/>
        </w:rPr>
        <w:instrText xml:space="preserve"> HYPERLINK \l "_Toc32079" </w:instrText>
      </w:r>
      <w:r>
        <w:rPr>
          <w:highlight w:val="none"/>
        </w:rPr>
        <w:fldChar w:fldCharType="separate"/>
      </w:r>
      <w:r>
        <w:rPr>
          <w:rFonts w:hint="eastAsia" w:ascii="宋体" w:hAnsi="宋体" w:cs="宋体"/>
          <w:sz w:val="32"/>
          <w:szCs w:val="32"/>
          <w:highlight w:val="none"/>
        </w:rPr>
        <w:t>第一章 竞争性磋商公告</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_Toc32079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1</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7E9F9F08">
      <w:pPr>
        <w:pStyle w:val="19"/>
        <w:tabs>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"_Toc757" </w:instrText>
      </w:r>
      <w:r>
        <w:rPr>
          <w:highlight w:val="none"/>
        </w:rPr>
        <w:fldChar w:fldCharType="separate"/>
      </w:r>
      <w:r>
        <w:rPr>
          <w:rFonts w:hint="eastAsia" w:ascii="宋体" w:hAnsi="宋体" w:cs="宋体"/>
          <w:sz w:val="32"/>
          <w:szCs w:val="32"/>
          <w:highlight w:val="none"/>
        </w:rPr>
        <w:t>第二章 供应商须知</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_Toc757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5</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4CA4DFC8">
      <w:pPr>
        <w:pStyle w:val="19"/>
        <w:tabs>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"_Toc19616" </w:instrText>
      </w:r>
      <w:r>
        <w:rPr>
          <w:highlight w:val="none"/>
        </w:rPr>
        <w:fldChar w:fldCharType="separate"/>
      </w:r>
      <w:r>
        <w:rPr>
          <w:rFonts w:hint="eastAsia" w:ascii="宋体" w:hAnsi="宋体" w:cs="宋体"/>
          <w:sz w:val="32"/>
          <w:szCs w:val="32"/>
          <w:highlight w:val="none"/>
        </w:rPr>
        <w:t>第三章 磋商程序及办法（综合评分法）</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_Toc19616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25</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6C29C875">
      <w:pPr>
        <w:pStyle w:val="19"/>
        <w:tabs>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"_Toc12540" </w:instrText>
      </w:r>
      <w:r>
        <w:rPr>
          <w:highlight w:val="none"/>
        </w:rPr>
        <w:fldChar w:fldCharType="separate"/>
      </w:r>
      <w:r>
        <w:rPr>
          <w:rFonts w:hint="eastAsia" w:ascii="宋体" w:hAnsi="宋体" w:cs="宋体"/>
          <w:sz w:val="32"/>
          <w:szCs w:val="32"/>
          <w:highlight w:val="none"/>
        </w:rPr>
        <w:t>第四章 技术参数及要求</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_Toc12540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31</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19FC1150">
      <w:pPr>
        <w:pStyle w:val="19"/>
        <w:tabs>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"_Toc5092" </w:instrText>
      </w:r>
      <w:r>
        <w:rPr>
          <w:highlight w:val="none"/>
        </w:rPr>
        <w:fldChar w:fldCharType="separate"/>
      </w:r>
      <w:r>
        <w:rPr>
          <w:rFonts w:hint="eastAsia" w:ascii="宋体" w:hAnsi="宋体" w:cs="宋体"/>
          <w:sz w:val="32"/>
          <w:szCs w:val="32"/>
          <w:highlight w:val="none"/>
        </w:rPr>
        <w:t>第五章 合同条款（参考文本）</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_Toc5092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59</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7630F79C">
      <w:pPr>
        <w:pStyle w:val="19"/>
        <w:tabs>
          <w:tab w:val="right" w:pos="3200"/>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"_Toc8695" </w:instrText>
      </w:r>
      <w:r>
        <w:rPr>
          <w:highlight w:val="none"/>
        </w:rPr>
        <w:fldChar w:fldCharType="separate"/>
      </w:r>
      <w:r>
        <w:rPr>
          <w:rFonts w:hint="eastAsia" w:ascii="宋体" w:hAnsi="宋体" w:cs="宋体"/>
          <w:sz w:val="32"/>
          <w:szCs w:val="32"/>
          <w:highlight w:val="none"/>
        </w:rPr>
        <w:t xml:space="preserve">第六章 </w:t>
      </w:r>
      <w:r>
        <w:rPr>
          <w:rFonts w:hint="eastAsia" w:ascii="宋体" w:hAnsi="宋体" w:cs="宋体"/>
          <w:sz w:val="32"/>
          <w:szCs w:val="32"/>
          <w:highlight w:val="none"/>
        </w:rPr>
        <w:tab/>
      </w:r>
      <w:r>
        <w:rPr>
          <w:rFonts w:hint="eastAsia" w:ascii="宋体" w:hAnsi="宋体" w:cs="宋体"/>
          <w:sz w:val="32"/>
          <w:szCs w:val="32"/>
          <w:highlight w:val="none"/>
        </w:rPr>
        <w:t>竞争性磋商响应文件格式</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_Toc8695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63</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45F76F3F">
      <w:pPr>
        <w:spacing w:line="480" w:lineRule="auto"/>
        <w:rPr>
          <w:rFonts w:hint="eastAsia" w:ascii="宋体" w:hAnsi="宋体" w:cs="宋体"/>
          <w:sz w:val="32"/>
          <w:szCs w:val="32"/>
          <w:highlight w:val="none"/>
        </w:rPr>
        <w:sectPr>
          <w:headerReference r:id="rId3" w:type="default"/>
          <w:footerReference r:id="rId4" w:type="default"/>
          <w:pgSz w:w="11911" w:h="16838"/>
          <w:pgMar w:top="1440" w:right="1803" w:bottom="1440" w:left="1803" w:header="720" w:footer="720" w:gutter="0"/>
          <w:pgNumType w:start="1"/>
          <w:cols w:space="720" w:num="1"/>
        </w:sectPr>
      </w:pPr>
      <w:r>
        <w:rPr>
          <w:rFonts w:hint="eastAsia" w:ascii="宋体" w:hAnsi="宋体" w:cs="宋体"/>
          <w:sz w:val="32"/>
          <w:szCs w:val="32"/>
          <w:highlight w:val="none"/>
        </w:rPr>
        <w:fldChar w:fldCharType="end"/>
      </w:r>
    </w:p>
    <w:p w14:paraId="5EB62599">
      <w:pPr>
        <w:pStyle w:val="2"/>
        <w:rPr>
          <w:rFonts w:hint="eastAsia" w:ascii="宋体" w:hAnsi="宋体" w:cs="宋体"/>
          <w:b/>
          <w:bCs/>
          <w:highlight w:val="none"/>
        </w:rPr>
      </w:pPr>
      <w:bookmarkStart w:id="0" w:name="_Toc32079"/>
      <w:bookmarkStart w:id="1" w:name="_Toc4807"/>
      <w:bookmarkStart w:id="2" w:name="_Toc30284"/>
      <w:r>
        <w:rPr>
          <w:rFonts w:hint="eastAsia" w:ascii="宋体" w:hAnsi="宋体" w:cs="宋体"/>
          <w:b/>
          <w:bCs/>
          <w:highlight w:val="none"/>
        </w:rPr>
        <w:t>第一章 竞争性磋商公告</w:t>
      </w:r>
      <w:bookmarkEnd w:id="0"/>
      <w:bookmarkEnd w:id="1"/>
      <w:bookmarkEnd w:id="2"/>
    </w:p>
    <w:p w14:paraId="09D973BD">
      <w:pPr>
        <w:spacing w:line="360" w:lineRule="auto"/>
        <w:ind w:firstLine="422"/>
        <w:jc w:val="center"/>
        <w:rPr>
          <w:rFonts w:ascii="宋体" w:hAnsi="宋体" w:cs="宋体"/>
          <w:b/>
          <w:bCs/>
          <w:color w:val="auto"/>
          <w:szCs w:val="21"/>
          <w:highlight w:val="none"/>
        </w:rPr>
      </w:pPr>
      <w:bookmarkStart w:id="3" w:name="_Toc20030"/>
      <w:bookmarkStart w:id="4" w:name="_Toc7265"/>
      <w:r>
        <w:rPr>
          <w:rFonts w:hint="eastAsia" w:ascii="宋体" w:hAnsi="宋体" w:cs="宋体"/>
          <w:b/>
          <w:bCs/>
          <w:color w:val="auto"/>
          <w:szCs w:val="21"/>
          <w:highlight w:val="none"/>
          <w:lang w:eastAsia="zh-CN"/>
        </w:rPr>
        <w:t>荥阳市卫生健康委员会彩票公益金支持的医养结合建设项目（“郑州华卓医院（荥阳市东元颐养公寓）项目”和“荥阳市王村卫生院医养结合项目”）项目（设备购置）项目</w:t>
      </w:r>
      <w:r>
        <w:rPr>
          <w:rFonts w:hint="eastAsia" w:ascii="宋体" w:hAnsi="宋体" w:cs="宋体"/>
          <w:b/>
          <w:bCs/>
          <w:color w:val="auto"/>
          <w:szCs w:val="21"/>
          <w:highlight w:val="none"/>
        </w:rPr>
        <w:t>竞争性磋商公告</w:t>
      </w:r>
    </w:p>
    <w:p w14:paraId="66CEB31F">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项目概况</w:t>
      </w:r>
    </w:p>
    <w:p w14:paraId="22DD54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荥阳市卫生健康委员会彩票公益金支持的医养结合建设项目（“郑州华卓医院（荥阳市东元颐养公寓）项目”和“荥阳市王村卫生院医养结合项目”）项目（设备购置）项目</w:t>
      </w:r>
      <w:r>
        <w:rPr>
          <w:rFonts w:hint="eastAsia" w:ascii="宋体" w:hAnsi="宋体" w:cs="宋体"/>
          <w:color w:val="auto"/>
          <w:szCs w:val="21"/>
          <w:highlight w:val="none"/>
        </w:rPr>
        <w:t>的潜在供应商应在荥阳市公共资源交易中心网站</w:t>
      </w:r>
      <w:r>
        <w:rPr>
          <w:color w:val="auto"/>
          <w:highlight w:val="none"/>
        </w:rPr>
        <w:fldChar w:fldCharType="begin"/>
      </w:r>
      <w:r>
        <w:rPr>
          <w:color w:val="auto"/>
          <w:highlight w:val="none"/>
        </w:rPr>
        <w:instrText xml:space="preserve"> HYPERLINK "http://www.xyggzyjy.gov.cn获取采购文件，并于2020年" </w:instrText>
      </w:r>
      <w:r>
        <w:rPr>
          <w:color w:val="auto"/>
          <w:highlight w:val="none"/>
        </w:rPr>
        <w:fldChar w:fldCharType="separate"/>
      </w:r>
      <w:r>
        <w:rPr>
          <w:rStyle w:val="37"/>
          <w:rFonts w:hint="eastAsia" w:ascii="宋体" w:hAnsi="宋体" w:cs="宋体"/>
          <w:color w:val="auto"/>
          <w:szCs w:val="21"/>
          <w:highlight w:val="none"/>
        </w:rPr>
        <w:t>获取采购文件，并于2025年</w:t>
      </w:r>
      <w:r>
        <w:rPr>
          <w:rStyle w:val="37"/>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日9点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分（北京时间）前提交响应文件。</w:t>
      </w:r>
    </w:p>
    <w:p w14:paraId="54736CAA">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一、项目基本情况</w:t>
      </w:r>
    </w:p>
    <w:p w14:paraId="673BF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1、项目编号：荥财磋商-2025-42；   </w:t>
      </w:r>
    </w:p>
    <w:p w14:paraId="1EF807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荥阳市卫生健康委员会彩票公益金支持的医养结合建设项目（“郑州华卓医院（荥阳市东元颐养公寓）项目”和“荥阳市王村卫生院医养结合项目”）项目（设备购置）项目</w:t>
      </w:r>
      <w:r>
        <w:rPr>
          <w:rFonts w:hint="eastAsia" w:ascii="宋体" w:hAnsi="宋体" w:cs="宋体"/>
          <w:color w:val="auto"/>
          <w:szCs w:val="21"/>
          <w:highlight w:val="none"/>
        </w:rPr>
        <w:t>；</w:t>
      </w:r>
    </w:p>
    <w:p w14:paraId="7E078D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2D5F09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4、预算金额：1925581.00 元，最高限价：1925581.00 元；</w:t>
      </w:r>
    </w:p>
    <w:tbl>
      <w:tblPr>
        <w:tblStyle w:val="2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68"/>
        <w:gridCol w:w="3454"/>
        <w:gridCol w:w="1692"/>
        <w:gridCol w:w="1767"/>
      </w:tblGrid>
      <w:tr w14:paraId="2CFC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6" w:type="dxa"/>
            <w:vAlign w:val="center"/>
          </w:tcPr>
          <w:p w14:paraId="57335642">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序号</w:t>
            </w:r>
          </w:p>
        </w:tc>
        <w:tc>
          <w:tcPr>
            <w:tcW w:w="1668" w:type="dxa"/>
            <w:vAlign w:val="center"/>
          </w:tcPr>
          <w:p w14:paraId="084621FE">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包号</w:t>
            </w:r>
          </w:p>
        </w:tc>
        <w:tc>
          <w:tcPr>
            <w:tcW w:w="3454" w:type="dxa"/>
            <w:vAlign w:val="center"/>
          </w:tcPr>
          <w:p w14:paraId="39465967">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包名称</w:t>
            </w:r>
          </w:p>
        </w:tc>
        <w:tc>
          <w:tcPr>
            <w:tcW w:w="1692" w:type="dxa"/>
            <w:vAlign w:val="center"/>
          </w:tcPr>
          <w:p w14:paraId="49167162">
            <w:pPr>
              <w:jc w:val="center"/>
              <w:rPr>
                <w:rFonts w:ascii="宋体" w:hAnsi="宋体" w:cs="宋体"/>
                <w:color w:val="auto"/>
                <w:szCs w:val="21"/>
                <w:highlight w:val="none"/>
              </w:rPr>
            </w:pPr>
            <w:r>
              <w:rPr>
                <w:rFonts w:hint="eastAsia" w:ascii="宋体" w:hAnsi="宋体" w:eastAsia="Times New Roman" w:cs="宋体"/>
                <w:color w:val="auto"/>
                <w:szCs w:val="21"/>
                <w:highlight w:val="none"/>
              </w:rPr>
              <w:t>包预算（元）</w:t>
            </w:r>
          </w:p>
        </w:tc>
        <w:tc>
          <w:tcPr>
            <w:tcW w:w="1767" w:type="dxa"/>
            <w:vAlign w:val="center"/>
          </w:tcPr>
          <w:p w14:paraId="38BD23D8">
            <w:pPr>
              <w:widowControl/>
              <w:jc w:val="center"/>
              <w:textAlignment w:val="center"/>
              <w:rPr>
                <w:rFonts w:ascii="宋体" w:hAnsi="宋体" w:cs="宋体"/>
                <w:color w:val="auto"/>
                <w:szCs w:val="21"/>
                <w:highlight w:val="none"/>
              </w:rPr>
            </w:pPr>
            <w:r>
              <w:rPr>
                <w:rFonts w:hint="eastAsia" w:ascii="宋体" w:hAnsi="宋体" w:eastAsia="Times New Roman" w:cs="宋体"/>
                <w:color w:val="auto"/>
                <w:szCs w:val="21"/>
                <w:highlight w:val="none"/>
              </w:rPr>
              <w:t>最高限价（元）</w:t>
            </w:r>
          </w:p>
        </w:tc>
      </w:tr>
      <w:tr w14:paraId="0902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16" w:type="dxa"/>
            <w:vAlign w:val="center"/>
          </w:tcPr>
          <w:p w14:paraId="77CABC71">
            <w:pPr>
              <w:widowControl/>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rPr>
              <w:t>1</w:t>
            </w:r>
          </w:p>
        </w:tc>
        <w:tc>
          <w:tcPr>
            <w:tcW w:w="1668" w:type="dxa"/>
            <w:vAlign w:val="center"/>
          </w:tcPr>
          <w:p w14:paraId="0B24F70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荥财磋商-2025-42</w:t>
            </w:r>
            <w:r>
              <w:rPr>
                <w:rFonts w:hint="eastAsia" w:ascii="宋体" w:hAnsi="宋体" w:cs="宋体"/>
                <w:color w:val="auto"/>
                <w:szCs w:val="21"/>
                <w:highlight w:val="none"/>
                <w:lang w:val="en-US" w:eastAsia="zh-CN"/>
              </w:rPr>
              <w:t>-1</w:t>
            </w:r>
          </w:p>
        </w:tc>
        <w:tc>
          <w:tcPr>
            <w:tcW w:w="3454" w:type="dxa"/>
            <w:vAlign w:val="center"/>
          </w:tcPr>
          <w:p w14:paraId="736C7E80">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荥阳市卫生健康委员会彩票公益金支持的医养结合建设项目（“郑州华卓医院（荥阳市东元颐养公寓）项目”和“荥阳市王村卫生院医养结合项目”）项目（设备购置）项目一标段</w:t>
            </w:r>
          </w:p>
        </w:tc>
        <w:tc>
          <w:tcPr>
            <w:tcW w:w="1692" w:type="dxa"/>
            <w:shd w:val="clear" w:color="auto" w:fill="auto"/>
            <w:vAlign w:val="center"/>
          </w:tcPr>
          <w:p w14:paraId="5212D23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1267276.00 </w:t>
            </w:r>
          </w:p>
        </w:tc>
        <w:tc>
          <w:tcPr>
            <w:tcW w:w="1767" w:type="dxa"/>
            <w:shd w:val="clear" w:color="auto" w:fill="auto"/>
            <w:vAlign w:val="center"/>
          </w:tcPr>
          <w:p w14:paraId="61BCDDA5">
            <w:pPr>
              <w:jc w:val="center"/>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1267276.00 </w:t>
            </w:r>
          </w:p>
        </w:tc>
      </w:tr>
      <w:tr w14:paraId="1B14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16" w:type="dxa"/>
            <w:vAlign w:val="center"/>
          </w:tcPr>
          <w:p w14:paraId="3EFD234C">
            <w:pPr>
              <w:widowControl/>
              <w:jc w:val="center"/>
              <w:textAlignment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w:t>
            </w:r>
          </w:p>
        </w:tc>
        <w:tc>
          <w:tcPr>
            <w:tcW w:w="1668" w:type="dxa"/>
            <w:shd w:val="clear" w:color="auto" w:fill="auto"/>
            <w:vAlign w:val="center"/>
          </w:tcPr>
          <w:p w14:paraId="3E08CE2A">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荥财磋商-2025-42</w:t>
            </w:r>
            <w:r>
              <w:rPr>
                <w:rFonts w:hint="eastAsia" w:ascii="宋体" w:hAnsi="宋体" w:cs="宋体"/>
                <w:color w:val="auto"/>
                <w:szCs w:val="21"/>
                <w:highlight w:val="none"/>
                <w:lang w:val="en-US" w:eastAsia="zh-CN"/>
              </w:rPr>
              <w:t>-2</w:t>
            </w:r>
          </w:p>
        </w:tc>
        <w:tc>
          <w:tcPr>
            <w:tcW w:w="3454" w:type="dxa"/>
            <w:shd w:val="clear" w:color="auto" w:fill="auto"/>
            <w:vAlign w:val="center"/>
          </w:tcPr>
          <w:p w14:paraId="2FC485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荥阳市卫生健康委员会彩票公益金支持的医养结合建设项目（“郑州华卓医院（荥阳市东元颐养公寓）项目”和“荥阳市王村卫生院医养结合项目”）项目（设备购置）项目二标段</w:t>
            </w:r>
          </w:p>
        </w:tc>
        <w:tc>
          <w:tcPr>
            <w:tcW w:w="1692" w:type="dxa"/>
            <w:shd w:val="clear" w:color="auto" w:fill="auto"/>
            <w:vAlign w:val="center"/>
          </w:tcPr>
          <w:p w14:paraId="019FCDDA">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658305</w:t>
            </w:r>
            <w:r>
              <w:rPr>
                <w:rFonts w:hint="eastAsia" w:ascii="宋体" w:hAnsi="宋体" w:cs="宋体"/>
                <w:color w:val="auto"/>
                <w:kern w:val="2"/>
                <w:sz w:val="21"/>
                <w:szCs w:val="21"/>
                <w:highlight w:val="none"/>
                <w:lang w:val="en-US" w:eastAsia="zh-CN" w:bidi="ar-SA"/>
              </w:rPr>
              <w:t>.00</w:t>
            </w:r>
          </w:p>
        </w:tc>
        <w:tc>
          <w:tcPr>
            <w:tcW w:w="1767" w:type="dxa"/>
            <w:shd w:val="clear" w:color="auto" w:fill="auto"/>
            <w:vAlign w:val="center"/>
          </w:tcPr>
          <w:p w14:paraId="7E8A7C26">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658305</w:t>
            </w:r>
            <w:r>
              <w:rPr>
                <w:rFonts w:hint="eastAsia" w:ascii="宋体" w:hAnsi="宋体" w:cs="宋体"/>
                <w:color w:val="auto"/>
                <w:kern w:val="2"/>
                <w:sz w:val="21"/>
                <w:szCs w:val="21"/>
                <w:highlight w:val="none"/>
                <w:lang w:val="en-US" w:eastAsia="zh-CN" w:bidi="ar-SA"/>
              </w:rPr>
              <w:t>.00</w:t>
            </w:r>
          </w:p>
        </w:tc>
      </w:tr>
    </w:tbl>
    <w:p w14:paraId="6BF9D5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5、采购需求（包括但不限于标的名称、数量、简要技术需求或服务要求等）</w:t>
      </w:r>
    </w:p>
    <w:p w14:paraId="1F094C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5.1.采购内容：</w:t>
      </w:r>
      <w:r>
        <w:rPr>
          <w:rFonts w:hint="eastAsia" w:ascii="宋体" w:hAnsi="宋体" w:eastAsia="宋体" w:cs="宋体"/>
          <w:i w:val="0"/>
          <w:iCs w:val="0"/>
          <w:color w:val="000000"/>
          <w:kern w:val="0"/>
          <w:sz w:val="21"/>
          <w:szCs w:val="21"/>
          <w:highlight w:val="none"/>
          <w:u w:val="none"/>
          <w:lang w:val="en-US" w:eastAsia="zh-CN" w:bidi="ar"/>
        </w:rPr>
        <w:t>荥阳市卫生健康委员会彩票公益金支持的医养结合建设项目（“郑州华卓医院（荥阳市东元颐养公寓）项目”和“荥阳市王村卫生院医养结合项目”）项目（设备购置）项目</w:t>
      </w:r>
      <w:r>
        <w:rPr>
          <w:rFonts w:hint="eastAsia" w:ascii="宋体" w:hAnsi="宋体" w:eastAsia="宋体" w:cs="宋体"/>
          <w:b/>
          <w:bCs/>
          <w:i w:val="0"/>
          <w:iCs w:val="0"/>
          <w:color w:val="000000"/>
          <w:kern w:val="0"/>
          <w:sz w:val="21"/>
          <w:szCs w:val="21"/>
          <w:highlight w:val="none"/>
          <w:u w:val="none"/>
          <w:lang w:val="en-US" w:eastAsia="zh-CN" w:bidi="ar"/>
        </w:rPr>
        <w:t>一标段</w:t>
      </w:r>
      <w:r>
        <w:rPr>
          <w:rFonts w:hint="eastAsia" w:ascii="宋体" w:hAnsi="宋体" w:eastAsia="宋体" w:cs="宋体"/>
          <w:i w:val="0"/>
          <w:iCs w:val="0"/>
          <w:color w:val="000000"/>
          <w:kern w:val="0"/>
          <w:sz w:val="21"/>
          <w:szCs w:val="21"/>
          <w:highlight w:val="none"/>
          <w:u w:val="none"/>
          <w:lang w:val="en-US" w:eastAsia="zh-CN" w:bidi="ar"/>
        </w:rPr>
        <w:t>购买一批医疗设备（输液泵、注射泵、简易呼吸器、心电监护仪、简易呼吸器、心电监护仪、手动病床（双摇）、ABS抢救车、药品抢救车</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便携式吸痰器、医用等离子体空气消毒器、制氧机等）</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二</w:t>
      </w:r>
      <w:r>
        <w:rPr>
          <w:rFonts w:hint="eastAsia" w:ascii="宋体" w:hAnsi="宋体" w:eastAsia="宋体" w:cs="宋体"/>
          <w:b/>
          <w:bCs/>
          <w:i w:val="0"/>
          <w:iCs w:val="0"/>
          <w:color w:val="000000"/>
          <w:kern w:val="0"/>
          <w:sz w:val="21"/>
          <w:szCs w:val="21"/>
          <w:highlight w:val="none"/>
          <w:u w:val="none"/>
          <w:lang w:val="en-US" w:eastAsia="zh-CN" w:bidi="ar"/>
        </w:rPr>
        <w:t>标段</w:t>
      </w:r>
      <w:r>
        <w:rPr>
          <w:rFonts w:hint="eastAsia" w:ascii="宋体" w:hAnsi="宋体" w:eastAsia="宋体" w:cs="宋体"/>
          <w:i w:val="0"/>
          <w:iCs w:val="0"/>
          <w:color w:val="000000"/>
          <w:kern w:val="0"/>
          <w:sz w:val="21"/>
          <w:szCs w:val="21"/>
          <w:highlight w:val="none"/>
          <w:u w:val="none"/>
          <w:lang w:val="en-US" w:eastAsia="zh-CN" w:bidi="ar"/>
        </w:rPr>
        <w:t>购买一批办公设备（桌子、椅子、窗帘</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电视机、空调、冰箱、洗衣机、热水器、电脑、打印机等）；详见采购文件</w:t>
      </w:r>
    </w:p>
    <w:p w14:paraId="22569C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w:t>
      </w:r>
      <w:r>
        <w:rPr>
          <w:rFonts w:hint="eastAsia" w:ascii="宋体" w:hAnsi="宋体" w:cs="宋体"/>
          <w:color w:val="auto"/>
          <w:highlight w:val="none"/>
          <w:lang w:eastAsia="zh-CN"/>
        </w:rPr>
        <w:t>供货及安装地点</w:t>
      </w:r>
      <w:r>
        <w:rPr>
          <w:rFonts w:hint="eastAsia" w:ascii="宋体" w:hAnsi="宋体" w:cs="宋体"/>
          <w:color w:val="auto"/>
          <w:highlight w:val="none"/>
        </w:rPr>
        <w:t>：</w:t>
      </w:r>
      <w:r>
        <w:rPr>
          <w:rFonts w:hint="eastAsia" w:ascii="宋体" w:hAnsi="宋体" w:cs="宋体"/>
          <w:color w:val="auto"/>
          <w:szCs w:val="21"/>
          <w:highlight w:val="none"/>
        </w:rPr>
        <w:t>荥阳市境内</w:t>
      </w:r>
      <w:r>
        <w:rPr>
          <w:rFonts w:hint="eastAsia" w:ascii="宋体" w:hAnsi="宋体" w:cs="宋体"/>
          <w:color w:val="auto"/>
          <w:highlight w:val="none"/>
        </w:rPr>
        <w:t>；</w:t>
      </w:r>
    </w:p>
    <w:p w14:paraId="3A8019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w:t>
      </w:r>
      <w:r>
        <w:rPr>
          <w:rFonts w:hint="eastAsia" w:ascii="宋体" w:hAnsi="宋体" w:cs="宋体"/>
          <w:color w:val="auto"/>
          <w:highlight w:val="none"/>
          <w:lang w:eastAsia="zh-CN"/>
        </w:rPr>
        <w:t>供货安装调试期限</w:t>
      </w:r>
      <w:r>
        <w:rPr>
          <w:rFonts w:hint="eastAsia" w:ascii="宋体" w:hAnsi="宋体" w:cs="宋体"/>
          <w:color w:val="auto"/>
          <w:highlight w:val="none"/>
        </w:rPr>
        <w:t>：</w:t>
      </w:r>
      <w:r>
        <w:rPr>
          <w:rFonts w:hint="eastAsia" w:ascii="宋体" w:hAnsi="宋体" w:cs="宋体"/>
          <w:color w:val="auto"/>
          <w:kern w:val="0"/>
          <w:szCs w:val="21"/>
          <w:highlight w:val="none"/>
        </w:rPr>
        <w:t>签订合同之日起</w:t>
      </w:r>
      <w:r>
        <w:rPr>
          <w:rFonts w:hint="eastAsia" w:ascii="宋体" w:hAnsi="宋体" w:cs="宋体"/>
          <w:color w:val="auto"/>
          <w:kern w:val="0"/>
          <w:szCs w:val="21"/>
          <w:highlight w:val="none"/>
          <w:lang w:val="en-US" w:eastAsia="zh-CN"/>
        </w:rPr>
        <w:t>30日历天</w:t>
      </w:r>
      <w:r>
        <w:rPr>
          <w:rFonts w:hint="eastAsia" w:ascii="宋体" w:hAnsi="宋体" w:cs="宋体"/>
          <w:color w:val="auto"/>
          <w:highlight w:val="none"/>
        </w:rPr>
        <w:t>；</w:t>
      </w:r>
    </w:p>
    <w:p w14:paraId="41B8518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5.4.质量标准：</w:t>
      </w:r>
      <w:r>
        <w:rPr>
          <w:rFonts w:hint="eastAsia" w:ascii="宋体" w:hAnsi="宋体" w:cs="宋体"/>
          <w:bCs/>
          <w:color w:val="auto"/>
          <w:szCs w:val="21"/>
          <w:highlight w:val="none"/>
        </w:rPr>
        <w:t>符合国家或行业规定的合格标准，满足采购人提出的技术标准及要求</w:t>
      </w:r>
      <w:r>
        <w:rPr>
          <w:rFonts w:hint="eastAsia" w:ascii="宋体" w:hAnsi="宋体" w:cs="宋体"/>
          <w:color w:val="auto"/>
          <w:highlight w:val="none"/>
        </w:rPr>
        <w:t>；</w:t>
      </w:r>
    </w:p>
    <w:p w14:paraId="67A4789A">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5.5.质保期：1年</w:t>
      </w:r>
    </w:p>
    <w:p w14:paraId="4449280D">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6</w:t>
      </w:r>
      <w:r>
        <w:rPr>
          <w:rFonts w:hint="eastAsia" w:ascii="宋体" w:hAnsi="宋体" w:cs="宋体"/>
          <w:color w:val="auto"/>
          <w:highlight w:val="none"/>
        </w:rPr>
        <w:t>.验收标准：满足采购人的验收标准及要求；</w:t>
      </w:r>
    </w:p>
    <w:p w14:paraId="4E1A2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合同履行期限：</w:t>
      </w:r>
      <w:r>
        <w:rPr>
          <w:rFonts w:hint="eastAsia" w:ascii="宋体" w:hAnsi="宋体" w:cs="宋体"/>
          <w:color w:val="auto"/>
          <w:highlight w:val="none"/>
          <w:lang w:val="en-US" w:eastAsia="zh-CN"/>
        </w:rPr>
        <w:t>30日历天</w:t>
      </w:r>
      <w:r>
        <w:rPr>
          <w:rFonts w:hint="eastAsia" w:ascii="宋体" w:hAnsi="宋体" w:cs="宋体"/>
          <w:color w:val="auto"/>
          <w:szCs w:val="21"/>
          <w:highlight w:val="none"/>
        </w:rPr>
        <w:t>；</w:t>
      </w:r>
    </w:p>
    <w:p w14:paraId="6A947F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本项目是否接受联合体投标：否  </w:t>
      </w:r>
    </w:p>
    <w:p w14:paraId="028C5300">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是否</w:t>
      </w:r>
      <w:r>
        <w:rPr>
          <w:rFonts w:hint="eastAsia" w:ascii="宋体" w:hAnsi="宋体" w:cs="宋体"/>
          <w:color w:val="auto"/>
          <w:szCs w:val="21"/>
          <w:highlight w:val="none"/>
          <w:lang w:eastAsia="zh-CN"/>
        </w:rPr>
        <w:t>接受进口产品：否</w:t>
      </w:r>
    </w:p>
    <w:p w14:paraId="5B704437">
      <w:pPr>
        <w:spacing w:line="360" w:lineRule="auto"/>
        <w:ind w:firstLine="420" w:firstLineChars="200"/>
        <w:rPr>
          <w:rFonts w:hint="eastAsia"/>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是否专门面向中小企业：</w:t>
      </w:r>
      <w:r>
        <w:rPr>
          <w:rFonts w:hint="eastAsia" w:ascii="宋体" w:hAnsi="宋体" w:cs="宋体"/>
          <w:color w:val="auto"/>
          <w:szCs w:val="21"/>
          <w:highlight w:val="none"/>
          <w:lang w:eastAsia="zh-CN"/>
        </w:rPr>
        <w:t>否</w:t>
      </w:r>
    </w:p>
    <w:p w14:paraId="10E5AECB">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12ED6B7A">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66148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53D976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0BCE50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4465F28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w:t>
      </w:r>
    </w:p>
    <w:p w14:paraId="2FFEEE8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（5）参加政府采购活动前三年内，在经营活动中没有重大违法记录（供应商需出具承诺书，格式自拟）。</w:t>
      </w:r>
    </w:p>
    <w:p w14:paraId="120E5CAB">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w:t>
      </w:r>
      <w:r>
        <w:rPr>
          <w:rFonts w:hint="eastAsia" w:ascii="宋体" w:hAnsi="宋体" w:cs="宋体"/>
          <w:color w:val="auto"/>
          <w:kern w:val="2"/>
          <w:sz w:val="21"/>
          <w:szCs w:val="21"/>
          <w:highlight w:val="none"/>
          <w:lang w:eastAsia="zh-CN"/>
        </w:rPr>
        <w:t>执行</w:t>
      </w:r>
      <w:r>
        <w:rPr>
          <w:rFonts w:hint="eastAsia" w:ascii="宋体" w:hAnsi="宋体" w:cs="宋体"/>
          <w:color w:val="auto"/>
          <w:kern w:val="2"/>
          <w:sz w:val="21"/>
          <w:szCs w:val="21"/>
          <w:highlight w:val="none"/>
        </w:rPr>
        <w:t>落实促进中小型企业发展政策（监狱企业、残疾人福利性企业视同小微企业），优先采购节能环保产品，政府强制采购节能产品等。</w:t>
      </w:r>
    </w:p>
    <w:p w14:paraId="0C8F3D6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332B09F7">
      <w:pPr>
        <w:pStyle w:val="6"/>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一标段：</w:t>
      </w:r>
    </w:p>
    <w:p w14:paraId="5278B681">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14:paraId="6918708C">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医疗产品需提供医疗器械经营许可证或医疗器械经营备案凭证；供应商若为制造商，须具有监督管理部门颁发的《医疗器械生产企业许可证》；若为代理商，须具有监督管理部门颁发的《医疗器械经营许可证》或《医疗器械经营备案凭证》；</w:t>
      </w:r>
    </w:p>
    <w:p w14:paraId="737DE55E">
      <w:pPr>
        <w:keepNext w:val="0"/>
        <w:keepLines w:val="0"/>
        <w:pageBreakBefore w:val="0"/>
        <w:widowControl w:val="0"/>
        <w:kinsoku/>
        <w:wordWrap/>
        <w:overflowPunct/>
        <w:topLinePunct w:val="0"/>
        <w:autoSpaceDE/>
        <w:autoSpaceDN/>
        <w:bidi w:val="0"/>
        <w:adjustRightInd/>
        <w:snapToGrid/>
        <w:ind w:firstLine="843" w:firstLineChars="4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二标段：</w:t>
      </w:r>
    </w:p>
    <w:p w14:paraId="7B809D01">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14:paraId="2B016B3D">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w:t>
      </w:r>
      <w:r>
        <w:rPr>
          <w:rFonts w:hint="eastAsia" w:ascii="宋体" w:hAnsi="宋体" w:cs="宋体"/>
          <w:color w:val="333333"/>
          <w:kern w:val="0"/>
          <w:szCs w:val="21"/>
          <w:highlight w:val="none"/>
          <w:lang w:eastAsia="zh-CN" w:bidi="ar"/>
        </w:rPr>
        <w:t>根据需要</w:t>
      </w:r>
      <w:r>
        <w:rPr>
          <w:rFonts w:hint="eastAsia" w:ascii="宋体" w:hAnsi="宋体" w:cs="宋体"/>
          <w:color w:val="333333"/>
          <w:kern w:val="0"/>
          <w:szCs w:val="21"/>
          <w:highlight w:val="none"/>
          <w:lang w:bidi="ar"/>
        </w:rPr>
        <w:t>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14:paraId="3C44D5F4">
      <w:pPr>
        <w:spacing w:line="360" w:lineRule="auto"/>
        <w:ind w:firstLine="420" w:firstLineChars="200"/>
        <w:rPr>
          <w:rFonts w:hint="default"/>
          <w:b/>
          <w:bCs/>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投标截止日期之前】</w:t>
      </w:r>
      <w:r>
        <w:rPr>
          <w:rFonts w:hint="eastAsia" w:ascii="宋体" w:hAnsi="宋体" w:cs="宋体"/>
          <w:szCs w:val="21"/>
          <w:highlight w:val="none"/>
          <w:lang w:val="en-US" w:eastAsia="zh-CN"/>
        </w:rPr>
        <w:t>。</w:t>
      </w:r>
    </w:p>
    <w:p w14:paraId="1FD32AB5">
      <w:pPr>
        <w:spacing w:line="360" w:lineRule="auto"/>
        <w:ind w:firstLine="422"/>
        <w:rPr>
          <w:b/>
          <w:bCs/>
          <w:color w:val="auto"/>
          <w:szCs w:val="21"/>
          <w:highlight w:val="none"/>
        </w:rPr>
      </w:pPr>
      <w:bookmarkStart w:id="5" w:name="_Toc6878"/>
      <w:bookmarkStart w:id="6" w:name="_Toc16669"/>
      <w:bookmarkStart w:id="7" w:name="_Toc30918"/>
      <w:bookmarkStart w:id="8" w:name="_Toc6523"/>
      <w:bookmarkStart w:id="9" w:name="_Toc29784"/>
      <w:bookmarkStart w:id="10" w:name="_Toc20287"/>
      <w:r>
        <w:rPr>
          <w:rFonts w:hint="eastAsia"/>
          <w:b/>
          <w:bCs/>
          <w:color w:val="auto"/>
          <w:szCs w:val="21"/>
          <w:highlight w:val="none"/>
        </w:rPr>
        <w:t>三、采购文件获取</w:t>
      </w:r>
    </w:p>
    <w:p w14:paraId="5915F20A">
      <w:pPr>
        <w:spacing w:line="360" w:lineRule="auto"/>
        <w:ind w:firstLine="420" w:firstLineChars="200"/>
        <w:rPr>
          <w:color w:val="auto"/>
          <w:szCs w:val="21"/>
          <w:highlight w:val="none"/>
        </w:rPr>
      </w:pPr>
      <w:r>
        <w:rPr>
          <w:rFonts w:hint="eastAsia"/>
          <w:color w:val="auto"/>
          <w:szCs w:val="21"/>
          <w:highlight w:val="none"/>
        </w:rPr>
        <w:t>1.</w:t>
      </w:r>
      <w:r>
        <w:rPr>
          <w:rFonts w:hint="eastAsia" w:ascii="微软雅黑" w:hAnsi="微软雅黑" w:eastAsia="微软雅黑"/>
          <w:color w:val="auto"/>
          <w:szCs w:val="21"/>
          <w:highlight w:val="none"/>
        </w:rPr>
        <w:t xml:space="preserve"> </w:t>
      </w:r>
      <w:r>
        <w:rPr>
          <w:rFonts w:hint="eastAsia" w:eastAsia="微软雅黑"/>
          <w:color w:val="auto"/>
          <w:szCs w:val="21"/>
          <w:highlight w:val="none"/>
        </w:rPr>
        <w:t>2025年</w:t>
      </w:r>
      <w:r>
        <w:rPr>
          <w:rFonts w:hint="eastAsia" w:eastAsia="微软雅黑"/>
          <w:color w:val="auto"/>
          <w:szCs w:val="21"/>
          <w:highlight w:val="none"/>
          <w:lang w:val="en-US" w:eastAsia="zh-CN"/>
        </w:rPr>
        <w:t>09</w:t>
      </w:r>
      <w:r>
        <w:rPr>
          <w:rFonts w:hint="eastAsia"/>
          <w:color w:val="auto"/>
          <w:szCs w:val="21"/>
          <w:highlight w:val="none"/>
        </w:rPr>
        <w:t>月</w:t>
      </w:r>
      <w:r>
        <w:rPr>
          <w:rFonts w:hint="eastAsia"/>
          <w:color w:val="auto"/>
          <w:szCs w:val="21"/>
          <w:highlight w:val="none"/>
          <w:lang w:val="en-US" w:eastAsia="zh-CN"/>
        </w:rPr>
        <w:t>18</w:t>
      </w:r>
      <w:r>
        <w:rPr>
          <w:rFonts w:hint="eastAsia"/>
          <w:color w:val="auto"/>
          <w:szCs w:val="21"/>
          <w:highlight w:val="none"/>
        </w:rPr>
        <w:t>日 至 2025年</w:t>
      </w:r>
      <w:r>
        <w:rPr>
          <w:rFonts w:hint="eastAsia"/>
          <w:color w:val="auto"/>
          <w:szCs w:val="21"/>
          <w:highlight w:val="none"/>
          <w:lang w:val="en-US" w:eastAsia="zh-CN"/>
        </w:rPr>
        <w:t>09</w:t>
      </w:r>
      <w:r>
        <w:rPr>
          <w:rFonts w:hint="eastAsia"/>
          <w:color w:val="auto"/>
          <w:szCs w:val="21"/>
          <w:highlight w:val="none"/>
        </w:rPr>
        <w:t>月</w:t>
      </w:r>
      <w:r>
        <w:rPr>
          <w:rFonts w:hint="eastAsia"/>
          <w:color w:val="auto"/>
          <w:szCs w:val="21"/>
          <w:highlight w:val="none"/>
          <w:lang w:val="en-US" w:eastAsia="zh-CN"/>
        </w:rPr>
        <w:t>24</w:t>
      </w:r>
      <w:r>
        <w:rPr>
          <w:rFonts w:hint="eastAsia"/>
          <w:color w:val="auto"/>
          <w:szCs w:val="21"/>
          <w:highlight w:val="none"/>
        </w:rPr>
        <w:t>日，每天上午00:00至11:59，下午12:00至23:59（北京时间，法定节假日除外。）</w:t>
      </w:r>
    </w:p>
    <w:p w14:paraId="0AC9E86A">
      <w:pPr>
        <w:spacing w:line="360" w:lineRule="auto"/>
        <w:ind w:firstLine="420" w:firstLineChars="200"/>
        <w:rPr>
          <w:color w:val="auto"/>
          <w:szCs w:val="21"/>
          <w:highlight w:val="none"/>
        </w:rPr>
      </w:pPr>
      <w:r>
        <w:rPr>
          <w:rFonts w:hint="eastAsia"/>
          <w:color w:val="auto"/>
          <w:szCs w:val="21"/>
          <w:highlight w:val="none"/>
        </w:rPr>
        <w:t>2.地点：荥阳市公共资源交易中心网站。</w:t>
      </w:r>
    </w:p>
    <w:p w14:paraId="13FE3821">
      <w:pPr>
        <w:spacing w:line="360" w:lineRule="auto"/>
        <w:ind w:firstLine="420" w:firstLineChars="200"/>
        <w:rPr>
          <w:color w:val="auto"/>
          <w:szCs w:val="21"/>
          <w:highlight w:val="none"/>
        </w:rPr>
      </w:pPr>
      <w:r>
        <w:rPr>
          <w:rFonts w:hint="eastAsia"/>
          <w:color w:val="auto"/>
          <w:szCs w:val="21"/>
          <w:highlight w:val="none"/>
        </w:rPr>
        <w:t>3.方式：凡有意参加供应商，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采购文件（具体办理事宜请登陆交易中心网站-办事指南-《投标人操作指南》）。</w:t>
      </w:r>
    </w:p>
    <w:p w14:paraId="19068B97">
      <w:pPr>
        <w:spacing w:line="360" w:lineRule="auto"/>
        <w:ind w:firstLine="420" w:firstLineChars="200"/>
        <w:rPr>
          <w:color w:val="auto"/>
          <w:szCs w:val="21"/>
          <w:highlight w:val="none"/>
        </w:rPr>
      </w:pPr>
      <w:r>
        <w:rPr>
          <w:rFonts w:hint="eastAsia"/>
          <w:color w:val="auto"/>
          <w:szCs w:val="21"/>
          <w:highlight w:val="none"/>
        </w:rPr>
        <w:t>4.售价：0元</w:t>
      </w:r>
    </w:p>
    <w:p w14:paraId="2F42E49E">
      <w:pPr>
        <w:spacing w:line="360" w:lineRule="auto"/>
        <w:ind w:firstLine="422"/>
        <w:rPr>
          <w:b/>
          <w:bCs/>
          <w:color w:val="auto"/>
          <w:szCs w:val="21"/>
          <w:highlight w:val="none"/>
        </w:rPr>
      </w:pPr>
      <w:r>
        <w:rPr>
          <w:rFonts w:hint="eastAsia"/>
          <w:b/>
          <w:bCs/>
          <w:color w:val="auto"/>
          <w:szCs w:val="21"/>
          <w:highlight w:val="none"/>
        </w:rPr>
        <w:t>四、响应文件递交截止时间及地点</w:t>
      </w:r>
    </w:p>
    <w:p w14:paraId="3EDC638C">
      <w:pPr>
        <w:spacing w:line="360" w:lineRule="auto"/>
        <w:ind w:firstLine="420" w:firstLineChars="200"/>
        <w:rPr>
          <w:color w:val="auto"/>
          <w:szCs w:val="21"/>
          <w:highlight w:val="none"/>
        </w:rPr>
      </w:pPr>
      <w:r>
        <w:rPr>
          <w:rFonts w:hint="eastAsia"/>
          <w:color w:val="auto"/>
          <w:szCs w:val="21"/>
          <w:highlight w:val="none"/>
        </w:rPr>
        <w:t>1.时间：2025年</w:t>
      </w:r>
      <w:r>
        <w:rPr>
          <w:rFonts w:hint="eastAsia"/>
          <w:color w:val="auto"/>
          <w:szCs w:val="21"/>
          <w:highlight w:val="none"/>
          <w:lang w:val="en-US" w:eastAsia="zh-CN"/>
        </w:rPr>
        <w:t>09</w:t>
      </w:r>
      <w:r>
        <w:rPr>
          <w:rFonts w:hint="eastAsia"/>
          <w:color w:val="auto"/>
          <w:szCs w:val="21"/>
          <w:highlight w:val="none"/>
        </w:rPr>
        <w:t>月</w:t>
      </w:r>
      <w:r>
        <w:rPr>
          <w:rFonts w:hint="eastAsia"/>
          <w:color w:val="auto"/>
          <w:szCs w:val="21"/>
          <w:highlight w:val="none"/>
          <w:lang w:val="en-US" w:eastAsia="zh-CN"/>
        </w:rPr>
        <w:t>29</w:t>
      </w:r>
      <w:r>
        <w:rPr>
          <w:rFonts w:hint="eastAsia"/>
          <w:color w:val="auto"/>
          <w:szCs w:val="21"/>
          <w:highlight w:val="none"/>
        </w:rPr>
        <w:t>日09时</w:t>
      </w:r>
      <w:r>
        <w:rPr>
          <w:rFonts w:hint="eastAsia"/>
          <w:color w:val="auto"/>
          <w:szCs w:val="21"/>
          <w:highlight w:val="none"/>
          <w:lang w:val="en-US" w:eastAsia="zh-CN"/>
        </w:rPr>
        <w:t>00</w:t>
      </w:r>
      <w:r>
        <w:rPr>
          <w:rFonts w:hint="eastAsia"/>
          <w:color w:val="auto"/>
          <w:szCs w:val="21"/>
          <w:highlight w:val="none"/>
        </w:rPr>
        <w:t>分（北京时间）</w:t>
      </w:r>
    </w:p>
    <w:p w14:paraId="63BE94AB">
      <w:pPr>
        <w:spacing w:line="360" w:lineRule="auto"/>
        <w:ind w:firstLine="420" w:firstLineChars="200"/>
        <w:rPr>
          <w:color w:val="auto"/>
          <w:szCs w:val="21"/>
          <w:highlight w:val="none"/>
        </w:rPr>
      </w:pPr>
      <w:r>
        <w:rPr>
          <w:rFonts w:hint="eastAsia"/>
          <w:color w:val="auto"/>
          <w:szCs w:val="21"/>
          <w:highlight w:val="none"/>
        </w:rPr>
        <w:t>2.地点：荥阳市公共资源交易平台</w:t>
      </w:r>
    </w:p>
    <w:p w14:paraId="01D70178">
      <w:pPr>
        <w:spacing w:line="360" w:lineRule="auto"/>
        <w:ind w:firstLine="422"/>
        <w:rPr>
          <w:b/>
          <w:bCs/>
          <w:color w:val="auto"/>
          <w:szCs w:val="21"/>
          <w:highlight w:val="none"/>
        </w:rPr>
      </w:pPr>
      <w:r>
        <w:rPr>
          <w:rFonts w:hint="eastAsia"/>
          <w:b/>
          <w:bCs/>
          <w:color w:val="auto"/>
          <w:szCs w:val="21"/>
          <w:highlight w:val="none"/>
        </w:rPr>
        <w:t>五、响应文件开启时间及地点</w:t>
      </w:r>
    </w:p>
    <w:p w14:paraId="012203B9">
      <w:pPr>
        <w:spacing w:line="360" w:lineRule="auto"/>
        <w:ind w:firstLine="420" w:firstLineChars="200"/>
        <w:rPr>
          <w:color w:val="auto"/>
          <w:szCs w:val="21"/>
          <w:highlight w:val="none"/>
        </w:rPr>
      </w:pPr>
      <w:r>
        <w:rPr>
          <w:rFonts w:hint="eastAsia"/>
          <w:color w:val="auto"/>
          <w:szCs w:val="21"/>
          <w:highlight w:val="none"/>
        </w:rPr>
        <w:t>1.时间：2025年</w:t>
      </w:r>
      <w:r>
        <w:rPr>
          <w:rFonts w:hint="eastAsia"/>
          <w:color w:val="auto"/>
          <w:szCs w:val="21"/>
          <w:highlight w:val="none"/>
          <w:lang w:val="en-US" w:eastAsia="zh-CN"/>
        </w:rPr>
        <w:t>09</w:t>
      </w:r>
      <w:r>
        <w:rPr>
          <w:rFonts w:hint="eastAsia"/>
          <w:color w:val="auto"/>
          <w:szCs w:val="21"/>
          <w:highlight w:val="none"/>
        </w:rPr>
        <w:t>月</w:t>
      </w:r>
      <w:r>
        <w:rPr>
          <w:rFonts w:hint="eastAsia"/>
          <w:color w:val="auto"/>
          <w:szCs w:val="21"/>
          <w:highlight w:val="none"/>
          <w:lang w:val="en-US" w:eastAsia="zh-CN"/>
        </w:rPr>
        <w:t>29</w:t>
      </w:r>
      <w:r>
        <w:rPr>
          <w:rFonts w:hint="eastAsia"/>
          <w:color w:val="auto"/>
          <w:szCs w:val="21"/>
          <w:highlight w:val="none"/>
        </w:rPr>
        <w:t>日09时</w:t>
      </w:r>
      <w:r>
        <w:rPr>
          <w:rFonts w:hint="eastAsia"/>
          <w:color w:val="auto"/>
          <w:szCs w:val="21"/>
          <w:highlight w:val="none"/>
          <w:lang w:val="en-US" w:eastAsia="zh-CN"/>
        </w:rPr>
        <w:t>00</w:t>
      </w:r>
      <w:r>
        <w:rPr>
          <w:rFonts w:hint="eastAsia"/>
          <w:color w:val="auto"/>
          <w:szCs w:val="21"/>
          <w:highlight w:val="none"/>
        </w:rPr>
        <w:t>分（北京时间）</w:t>
      </w:r>
    </w:p>
    <w:p w14:paraId="38CB9D62">
      <w:pPr>
        <w:spacing w:line="360" w:lineRule="auto"/>
        <w:ind w:firstLine="420" w:firstLineChars="200"/>
        <w:rPr>
          <w:color w:val="auto"/>
          <w:szCs w:val="21"/>
          <w:highlight w:val="none"/>
        </w:rPr>
      </w:pPr>
      <w:r>
        <w:rPr>
          <w:rFonts w:hint="eastAsia"/>
          <w:color w:val="auto"/>
          <w:szCs w:val="21"/>
          <w:highlight w:val="none"/>
        </w:rPr>
        <w:t>2.地点：荥阳市公共资源交易中心（荥阳市中原路与飞龙路西北角政务服务中心七楼）第</w:t>
      </w:r>
      <w:r>
        <w:rPr>
          <w:rFonts w:hint="eastAsia"/>
          <w:color w:val="auto"/>
          <w:szCs w:val="21"/>
          <w:highlight w:val="none"/>
          <w:lang w:eastAsia="zh-CN"/>
        </w:rPr>
        <w:t>三</w:t>
      </w:r>
      <w:r>
        <w:rPr>
          <w:rFonts w:hint="eastAsia"/>
          <w:color w:val="auto"/>
          <w:szCs w:val="21"/>
          <w:highlight w:val="none"/>
        </w:rPr>
        <w:t>开标室。</w:t>
      </w:r>
    </w:p>
    <w:p w14:paraId="0E29A96A">
      <w:pPr>
        <w:spacing w:line="360" w:lineRule="auto"/>
        <w:ind w:firstLine="422"/>
        <w:rPr>
          <w:b/>
          <w:bCs/>
          <w:color w:val="auto"/>
          <w:szCs w:val="21"/>
          <w:highlight w:val="none"/>
        </w:rPr>
      </w:pPr>
      <w:r>
        <w:rPr>
          <w:rFonts w:hint="eastAsia"/>
          <w:b/>
          <w:bCs/>
          <w:color w:val="auto"/>
          <w:szCs w:val="21"/>
          <w:highlight w:val="none"/>
        </w:rPr>
        <w:t>六、发布公告的媒介及招标公告期限</w:t>
      </w:r>
    </w:p>
    <w:p w14:paraId="6F39129A">
      <w:pPr>
        <w:spacing w:line="360" w:lineRule="auto"/>
        <w:ind w:firstLine="420" w:firstLineChars="200"/>
        <w:rPr>
          <w:color w:val="auto"/>
          <w:szCs w:val="21"/>
          <w:highlight w:val="none"/>
        </w:rPr>
      </w:pPr>
      <w:r>
        <w:rPr>
          <w:rFonts w:hint="eastAsia"/>
          <w:color w:val="auto"/>
          <w:szCs w:val="21"/>
          <w:highlight w:val="none"/>
        </w:rPr>
        <w:t>本次公告在《河南省政府采购网》、</w:t>
      </w:r>
      <w:r>
        <w:rPr>
          <w:rFonts w:hint="eastAsia"/>
          <w:bCs/>
          <w:color w:val="auto"/>
          <w:szCs w:val="21"/>
          <w:highlight w:val="none"/>
        </w:rPr>
        <w:t>《中国招标投标公共服务平台》、</w:t>
      </w:r>
      <w:r>
        <w:rPr>
          <w:rFonts w:hint="eastAsia"/>
          <w:color w:val="auto"/>
          <w:szCs w:val="21"/>
          <w:highlight w:val="none"/>
        </w:rPr>
        <w:t>《荥阳市政府采购网》、《荥阳市公共资源交易中心》上发布，招标公告期限为3个工作日。</w:t>
      </w:r>
    </w:p>
    <w:bookmarkEnd w:id="5"/>
    <w:bookmarkEnd w:id="6"/>
    <w:bookmarkEnd w:id="7"/>
    <w:bookmarkEnd w:id="8"/>
    <w:bookmarkEnd w:id="9"/>
    <w:bookmarkEnd w:id="10"/>
    <w:p w14:paraId="05F41D3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六、其他补充事宜</w:t>
      </w:r>
    </w:p>
    <w:p w14:paraId="738E4522">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1、投标文件制作及上传：</w:t>
      </w:r>
    </w:p>
    <w:p w14:paraId="1C7FE82F">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14:paraId="5EB67FF8">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1.2、投标人（供应商）须在投标截止时间前登陆荥阳市公共资源交易平台上传加密的电子投标文件。</w:t>
      </w:r>
    </w:p>
    <w:p w14:paraId="3A1C547D">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1CF21CDA">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3、本项目落实促进中小型企业发展政策（监狱企业、残疾人福利性企业视同小微企业），优先采购节能环保产品，政府强制采购节能产品等。对于小型、微型企业的具体评标价格扣除，均按财库〔2022〕19号文件中比例20%扣除。对于中型企业的价格不予扣除。供应商须提供需提供符合要求的中小企业声明函。否则不予认可。声明函内容真实性由供应商负责。（小型、微型企业提供中型企业制造的货物（服务）的，视同为中型企业。）</w:t>
      </w:r>
    </w:p>
    <w:p w14:paraId="531CA8DC">
      <w:pPr>
        <w:pStyle w:val="22"/>
        <w:spacing w:beforeAutospacing="0" w:afterAutospacing="0" w:line="360" w:lineRule="auto"/>
        <w:ind w:firstLine="420" w:firstLineChars="200"/>
        <w:jc w:val="both"/>
        <w:rPr>
          <w:rFonts w:hint="eastAsia" w:cs="宋体"/>
          <w:bCs/>
          <w:color w:val="auto"/>
          <w:sz w:val="21"/>
          <w:szCs w:val="21"/>
          <w:highlight w:val="none"/>
        </w:rPr>
      </w:pPr>
      <w:r>
        <w:rPr>
          <w:rFonts w:hint="eastAsia" w:ascii="宋体" w:hAnsi="宋体" w:cs="宋体"/>
          <w:color w:val="auto"/>
          <w:kern w:val="2"/>
          <w:sz w:val="21"/>
          <w:szCs w:val="21"/>
          <w:highlight w:val="none"/>
        </w:rPr>
        <w:t>4、</w:t>
      </w:r>
      <w:r>
        <w:rPr>
          <w:rFonts w:hint="eastAsia" w:cs="宋体"/>
          <w:bCs/>
          <w:color w:val="auto"/>
          <w:sz w:val="21"/>
          <w:szCs w:val="21"/>
          <w:highlight w:val="none"/>
        </w:rPr>
        <w:t>本次采购招标代理服务费，参考河南省招标投标协会（豫招协[2023]002号）文规定的计费方式，向成交供应商收取代理服务费。</w:t>
      </w:r>
    </w:p>
    <w:p w14:paraId="36790C50">
      <w:pPr>
        <w:pStyle w:val="22"/>
        <w:spacing w:beforeAutospacing="0" w:afterAutospacing="0" w:line="360" w:lineRule="auto"/>
        <w:ind w:firstLine="420" w:firstLineChars="200"/>
        <w:jc w:val="both"/>
        <w:rPr>
          <w:rFonts w:hint="eastAsia" w:eastAsia="宋体" w:cs="宋体"/>
          <w:bCs/>
          <w:color w:val="auto"/>
          <w:sz w:val="21"/>
          <w:szCs w:val="21"/>
          <w:highlight w:val="none"/>
          <w:lang w:val="en-US" w:eastAsia="zh-CN"/>
        </w:rPr>
      </w:pPr>
      <w:r>
        <w:rPr>
          <w:rFonts w:hint="eastAsia" w:cs="宋体"/>
          <w:bCs/>
          <w:color w:val="auto"/>
          <w:sz w:val="21"/>
          <w:szCs w:val="21"/>
          <w:highlight w:val="none"/>
          <w:lang w:val="en-US" w:eastAsia="zh-CN"/>
        </w:rPr>
        <w:t>5、供应商</w:t>
      </w:r>
      <w:r>
        <w:rPr>
          <w:rFonts w:hint="eastAsia" w:cs="宋体"/>
          <w:kern w:val="2"/>
          <w:sz w:val="21"/>
          <w:szCs w:val="21"/>
          <w:highlight w:val="none"/>
          <w:lang w:val="en-US" w:eastAsia="zh-CN"/>
        </w:rPr>
        <w:t>可同时投标多个标段，但只能中一个标段。若出现两个或两个以上标段同时被推荐为第一候选人，则只能选择标段顺序最靠前的作为成交供应商。</w:t>
      </w:r>
    </w:p>
    <w:p w14:paraId="389E86D1">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6</w:t>
      </w:r>
      <w:r>
        <w:rPr>
          <w:rFonts w:hint="eastAsia" w:ascii="宋体" w:hAnsi="宋体" w:cs="宋体"/>
          <w:color w:val="auto"/>
          <w:kern w:val="2"/>
          <w:sz w:val="21"/>
          <w:szCs w:val="21"/>
          <w:highlight w:val="none"/>
        </w:rPr>
        <w:t>、本项目采购监督部门：荥阳市财政局</w:t>
      </w:r>
    </w:p>
    <w:p w14:paraId="54E9DEFA">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七、凡对本次采购提出询问，请按以下方式联系</w:t>
      </w:r>
    </w:p>
    <w:p w14:paraId="5913D746">
      <w:pPr>
        <w:spacing w:line="360" w:lineRule="auto"/>
        <w:ind w:firstLine="420" w:firstLineChars="200"/>
        <w:rPr>
          <w:color w:val="auto"/>
          <w:szCs w:val="21"/>
          <w:highlight w:val="none"/>
        </w:rPr>
      </w:pPr>
      <w:r>
        <w:rPr>
          <w:rFonts w:hint="eastAsia"/>
          <w:color w:val="auto"/>
          <w:szCs w:val="21"/>
          <w:highlight w:val="none"/>
        </w:rPr>
        <w:t>1、采购人名称：</w:t>
      </w:r>
      <w:r>
        <w:rPr>
          <w:rFonts w:hint="eastAsia"/>
          <w:color w:val="auto"/>
          <w:szCs w:val="21"/>
          <w:highlight w:val="none"/>
          <w:lang w:eastAsia="zh-CN"/>
        </w:rPr>
        <w:t>荥阳市卫生健康委员会</w:t>
      </w:r>
      <w:r>
        <w:rPr>
          <w:rFonts w:hint="eastAsia"/>
          <w:color w:val="auto"/>
          <w:szCs w:val="21"/>
          <w:highlight w:val="none"/>
        </w:rPr>
        <w:t xml:space="preserve">  </w:t>
      </w:r>
    </w:p>
    <w:p w14:paraId="7EC8F25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地    址：</w:t>
      </w:r>
      <w:r>
        <w:rPr>
          <w:rFonts w:hint="default" w:ascii="宋体" w:hAnsi="宋体" w:eastAsia="宋体" w:cs="宋体"/>
          <w:color w:val="auto"/>
          <w:sz w:val="21"/>
          <w:szCs w:val="21"/>
          <w:highlight w:val="none"/>
          <w:lang w:val="en-US" w:eastAsia="zh-CN"/>
        </w:rPr>
        <w:t>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14:paraId="57895265">
      <w:pPr>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联 系 人：</w:t>
      </w:r>
      <w:r>
        <w:rPr>
          <w:rFonts w:hint="eastAsia" w:ascii="宋体" w:hAnsi="宋体" w:cs="宋体"/>
          <w:color w:val="auto"/>
          <w:szCs w:val="21"/>
          <w:highlight w:val="none"/>
          <w:lang w:eastAsia="zh-CN"/>
        </w:rPr>
        <w:t>魏先生</w:t>
      </w:r>
    </w:p>
    <w:p w14:paraId="774C7A4D">
      <w:pPr>
        <w:spacing w:line="360" w:lineRule="auto"/>
        <w:ind w:firstLine="420" w:firstLineChars="200"/>
        <w:rPr>
          <w:rFonts w:hint="default" w:ascii="宋体" w:hAnsi="宋体" w:eastAsia="宋体" w:cs="宋体"/>
          <w:color w:val="auto"/>
          <w:szCs w:val="21"/>
          <w:highlight w:val="none"/>
          <w:lang w:val="en-US" w:eastAsia="zh-CN"/>
        </w:rPr>
      </w:pPr>
      <w:r>
        <w:rPr>
          <w:rFonts w:ascii="宋体" w:hAnsi="宋体" w:cs="宋体"/>
          <w:color w:val="auto"/>
          <w:szCs w:val="21"/>
          <w:highlight w:val="none"/>
        </w:rPr>
        <w:t>电    话：</w:t>
      </w:r>
      <w:r>
        <w:rPr>
          <w:rFonts w:hint="eastAsia" w:ascii="宋体" w:hAnsi="宋体" w:cs="宋体"/>
          <w:color w:val="auto"/>
          <w:szCs w:val="21"/>
          <w:highlight w:val="none"/>
          <w:lang w:val="en-US" w:eastAsia="zh-CN"/>
        </w:rPr>
        <w:t>0371-64651125</w:t>
      </w:r>
    </w:p>
    <w:p w14:paraId="6DFCA469">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河南天禹工程咨询有限公司 </w:t>
      </w:r>
    </w:p>
    <w:p w14:paraId="7FA6EB5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地    址：</w:t>
      </w:r>
      <w:bookmarkStart w:id="329" w:name="_GoBack"/>
      <w:r>
        <w:rPr>
          <w:rFonts w:hint="eastAsia" w:ascii="宋体" w:hAnsi="宋体" w:cs="宋体"/>
          <w:color w:val="auto"/>
          <w:kern w:val="0"/>
          <w:sz w:val="21"/>
          <w:szCs w:val="21"/>
          <w:highlight w:val="none"/>
          <w:lang w:eastAsia="zh-CN" w:bidi="ar"/>
        </w:rPr>
        <w:t>河南省郑州市玉凤路333号1号楼中和金水中心5层506</w:t>
      </w:r>
      <w:bookmarkEnd w:id="329"/>
    </w:p>
    <w:p w14:paraId="3FEEB0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联 系 人：</w:t>
      </w:r>
      <w:r>
        <w:rPr>
          <w:rFonts w:hint="eastAsia" w:ascii="宋体" w:hAnsi="宋体" w:cs="宋体"/>
          <w:color w:val="auto"/>
          <w:kern w:val="0"/>
          <w:sz w:val="21"/>
          <w:szCs w:val="21"/>
          <w:highlight w:val="none"/>
          <w:lang w:eastAsia="zh-CN" w:bidi="ar"/>
        </w:rPr>
        <w:t>孟宪玉</w:t>
      </w:r>
      <w:r>
        <w:rPr>
          <w:rFonts w:hint="eastAsia" w:ascii="宋体" w:hAnsi="宋体" w:eastAsia="宋体" w:cs="宋体"/>
          <w:color w:val="auto"/>
          <w:kern w:val="0"/>
          <w:sz w:val="21"/>
          <w:szCs w:val="21"/>
          <w:highlight w:val="none"/>
          <w:lang w:bidi="ar"/>
        </w:rPr>
        <w:t xml:space="preserve">  </w:t>
      </w:r>
    </w:p>
    <w:p w14:paraId="5B33548F">
      <w:pPr>
        <w:pStyle w:val="43"/>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电    话：</w:t>
      </w:r>
      <w:r>
        <w:rPr>
          <w:rFonts w:hint="eastAsia" w:ascii="宋体" w:hAnsi="宋体" w:eastAsia="宋体" w:cs="宋体"/>
          <w:color w:val="auto"/>
          <w:kern w:val="0"/>
          <w:sz w:val="21"/>
          <w:szCs w:val="21"/>
          <w:highlight w:val="none"/>
          <w:lang w:val="en-US" w:eastAsia="zh-CN" w:bidi="ar"/>
        </w:rPr>
        <w:t>13633710314</w:t>
      </w:r>
    </w:p>
    <w:p w14:paraId="079BB4C3">
      <w:pPr>
        <w:pStyle w:val="43"/>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14:paraId="4B7E113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项目</w:t>
      </w:r>
      <w:r>
        <w:rPr>
          <w:rFonts w:hint="eastAsia" w:ascii="宋体" w:hAnsi="宋体" w:eastAsia="宋体" w:cs="宋体"/>
          <w:color w:val="auto"/>
          <w:kern w:val="0"/>
          <w:sz w:val="21"/>
          <w:szCs w:val="21"/>
          <w:highlight w:val="none"/>
          <w:lang w:bidi="ar"/>
        </w:rPr>
        <w:t>联系人：</w:t>
      </w:r>
      <w:r>
        <w:rPr>
          <w:rFonts w:hint="eastAsia" w:ascii="宋体" w:hAnsi="宋体" w:cs="宋体"/>
          <w:color w:val="auto"/>
          <w:kern w:val="0"/>
          <w:sz w:val="21"/>
          <w:szCs w:val="21"/>
          <w:highlight w:val="none"/>
          <w:lang w:eastAsia="zh-CN" w:bidi="ar"/>
        </w:rPr>
        <w:t>孟宪玉</w:t>
      </w:r>
    </w:p>
    <w:p w14:paraId="255CC0B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电    话：</w:t>
      </w:r>
      <w:r>
        <w:rPr>
          <w:rFonts w:hint="eastAsia" w:ascii="宋体" w:hAnsi="宋体" w:eastAsia="宋体" w:cs="宋体"/>
          <w:color w:val="auto"/>
          <w:kern w:val="0"/>
          <w:sz w:val="21"/>
          <w:szCs w:val="21"/>
          <w:highlight w:val="none"/>
          <w:lang w:val="en-US" w:eastAsia="zh-CN" w:bidi="ar"/>
        </w:rPr>
        <w:t>13633710314</w:t>
      </w:r>
    </w:p>
    <w:p w14:paraId="3A28F87C">
      <w:pPr>
        <w:pStyle w:val="10"/>
        <w:spacing w:line="360" w:lineRule="auto"/>
        <w:ind w:firstLine="436" w:firstLineChars="200"/>
        <w:rPr>
          <w:rFonts w:hint="eastAsia" w:ascii="宋体" w:eastAsia="宋体" w:cs="宋体"/>
          <w:b w:val="0"/>
          <w:bCs w:val="0"/>
          <w:sz w:val="21"/>
          <w:szCs w:val="21"/>
          <w:highlight w:val="none"/>
          <w:lang w:eastAsia="zh-CN"/>
        </w:rPr>
      </w:pPr>
    </w:p>
    <w:p w14:paraId="408622B4">
      <w:pPr>
        <w:spacing w:line="360" w:lineRule="auto"/>
        <w:rPr>
          <w:rFonts w:hint="eastAsia" w:ascii="宋体" w:hAnsi="宋体" w:cs="宋体"/>
          <w:highlight w:val="none"/>
        </w:rPr>
      </w:pPr>
    </w:p>
    <w:p w14:paraId="5D3A11C5">
      <w:pPr>
        <w:pStyle w:val="2"/>
        <w:rPr>
          <w:rFonts w:hint="eastAsia" w:ascii="宋体" w:hAnsi="宋体" w:cs="宋体"/>
          <w:b/>
          <w:bCs/>
          <w:highlight w:val="none"/>
        </w:rPr>
      </w:pPr>
      <w:bookmarkStart w:id="11" w:name="_Toc757"/>
      <w:r>
        <w:rPr>
          <w:rFonts w:hint="eastAsia" w:ascii="宋体" w:hAnsi="宋体" w:cs="宋体"/>
          <w:b/>
          <w:bCs/>
          <w:highlight w:val="none"/>
        </w:rPr>
        <w:t>第二章 供应商须知</w:t>
      </w:r>
      <w:bookmarkEnd w:id="3"/>
      <w:bookmarkEnd w:id="4"/>
      <w:bookmarkEnd w:id="11"/>
    </w:p>
    <w:p w14:paraId="17C8A56F">
      <w:pPr>
        <w:pStyle w:val="3"/>
        <w:rPr>
          <w:rFonts w:hint="eastAsia" w:ascii="宋体" w:hAnsi="宋体" w:cs="宋体"/>
          <w:sz w:val="30"/>
          <w:szCs w:val="30"/>
          <w:highlight w:val="none"/>
        </w:rPr>
      </w:pPr>
      <w:bookmarkStart w:id="12" w:name="_Toc18496"/>
      <w:bookmarkStart w:id="13" w:name="_Toc19399"/>
      <w:bookmarkStart w:id="14" w:name="_Toc320521148"/>
      <w:bookmarkStart w:id="15" w:name="_Toc4965"/>
      <w:bookmarkStart w:id="16" w:name="_Toc5269840"/>
      <w:bookmarkStart w:id="17" w:name="_Toc23377"/>
      <w:bookmarkStart w:id="18" w:name="_Toc433093353"/>
      <w:bookmarkStart w:id="19" w:name="_Toc9693"/>
      <w:r>
        <w:rPr>
          <w:rFonts w:hint="eastAsia" w:ascii="宋体" w:hAnsi="宋体" w:cs="宋体"/>
          <w:sz w:val="30"/>
          <w:szCs w:val="30"/>
          <w:highlight w:val="none"/>
        </w:rPr>
        <w:t>供应商须知前附表</w:t>
      </w:r>
      <w:bookmarkEnd w:id="12"/>
      <w:bookmarkEnd w:id="13"/>
      <w:bookmarkEnd w:id="14"/>
      <w:bookmarkEnd w:id="15"/>
      <w:bookmarkEnd w:id="16"/>
      <w:bookmarkEnd w:id="17"/>
      <w:bookmarkEnd w:id="18"/>
      <w:bookmarkEnd w:id="19"/>
    </w:p>
    <w:tbl>
      <w:tblPr>
        <w:tblStyle w:val="2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280"/>
        <w:gridCol w:w="6515"/>
      </w:tblGrid>
      <w:tr w14:paraId="07D0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22967271">
            <w:pPr>
              <w:spacing w:line="360" w:lineRule="exact"/>
              <w:jc w:val="center"/>
              <w:rPr>
                <w:rFonts w:ascii="宋体" w:hAnsi="宋体" w:cs="宋体"/>
                <w:color w:val="auto"/>
                <w:szCs w:val="21"/>
                <w:highlight w:val="none"/>
              </w:rPr>
            </w:pPr>
            <w:bookmarkStart w:id="20" w:name="_Toc29830"/>
            <w:bookmarkStart w:id="21" w:name="_Toc17679"/>
            <w:bookmarkStart w:id="22" w:name="_Toc29926"/>
            <w:bookmarkStart w:id="23" w:name="_Toc5269841"/>
            <w:r>
              <w:rPr>
                <w:rFonts w:hint="eastAsia" w:ascii="宋体" w:hAnsi="宋体" w:cs="宋体"/>
                <w:color w:val="auto"/>
                <w:szCs w:val="21"/>
                <w:highlight w:val="none"/>
              </w:rPr>
              <w:t>条款号</w:t>
            </w:r>
          </w:p>
        </w:tc>
        <w:tc>
          <w:tcPr>
            <w:tcW w:w="2280" w:type="dxa"/>
            <w:tcBorders>
              <w:tl2br w:val="nil"/>
              <w:tr2bl w:val="nil"/>
            </w:tcBorders>
            <w:vAlign w:val="center"/>
          </w:tcPr>
          <w:p w14:paraId="1A0EEAC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515" w:type="dxa"/>
            <w:tcBorders>
              <w:tl2br w:val="nil"/>
              <w:tr2bl w:val="nil"/>
            </w:tcBorders>
            <w:vAlign w:val="center"/>
          </w:tcPr>
          <w:p w14:paraId="592C87D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2256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37" w:type="dxa"/>
            <w:tcBorders>
              <w:tl2br w:val="nil"/>
              <w:tr2bl w:val="nil"/>
            </w:tcBorders>
            <w:vAlign w:val="center"/>
          </w:tcPr>
          <w:p w14:paraId="7FEC5FDC">
            <w:pPr>
              <w:spacing w:line="360" w:lineRule="exact"/>
              <w:ind w:left="-86" w:leftChars="-41" w:firstLine="86" w:firstLineChars="41"/>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280" w:type="dxa"/>
            <w:tcBorders>
              <w:tl2br w:val="nil"/>
              <w:tr2bl w:val="nil"/>
            </w:tcBorders>
            <w:vAlign w:val="center"/>
          </w:tcPr>
          <w:p w14:paraId="53736E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6515" w:type="dxa"/>
            <w:tcBorders>
              <w:tl2br w:val="nil"/>
              <w:tr2bl w:val="nil"/>
            </w:tcBorders>
            <w:vAlign w:val="center"/>
          </w:tcPr>
          <w:p w14:paraId="4D7F45B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名</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称：荥阳市卫生健康委员会  </w:t>
            </w:r>
          </w:p>
          <w:p w14:paraId="6AFC625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    址：荥阳市荥泽大道与繁荣街交叉口往北200米路西</w:t>
            </w:r>
          </w:p>
          <w:p w14:paraId="733AAC4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 系 人：魏先生</w:t>
            </w:r>
          </w:p>
          <w:p w14:paraId="018DDEA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0371-64651125</w:t>
            </w:r>
          </w:p>
        </w:tc>
      </w:tr>
      <w:tr w14:paraId="28D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237" w:type="dxa"/>
            <w:tcBorders>
              <w:tl2br w:val="nil"/>
              <w:tr2bl w:val="nil"/>
            </w:tcBorders>
            <w:vAlign w:val="center"/>
          </w:tcPr>
          <w:p w14:paraId="6C4F2E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280" w:type="dxa"/>
            <w:tcBorders>
              <w:tl2br w:val="nil"/>
              <w:tr2bl w:val="nil"/>
            </w:tcBorders>
            <w:vAlign w:val="center"/>
          </w:tcPr>
          <w:p w14:paraId="7A03F3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515" w:type="dxa"/>
            <w:tcBorders>
              <w:tl2br w:val="nil"/>
              <w:tr2bl w:val="nil"/>
            </w:tcBorders>
            <w:vAlign w:val="center"/>
          </w:tcPr>
          <w:p w14:paraId="009EBC57">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招标代理机构：</w:t>
            </w:r>
            <w:r>
              <w:rPr>
                <w:rFonts w:hint="eastAsia" w:ascii="宋体" w:hAnsi="宋体" w:cs="宋体"/>
                <w:color w:val="auto"/>
                <w:szCs w:val="21"/>
                <w:highlight w:val="none"/>
                <w:lang w:eastAsia="zh-CN"/>
              </w:rPr>
              <w:t>河南天禹工程咨询有限公司</w:t>
            </w:r>
          </w:p>
          <w:p w14:paraId="777FCF57">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    址：</w:t>
            </w:r>
            <w:r>
              <w:rPr>
                <w:rFonts w:hint="eastAsia" w:ascii="宋体" w:hAnsi="宋体" w:cs="宋体"/>
                <w:color w:val="auto"/>
                <w:szCs w:val="21"/>
                <w:highlight w:val="none"/>
                <w:lang w:eastAsia="zh-CN"/>
              </w:rPr>
              <w:t>河南省郑州市玉凤路333号1号楼中和金水中心5层506</w:t>
            </w:r>
          </w:p>
          <w:p w14:paraId="65720368">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联 系 人：孟宪玉  </w:t>
            </w:r>
          </w:p>
          <w:p w14:paraId="1752DE9B">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电    话：13633710314</w:t>
            </w:r>
          </w:p>
        </w:tc>
      </w:tr>
      <w:tr w14:paraId="0A0C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B784D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280" w:type="dxa"/>
            <w:tcBorders>
              <w:tl2br w:val="nil"/>
              <w:tr2bl w:val="nil"/>
            </w:tcBorders>
            <w:vAlign w:val="center"/>
          </w:tcPr>
          <w:p w14:paraId="40D7ED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515" w:type="dxa"/>
            <w:tcBorders>
              <w:tl2br w:val="nil"/>
              <w:tr2bl w:val="nil"/>
            </w:tcBorders>
            <w:vAlign w:val="center"/>
          </w:tcPr>
          <w:p w14:paraId="3D925C9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荥阳市卫生健康委员会彩票公益金支持的医养结合建设项目（“郑州华卓医院（荥阳市东元颐养公寓）项目”和“荥阳市王村卫生院医养结合项目”）项目（设备购置）项目</w:t>
            </w:r>
          </w:p>
        </w:tc>
      </w:tr>
      <w:tr w14:paraId="4DB1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3FA37D0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280" w:type="dxa"/>
            <w:tcBorders>
              <w:tl2br w:val="nil"/>
              <w:tr2bl w:val="nil"/>
            </w:tcBorders>
            <w:vAlign w:val="center"/>
          </w:tcPr>
          <w:p w14:paraId="7D57F1F9">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供货及安装地点</w:t>
            </w:r>
          </w:p>
        </w:tc>
        <w:tc>
          <w:tcPr>
            <w:tcW w:w="6515" w:type="dxa"/>
            <w:tcBorders>
              <w:tl2br w:val="nil"/>
              <w:tr2bl w:val="nil"/>
            </w:tcBorders>
            <w:vAlign w:val="center"/>
          </w:tcPr>
          <w:p w14:paraId="52E8E669">
            <w:pPr>
              <w:spacing w:line="360" w:lineRule="auto"/>
              <w:rPr>
                <w:rFonts w:ascii="宋体" w:hAnsi="宋体" w:cs="宋体"/>
                <w:color w:val="auto"/>
                <w:szCs w:val="21"/>
                <w:highlight w:val="none"/>
              </w:rPr>
            </w:pPr>
            <w:r>
              <w:rPr>
                <w:rFonts w:hint="eastAsia" w:ascii="宋体" w:hAnsi="宋体" w:cs="宋体"/>
                <w:color w:val="auto"/>
                <w:szCs w:val="21"/>
                <w:highlight w:val="none"/>
              </w:rPr>
              <w:t>荥阳市境内</w:t>
            </w:r>
          </w:p>
        </w:tc>
      </w:tr>
      <w:tr w14:paraId="7B1B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4BEEC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280" w:type="dxa"/>
            <w:tcBorders>
              <w:tl2br w:val="nil"/>
              <w:tr2bl w:val="nil"/>
            </w:tcBorders>
            <w:vAlign w:val="center"/>
          </w:tcPr>
          <w:p w14:paraId="177F5F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515" w:type="dxa"/>
            <w:tcBorders>
              <w:tl2br w:val="nil"/>
              <w:tr2bl w:val="nil"/>
            </w:tcBorders>
            <w:vAlign w:val="center"/>
          </w:tcPr>
          <w:p w14:paraId="2E48EB8A">
            <w:pPr>
              <w:spacing w:line="360" w:lineRule="auto"/>
              <w:rPr>
                <w:rFonts w:ascii="宋体" w:hAnsi="宋体" w:cs="宋体"/>
                <w:color w:val="auto"/>
                <w:szCs w:val="21"/>
                <w:highlight w:val="none"/>
              </w:rPr>
            </w:pPr>
            <w:r>
              <w:rPr>
                <w:rFonts w:hint="eastAsia" w:ascii="宋体" w:hAnsi="宋体" w:cs="宋体"/>
                <w:color w:val="auto"/>
                <w:szCs w:val="21"/>
                <w:highlight w:val="none"/>
              </w:rPr>
              <w:t>财政资金</w:t>
            </w:r>
          </w:p>
        </w:tc>
      </w:tr>
      <w:tr w14:paraId="7E78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5495BD3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80" w:type="dxa"/>
            <w:tcBorders>
              <w:tl2br w:val="nil"/>
              <w:tr2bl w:val="nil"/>
            </w:tcBorders>
            <w:vAlign w:val="center"/>
          </w:tcPr>
          <w:p w14:paraId="0BCD2C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515" w:type="dxa"/>
            <w:tcBorders>
              <w:tl2br w:val="nil"/>
              <w:tr2bl w:val="nil"/>
            </w:tcBorders>
            <w:vAlign w:val="center"/>
          </w:tcPr>
          <w:p w14:paraId="25DC0F03">
            <w:pPr>
              <w:spacing w:line="360"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1CEF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7" w:type="dxa"/>
            <w:tcBorders>
              <w:tl2br w:val="nil"/>
              <w:tr2bl w:val="nil"/>
            </w:tcBorders>
            <w:vAlign w:val="center"/>
          </w:tcPr>
          <w:p w14:paraId="56671D5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280" w:type="dxa"/>
            <w:tcBorders>
              <w:tl2br w:val="nil"/>
              <w:tr2bl w:val="nil"/>
            </w:tcBorders>
            <w:vAlign w:val="center"/>
          </w:tcPr>
          <w:p w14:paraId="4D7B58A7">
            <w:pPr>
              <w:spacing w:line="240" w:lineRule="atLeas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采购内容</w:t>
            </w:r>
          </w:p>
        </w:tc>
        <w:tc>
          <w:tcPr>
            <w:tcW w:w="6515" w:type="dxa"/>
            <w:tcBorders>
              <w:tl2br w:val="nil"/>
              <w:tr2bl w:val="nil"/>
            </w:tcBorders>
            <w:vAlign w:val="center"/>
          </w:tcPr>
          <w:p w14:paraId="1692B538">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荥阳市卫生健康委员会彩票公益金支持的医养结合建设项目（“郑州华卓医院（荥阳市东元颐养公寓）项目”和“荥阳市王村卫生院医养结合项目”）项目（设备购置）项目</w:t>
            </w:r>
            <w:r>
              <w:rPr>
                <w:rFonts w:hint="eastAsia" w:ascii="宋体" w:hAnsi="宋体" w:eastAsia="宋体" w:cs="宋体"/>
                <w:b/>
                <w:bCs/>
                <w:i w:val="0"/>
                <w:iCs w:val="0"/>
                <w:color w:val="000000"/>
                <w:kern w:val="0"/>
                <w:sz w:val="21"/>
                <w:szCs w:val="21"/>
                <w:highlight w:val="none"/>
                <w:u w:val="none"/>
                <w:lang w:val="en-US" w:eastAsia="zh-CN" w:bidi="ar"/>
              </w:rPr>
              <w:t>一标段</w:t>
            </w:r>
            <w:r>
              <w:rPr>
                <w:rFonts w:hint="eastAsia" w:ascii="宋体" w:hAnsi="宋体" w:eastAsia="宋体" w:cs="宋体"/>
                <w:i w:val="0"/>
                <w:iCs w:val="0"/>
                <w:color w:val="000000"/>
                <w:kern w:val="0"/>
                <w:sz w:val="21"/>
                <w:szCs w:val="21"/>
                <w:highlight w:val="none"/>
                <w:u w:val="none"/>
                <w:lang w:val="en-US" w:eastAsia="zh-CN" w:bidi="ar"/>
              </w:rPr>
              <w:t>购买一批医疗设备（输液泵、注射泵、简易呼吸器、心电监护仪、简易呼吸器、心电监护仪、手动病床（双摇）、ABS抢救车、药品抢救车</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便携式吸痰器、医用等离子体空气消毒器、制氧机等）</w:t>
            </w:r>
          </w:p>
        </w:tc>
      </w:tr>
      <w:tr w14:paraId="5ED8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37" w:type="dxa"/>
            <w:tcBorders>
              <w:tl2br w:val="nil"/>
              <w:tr2bl w:val="nil"/>
            </w:tcBorders>
            <w:vAlign w:val="center"/>
          </w:tcPr>
          <w:p w14:paraId="36C8D44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280" w:type="dxa"/>
            <w:tcBorders>
              <w:tl2br w:val="nil"/>
              <w:tr2bl w:val="nil"/>
            </w:tcBorders>
            <w:vAlign w:val="center"/>
          </w:tcPr>
          <w:p w14:paraId="68236CD9">
            <w:pPr>
              <w:spacing w:line="240" w:lineRule="atLeas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供货安装调试期限</w:t>
            </w:r>
          </w:p>
        </w:tc>
        <w:tc>
          <w:tcPr>
            <w:tcW w:w="6515" w:type="dxa"/>
            <w:tcBorders>
              <w:tl2br w:val="nil"/>
              <w:tr2bl w:val="nil"/>
            </w:tcBorders>
            <w:vAlign w:val="center"/>
          </w:tcPr>
          <w:p w14:paraId="243D2187">
            <w:pPr>
              <w:spacing w:line="240" w:lineRule="atLeas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签订合同之日起30日历天</w:t>
            </w:r>
          </w:p>
        </w:tc>
      </w:tr>
      <w:tr w14:paraId="32AD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BD9FAA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280" w:type="dxa"/>
            <w:tcBorders>
              <w:tl2br w:val="nil"/>
              <w:tr2bl w:val="nil"/>
            </w:tcBorders>
            <w:vAlign w:val="center"/>
          </w:tcPr>
          <w:p w14:paraId="17A9F91C">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515" w:type="dxa"/>
            <w:tcBorders>
              <w:tl2br w:val="nil"/>
              <w:tr2bl w:val="nil"/>
            </w:tcBorders>
            <w:vAlign w:val="center"/>
          </w:tcPr>
          <w:p w14:paraId="44048C63">
            <w:pPr>
              <w:spacing w:line="240" w:lineRule="atLeast"/>
              <w:rPr>
                <w:rFonts w:ascii="宋体" w:hAnsi="宋体" w:cs="宋体"/>
                <w:color w:val="auto"/>
                <w:szCs w:val="21"/>
                <w:highlight w:val="none"/>
              </w:rPr>
            </w:pPr>
            <w:r>
              <w:rPr>
                <w:rFonts w:hint="eastAsia" w:ascii="宋体" w:hAnsi="宋体" w:cs="宋体"/>
                <w:bCs/>
                <w:color w:val="auto"/>
                <w:szCs w:val="21"/>
                <w:highlight w:val="none"/>
              </w:rPr>
              <w:t>符合国家或行业规定的合格标准，满足采购人提出的技术标准及要求</w:t>
            </w:r>
          </w:p>
        </w:tc>
      </w:tr>
      <w:tr w14:paraId="62D7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237" w:type="dxa"/>
            <w:tcBorders>
              <w:tl2br w:val="nil"/>
              <w:tr2bl w:val="nil"/>
            </w:tcBorders>
            <w:vAlign w:val="center"/>
          </w:tcPr>
          <w:p w14:paraId="193FF3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280" w:type="dxa"/>
            <w:tcBorders>
              <w:tl2br w:val="nil"/>
              <w:tr2bl w:val="nil"/>
            </w:tcBorders>
            <w:vAlign w:val="center"/>
          </w:tcPr>
          <w:p w14:paraId="30C0F3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申请人的资格要求</w:t>
            </w:r>
          </w:p>
        </w:tc>
        <w:tc>
          <w:tcPr>
            <w:tcW w:w="6515" w:type="dxa"/>
            <w:tcBorders>
              <w:tl2br w:val="nil"/>
              <w:tr2bl w:val="nil"/>
            </w:tcBorders>
            <w:vAlign w:val="center"/>
          </w:tcPr>
          <w:p w14:paraId="2DED4871">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2CBC02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0FC787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433ED5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6B046F8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w:t>
            </w:r>
          </w:p>
          <w:p w14:paraId="67BA767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（5）参加政府采购活动前三年内，在经营活动中没有重大违法记录（供应商需出具承诺书，格式自拟）。</w:t>
            </w:r>
          </w:p>
          <w:p w14:paraId="77E97E28">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w:t>
            </w:r>
            <w:r>
              <w:rPr>
                <w:rFonts w:hint="eastAsia" w:ascii="宋体" w:hAnsi="宋体" w:cs="宋体"/>
                <w:color w:val="auto"/>
                <w:kern w:val="2"/>
                <w:sz w:val="21"/>
                <w:szCs w:val="21"/>
                <w:highlight w:val="none"/>
                <w:lang w:eastAsia="zh-CN"/>
              </w:rPr>
              <w:t>执行</w:t>
            </w:r>
            <w:r>
              <w:rPr>
                <w:rFonts w:hint="eastAsia" w:ascii="宋体" w:hAnsi="宋体" w:cs="宋体"/>
                <w:color w:val="auto"/>
                <w:kern w:val="2"/>
                <w:sz w:val="21"/>
                <w:szCs w:val="21"/>
                <w:highlight w:val="none"/>
              </w:rPr>
              <w:t>落实促进中小型企业发展政策（监狱企业、残疾人福利性企业视同小微企业），优先采购节能环保产品，政府强制采购节能产品等。</w:t>
            </w:r>
          </w:p>
          <w:p w14:paraId="61075E6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37D9B81F">
            <w:pPr>
              <w:pStyle w:val="6"/>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一标段：</w:t>
            </w:r>
          </w:p>
          <w:p w14:paraId="317CEBA9">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14:paraId="0D51667C">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医疗产品需提供医疗器械经营许可证或医疗器械经营备案凭证；供应商若为制造商，须具有监督管理部门颁发的《医疗器械生产企业许可证》；若为代理商，须具有监督管理部门颁发的《医疗器械经营许可证》或《医疗器械经营备案凭证》；</w:t>
            </w:r>
          </w:p>
          <w:p w14:paraId="3CF8AD93">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w:t>
            </w:r>
            <w:r>
              <w:rPr>
                <w:rFonts w:hint="eastAsia" w:ascii="宋体" w:hAnsi="宋体" w:cs="宋体"/>
                <w:color w:val="333333"/>
                <w:kern w:val="0"/>
                <w:szCs w:val="21"/>
                <w:highlight w:val="none"/>
                <w:lang w:eastAsia="zh-CN" w:bidi="ar"/>
              </w:rPr>
              <w:t>根据需要</w:t>
            </w:r>
            <w:r>
              <w:rPr>
                <w:rFonts w:hint="eastAsia" w:ascii="宋体" w:hAnsi="宋体" w:cs="宋体"/>
                <w:color w:val="333333"/>
                <w:kern w:val="0"/>
                <w:szCs w:val="21"/>
                <w:highlight w:val="none"/>
                <w:lang w:bidi="ar"/>
              </w:rPr>
              <w:t>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14:paraId="625AF252">
            <w:pPr>
              <w:pStyle w:val="25"/>
              <w:spacing w:line="360" w:lineRule="auto"/>
              <w:ind w:left="0" w:leftChars="0" w:firstLine="420"/>
              <w:rPr>
                <w:rFonts w:ascii="宋体" w:hAnsi="宋体" w:cs="宋体"/>
                <w:bCs/>
                <w:i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w:t>
            </w:r>
            <w:r>
              <w:rPr>
                <w:rFonts w:hint="eastAsia" w:ascii="宋体" w:hAnsi="宋体" w:cs="宋体"/>
                <w:color w:val="auto"/>
                <w:szCs w:val="21"/>
                <w:highlight w:val="none"/>
                <w:lang w:val="en-US" w:eastAsia="zh-CN"/>
              </w:rPr>
              <w:t>本公告发布日期之后投标截止日期之前</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w:t>
            </w:r>
          </w:p>
        </w:tc>
      </w:tr>
      <w:tr w14:paraId="641A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66EB53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280" w:type="dxa"/>
            <w:tcBorders>
              <w:tl2br w:val="nil"/>
              <w:tr2bl w:val="nil"/>
            </w:tcBorders>
            <w:vAlign w:val="center"/>
          </w:tcPr>
          <w:p w14:paraId="60E7A0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是否接受联合体</w:t>
            </w:r>
          </w:p>
        </w:tc>
        <w:tc>
          <w:tcPr>
            <w:tcW w:w="6515" w:type="dxa"/>
            <w:tcBorders>
              <w:tl2br w:val="nil"/>
              <w:tr2bl w:val="nil"/>
            </w:tcBorders>
            <w:vAlign w:val="center"/>
          </w:tcPr>
          <w:p w14:paraId="1DD08144">
            <w:pPr>
              <w:spacing w:line="240" w:lineRule="atLeast"/>
              <w:rPr>
                <w:rFonts w:ascii="宋体" w:hAnsi="宋体" w:cs="宋体"/>
                <w:color w:val="auto"/>
                <w:szCs w:val="21"/>
                <w:highlight w:val="none"/>
              </w:rPr>
            </w:pPr>
            <w:r>
              <w:rPr>
                <w:rFonts w:hint="eastAsia" w:ascii="宋体" w:hAnsi="宋体" w:cs="宋体"/>
                <w:color w:val="auto"/>
                <w:szCs w:val="21"/>
                <w:highlight w:val="none"/>
              </w:rPr>
              <w:t>不接受</w:t>
            </w:r>
          </w:p>
        </w:tc>
      </w:tr>
      <w:tr w14:paraId="1948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0FB0B1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80" w:type="dxa"/>
            <w:tcBorders>
              <w:tl2br w:val="nil"/>
              <w:tr2bl w:val="nil"/>
            </w:tcBorders>
            <w:vAlign w:val="center"/>
          </w:tcPr>
          <w:p w14:paraId="2BC8624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515" w:type="dxa"/>
            <w:tcBorders>
              <w:tl2br w:val="nil"/>
              <w:tr2bl w:val="nil"/>
            </w:tcBorders>
            <w:vAlign w:val="center"/>
          </w:tcPr>
          <w:p w14:paraId="522A9B2C">
            <w:pPr>
              <w:spacing w:line="240" w:lineRule="atLeast"/>
              <w:rPr>
                <w:rFonts w:ascii="宋体" w:hAnsi="宋体" w:cs="宋体"/>
                <w:color w:val="auto"/>
                <w:szCs w:val="21"/>
                <w:highlight w:val="none"/>
                <w:u w:val="single"/>
              </w:rPr>
            </w:pPr>
            <w:r>
              <w:rPr>
                <w:rFonts w:hint="eastAsia" w:ascii="宋体" w:hAnsi="宋体" w:cs="宋体"/>
                <w:color w:val="auto"/>
                <w:szCs w:val="21"/>
                <w:highlight w:val="none"/>
              </w:rPr>
              <w:t>不组织</w:t>
            </w:r>
          </w:p>
        </w:tc>
      </w:tr>
      <w:tr w14:paraId="678D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654030B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2280" w:type="dxa"/>
            <w:tcBorders>
              <w:tl2br w:val="nil"/>
              <w:tr2bl w:val="nil"/>
            </w:tcBorders>
            <w:vAlign w:val="center"/>
          </w:tcPr>
          <w:p w14:paraId="71FDF1A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515" w:type="dxa"/>
            <w:tcBorders>
              <w:tl2br w:val="nil"/>
              <w:tr2bl w:val="nil"/>
            </w:tcBorders>
            <w:vAlign w:val="center"/>
          </w:tcPr>
          <w:p w14:paraId="0920E58B">
            <w:pPr>
              <w:spacing w:line="240" w:lineRule="atLeast"/>
              <w:rPr>
                <w:rFonts w:ascii="宋体" w:hAnsi="宋体" w:cs="宋体"/>
                <w:color w:val="auto"/>
                <w:szCs w:val="21"/>
                <w:highlight w:val="none"/>
              </w:rPr>
            </w:pPr>
            <w:r>
              <w:rPr>
                <w:rFonts w:hint="eastAsia" w:ascii="宋体" w:hAnsi="宋体" w:cs="宋体"/>
                <w:color w:val="auto"/>
                <w:szCs w:val="21"/>
                <w:highlight w:val="none"/>
              </w:rPr>
              <w:t>不召开</w:t>
            </w:r>
          </w:p>
        </w:tc>
      </w:tr>
      <w:tr w14:paraId="0C15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5B4AEF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80" w:type="dxa"/>
            <w:tcBorders>
              <w:tl2br w:val="nil"/>
              <w:tr2bl w:val="nil"/>
            </w:tcBorders>
            <w:vAlign w:val="center"/>
          </w:tcPr>
          <w:p w14:paraId="4D002F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6515" w:type="dxa"/>
            <w:tcBorders>
              <w:tl2br w:val="nil"/>
              <w:tr2bl w:val="nil"/>
            </w:tcBorders>
            <w:vAlign w:val="center"/>
          </w:tcPr>
          <w:p w14:paraId="01020C0C">
            <w:pPr>
              <w:spacing w:line="360" w:lineRule="auto"/>
              <w:rPr>
                <w:rFonts w:ascii="宋体" w:hAnsi="宋体" w:cs="宋体"/>
                <w:color w:val="auto"/>
                <w:szCs w:val="21"/>
                <w:highlight w:val="none"/>
              </w:rPr>
            </w:pPr>
            <w:r>
              <w:rPr>
                <w:rFonts w:hint="eastAsia" w:ascii="宋体" w:hAnsi="宋体" w:cs="宋体"/>
                <w:color w:val="auto"/>
                <w:szCs w:val="21"/>
                <w:highlight w:val="none"/>
              </w:rPr>
              <w:t>补充、答疑文件（如有）</w:t>
            </w:r>
          </w:p>
        </w:tc>
      </w:tr>
      <w:tr w14:paraId="30A1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2D932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280" w:type="dxa"/>
            <w:tcBorders>
              <w:tl2br w:val="nil"/>
              <w:tr2bl w:val="nil"/>
            </w:tcBorders>
            <w:vAlign w:val="center"/>
          </w:tcPr>
          <w:p w14:paraId="2FA244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供应商要求澄清</w:t>
            </w:r>
          </w:p>
          <w:p w14:paraId="654846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磋商文件的截止时间</w:t>
            </w:r>
          </w:p>
        </w:tc>
        <w:tc>
          <w:tcPr>
            <w:tcW w:w="6515" w:type="dxa"/>
            <w:tcBorders>
              <w:tl2br w:val="nil"/>
              <w:tr2bl w:val="nil"/>
            </w:tcBorders>
            <w:vAlign w:val="center"/>
          </w:tcPr>
          <w:p w14:paraId="1D682271">
            <w:pPr>
              <w:spacing w:line="360" w:lineRule="auto"/>
              <w:rPr>
                <w:rFonts w:ascii="宋体" w:hAnsi="宋体" w:cs="宋体"/>
                <w:color w:val="auto"/>
                <w:szCs w:val="21"/>
                <w:highlight w:val="none"/>
              </w:rPr>
            </w:pPr>
            <w:r>
              <w:rPr>
                <w:rFonts w:hint="eastAsia" w:ascii="宋体" w:hAnsi="宋体" w:cs="宋体"/>
                <w:color w:val="auto"/>
                <w:szCs w:val="21"/>
                <w:highlight w:val="none"/>
              </w:rPr>
              <w:t>磋商截止时间五日前</w:t>
            </w:r>
          </w:p>
        </w:tc>
      </w:tr>
      <w:tr w14:paraId="6BC2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6D861B4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280" w:type="dxa"/>
            <w:tcBorders>
              <w:tl2br w:val="nil"/>
              <w:tr2bl w:val="nil"/>
            </w:tcBorders>
            <w:vAlign w:val="center"/>
          </w:tcPr>
          <w:p w14:paraId="69E12C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提交响应文件截止时间及磋商开始时间</w:t>
            </w:r>
          </w:p>
        </w:tc>
        <w:tc>
          <w:tcPr>
            <w:tcW w:w="6515" w:type="dxa"/>
            <w:tcBorders>
              <w:tl2br w:val="nil"/>
              <w:tr2bl w:val="nil"/>
            </w:tcBorders>
            <w:vAlign w:val="center"/>
          </w:tcPr>
          <w:p w14:paraId="39A5843B">
            <w:pPr>
              <w:spacing w:line="360" w:lineRule="auto"/>
              <w:rPr>
                <w:rFonts w:ascii="宋体" w:hAnsi="宋体" w:cs="宋体"/>
                <w:b/>
                <w:color w:val="auto"/>
                <w:szCs w:val="21"/>
                <w:highlight w:val="none"/>
              </w:rPr>
            </w:pPr>
            <w:r>
              <w:rPr>
                <w:rFonts w:hint="eastAsia" w:ascii="宋体" w:hAnsi="宋体" w:cs="宋体"/>
                <w:b/>
                <w:color w:val="auto"/>
                <w:szCs w:val="21"/>
                <w:highlight w:val="none"/>
              </w:rPr>
              <w:t>2025年</w:t>
            </w:r>
            <w:r>
              <w:rPr>
                <w:rFonts w:hint="eastAsia" w:ascii="宋体" w:hAnsi="宋体" w:cs="宋体"/>
                <w:b/>
                <w:color w:val="auto"/>
                <w:szCs w:val="21"/>
                <w:highlight w:val="none"/>
                <w:lang w:val="en-US" w:eastAsia="zh-CN"/>
              </w:rPr>
              <w:t>09</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29</w:t>
            </w:r>
            <w:r>
              <w:rPr>
                <w:rFonts w:hint="eastAsia" w:ascii="宋体" w:hAnsi="宋体" w:cs="宋体"/>
                <w:b/>
                <w:color w:val="auto"/>
                <w:szCs w:val="21"/>
                <w:highlight w:val="none"/>
              </w:rPr>
              <w:t>日</w:t>
            </w:r>
            <w:r>
              <w:rPr>
                <w:rFonts w:hint="eastAsia" w:ascii="宋体" w:hAnsi="宋体" w:eastAsia="Times New Roman" w:cs="宋体"/>
                <w:b/>
                <w:color w:val="auto"/>
                <w:szCs w:val="21"/>
                <w:highlight w:val="none"/>
              </w:rPr>
              <w:t>9</w:t>
            </w:r>
            <w:r>
              <w:rPr>
                <w:rFonts w:hint="eastAsia" w:ascii="宋体" w:hAnsi="宋体" w:cs="宋体"/>
                <w:b/>
                <w:color w:val="auto"/>
                <w:szCs w:val="21"/>
                <w:highlight w:val="none"/>
              </w:rPr>
              <w:t>时</w:t>
            </w:r>
            <w:r>
              <w:rPr>
                <w:rFonts w:hint="eastAsia" w:ascii="宋体" w:hAnsi="宋体" w:cs="宋体"/>
                <w:b/>
                <w:color w:val="auto"/>
                <w:szCs w:val="21"/>
                <w:highlight w:val="none"/>
                <w:lang w:val="en-US" w:eastAsia="zh-CN"/>
              </w:rPr>
              <w:t>00</w:t>
            </w:r>
            <w:r>
              <w:rPr>
                <w:rFonts w:hint="eastAsia" w:ascii="宋体" w:hAnsi="宋体" w:cs="宋体"/>
                <w:b/>
                <w:color w:val="auto"/>
                <w:szCs w:val="21"/>
                <w:highlight w:val="none"/>
              </w:rPr>
              <w:t>分（北京时间，下同）</w:t>
            </w:r>
          </w:p>
        </w:tc>
      </w:tr>
      <w:tr w14:paraId="0FE8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412FACD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280" w:type="dxa"/>
            <w:tcBorders>
              <w:tl2br w:val="nil"/>
              <w:tr2bl w:val="nil"/>
            </w:tcBorders>
            <w:vAlign w:val="center"/>
          </w:tcPr>
          <w:p w14:paraId="234CA6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w:t>
            </w:r>
          </w:p>
          <w:p w14:paraId="70C930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磋商文件澄清的时间</w:t>
            </w:r>
          </w:p>
        </w:tc>
        <w:tc>
          <w:tcPr>
            <w:tcW w:w="6515" w:type="dxa"/>
            <w:tcBorders>
              <w:tl2br w:val="nil"/>
              <w:tr2bl w:val="nil"/>
            </w:tcBorders>
            <w:vAlign w:val="center"/>
          </w:tcPr>
          <w:p w14:paraId="11CDC24C">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在收到相应澄清文件后24小时内</w:t>
            </w:r>
          </w:p>
        </w:tc>
      </w:tr>
      <w:tr w14:paraId="1FF8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360A7EE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280" w:type="dxa"/>
            <w:tcBorders>
              <w:tl2br w:val="nil"/>
              <w:tr2bl w:val="nil"/>
            </w:tcBorders>
            <w:vAlign w:val="center"/>
          </w:tcPr>
          <w:p w14:paraId="58A5F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w:t>
            </w:r>
          </w:p>
          <w:p w14:paraId="78411B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磋商文件修改的时间</w:t>
            </w:r>
          </w:p>
        </w:tc>
        <w:tc>
          <w:tcPr>
            <w:tcW w:w="6515" w:type="dxa"/>
            <w:tcBorders>
              <w:tl2br w:val="nil"/>
              <w:tr2bl w:val="nil"/>
            </w:tcBorders>
            <w:vAlign w:val="center"/>
          </w:tcPr>
          <w:p w14:paraId="5706AFE6">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在收到相应修改文件后24小时内</w:t>
            </w:r>
          </w:p>
        </w:tc>
      </w:tr>
      <w:tr w14:paraId="7CB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AB00DC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280" w:type="dxa"/>
            <w:tcBorders>
              <w:tl2br w:val="nil"/>
              <w:tr2bl w:val="nil"/>
            </w:tcBorders>
            <w:vAlign w:val="center"/>
          </w:tcPr>
          <w:p w14:paraId="1F6F04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构成磋商响应文件的其他材料</w:t>
            </w:r>
          </w:p>
        </w:tc>
        <w:tc>
          <w:tcPr>
            <w:tcW w:w="6515" w:type="dxa"/>
            <w:tcBorders>
              <w:tl2br w:val="nil"/>
              <w:tr2bl w:val="nil"/>
            </w:tcBorders>
            <w:vAlign w:val="center"/>
          </w:tcPr>
          <w:p w14:paraId="490F584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磋商文件中要求提交的其他资料以及供应商认为有利于其投标的其他资料。 </w:t>
            </w:r>
          </w:p>
        </w:tc>
      </w:tr>
      <w:tr w14:paraId="48E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6962DB4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280" w:type="dxa"/>
            <w:tcBorders>
              <w:tl2br w:val="nil"/>
              <w:tr2bl w:val="nil"/>
            </w:tcBorders>
            <w:vAlign w:val="center"/>
          </w:tcPr>
          <w:p w14:paraId="518D6C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磋商报价</w:t>
            </w:r>
          </w:p>
        </w:tc>
        <w:tc>
          <w:tcPr>
            <w:tcW w:w="6515" w:type="dxa"/>
            <w:tcBorders>
              <w:tl2br w:val="nil"/>
              <w:tr2bl w:val="nil"/>
            </w:tcBorders>
            <w:vAlign w:val="center"/>
          </w:tcPr>
          <w:p w14:paraId="03E05A33">
            <w:pPr>
              <w:spacing w:line="360" w:lineRule="auto"/>
              <w:rPr>
                <w:rFonts w:ascii="宋体" w:hAnsi="宋体" w:cs="宋体"/>
                <w:color w:val="auto"/>
                <w:szCs w:val="21"/>
                <w:highlight w:val="none"/>
              </w:rPr>
            </w:pPr>
            <w:r>
              <w:rPr>
                <w:rFonts w:hint="eastAsia" w:ascii="宋体" w:hAnsi="宋体" w:cs="宋体"/>
                <w:color w:val="auto"/>
                <w:szCs w:val="21"/>
                <w:highlight w:val="none"/>
              </w:rPr>
              <w:t>供应商在应当在竞争性谈判文件确定的</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截止时间前,准时到达</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地点参加</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活动并进行文件解密、答疑澄清、二次报价等，逾期送达的响应文件，采购人不予受理。</w:t>
            </w:r>
          </w:p>
        </w:tc>
      </w:tr>
      <w:tr w14:paraId="4BE1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tcBorders>
              <w:tl2br w:val="nil"/>
              <w:tr2bl w:val="nil"/>
            </w:tcBorders>
            <w:vAlign w:val="center"/>
          </w:tcPr>
          <w:p w14:paraId="6A7414B2">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3.2.3</w:t>
            </w:r>
          </w:p>
        </w:tc>
        <w:tc>
          <w:tcPr>
            <w:tcW w:w="2280" w:type="dxa"/>
            <w:tcBorders>
              <w:tl2br w:val="nil"/>
              <w:tr2bl w:val="nil"/>
            </w:tcBorders>
            <w:vAlign w:val="center"/>
          </w:tcPr>
          <w:p w14:paraId="7CE8C326">
            <w:pPr>
              <w:spacing w:line="360" w:lineRule="auto"/>
              <w:jc w:val="center"/>
              <w:rPr>
                <w:rFonts w:hint="eastAsia" w:ascii="宋体" w:hAnsi="宋体" w:cs="宋体"/>
                <w:color w:val="auto"/>
                <w:szCs w:val="21"/>
                <w:highlight w:val="none"/>
              </w:rPr>
            </w:pPr>
            <w:r>
              <w:rPr>
                <w:rFonts w:hint="eastAsia" w:ascii="宋体" w:hAnsi="宋体" w:cs="宋体"/>
                <w:szCs w:val="21"/>
                <w:highlight w:val="none"/>
              </w:rPr>
              <w:t>中小型企业产品价格扣除</w:t>
            </w:r>
          </w:p>
        </w:tc>
        <w:tc>
          <w:tcPr>
            <w:tcW w:w="6515" w:type="dxa"/>
            <w:tcBorders>
              <w:tl2br w:val="nil"/>
              <w:tr2bl w:val="nil"/>
            </w:tcBorders>
            <w:vAlign w:val="center"/>
          </w:tcPr>
          <w:p w14:paraId="05C1C88E">
            <w:pPr>
              <w:pStyle w:val="25"/>
              <w:spacing w:line="360" w:lineRule="auto"/>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lang w:eastAsia="zh-CN"/>
              </w:rPr>
              <w:t>按照《财政部 关于印发&lt;政府采购促进中小企业发展管理办法&gt;的通知》(财库〔2020〕46号)要求》规定，本项目预留采购份额无法确保充分供应、充分竞争，或者存在可能影响政府采购目标实现的情形;因此本项目不专门面向中小企业。对于小型、微型企业的具体评标价格扣除，均按财库〔2022〕19号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14:paraId="49FA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1F4D54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280" w:type="dxa"/>
            <w:tcBorders>
              <w:tl2br w:val="nil"/>
              <w:tr2bl w:val="nil"/>
            </w:tcBorders>
            <w:vAlign w:val="center"/>
          </w:tcPr>
          <w:p w14:paraId="6F8F8E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6515" w:type="dxa"/>
            <w:tcBorders>
              <w:tl2br w:val="nil"/>
              <w:tr2bl w:val="nil"/>
            </w:tcBorders>
            <w:vAlign w:val="center"/>
          </w:tcPr>
          <w:p w14:paraId="528649A3">
            <w:pPr>
              <w:spacing w:line="360" w:lineRule="auto"/>
              <w:rPr>
                <w:rFonts w:ascii="宋体" w:hAnsi="宋体" w:cs="宋体"/>
                <w:color w:val="auto"/>
                <w:szCs w:val="21"/>
                <w:highlight w:val="none"/>
              </w:rPr>
            </w:pPr>
            <w:r>
              <w:rPr>
                <w:rFonts w:hint="eastAsia" w:ascii="宋体" w:hAnsi="宋体" w:cs="宋体"/>
                <w:color w:val="auto"/>
                <w:szCs w:val="21"/>
                <w:highlight w:val="none"/>
              </w:rPr>
              <w:t>自响应文件递交的截止时间起计算</w:t>
            </w:r>
            <w:r>
              <w:rPr>
                <w:rFonts w:hint="eastAsia" w:ascii="宋体" w:hAnsi="宋体" w:cs="宋体"/>
                <w:color w:val="auto"/>
                <w:szCs w:val="21"/>
                <w:highlight w:val="none"/>
                <w:u w:val="single"/>
              </w:rPr>
              <w:t>60</w:t>
            </w:r>
            <w:r>
              <w:rPr>
                <w:rFonts w:hint="eastAsia" w:ascii="宋体" w:hAnsi="宋体" w:cs="宋体"/>
                <w:color w:val="auto"/>
                <w:szCs w:val="21"/>
                <w:highlight w:val="none"/>
              </w:rPr>
              <w:t>日历天</w:t>
            </w:r>
          </w:p>
        </w:tc>
      </w:tr>
      <w:tr w14:paraId="04E8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30DD8E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2280" w:type="dxa"/>
            <w:tcBorders>
              <w:tl2br w:val="nil"/>
              <w:tr2bl w:val="nil"/>
            </w:tcBorders>
            <w:vAlign w:val="center"/>
          </w:tcPr>
          <w:p w14:paraId="4FDF2B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w:t>
            </w:r>
          </w:p>
          <w:p w14:paraId="176B74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备选磋商方案</w:t>
            </w:r>
          </w:p>
        </w:tc>
        <w:tc>
          <w:tcPr>
            <w:tcW w:w="6515" w:type="dxa"/>
            <w:tcBorders>
              <w:tl2br w:val="nil"/>
              <w:tr2bl w:val="nil"/>
            </w:tcBorders>
            <w:vAlign w:val="center"/>
          </w:tcPr>
          <w:p w14:paraId="007E878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不允许</w:t>
            </w:r>
          </w:p>
        </w:tc>
      </w:tr>
      <w:tr w14:paraId="3A4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355ABAB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3.6.3</w:t>
            </w:r>
          </w:p>
        </w:tc>
        <w:tc>
          <w:tcPr>
            <w:tcW w:w="2280" w:type="dxa"/>
            <w:tcBorders>
              <w:tl2br w:val="nil"/>
              <w:tr2bl w:val="nil"/>
            </w:tcBorders>
            <w:vAlign w:val="center"/>
          </w:tcPr>
          <w:p w14:paraId="795504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签字和盖章要求</w:t>
            </w:r>
          </w:p>
        </w:tc>
        <w:tc>
          <w:tcPr>
            <w:tcW w:w="6515" w:type="dxa"/>
            <w:tcBorders>
              <w:tl2br w:val="nil"/>
              <w:tr2bl w:val="nil"/>
            </w:tcBorders>
            <w:vAlign w:val="center"/>
          </w:tcPr>
          <w:p w14:paraId="61643ED0">
            <w:pPr>
              <w:spacing w:line="360" w:lineRule="auto"/>
              <w:rPr>
                <w:rFonts w:ascii="宋体" w:hAnsi="宋体" w:cs="宋体"/>
                <w:color w:val="auto"/>
                <w:szCs w:val="21"/>
                <w:highlight w:val="none"/>
              </w:rPr>
            </w:pPr>
            <w:r>
              <w:rPr>
                <w:rFonts w:hint="eastAsia" w:ascii="宋体" w:hAnsi="宋体" w:cs="宋体"/>
                <w:color w:val="auto"/>
                <w:szCs w:val="21"/>
                <w:highlight w:val="none"/>
              </w:rPr>
              <w:t>见</w:t>
            </w:r>
            <w:r>
              <w:rPr>
                <w:rFonts w:hint="eastAsia" w:ascii="宋体" w:hAnsi="宋体" w:eastAsia="Times New Roman" w:cs="宋体"/>
                <w:color w:val="auto"/>
                <w:szCs w:val="21"/>
                <w:highlight w:val="none"/>
              </w:rPr>
              <w:t>磋商响应文件</w:t>
            </w:r>
            <w:r>
              <w:rPr>
                <w:rFonts w:hint="eastAsia" w:ascii="宋体" w:hAnsi="宋体" w:cs="宋体"/>
                <w:color w:val="auto"/>
                <w:szCs w:val="21"/>
                <w:highlight w:val="none"/>
              </w:rPr>
              <w:t>的格式要求</w:t>
            </w:r>
          </w:p>
        </w:tc>
      </w:tr>
      <w:tr w14:paraId="148F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CF4331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w:t>
            </w:r>
          </w:p>
        </w:tc>
        <w:tc>
          <w:tcPr>
            <w:tcW w:w="2280" w:type="dxa"/>
            <w:tcBorders>
              <w:tl2br w:val="nil"/>
              <w:tr2bl w:val="nil"/>
            </w:tcBorders>
            <w:vAlign w:val="center"/>
          </w:tcPr>
          <w:p w14:paraId="1A34F0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递交磋商响应文件</w:t>
            </w:r>
          </w:p>
          <w:p w14:paraId="0BD1EC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地点</w:t>
            </w:r>
          </w:p>
        </w:tc>
        <w:tc>
          <w:tcPr>
            <w:tcW w:w="6515" w:type="dxa"/>
            <w:tcBorders>
              <w:tl2br w:val="nil"/>
              <w:tr2bl w:val="nil"/>
            </w:tcBorders>
            <w:vAlign w:val="center"/>
          </w:tcPr>
          <w:p w14:paraId="4DCE5750">
            <w:pPr>
              <w:spacing w:line="360" w:lineRule="auto"/>
              <w:rPr>
                <w:rFonts w:ascii="宋体" w:hAnsi="宋体" w:cs="宋体"/>
                <w:color w:val="auto"/>
                <w:szCs w:val="21"/>
                <w:highlight w:val="none"/>
              </w:rPr>
            </w:pPr>
            <w:r>
              <w:rPr>
                <w:rFonts w:hint="eastAsia" w:ascii="宋体" w:hAnsi="宋体" w:eastAsia="Times New Roman" w:cs="宋体"/>
                <w:bCs/>
                <w:color w:val="auto"/>
                <w:szCs w:val="21"/>
                <w:highlight w:val="none"/>
              </w:rPr>
              <w:t>递交地点：</w:t>
            </w:r>
            <w:r>
              <w:rPr>
                <w:rFonts w:hint="eastAsia" w:ascii="宋体" w:hAnsi="宋体" w:cs="宋体"/>
                <w:bCs/>
                <w:color w:val="auto"/>
                <w:szCs w:val="21"/>
                <w:highlight w:val="none"/>
              </w:rPr>
              <w:t>荥阳市公共资源交易中心</w:t>
            </w:r>
            <w:r>
              <w:rPr>
                <w:rFonts w:hint="eastAsia" w:ascii="宋体" w:hAnsi="宋体" w:eastAsia="Times New Roman" w:cs="宋体"/>
                <w:bCs/>
                <w:color w:val="auto"/>
                <w:szCs w:val="21"/>
                <w:highlight w:val="none"/>
              </w:rPr>
              <w:t>平台</w:t>
            </w:r>
          </w:p>
        </w:tc>
      </w:tr>
      <w:tr w14:paraId="4E35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4631102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280" w:type="dxa"/>
            <w:tcBorders>
              <w:tl2br w:val="nil"/>
              <w:tr2bl w:val="nil"/>
            </w:tcBorders>
            <w:vAlign w:val="center"/>
          </w:tcPr>
          <w:p w14:paraId="247C2B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是否退还磋商</w:t>
            </w:r>
          </w:p>
          <w:p w14:paraId="2FCCBB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6515" w:type="dxa"/>
            <w:tcBorders>
              <w:tl2br w:val="nil"/>
              <w:tr2bl w:val="nil"/>
            </w:tcBorders>
            <w:vAlign w:val="center"/>
          </w:tcPr>
          <w:p w14:paraId="28EC6EF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否</w:t>
            </w:r>
          </w:p>
        </w:tc>
      </w:tr>
      <w:tr w14:paraId="0D3E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0E430A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80" w:type="dxa"/>
            <w:tcBorders>
              <w:tl2br w:val="nil"/>
              <w:tr2bl w:val="nil"/>
            </w:tcBorders>
            <w:vAlign w:val="center"/>
          </w:tcPr>
          <w:p w14:paraId="250AE0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6515" w:type="dxa"/>
            <w:tcBorders>
              <w:tl2br w:val="nil"/>
              <w:tr2bl w:val="nil"/>
            </w:tcBorders>
            <w:vAlign w:val="center"/>
          </w:tcPr>
          <w:p w14:paraId="5484AAEA">
            <w:pPr>
              <w:spacing w:line="360" w:lineRule="auto"/>
              <w:rPr>
                <w:rFonts w:ascii="宋体" w:hAnsi="宋体" w:cs="宋体"/>
                <w:color w:val="auto"/>
                <w:szCs w:val="21"/>
                <w:highlight w:val="none"/>
              </w:rPr>
            </w:pPr>
            <w:r>
              <w:rPr>
                <w:rFonts w:hint="eastAsia" w:ascii="宋体" w:hAnsi="宋体" w:cs="宋体"/>
                <w:color w:val="auto"/>
                <w:szCs w:val="21"/>
                <w:highlight w:val="none"/>
              </w:rPr>
              <w:t>磋商时间：同磋商截止时间</w:t>
            </w:r>
          </w:p>
          <w:p w14:paraId="6DC82897">
            <w:pPr>
              <w:spacing w:line="360" w:lineRule="auto"/>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s="宋体"/>
                <w:bCs/>
                <w:color w:val="auto"/>
                <w:szCs w:val="21"/>
                <w:highlight w:val="none"/>
              </w:rPr>
              <w:t>荥阳市公共资源交易中心（荥阳市中原路与飞龙路西北角政务服务中心七楼）第</w:t>
            </w:r>
            <w:r>
              <w:rPr>
                <w:rFonts w:hint="eastAsia" w:ascii="宋体" w:hAnsi="宋体" w:cs="宋体"/>
                <w:bCs/>
                <w:color w:val="auto"/>
                <w:szCs w:val="21"/>
                <w:highlight w:val="none"/>
                <w:lang w:eastAsia="zh-CN"/>
              </w:rPr>
              <w:t>三</w:t>
            </w:r>
            <w:r>
              <w:rPr>
                <w:rFonts w:hint="eastAsia" w:ascii="宋体" w:hAnsi="宋体" w:eastAsia="Times New Roman" w:cs="宋体"/>
                <w:bCs/>
                <w:color w:val="auto"/>
                <w:szCs w:val="21"/>
                <w:highlight w:val="none"/>
              </w:rPr>
              <w:t>开标</w:t>
            </w:r>
            <w:r>
              <w:rPr>
                <w:rFonts w:hint="eastAsia" w:ascii="宋体" w:hAnsi="宋体" w:cs="宋体"/>
                <w:bCs/>
                <w:color w:val="auto"/>
                <w:szCs w:val="21"/>
                <w:highlight w:val="none"/>
              </w:rPr>
              <w:t>室；</w:t>
            </w:r>
          </w:p>
        </w:tc>
      </w:tr>
      <w:tr w14:paraId="4061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745653DF">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5.2</w:t>
            </w:r>
          </w:p>
        </w:tc>
        <w:tc>
          <w:tcPr>
            <w:tcW w:w="2280" w:type="dxa"/>
            <w:tcBorders>
              <w:tl2br w:val="nil"/>
              <w:tr2bl w:val="nil"/>
            </w:tcBorders>
            <w:vAlign w:val="center"/>
          </w:tcPr>
          <w:p w14:paraId="69CD90F2">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磋商程序</w:t>
            </w:r>
          </w:p>
        </w:tc>
        <w:tc>
          <w:tcPr>
            <w:tcW w:w="6515" w:type="dxa"/>
            <w:tcBorders>
              <w:tl2br w:val="nil"/>
              <w:tr2bl w:val="nil"/>
            </w:tcBorders>
            <w:vAlign w:val="center"/>
          </w:tcPr>
          <w:p w14:paraId="1C6D3D5D">
            <w:pPr>
              <w:pStyle w:val="5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本项目采用“远程不见面”磋商方式</w:t>
            </w:r>
            <w:r>
              <w:rPr>
                <w:rFonts w:hint="eastAsia" w:ascii="宋体" w:hAnsi="宋体" w:eastAsia="Times New Roman" w:cs="宋体"/>
                <w:color w:val="auto"/>
                <w:szCs w:val="21"/>
                <w:highlight w:val="none"/>
              </w:rPr>
              <w:t>，</w:t>
            </w:r>
            <w:r>
              <w:rPr>
                <w:rFonts w:hint="eastAsia" w:ascii="宋体" w:hAnsi="宋体" w:cs="宋体"/>
                <w:color w:val="auto"/>
                <w:szCs w:val="21"/>
                <w:highlight w:val="none"/>
              </w:rPr>
              <w:t>供应商无需到荥阳市公共资源交易中心现场参加磋商会议，供应商无需到现场提交原件资料，供应商应当在响应截止时间前,登录远程开标大厅，在线准时参加磋商活动并进行文件解密、答疑澄清等。</w:t>
            </w:r>
          </w:p>
        </w:tc>
      </w:tr>
      <w:tr w14:paraId="1F56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37" w:type="dxa"/>
            <w:tcBorders>
              <w:tl2br w:val="nil"/>
              <w:tr2bl w:val="nil"/>
            </w:tcBorders>
            <w:vAlign w:val="center"/>
          </w:tcPr>
          <w:p w14:paraId="375C41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80" w:type="dxa"/>
            <w:tcBorders>
              <w:tl2br w:val="nil"/>
              <w:tr2bl w:val="nil"/>
            </w:tcBorders>
            <w:vAlign w:val="center"/>
          </w:tcPr>
          <w:p w14:paraId="0489A0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磋商办法</w:t>
            </w:r>
          </w:p>
        </w:tc>
        <w:tc>
          <w:tcPr>
            <w:tcW w:w="6515" w:type="dxa"/>
            <w:tcBorders>
              <w:tl2br w:val="nil"/>
              <w:tr2bl w:val="nil"/>
            </w:tcBorders>
            <w:vAlign w:val="center"/>
          </w:tcPr>
          <w:p w14:paraId="7B7944CA">
            <w:pPr>
              <w:spacing w:line="360" w:lineRule="auto"/>
              <w:rPr>
                <w:rFonts w:ascii="宋体" w:hAnsi="宋体" w:cs="宋体"/>
                <w:color w:val="auto"/>
                <w:szCs w:val="21"/>
                <w:highlight w:val="none"/>
              </w:rPr>
            </w:pPr>
            <w:r>
              <w:rPr>
                <w:rFonts w:hint="eastAsia" w:ascii="宋体" w:hAnsi="宋体" w:cs="宋体"/>
                <w:color w:val="auto"/>
                <w:szCs w:val="21"/>
                <w:highlight w:val="none"/>
              </w:rPr>
              <w:t>1.磋商小组所有成员应当集中与单一供应商分别进行磋商，并给与所有参加磋商的供应商平等的磋商机会。磋商结束后，磋商小组要求所有实质性响应的供应商在规定时间内提交最后报价，最后报价必须在磋商小组要求的时间内提交，不得以口头形式报价。后次报价</w:t>
            </w:r>
            <w:r>
              <w:rPr>
                <w:rFonts w:hint="eastAsia" w:ascii="宋体" w:hAnsi="宋体" w:eastAsia="Times New Roman" w:cs="宋体"/>
                <w:color w:val="auto"/>
                <w:szCs w:val="21"/>
                <w:highlight w:val="none"/>
              </w:rPr>
              <w:t>可以小于等于</w:t>
            </w:r>
            <w:r>
              <w:rPr>
                <w:rFonts w:hint="eastAsia" w:ascii="宋体" w:hAnsi="宋体" w:cs="宋体"/>
                <w:color w:val="auto"/>
                <w:szCs w:val="21"/>
                <w:highlight w:val="none"/>
              </w:rPr>
              <w:t>前次报价，</w:t>
            </w:r>
            <w:r>
              <w:rPr>
                <w:rFonts w:hint="eastAsia" w:ascii="宋体" w:hAnsi="宋体" w:eastAsia="Times New Roman" w:cs="宋体"/>
                <w:color w:val="auto"/>
                <w:szCs w:val="21"/>
                <w:highlight w:val="none"/>
              </w:rPr>
              <w:t>如遇特殊情况不能完成二次报价的，则以第一次报价为准。</w:t>
            </w:r>
          </w:p>
          <w:p w14:paraId="6B7C131A">
            <w:pPr>
              <w:spacing w:line="360" w:lineRule="auto"/>
              <w:rPr>
                <w:rFonts w:ascii="宋体" w:hAnsi="宋体" w:cs="宋体"/>
                <w:color w:val="auto"/>
                <w:szCs w:val="21"/>
                <w:highlight w:val="none"/>
              </w:rPr>
            </w:pPr>
            <w:r>
              <w:rPr>
                <w:rFonts w:hint="eastAsia" w:ascii="宋体" w:hAnsi="宋体" w:cs="宋体"/>
                <w:color w:val="auto"/>
                <w:szCs w:val="21"/>
                <w:highlight w:val="none"/>
              </w:rPr>
              <w:t>2.经磋商确定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供应商的评审办法。</w:t>
            </w:r>
          </w:p>
          <w:p w14:paraId="3775E4F4">
            <w:pPr>
              <w:spacing w:line="360" w:lineRule="auto"/>
              <w:rPr>
                <w:rFonts w:ascii="宋体" w:hAnsi="宋体" w:cs="宋体"/>
                <w:b/>
                <w:color w:val="auto"/>
                <w:szCs w:val="21"/>
                <w:highlight w:val="none"/>
              </w:rPr>
            </w:pPr>
            <w:r>
              <w:rPr>
                <w:rFonts w:hint="eastAsia" w:ascii="宋体" w:hAnsi="宋体" w:cs="宋体"/>
                <w:color w:val="auto"/>
                <w:szCs w:val="21"/>
                <w:highlight w:val="none"/>
              </w:rPr>
              <w:t>3.磋商结束之前，请竞标供应商</w:t>
            </w:r>
            <w:r>
              <w:rPr>
                <w:rFonts w:hint="eastAsia" w:ascii="宋体" w:hAnsi="宋体" w:eastAsia="Times New Roman" w:cs="宋体"/>
                <w:color w:val="auto"/>
                <w:szCs w:val="21"/>
                <w:highlight w:val="none"/>
              </w:rPr>
              <w:t>一直保持在线状态</w:t>
            </w:r>
            <w:r>
              <w:rPr>
                <w:rFonts w:hint="eastAsia" w:ascii="宋体" w:hAnsi="宋体" w:cs="宋体"/>
                <w:color w:val="auto"/>
                <w:szCs w:val="21"/>
                <w:highlight w:val="none"/>
              </w:rPr>
              <w:t>，等待答疑澄清、二次报价等磋商活动。</w:t>
            </w:r>
          </w:p>
        </w:tc>
      </w:tr>
      <w:tr w14:paraId="7461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237" w:type="dxa"/>
            <w:tcBorders>
              <w:tl2br w:val="nil"/>
              <w:tr2bl w:val="nil"/>
            </w:tcBorders>
            <w:vAlign w:val="center"/>
          </w:tcPr>
          <w:p w14:paraId="15E2F5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280" w:type="dxa"/>
            <w:tcBorders>
              <w:tl2br w:val="nil"/>
              <w:tr2bl w:val="nil"/>
            </w:tcBorders>
            <w:vAlign w:val="center"/>
          </w:tcPr>
          <w:p w14:paraId="60CE9D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6515" w:type="dxa"/>
            <w:tcBorders>
              <w:tl2br w:val="nil"/>
              <w:tr2bl w:val="nil"/>
            </w:tcBorders>
            <w:vAlign w:val="center"/>
          </w:tcPr>
          <w:p w14:paraId="69E454D8">
            <w:pPr>
              <w:pStyle w:val="42"/>
              <w:spacing w:line="360" w:lineRule="auto"/>
              <w:rPr>
                <w:rFonts w:hAnsi="宋体"/>
                <w:color w:val="auto"/>
                <w:kern w:val="2"/>
                <w:sz w:val="21"/>
                <w:szCs w:val="21"/>
                <w:highlight w:val="none"/>
              </w:rPr>
            </w:pPr>
            <w:r>
              <w:rPr>
                <w:rFonts w:hint="eastAsia" w:hAnsi="宋体"/>
                <w:color w:val="auto"/>
                <w:kern w:val="2"/>
                <w:sz w:val="21"/>
                <w:szCs w:val="21"/>
                <w:highlight w:val="none"/>
              </w:rPr>
              <w:t>磋商小组构成：由 3 人组成，其中采购人代表 1 人，经济、技术专家 2 人。</w:t>
            </w:r>
          </w:p>
          <w:p w14:paraId="15C0FC2B">
            <w:pPr>
              <w:spacing w:line="360" w:lineRule="auto"/>
              <w:rPr>
                <w:rFonts w:ascii="宋体" w:hAnsi="宋体" w:cs="宋体"/>
                <w:color w:val="auto"/>
                <w:szCs w:val="21"/>
                <w:highlight w:val="none"/>
              </w:rPr>
            </w:pPr>
            <w:r>
              <w:rPr>
                <w:rFonts w:hint="eastAsia" w:ascii="宋体" w:hAnsi="宋体" w:cs="宋体"/>
                <w:color w:val="auto"/>
                <w:szCs w:val="21"/>
                <w:highlight w:val="none"/>
              </w:rPr>
              <w:t>经济、技术专家确定方式：</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前24小时内从有关政府采购评标专家库中随机抽取。</w:t>
            </w:r>
          </w:p>
        </w:tc>
      </w:tr>
      <w:tr w14:paraId="61D5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B9AFCC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280" w:type="dxa"/>
            <w:tcBorders>
              <w:tl2br w:val="nil"/>
              <w:tr2bl w:val="nil"/>
            </w:tcBorders>
            <w:vAlign w:val="top"/>
          </w:tcPr>
          <w:p w14:paraId="438FB706">
            <w:pPr>
              <w:spacing w:line="360" w:lineRule="auto"/>
              <w:ind w:left="420" w:hanging="420" w:hangingChars="200"/>
              <w:jc w:val="both"/>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6515" w:type="dxa"/>
            <w:tcBorders>
              <w:tl2br w:val="nil"/>
              <w:tr2bl w:val="nil"/>
            </w:tcBorders>
            <w:vAlign w:val="center"/>
          </w:tcPr>
          <w:p w14:paraId="1CDA0D70">
            <w:pPr>
              <w:spacing w:line="360" w:lineRule="auto"/>
              <w:rPr>
                <w:rFonts w:ascii="宋体" w:hAnsi="宋体" w:cs="宋体"/>
                <w:color w:val="auto"/>
                <w:szCs w:val="21"/>
                <w:highlight w:val="none"/>
              </w:rPr>
            </w:pPr>
            <w:r>
              <w:rPr>
                <w:rFonts w:hint="eastAsia" w:ascii="宋体" w:hAnsi="宋体" w:cs="宋体"/>
                <w:color w:val="auto"/>
                <w:szCs w:val="21"/>
                <w:highlight w:val="none"/>
              </w:rPr>
              <w:t>否，推荐的成交候选人数：</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名。</w:t>
            </w:r>
          </w:p>
        </w:tc>
      </w:tr>
      <w:tr w14:paraId="061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0117257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3.1</w:t>
            </w:r>
          </w:p>
        </w:tc>
        <w:tc>
          <w:tcPr>
            <w:tcW w:w="2280" w:type="dxa"/>
            <w:tcBorders>
              <w:tl2br w:val="nil"/>
              <w:tr2bl w:val="nil"/>
            </w:tcBorders>
            <w:vAlign w:val="center"/>
          </w:tcPr>
          <w:p w14:paraId="1C0B9CF2">
            <w:pPr>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6515" w:type="dxa"/>
            <w:tcBorders>
              <w:tl2br w:val="nil"/>
              <w:tr2bl w:val="nil"/>
            </w:tcBorders>
            <w:vAlign w:val="center"/>
          </w:tcPr>
          <w:p w14:paraId="436F1601">
            <w:pPr>
              <w:rPr>
                <w:rFonts w:ascii="宋体" w:hAnsi="宋体" w:cs="宋体"/>
                <w:color w:val="auto"/>
                <w:szCs w:val="21"/>
                <w:highlight w:val="none"/>
              </w:rPr>
            </w:pPr>
            <w:r>
              <w:rPr>
                <w:rFonts w:hint="eastAsia" w:ascii="宋体" w:hAnsi="宋体" w:eastAsia="Times New Roman" w:cs="宋体"/>
                <w:color w:val="auto"/>
                <w:szCs w:val="21"/>
                <w:highlight w:val="none"/>
              </w:rPr>
              <w:t>无</w:t>
            </w:r>
          </w:p>
        </w:tc>
      </w:tr>
      <w:tr w14:paraId="1E4A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6BA0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4.1</w:t>
            </w:r>
          </w:p>
        </w:tc>
        <w:tc>
          <w:tcPr>
            <w:tcW w:w="2280" w:type="dxa"/>
            <w:tcBorders>
              <w:tl2br w:val="nil"/>
              <w:tr2bl w:val="nil"/>
            </w:tcBorders>
            <w:vAlign w:val="center"/>
          </w:tcPr>
          <w:p w14:paraId="48EFFE0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6515" w:type="dxa"/>
            <w:tcBorders>
              <w:tl2br w:val="nil"/>
              <w:tr2bl w:val="nil"/>
            </w:tcBorders>
            <w:vAlign w:val="center"/>
          </w:tcPr>
          <w:p w14:paraId="6ABED1E0">
            <w:pPr>
              <w:spacing w:line="360" w:lineRule="auto"/>
              <w:rPr>
                <w:rFonts w:ascii="宋体" w:hAnsi="宋体" w:cs="宋体"/>
                <w:color w:val="auto"/>
                <w:szCs w:val="21"/>
                <w:highlight w:val="none"/>
              </w:rPr>
            </w:pPr>
            <w:r>
              <w:rPr>
                <w:rFonts w:hint="eastAsia" w:ascii="宋体" w:hAnsi="宋体" w:cs="宋体"/>
                <w:color w:val="auto"/>
                <w:szCs w:val="21"/>
                <w:highlight w:val="none"/>
              </w:rPr>
              <w:t>成交供应商须在成交通知书发出之日起2日内与采购人签订合同，否则视为放弃成交供应商资格。</w:t>
            </w:r>
          </w:p>
          <w:p w14:paraId="6BB6F9C5">
            <w:pPr>
              <w:pStyle w:val="16"/>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付款方式：第一次支付:合同签订后，支付合同额的 30%，第二次付款:货物到场，安装调试完支付合同额的40%，第三次付款:验收合格后支付合同额30%。</w:t>
            </w:r>
          </w:p>
          <w:p w14:paraId="28D45C54">
            <w:pPr>
              <w:pStyle w:val="16"/>
              <w:spacing w:line="360" w:lineRule="auto"/>
              <w:rPr>
                <w:color w:val="auto"/>
                <w:highlight w:val="none"/>
              </w:rPr>
            </w:pPr>
            <w:r>
              <w:rPr>
                <w:rFonts w:hint="eastAsia" w:ascii="宋体" w:hAnsi="宋体" w:cs="宋体"/>
                <w:color w:val="auto"/>
                <w:sz w:val="21"/>
                <w:szCs w:val="21"/>
                <w:highlight w:val="none"/>
              </w:rPr>
              <w:t>付款时间以财政资金到账时间为准。</w:t>
            </w:r>
          </w:p>
        </w:tc>
      </w:tr>
      <w:tr w14:paraId="553B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032" w:type="dxa"/>
            <w:gridSpan w:val="3"/>
            <w:tcBorders>
              <w:tl2br w:val="nil"/>
              <w:tr2bl w:val="nil"/>
            </w:tcBorders>
            <w:vAlign w:val="center"/>
          </w:tcPr>
          <w:p w14:paraId="637A89AA">
            <w:pPr>
              <w:spacing w:line="360" w:lineRule="auto"/>
              <w:rPr>
                <w:rFonts w:ascii="宋体" w:hAnsi="宋体" w:cs="宋体"/>
                <w:color w:val="auto"/>
                <w:szCs w:val="21"/>
                <w:highlight w:val="none"/>
              </w:rPr>
            </w:pPr>
            <w:r>
              <w:rPr>
                <w:rFonts w:hint="eastAsia" w:ascii="宋体" w:hAnsi="宋体" w:cs="宋体"/>
                <w:color w:val="auto"/>
                <w:szCs w:val="21"/>
                <w:highlight w:val="none"/>
              </w:rPr>
              <w:t>10.  需要补充的其他内容</w:t>
            </w:r>
          </w:p>
        </w:tc>
      </w:tr>
      <w:tr w14:paraId="4B69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tcBorders>
              <w:tl2br w:val="nil"/>
              <w:tr2bl w:val="nil"/>
            </w:tcBorders>
            <w:vAlign w:val="center"/>
          </w:tcPr>
          <w:p w14:paraId="1BA8E6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280" w:type="dxa"/>
            <w:tcBorders>
              <w:tl2br w:val="nil"/>
              <w:tr2bl w:val="nil"/>
            </w:tcBorders>
            <w:vAlign w:val="center"/>
          </w:tcPr>
          <w:p w14:paraId="4BA091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采购预算</w:t>
            </w:r>
          </w:p>
          <w:p w14:paraId="2C26F0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（最高限价）</w:t>
            </w:r>
          </w:p>
        </w:tc>
        <w:tc>
          <w:tcPr>
            <w:tcW w:w="6515" w:type="dxa"/>
            <w:tcBorders>
              <w:tl2br w:val="nil"/>
              <w:tr2bl w:val="nil"/>
            </w:tcBorders>
            <w:vAlign w:val="center"/>
          </w:tcPr>
          <w:p w14:paraId="7F15C097">
            <w:pPr>
              <w:spacing w:line="360" w:lineRule="auto"/>
              <w:rPr>
                <w:rFonts w:ascii="宋体" w:hAnsi="宋体" w:cs="宋体"/>
                <w:color w:val="auto"/>
                <w:szCs w:val="21"/>
                <w:highlight w:val="none"/>
              </w:rPr>
            </w:pPr>
            <w:r>
              <w:rPr>
                <w:rFonts w:hint="eastAsia" w:ascii="宋体" w:hAnsi="宋体" w:cs="宋体"/>
                <w:color w:val="auto"/>
                <w:szCs w:val="21"/>
                <w:highlight w:val="none"/>
              </w:rPr>
              <w:t>本项目采购预算（最高限价）为：</w:t>
            </w:r>
          </w:p>
          <w:p w14:paraId="78AE1DDB">
            <w:pPr>
              <w:spacing w:line="360" w:lineRule="auto"/>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大写：</w:t>
            </w:r>
            <w:r>
              <w:rPr>
                <w:rFonts w:hint="eastAsia" w:ascii="宋体" w:hAnsi="宋体" w:cs="宋体"/>
                <w:color w:val="auto"/>
                <w:szCs w:val="21"/>
                <w:highlight w:val="none"/>
                <w:lang w:eastAsia="zh-CN"/>
              </w:rPr>
              <w:t>壹佰贰拾陆万柒仟贰佰柒拾陆元整</w:t>
            </w:r>
            <w:r>
              <w:rPr>
                <w:rFonts w:hint="eastAsia" w:ascii="宋体" w:hAnsi="宋体" w:eastAsia="Times New Roman" w:cs="宋体"/>
                <w:color w:val="auto"/>
                <w:szCs w:val="21"/>
                <w:highlight w:val="none"/>
              </w:rPr>
              <w:t xml:space="preserve">； </w:t>
            </w:r>
          </w:p>
          <w:p w14:paraId="2D9A699A">
            <w:pPr>
              <w:spacing w:line="360" w:lineRule="auto"/>
              <w:rPr>
                <w:rFonts w:ascii="宋体" w:hAnsi="宋体" w:cs="宋体"/>
                <w:color w:val="auto"/>
                <w:szCs w:val="21"/>
                <w:highlight w:val="none"/>
              </w:rPr>
            </w:pPr>
            <w:r>
              <w:rPr>
                <w:rFonts w:hint="eastAsia" w:ascii="宋体" w:hAnsi="宋体" w:eastAsia="Times New Roman" w:cs="宋体"/>
                <w:color w:val="auto"/>
                <w:szCs w:val="21"/>
                <w:highlight w:val="none"/>
              </w:rPr>
              <w:t>小写：￥</w:t>
            </w:r>
            <w:r>
              <w:rPr>
                <w:rFonts w:hint="eastAsia" w:ascii="宋体" w:hAnsi="宋体" w:eastAsia="宋体" w:cs="宋体"/>
                <w:i w:val="0"/>
                <w:iCs w:val="0"/>
                <w:color w:val="000000"/>
                <w:kern w:val="0"/>
                <w:sz w:val="21"/>
                <w:szCs w:val="21"/>
                <w:highlight w:val="none"/>
                <w:u w:val="none"/>
                <w:lang w:val="en-US" w:eastAsia="zh-CN" w:bidi="ar"/>
              </w:rPr>
              <w:t xml:space="preserve">1267276.00 </w:t>
            </w:r>
            <w:r>
              <w:rPr>
                <w:rFonts w:hint="eastAsia" w:ascii="宋体" w:hAnsi="宋体" w:eastAsia="宋体" w:cs="宋体"/>
                <w:color w:val="auto"/>
                <w:szCs w:val="21"/>
                <w:highlight w:val="none"/>
                <w:lang w:eastAsia="zh-CN"/>
              </w:rPr>
              <w:t>元</w:t>
            </w:r>
            <w:r>
              <w:rPr>
                <w:rFonts w:hint="eastAsia" w:ascii="宋体" w:hAnsi="宋体" w:cs="宋体"/>
                <w:color w:val="auto"/>
                <w:szCs w:val="21"/>
                <w:highlight w:val="none"/>
              </w:rPr>
              <w:t>。</w:t>
            </w:r>
          </w:p>
          <w:p w14:paraId="34EECF18">
            <w:pPr>
              <w:spacing w:line="360" w:lineRule="auto"/>
              <w:rPr>
                <w:rFonts w:ascii="宋体" w:hAnsi="宋体" w:cs="宋体"/>
                <w:color w:val="auto"/>
                <w:szCs w:val="21"/>
                <w:highlight w:val="none"/>
              </w:rPr>
            </w:pPr>
            <w:r>
              <w:rPr>
                <w:rFonts w:hint="eastAsia" w:ascii="宋体" w:hAnsi="宋体" w:cs="宋体"/>
                <w:color w:val="auto"/>
                <w:szCs w:val="21"/>
                <w:highlight w:val="none"/>
              </w:rPr>
              <w:t>供应商的磋商报价超过采购预算（最高限价）的，按废标处理。</w:t>
            </w:r>
          </w:p>
        </w:tc>
      </w:tr>
      <w:tr w14:paraId="1455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1A51DFBF">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10.2</w:t>
            </w:r>
          </w:p>
        </w:tc>
        <w:tc>
          <w:tcPr>
            <w:tcW w:w="2280" w:type="dxa"/>
            <w:tcBorders>
              <w:tl2br w:val="nil"/>
              <w:tr2bl w:val="nil"/>
            </w:tcBorders>
            <w:vAlign w:val="center"/>
          </w:tcPr>
          <w:p w14:paraId="358FF00E">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结果公示</w:t>
            </w:r>
          </w:p>
        </w:tc>
        <w:tc>
          <w:tcPr>
            <w:tcW w:w="6515" w:type="dxa"/>
            <w:tcBorders>
              <w:tl2br w:val="nil"/>
              <w:tr2bl w:val="nil"/>
            </w:tcBorders>
            <w:vAlign w:val="center"/>
          </w:tcPr>
          <w:p w14:paraId="476D198C">
            <w:pPr>
              <w:spacing w:line="360" w:lineRule="auto"/>
              <w:rPr>
                <w:rFonts w:ascii="宋体" w:hAnsi="宋体" w:cs="宋体"/>
                <w:color w:val="auto"/>
                <w:szCs w:val="21"/>
                <w:highlight w:val="none"/>
              </w:rPr>
            </w:pPr>
            <w:r>
              <w:rPr>
                <w:rFonts w:hint="eastAsia" w:ascii="宋体" w:hAnsi="宋体" w:cs="宋体"/>
                <w:color w:val="auto"/>
                <w:szCs w:val="21"/>
                <w:highlight w:val="none"/>
              </w:rPr>
              <w:t>在确定成交供应商后，采购人或采购代理机构将成交结果情况在本项目竞争性磋商公告发布的同一媒介予以公示。</w:t>
            </w:r>
          </w:p>
        </w:tc>
      </w:tr>
      <w:tr w14:paraId="2825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08796CE">
            <w:pPr>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280" w:type="dxa"/>
            <w:tcBorders>
              <w:tl2br w:val="nil"/>
              <w:tr2bl w:val="nil"/>
            </w:tcBorders>
            <w:vAlign w:val="center"/>
          </w:tcPr>
          <w:p w14:paraId="4F4CFE97">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采购</w:t>
            </w:r>
            <w:r>
              <w:rPr>
                <w:rFonts w:hint="eastAsia" w:ascii="宋体" w:hAnsi="宋体" w:cs="宋体"/>
                <w:color w:val="auto"/>
                <w:szCs w:val="21"/>
                <w:highlight w:val="none"/>
              </w:rPr>
              <w:t>代理服务费</w:t>
            </w:r>
          </w:p>
        </w:tc>
        <w:tc>
          <w:tcPr>
            <w:tcW w:w="6515" w:type="dxa"/>
            <w:tcBorders>
              <w:tl2br w:val="nil"/>
              <w:tr2bl w:val="nil"/>
            </w:tcBorders>
            <w:vAlign w:val="center"/>
          </w:tcPr>
          <w:p w14:paraId="1B52B1C5">
            <w:pPr>
              <w:spacing w:line="360" w:lineRule="auto"/>
              <w:rPr>
                <w:rFonts w:ascii="Times New Roman" w:hAnsi="Times New Roman" w:eastAsia="Times New Roman"/>
                <w:color w:val="auto"/>
                <w:sz w:val="20"/>
                <w:szCs w:val="20"/>
                <w:highlight w:val="none"/>
              </w:rPr>
            </w:pPr>
            <w:r>
              <w:rPr>
                <w:rFonts w:hint="eastAsia" w:ascii="宋体" w:hAnsi="宋体" w:cs="宋体"/>
                <w:color w:val="auto"/>
                <w:szCs w:val="21"/>
                <w:highlight w:val="none"/>
              </w:rPr>
              <w:t>参</w:t>
            </w:r>
            <w:r>
              <w:rPr>
                <w:rFonts w:hint="eastAsia" w:ascii="Times New Roman" w:hAnsi="Times New Roman" w:eastAsia="Times New Roman"/>
                <w:color w:val="auto"/>
                <w:szCs w:val="21"/>
                <w:highlight w:val="none"/>
              </w:rPr>
              <w:t>考河南省招标投标协会（豫招协[2023]002号）文规定的计费方式，向成交人收取代理服务费。</w:t>
            </w:r>
          </w:p>
        </w:tc>
      </w:tr>
      <w:tr w14:paraId="1BA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237" w:type="dxa"/>
            <w:tcBorders>
              <w:tl2br w:val="nil"/>
              <w:tr2bl w:val="nil"/>
            </w:tcBorders>
            <w:vAlign w:val="center"/>
          </w:tcPr>
          <w:p w14:paraId="39D3BBFA">
            <w:pPr>
              <w:jc w:val="center"/>
              <w:rPr>
                <w:rFonts w:ascii="宋体" w:hAnsi="宋体" w:cs="宋体"/>
                <w:color w:val="auto"/>
                <w:szCs w:val="21"/>
                <w:highlight w:val="none"/>
              </w:rPr>
            </w:pPr>
            <w:r>
              <w:rPr>
                <w:rFonts w:hint="eastAsia" w:ascii="宋体" w:hAnsi="宋体"/>
                <w:color w:val="auto"/>
                <w:szCs w:val="21"/>
                <w:highlight w:val="none"/>
              </w:rPr>
              <w:t>10.4</w:t>
            </w:r>
          </w:p>
        </w:tc>
        <w:tc>
          <w:tcPr>
            <w:tcW w:w="8795" w:type="dxa"/>
            <w:gridSpan w:val="2"/>
            <w:tcBorders>
              <w:tl2br w:val="nil"/>
              <w:tr2bl w:val="nil"/>
            </w:tcBorders>
            <w:vAlign w:val="center"/>
          </w:tcPr>
          <w:p w14:paraId="00B11D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远程不见面”开标方式,供应商无需到开标现场，供应商不再提供资质原件及纸质供应商响应文件，以电子响应文件为准；磋商活动全部采用电子评审系统评审电子响应文件。供应商登录“荥阳市公共资源交易中心不见面开标大厅”，供应商应当在采购文件确定的投标截止时间前,登录开标大厅,在线准时参加开标活动并进行文件解密、答疑澄清等。具体操作手册详见“荥阳市公共资源交易中心网站-办事指南-荥阳市公共资源交易中心不见面开标大厅操作手册（供应商）”。</w:t>
            </w:r>
          </w:p>
          <w:p w14:paraId="1ABCD02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2.不再提供响应文件电子版（不加密）</w:t>
            </w:r>
            <w:r>
              <w:rPr>
                <w:rFonts w:hint="eastAsia" w:ascii="宋体" w:hAnsi="宋体" w:cs="宋体"/>
                <w:color w:val="auto"/>
                <w:szCs w:val="21"/>
                <w:highlight w:val="none"/>
                <w:lang w:eastAsia="zh-CN"/>
              </w:rPr>
              <w:t>。</w:t>
            </w:r>
          </w:p>
          <w:p w14:paraId="5CDCDDC1">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70F658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（1）供应商应认真学习“荥阳市公共资源交易中心网站-办事指南-荥阳市公共资源交易中心不见面开标大厅操作手册（供应商）”，根据手册要求做好不见面开标的准备工作。</w:t>
            </w:r>
          </w:p>
          <w:p w14:paraId="7F0F5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（2）请供应商务必按照“荥阳市公共资源交易中心不见面开标大厅操作手册（供应商）”的要求设置参与不见面开标的电脑环境，否则由此可能引起的签到失败、解密失败或无法解密等问题由供应商自行承担。</w:t>
            </w:r>
          </w:p>
          <w:p w14:paraId="44D74835">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（3）所有供应商应提前30分钟，登录“荥阳市公共资源交易中心不见面开标大厅”进行不见面开标准备工作。</w:t>
            </w:r>
          </w:p>
          <w:p w14:paraId="11AC0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（4）所有供应商登录“荥阳市公共资源交易中心不见面开标大厅”后，须先进行签到，其后应一直保持在线状态，保证能准时参加开标大会、响应文件的解密、现场答疑澄清等活动。</w:t>
            </w:r>
          </w:p>
          <w:p w14:paraId="59743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（5）供应商应在解密时间内插入CA锁，输入密码，进行解密，如在解密时间内解密失败，可再次解密，供应商应在规定时间内完成解密，否则采购人不予受理。</w:t>
            </w:r>
          </w:p>
        </w:tc>
      </w:tr>
      <w:tr w14:paraId="72C2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37" w:type="dxa"/>
            <w:tcBorders>
              <w:tl2br w:val="nil"/>
              <w:tr2bl w:val="nil"/>
            </w:tcBorders>
            <w:vAlign w:val="center"/>
          </w:tcPr>
          <w:p w14:paraId="05BE2946">
            <w:pPr>
              <w:jc w:val="center"/>
              <w:rPr>
                <w:rFonts w:ascii="宋体" w:hAnsi="宋体" w:cs="宋体"/>
                <w:color w:val="auto"/>
                <w:szCs w:val="21"/>
                <w:highlight w:val="none"/>
              </w:rPr>
            </w:pPr>
            <w:r>
              <w:rPr>
                <w:rFonts w:hint="eastAsia" w:ascii="宋体" w:hAnsi="宋体"/>
                <w:color w:val="auto"/>
                <w:szCs w:val="21"/>
                <w:highlight w:val="none"/>
              </w:rPr>
              <w:t>10.5</w:t>
            </w:r>
          </w:p>
        </w:tc>
        <w:tc>
          <w:tcPr>
            <w:tcW w:w="8795" w:type="dxa"/>
            <w:gridSpan w:val="2"/>
            <w:tcBorders>
              <w:tl2br w:val="nil"/>
              <w:tr2bl w:val="nil"/>
            </w:tcBorders>
            <w:vAlign w:val="center"/>
          </w:tcPr>
          <w:p w14:paraId="3C2E49C9">
            <w:pPr>
              <w:pStyle w:val="2"/>
              <w:keepNext w:val="0"/>
              <w:ind w:left="0" w:firstLine="422"/>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荥阳市政府采购合同融资政策告知函</w:t>
            </w:r>
          </w:p>
          <w:p w14:paraId="1B48C499">
            <w:pPr>
              <w:pStyle w:val="2"/>
              <w:keepNext w:val="0"/>
              <w:ind w:left="0" w:firstLine="420"/>
              <w:jc w:val="both"/>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各供应商：</w:t>
            </w:r>
          </w:p>
          <w:p w14:paraId="2C554543">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欢迎贵公司参与荥阳市政府采购活动！</w:t>
            </w:r>
          </w:p>
          <w:p w14:paraId="435A0EC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10860D42">
            <w:pPr>
              <w:widowControl/>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bidi="ar"/>
              </w:rPr>
              <w:t>贷款渠道和提供贷款的金融机构，可在荥阳市政府采购网“荥阳市政府采购合同融资入口”或工作动态栏查询联系。</w:t>
            </w:r>
          </w:p>
        </w:tc>
      </w:tr>
      <w:tr w14:paraId="556A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37" w:type="dxa"/>
            <w:tcBorders>
              <w:tl2br w:val="nil"/>
              <w:tr2bl w:val="nil"/>
            </w:tcBorders>
            <w:vAlign w:val="center"/>
          </w:tcPr>
          <w:p w14:paraId="1E56B7B3">
            <w:pPr>
              <w:jc w:val="center"/>
              <w:rPr>
                <w:rFonts w:ascii="宋体" w:hAnsi="宋体" w:cs="宋体"/>
                <w:color w:val="auto"/>
                <w:szCs w:val="21"/>
                <w:highlight w:val="none"/>
              </w:rPr>
            </w:pPr>
            <w:r>
              <w:rPr>
                <w:rFonts w:hint="eastAsia" w:ascii="宋体" w:hAnsi="宋体" w:cs="宋体"/>
                <w:color w:val="auto"/>
                <w:szCs w:val="21"/>
                <w:highlight w:val="none"/>
              </w:rPr>
              <w:t>10.6</w:t>
            </w:r>
          </w:p>
        </w:tc>
        <w:tc>
          <w:tcPr>
            <w:tcW w:w="8795" w:type="dxa"/>
            <w:gridSpan w:val="2"/>
            <w:tcBorders>
              <w:tl2br w:val="nil"/>
              <w:tr2bl w:val="nil"/>
            </w:tcBorders>
            <w:vAlign w:val="center"/>
          </w:tcPr>
          <w:p w14:paraId="2E7793A8">
            <w:pPr>
              <w:pStyle w:val="22"/>
              <w:spacing w:beforeAutospacing="0" w:afterAutospacing="0" w:line="440" w:lineRule="exact"/>
              <w:ind w:firstLine="422"/>
              <w:jc w:val="center"/>
              <w:rPr>
                <w:rFonts w:ascii="宋体" w:hAnsi="宋体" w:cs="宋体"/>
                <w:b/>
                <w:bCs/>
                <w:color w:val="auto"/>
                <w:sz w:val="21"/>
                <w:szCs w:val="21"/>
                <w:highlight w:val="none"/>
              </w:rPr>
            </w:pPr>
            <w:r>
              <w:rPr>
                <w:rFonts w:hint="eastAsia" w:ascii="宋体" w:hAnsi="宋体" w:cs="宋体"/>
                <w:b/>
                <w:bCs/>
                <w:color w:val="auto"/>
                <w:kern w:val="2"/>
                <w:sz w:val="21"/>
                <w:szCs w:val="21"/>
                <w:highlight w:val="none"/>
              </w:rPr>
              <w:t>质 疑</w:t>
            </w:r>
          </w:p>
          <w:p w14:paraId="65A65F7B">
            <w:pPr>
              <w:pStyle w:val="22"/>
              <w:spacing w:beforeAutospacing="0" w:afterAutospacing="0" w:line="44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一、</w:t>
            </w:r>
            <w:r>
              <w:rPr>
                <w:rFonts w:hint="eastAsia" w:cs="宋体"/>
                <w:color w:val="auto"/>
                <w:sz w:val="21"/>
                <w:szCs w:val="21"/>
                <w:highlight w:val="none"/>
              </w:rPr>
              <w:t>供应商</w:t>
            </w:r>
            <w:r>
              <w:rPr>
                <w:rFonts w:hint="eastAsia" w:ascii="宋体" w:hAnsi="宋体" w:cs="宋体"/>
                <w:color w:val="auto"/>
                <w:sz w:val="21"/>
                <w:szCs w:val="21"/>
                <w:highlight w:val="none"/>
              </w:rPr>
              <w:t>认为招标文件、采购过程和</w:t>
            </w:r>
            <w:r>
              <w:rPr>
                <w:rFonts w:hint="eastAsia" w:cs="宋体"/>
                <w:color w:val="auto"/>
                <w:sz w:val="21"/>
                <w:szCs w:val="21"/>
                <w:highlight w:val="none"/>
              </w:rPr>
              <w:t>中标</w:t>
            </w:r>
            <w:r>
              <w:rPr>
                <w:rFonts w:hint="eastAsia" w:ascii="宋体" w:hAnsi="宋体" w:cs="宋体"/>
                <w:color w:val="auto"/>
                <w:sz w:val="21"/>
                <w:szCs w:val="21"/>
                <w:highlight w:val="none"/>
              </w:rPr>
              <w:t>结果使自己的权益受到损害的，可以在知道或者应知其权益受到损害之日起七个工作日内，按照《政府采购质疑和投诉办法》（财政部令第 94 号）的规定以书面形式向采购人或采购代理机构提出质疑（邮寄件、传真件不予受理），逾期不再接收。</w:t>
            </w:r>
          </w:p>
          <w:p w14:paraId="1DEA610A">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1、接收质疑函的方式：接收加盖单位公章的书面纸质质疑函</w:t>
            </w:r>
          </w:p>
          <w:p w14:paraId="76551F0A">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代理机构：</w:t>
            </w:r>
            <w:r>
              <w:rPr>
                <w:rFonts w:hint="eastAsia" w:ascii="宋体" w:hAnsi="宋体" w:cs="宋体"/>
                <w:color w:val="auto"/>
                <w:kern w:val="2"/>
                <w:sz w:val="21"/>
                <w:szCs w:val="21"/>
                <w:highlight w:val="none"/>
                <w:lang w:eastAsia="zh-CN"/>
              </w:rPr>
              <w:t>河南天禹工程咨询有限公司</w:t>
            </w:r>
            <w:r>
              <w:rPr>
                <w:rFonts w:hint="eastAsia" w:ascii="宋体" w:hAnsi="宋体" w:cs="宋体"/>
                <w:color w:val="auto"/>
                <w:kern w:val="2"/>
                <w:sz w:val="21"/>
                <w:szCs w:val="21"/>
                <w:highlight w:val="none"/>
              </w:rPr>
              <w:t xml:space="preserve">  </w:t>
            </w:r>
          </w:p>
          <w:p w14:paraId="48DA2CF7">
            <w:pPr>
              <w:pStyle w:val="22"/>
              <w:spacing w:beforeAutospacing="0" w:afterAutospacing="0" w:line="440" w:lineRule="exact"/>
              <w:jc w:val="both"/>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地    址：</w:t>
            </w:r>
            <w:r>
              <w:rPr>
                <w:rFonts w:hint="eastAsia" w:ascii="宋体" w:hAnsi="宋体" w:cs="宋体"/>
                <w:color w:val="auto"/>
                <w:kern w:val="2"/>
                <w:sz w:val="21"/>
                <w:szCs w:val="21"/>
                <w:highlight w:val="none"/>
                <w:lang w:eastAsia="zh-CN"/>
              </w:rPr>
              <w:t>河南省郑州市玉凤路333号1号楼中和金水中心5层506</w:t>
            </w:r>
          </w:p>
          <w:p w14:paraId="1F782B49">
            <w:pPr>
              <w:pStyle w:val="22"/>
              <w:spacing w:beforeAutospacing="0" w:afterAutospacing="0" w:line="440" w:lineRule="exact"/>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联 系 人：孟宪玉  </w:t>
            </w:r>
          </w:p>
          <w:p w14:paraId="64DB4001">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电    话：13633710314</w:t>
            </w:r>
          </w:p>
          <w:p w14:paraId="5FCE09F6">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2、质疑函的内容、格式：应符合《政府采购质疑和投诉办法》相关规定和财政部门制定的《政府采购质疑函范本》格式。 </w:t>
            </w:r>
          </w:p>
          <w:p w14:paraId="07F048C8">
            <w:pPr>
              <w:pStyle w:val="22"/>
              <w:widowControl/>
              <w:autoSpaceDE w:val="0"/>
              <w:autoSpaceDN w:val="0"/>
              <w:spacing w:beforeAutospacing="0" w:afterAutospacing="0" w:line="400" w:lineRule="exact"/>
              <w:jc w:val="both"/>
              <w:rPr>
                <w:rFonts w:ascii="宋体" w:hAnsi="宋体"/>
                <w:color w:val="auto"/>
                <w:szCs w:val="21"/>
                <w:highlight w:val="none"/>
              </w:rPr>
            </w:pPr>
            <w:r>
              <w:rPr>
                <w:rFonts w:hint="eastAsia" w:ascii="宋体" w:hAnsi="宋体" w:cs="宋体"/>
                <w:color w:val="auto"/>
                <w:kern w:val="2"/>
                <w:sz w:val="21"/>
                <w:szCs w:val="21"/>
                <w:highlight w:val="none"/>
              </w:rPr>
              <w:t>二、</w:t>
            </w:r>
            <w:r>
              <w:rPr>
                <w:rFonts w:hint="eastAsia" w:cs="宋体"/>
                <w:b/>
                <w:bCs/>
                <w:color w:val="auto"/>
                <w:kern w:val="2"/>
                <w:sz w:val="21"/>
                <w:szCs w:val="21"/>
                <w:highlight w:val="none"/>
              </w:rPr>
              <w:t>供应商</w:t>
            </w:r>
            <w:r>
              <w:rPr>
                <w:rFonts w:hint="eastAsia" w:ascii="宋体" w:hAnsi="宋体" w:cs="宋体"/>
                <w:b/>
                <w:bCs/>
                <w:color w:val="auto"/>
                <w:kern w:val="2"/>
                <w:sz w:val="21"/>
                <w:szCs w:val="21"/>
                <w:highlight w:val="none"/>
              </w:rPr>
              <w:t>应在法定质疑期内一次性针对同一采购程序环节提出质疑，否则针对再次提出质疑将不予接收</w:t>
            </w:r>
            <w:r>
              <w:rPr>
                <w:rFonts w:hint="eastAsia" w:ascii="宋体" w:hAnsi="宋体" w:cs="宋体"/>
                <w:color w:val="auto"/>
                <w:kern w:val="2"/>
                <w:sz w:val="21"/>
                <w:szCs w:val="21"/>
                <w:highlight w:val="none"/>
              </w:rPr>
              <w:t>。（采购程序环节分为：</w:t>
            </w:r>
            <w:r>
              <w:rPr>
                <w:rFonts w:hint="eastAsia" w:cs="宋体"/>
                <w:color w:val="auto"/>
                <w:kern w:val="2"/>
                <w:sz w:val="21"/>
                <w:szCs w:val="21"/>
                <w:highlight w:val="none"/>
              </w:rPr>
              <w:t>采购公告、</w:t>
            </w:r>
            <w:r>
              <w:rPr>
                <w:rFonts w:hint="eastAsia" w:ascii="宋体" w:hAnsi="宋体" w:cs="宋体"/>
                <w:color w:val="auto"/>
                <w:kern w:val="2"/>
                <w:sz w:val="21"/>
                <w:szCs w:val="21"/>
                <w:highlight w:val="none"/>
              </w:rPr>
              <w:t>采购文件、采购过程、</w:t>
            </w:r>
            <w:r>
              <w:rPr>
                <w:rFonts w:hint="eastAsia" w:cs="宋体"/>
                <w:color w:val="auto"/>
                <w:kern w:val="2"/>
                <w:sz w:val="21"/>
                <w:szCs w:val="21"/>
                <w:highlight w:val="none"/>
              </w:rPr>
              <w:t>中标</w:t>
            </w:r>
            <w:r>
              <w:rPr>
                <w:rFonts w:hint="eastAsia" w:ascii="宋体" w:hAnsi="宋体" w:cs="宋体"/>
                <w:color w:val="auto"/>
                <w:kern w:val="2"/>
                <w:sz w:val="21"/>
                <w:szCs w:val="21"/>
                <w:highlight w:val="none"/>
              </w:rPr>
              <w:t>结果）</w:t>
            </w:r>
          </w:p>
        </w:tc>
      </w:tr>
      <w:tr w14:paraId="6F66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237" w:type="dxa"/>
            <w:vAlign w:val="center"/>
          </w:tcPr>
          <w:p w14:paraId="557AAA6E">
            <w:pPr>
              <w:jc w:val="center"/>
              <w:rPr>
                <w:rFonts w:ascii="宋体" w:hAnsi="宋体" w:cs="宋体"/>
                <w:color w:val="auto"/>
                <w:szCs w:val="21"/>
                <w:highlight w:val="none"/>
              </w:rPr>
            </w:pPr>
            <w:r>
              <w:rPr>
                <w:rFonts w:hint="eastAsia" w:ascii="宋体" w:hAnsi="宋体" w:cs="宋体"/>
                <w:color w:val="auto"/>
                <w:szCs w:val="21"/>
                <w:highlight w:val="none"/>
              </w:rPr>
              <w:t>10.7</w:t>
            </w:r>
          </w:p>
          <w:p w14:paraId="1C363B1B">
            <w:pPr>
              <w:jc w:val="center"/>
              <w:rPr>
                <w:rFonts w:ascii="宋体" w:hAnsi="宋体" w:cs="宋体"/>
                <w:color w:val="auto"/>
                <w:szCs w:val="21"/>
                <w:highlight w:val="none"/>
              </w:rPr>
            </w:pPr>
          </w:p>
        </w:tc>
        <w:tc>
          <w:tcPr>
            <w:tcW w:w="8795" w:type="dxa"/>
            <w:gridSpan w:val="2"/>
          </w:tcPr>
          <w:p w14:paraId="2FD06B6D">
            <w:pPr>
              <w:widowControl/>
              <w:spacing w:line="440" w:lineRule="exact"/>
              <w:ind w:firstLine="422"/>
              <w:rPr>
                <w:rFonts w:hint="eastAsia" w:ascii="宋体" w:hAnsi="宋体" w:eastAsia="宋体" w:cs="宋体"/>
                <w:b/>
                <w:bCs/>
                <w:color w:val="auto"/>
                <w:szCs w:val="21"/>
                <w:highlight w:val="none"/>
                <w:lang w:eastAsia="zh-CN" w:bidi="zh-CN"/>
              </w:rPr>
            </w:pPr>
            <w:r>
              <w:rPr>
                <w:rFonts w:hint="eastAsia" w:ascii="宋体" w:hAnsi="宋体" w:cs="宋体"/>
                <w:b/>
                <w:bCs/>
                <w:color w:val="auto"/>
                <w:szCs w:val="21"/>
                <w:highlight w:val="none"/>
                <w:lang w:bidi="zh-CN"/>
              </w:rPr>
              <w:t>1.采购标的所属行业为：</w:t>
            </w:r>
            <w:r>
              <w:rPr>
                <w:rFonts w:hint="eastAsia" w:ascii="宋体" w:hAnsi="宋体" w:cs="宋体"/>
                <w:b/>
                <w:bCs/>
                <w:color w:val="auto"/>
                <w:kern w:val="0"/>
                <w:szCs w:val="21"/>
                <w:highlight w:val="none"/>
                <w:lang w:eastAsia="zh-CN" w:bidi="ar"/>
              </w:rPr>
              <w:t>工业</w:t>
            </w:r>
          </w:p>
          <w:p w14:paraId="2287603E">
            <w:pPr>
              <w:widowControl/>
              <w:autoSpaceDE w:val="0"/>
              <w:autoSpaceDN w:val="0"/>
              <w:spacing w:line="440" w:lineRule="exact"/>
              <w:ind w:firstLine="420" w:firstLineChars="200"/>
              <w:rPr>
                <w:color w:val="auto"/>
                <w:highlight w:val="none"/>
              </w:rPr>
            </w:pPr>
            <w:r>
              <w:rPr>
                <w:rFonts w:hint="eastAsia" w:ascii="宋体" w:hAnsi="宋体" w:cs="宋体"/>
                <w:color w:val="auto"/>
                <w:kern w:val="0"/>
                <w:szCs w:val="21"/>
                <w:highlight w:val="none"/>
                <w:lang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p>
        </w:tc>
      </w:tr>
    </w:tbl>
    <w:p w14:paraId="7BCBC2BA">
      <w:pPr>
        <w:widowControl/>
        <w:spacing w:line="330" w:lineRule="atLeast"/>
        <w:jc w:val="center"/>
        <w:rPr>
          <w:rFonts w:hint="eastAsia" w:ascii="宋体" w:hAnsi="宋体" w:cs="宋体"/>
          <w:b/>
          <w:bCs/>
          <w:kern w:val="0"/>
          <w:sz w:val="36"/>
          <w:szCs w:val="32"/>
          <w:highlight w:val="none"/>
        </w:rPr>
      </w:pPr>
      <w:r>
        <w:rPr>
          <w:rFonts w:hint="eastAsia" w:ascii="宋体" w:hAnsi="宋体" w:cs="宋体"/>
          <w:b/>
          <w:bCs/>
          <w:kern w:val="0"/>
          <w:sz w:val="36"/>
          <w:szCs w:val="32"/>
          <w:highlight w:val="none"/>
        </w:rPr>
        <w:t>附件1.统计上大中小微型企业划分标准</w:t>
      </w:r>
    </w:p>
    <w:tbl>
      <w:tblPr>
        <w:tblStyle w:val="26"/>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14:paraId="787CBC71">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vAlign w:val="center"/>
          </w:tcPr>
          <w:p w14:paraId="52FA5AAC">
            <w:pPr>
              <w:widowControl/>
              <w:spacing w:line="240" w:lineRule="exact"/>
              <w:jc w:val="center"/>
              <w:rPr>
                <w:rFonts w:hint="eastAsia" w:ascii="宋体" w:hAnsi="宋体" w:cs="宋体"/>
                <w:b/>
                <w:bCs/>
                <w:kern w:val="0"/>
                <w:szCs w:val="21"/>
                <w:highlight w:val="none"/>
              </w:rPr>
            </w:pPr>
            <w:r>
              <w:rPr>
                <w:rFonts w:hint="eastAsia" w:ascii="宋体" w:hAnsi="宋体" w:cs="宋体"/>
                <w:b/>
                <w:bCs/>
                <w:kern w:val="0"/>
                <w:szCs w:val="21"/>
                <w:highlight w:val="none"/>
              </w:rPr>
              <w:t>行业名称</w:t>
            </w:r>
          </w:p>
        </w:tc>
        <w:tc>
          <w:tcPr>
            <w:tcW w:w="1750" w:type="dxa"/>
            <w:tcBorders>
              <w:top w:val="single" w:color="auto" w:sz="4" w:space="0"/>
              <w:left w:val="nil"/>
              <w:bottom w:val="single" w:color="auto" w:sz="4" w:space="0"/>
              <w:right w:val="single" w:color="auto" w:sz="4" w:space="0"/>
            </w:tcBorders>
            <w:vAlign w:val="center"/>
          </w:tcPr>
          <w:p w14:paraId="6975511F">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指标名称</w:t>
            </w:r>
          </w:p>
        </w:tc>
        <w:tc>
          <w:tcPr>
            <w:tcW w:w="684" w:type="dxa"/>
            <w:tcBorders>
              <w:top w:val="single" w:color="auto" w:sz="4" w:space="0"/>
              <w:left w:val="nil"/>
              <w:bottom w:val="single" w:color="auto" w:sz="4" w:space="0"/>
              <w:right w:val="single" w:color="auto" w:sz="4" w:space="0"/>
            </w:tcBorders>
            <w:vAlign w:val="center"/>
          </w:tcPr>
          <w:p w14:paraId="54B60DE4">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计量</w:t>
            </w:r>
          </w:p>
          <w:p w14:paraId="673FD8CA">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单位</w:t>
            </w:r>
          </w:p>
        </w:tc>
        <w:tc>
          <w:tcPr>
            <w:tcW w:w="1300" w:type="dxa"/>
            <w:tcBorders>
              <w:top w:val="single" w:color="auto" w:sz="4" w:space="0"/>
              <w:left w:val="nil"/>
              <w:bottom w:val="single" w:color="auto" w:sz="4" w:space="0"/>
              <w:right w:val="single" w:color="auto" w:sz="4" w:space="0"/>
            </w:tcBorders>
            <w:vAlign w:val="center"/>
          </w:tcPr>
          <w:p w14:paraId="176CABFB">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大型</w:t>
            </w:r>
          </w:p>
        </w:tc>
        <w:tc>
          <w:tcPr>
            <w:tcW w:w="1866" w:type="dxa"/>
            <w:tcBorders>
              <w:top w:val="single" w:color="auto" w:sz="4" w:space="0"/>
              <w:left w:val="nil"/>
              <w:bottom w:val="single" w:color="auto" w:sz="4" w:space="0"/>
              <w:right w:val="single" w:color="auto" w:sz="4" w:space="0"/>
            </w:tcBorders>
            <w:vAlign w:val="center"/>
          </w:tcPr>
          <w:p w14:paraId="3F0E738E">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中型</w:t>
            </w:r>
          </w:p>
        </w:tc>
        <w:tc>
          <w:tcPr>
            <w:tcW w:w="1567" w:type="dxa"/>
            <w:tcBorders>
              <w:top w:val="single" w:color="auto" w:sz="4" w:space="0"/>
              <w:left w:val="nil"/>
              <w:bottom w:val="single" w:color="auto" w:sz="4" w:space="0"/>
              <w:right w:val="single" w:color="auto" w:sz="4" w:space="0"/>
            </w:tcBorders>
            <w:vAlign w:val="center"/>
          </w:tcPr>
          <w:p w14:paraId="2873F158">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小型</w:t>
            </w:r>
          </w:p>
        </w:tc>
        <w:tc>
          <w:tcPr>
            <w:tcW w:w="1046" w:type="dxa"/>
            <w:tcBorders>
              <w:top w:val="single" w:color="auto" w:sz="4" w:space="0"/>
              <w:left w:val="nil"/>
              <w:bottom w:val="single" w:color="auto" w:sz="4" w:space="0"/>
              <w:right w:val="nil"/>
            </w:tcBorders>
            <w:vAlign w:val="center"/>
          </w:tcPr>
          <w:p w14:paraId="02FE7FE2">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微型</w:t>
            </w:r>
          </w:p>
        </w:tc>
      </w:tr>
      <w:tr w14:paraId="3848C5A4">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vAlign w:val="center"/>
          </w:tcPr>
          <w:p w14:paraId="645635DC">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农、林、牧、渔业</w:t>
            </w:r>
          </w:p>
        </w:tc>
        <w:tc>
          <w:tcPr>
            <w:tcW w:w="1750" w:type="dxa"/>
            <w:tcBorders>
              <w:top w:val="nil"/>
              <w:left w:val="nil"/>
              <w:bottom w:val="single" w:color="auto" w:sz="4" w:space="0"/>
              <w:right w:val="single" w:color="auto" w:sz="4" w:space="0"/>
            </w:tcBorders>
            <w:vAlign w:val="center"/>
          </w:tcPr>
          <w:p w14:paraId="5A5D1E99">
            <w:pPr>
              <w:widowControl/>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416BC014">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5DB499B4">
            <w:pPr>
              <w:widowControl/>
              <w:jc w:val="center"/>
              <w:rPr>
                <w:rFonts w:hint="eastAsia" w:ascii="宋体" w:hAnsi="宋体" w:cs="宋体"/>
                <w:kern w:val="0"/>
                <w:szCs w:val="21"/>
                <w:highlight w:val="none"/>
              </w:rPr>
            </w:pPr>
            <w:r>
              <w:rPr>
                <w:rFonts w:hint="eastAsia" w:ascii="宋体" w:hAnsi="宋体" w:cs="宋体"/>
                <w:kern w:val="0"/>
                <w:szCs w:val="21"/>
                <w:highlight w:val="none"/>
              </w:rPr>
              <w:t>Y≥20000</w:t>
            </w:r>
          </w:p>
        </w:tc>
        <w:tc>
          <w:tcPr>
            <w:tcW w:w="1866" w:type="dxa"/>
            <w:tcBorders>
              <w:top w:val="nil"/>
              <w:left w:val="nil"/>
              <w:bottom w:val="single" w:color="auto" w:sz="4" w:space="0"/>
              <w:right w:val="single" w:color="auto" w:sz="4" w:space="0"/>
            </w:tcBorders>
            <w:vAlign w:val="center"/>
          </w:tcPr>
          <w:p w14:paraId="74797171">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7202013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50≤Y＜500</w:t>
            </w:r>
          </w:p>
        </w:tc>
        <w:tc>
          <w:tcPr>
            <w:tcW w:w="1046" w:type="dxa"/>
            <w:tcBorders>
              <w:top w:val="nil"/>
              <w:left w:val="nil"/>
              <w:bottom w:val="single" w:color="auto" w:sz="4" w:space="0"/>
              <w:right w:val="nil"/>
            </w:tcBorders>
            <w:vAlign w:val="center"/>
          </w:tcPr>
          <w:p w14:paraId="51F4D2D3">
            <w:pPr>
              <w:widowControl/>
              <w:jc w:val="center"/>
              <w:rPr>
                <w:rFonts w:hint="eastAsia" w:ascii="宋体" w:hAnsi="宋体" w:cs="宋体"/>
                <w:kern w:val="0"/>
                <w:szCs w:val="21"/>
                <w:highlight w:val="none"/>
              </w:rPr>
            </w:pPr>
            <w:r>
              <w:rPr>
                <w:rFonts w:hint="eastAsia" w:ascii="宋体" w:hAnsi="宋体" w:cs="宋体"/>
                <w:kern w:val="0"/>
                <w:szCs w:val="21"/>
                <w:highlight w:val="none"/>
              </w:rPr>
              <w:t>Y＜50</w:t>
            </w:r>
          </w:p>
        </w:tc>
      </w:tr>
      <w:tr w14:paraId="16F5F92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5AD2E803">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工业 *</w:t>
            </w:r>
          </w:p>
        </w:tc>
        <w:tc>
          <w:tcPr>
            <w:tcW w:w="1750" w:type="dxa"/>
            <w:tcBorders>
              <w:top w:val="nil"/>
              <w:left w:val="nil"/>
              <w:bottom w:val="nil"/>
              <w:right w:val="single" w:color="auto" w:sz="4" w:space="0"/>
            </w:tcBorders>
            <w:vAlign w:val="center"/>
          </w:tcPr>
          <w:p w14:paraId="681BA736">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07EAA095">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4F1F1F10">
            <w:pPr>
              <w:widowControl/>
              <w:jc w:val="center"/>
              <w:rPr>
                <w:rFonts w:hint="eastAsia"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14:paraId="77F785B8">
            <w:pPr>
              <w:widowControl/>
              <w:jc w:val="center"/>
              <w:rPr>
                <w:rFonts w:hint="eastAsia"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14:paraId="6DD1ED09">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20≤X＜300</w:t>
            </w:r>
          </w:p>
        </w:tc>
        <w:tc>
          <w:tcPr>
            <w:tcW w:w="1046" w:type="dxa"/>
            <w:tcBorders>
              <w:top w:val="nil"/>
              <w:left w:val="nil"/>
              <w:bottom w:val="nil"/>
              <w:right w:val="nil"/>
            </w:tcBorders>
            <w:vAlign w:val="center"/>
          </w:tcPr>
          <w:p w14:paraId="297F6297">
            <w:pPr>
              <w:widowControl/>
              <w:jc w:val="center"/>
              <w:rPr>
                <w:rFonts w:hint="eastAsia" w:ascii="宋体" w:hAnsi="宋体" w:cs="宋体"/>
                <w:kern w:val="0"/>
                <w:szCs w:val="21"/>
                <w:highlight w:val="none"/>
              </w:rPr>
            </w:pPr>
            <w:r>
              <w:rPr>
                <w:rFonts w:hint="eastAsia" w:ascii="宋体" w:hAnsi="宋体" w:cs="宋体"/>
                <w:kern w:val="0"/>
                <w:szCs w:val="21"/>
                <w:highlight w:val="none"/>
              </w:rPr>
              <w:t>X＜20</w:t>
            </w:r>
          </w:p>
        </w:tc>
      </w:tr>
      <w:tr w14:paraId="09A59CFE">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7562F1ED">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6FE7FEDD">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32296889">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799C1A2C">
            <w:pPr>
              <w:widowControl/>
              <w:jc w:val="center"/>
              <w:rPr>
                <w:rFonts w:hint="eastAsia" w:ascii="宋体" w:hAnsi="宋体" w:cs="宋体"/>
                <w:kern w:val="0"/>
                <w:szCs w:val="21"/>
                <w:highlight w:val="none"/>
              </w:rPr>
            </w:pPr>
            <w:r>
              <w:rPr>
                <w:rFonts w:hint="eastAsia" w:ascii="宋体" w:hAnsi="宋体" w:cs="宋体"/>
                <w:kern w:val="0"/>
                <w:szCs w:val="21"/>
                <w:highlight w:val="none"/>
              </w:rPr>
              <w:t>Y≥40000</w:t>
            </w:r>
          </w:p>
        </w:tc>
        <w:tc>
          <w:tcPr>
            <w:tcW w:w="1866" w:type="dxa"/>
            <w:tcBorders>
              <w:top w:val="nil"/>
              <w:left w:val="nil"/>
              <w:bottom w:val="single" w:color="auto" w:sz="4" w:space="0"/>
              <w:right w:val="single" w:color="auto" w:sz="4" w:space="0"/>
            </w:tcBorders>
            <w:vAlign w:val="center"/>
          </w:tcPr>
          <w:p w14:paraId="74A4F1FB">
            <w:pPr>
              <w:widowControl/>
              <w:jc w:val="center"/>
              <w:rPr>
                <w:rFonts w:hint="eastAsia" w:ascii="宋体" w:hAnsi="宋体" w:cs="宋体"/>
                <w:kern w:val="0"/>
                <w:szCs w:val="21"/>
                <w:highlight w:val="none"/>
              </w:rPr>
            </w:pPr>
            <w:r>
              <w:rPr>
                <w:rFonts w:hint="eastAsia" w:ascii="宋体" w:hAnsi="宋体" w:cs="宋体"/>
                <w:kern w:val="0"/>
                <w:szCs w:val="21"/>
                <w:highlight w:val="none"/>
              </w:rPr>
              <w:t>2000≤Y＜40000</w:t>
            </w:r>
          </w:p>
        </w:tc>
        <w:tc>
          <w:tcPr>
            <w:tcW w:w="1567" w:type="dxa"/>
            <w:tcBorders>
              <w:top w:val="nil"/>
              <w:left w:val="nil"/>
              <w:bottom w:val="single" w:color="auto" w:sz="4" w:space="0"/>
              <w:right w:val="single" w:color="auto" w:sz="4" w:space="0"/>
            </w:tcBorders>
            <w:vAlign w:val="center"/>
          </w:tcPr>
          <w:p w14:paraId="76E42EE1">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300≤Y＜2000</w:t>
            </w:r>
          </w:p>
        </w:tc>
        <w:tc>
          <w:tcPr>
            <w:tcW w:w="1046" w:type="dxa"/>
            <w:tcBorders>
              <w:top w:val="nil"/>
              <w:left w:val="nil"/>
              <w:bottom w:val="single" w:color="auto" w:sz="4" w:space="0"/>
              <w:right w:val="nil"/>
            </w:tcBorders>
            <w:vAlign w:val="center"/>
          </w:tcPr>
          <w:p w14:paraId="2AE761F4">
            <w:pPr>
              <w:widowControl/>
              <w:jc w:val="center"/>
              <w:rPr>
                <w:rFonts w:hint="eastAsia" w:ascii="宋体" w:hAnsi="宋体" w:cs="宋体"/>
                <w:kern w:val="0"/>
                <w:szCs w:val="21"/>
                <w:highlight w:val="none"/>
              </w:rPr>
            </w:pPr>
            <w:r>
              <w:rPr>
                <w:rFonts w:hint="eastAsia" w:ascii="宋体" w:hAnsi="宋体" w:cs="宋体"/>
                <w:kern w:val="0"/>
                <w:szCs w:val="21"/>
                <w:highlight w:val="none"/>
              </w:rPr>
              <w:t>Y＜300</w:t>
            </w:r>
          </w:p>
        </w:tc>
      </w:tr>
      <w:tr w14:paraId="13D0451B">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31847D76">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建筑业</w:t>
            </w:r>
          </w:p>
        </w:tc>
        <w:tc>
          <w:tcPr>
            <w:tcW w:w="1750" w:type="dxa"/>
            <w:tcBorders>
              <w:top w:val="nil"/>
              <w:left w:val="nil"/>
              <w:bottom w:val="nil"/>
              <w:right w:val="single" w:color="auto" w:sz="4" w:space="0"/>
            </w:tcBorders>
            <w:vAlign w:val="center"/>
          </w:tcPr>
          <w:p w14:paraId="42CDF2C1">
            <w:pPr>
              <w:widowControl/>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nil"/>
              <w:right w:val="single" w:color="auto" w:sz="4" w:space="0"/>
            </w:tcBorders>
            <w:vAlign w:val="center"/>
          </w:tcPr>
          <w:p w14:paraId="71E6BC9D">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nil"/>
              <w:right w:val="single" w:color="auto" w:sz="4" w:space="0"/>
            </w:tcBorders>
            <w:vAlign w:val="center"/>
          </w:tcPr>
          <w:p w14:paraId="3BDEBF75">
            <w:pPr>
              <w:widowControl/>
              <w:jc w:val="center"/>
              <w:rPr>
                <w:rFonts w:hint="eastAsia" w:ascii="宋体" w:hAnsi="宋体" w:cs="宋体"/>
                <w:kern w:val="0"/>
                <w:szCs w:val="21"/>
                <w:highlight w:val="none"/>
              </w:rPr>
            </w:pPr>
            <w:r>
              <w:rPr>
                <w:rFonts w:hint="eastAsia" w:ascii="宋体" w:hAnsi="宋体" w:cs="宋体"/>
                <w:kern w:val="0"/>
                <w:szCs w:val="21"/>
                <w:highlight w:val="none"/>
              </w:rPr>
              <w:t>Y≥80000</w:t>
            </w:r>
          </w:p>
        </w:tc>
        <w:tc>
          <w:tcPr>
            <w:tcW w:w="1866" w:type="dxa"/>
            <w:tcBorders>
              <w:top w:val="nil"/>
              <w:left w:val="nil"/>
              <w:bottom w:val="nil"/>
              <w:right w:val="single" w:color="auto" w:sz="4" w:space="0"/>
            </w:tcBorders>
            <w:vAlign w:val="center"/>
          </w:tcPr>
          <w:p w14:paraId="6B63BF0C">
            <w:pPr>
              <w:widowControl/>
              <w:jc w:val="center"/>
              <w:rPr>
                <w:rFonts w:hint="eastAsia" w:ascii="宋体" w:hAnsi="宋体" w:cs="宋体"/>
                <w:kern w:val="0"/>
                <w:szCs w:val="21"/>
                <w:highlight w:val="none"/>
              </w:rPr>
            </w:pPr>
            <w:r>
              <w:rPr>
                <w:rFonts w:hint="eastAsia" w:ascii="宋体" w:hAnsi="宋体" w:cs="宋体"/>
                <w:kern w:val="0"/>
                <w:szCs w:val="21"/>
                <w:highlight w:val="none"/>
              </w:rPr>
              <w:t>6000≤Y＜80000</w:t>
            </w:r>
          </w:p>
        </w:tc>
        <w:tc>
          <w:tcPr>
            <w:tcW w:w="1567" w:type="dxa"/>
            <w:tcBorders>
              <w:top w:val="nil"/>
              <w:left w:val="nil"/>
              <w:bottom w:val="nil"/>
              <w:right w:val="single" w:color="auto" w:sz="4" w:space="0"/>
            </w:tcBorders>
            <w:vAlign w:val="center"/>
          </w:tcPr>
          <w:p w14:paraId="6CA51D80">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300≤Y＜6000</w:t>
            </w:r>
          </w:p>
        </w:tc>
        <w:tc>
          <w:tcPr>
            <w:tcW w:w="1046" w:type="dxa"/>
            <w:tcBorders>
              <w:top w:val="nil"/>
              <w:left w:val="nil"/>
              <w:bottom w:val="nil"/>
              <w:right w:val="nil"/>
            </w:tcBorders>
            <w:vAlign w:val="center"/>
          </w:tcPr>
          <w:p w14:paraId="1569B84E">
            <w:pPr>
              <w:widowControl/>
              <w:jc w:val="center"/>
              <w:rPr>
                <w:rFonts w:hint="eastAsia" w:ascii="宋体" w:hAnsi="宋体" w:cs="宋体"/>
                <w:kern w:val="0"/>
                <w:szCs w:val="21"/>
                <w:highlight w:val="none"/>
              </w:rPr>
            </w:pPr>
            <w:r>
              <w:rPr>
                <w:rFonts w:hint="eastAsia" w:ascii="宋体" w:hAnsi="宋体" w:cs="宋体"/>
                <w:kern w:val="0"/>
                <w:szCs w:val="21"/>
                <w:highlight w:val="none"/>
              </w:rPr>
              <w:t>Y＜300</w:t>
            </w:r>
          </w:p>
        </w:tc>
      </w:tr>
      <w:tr w14:paraId="5EC7312A">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37F7DC33">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3AC75DA1">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0D5FBFCF">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D4E2544">
            <w:pPr>
              <w:widowControl/>
              <w:jc w:val="center"/>
              <w:rPr>
                <w:rFonts w:hint="eastAsia" w:ascii="宋体" w:hAnsi="宋体" w:cs="宋体"/>
                <w:kern w:val="0"/>
                <w:szCs w:val="21"/>
                <w:highlight w:val="none"/>
              </w:rPr>
            </w:pPr>
            <w:r>
              <w:rPr>
                <w:rFonts w:hint="eastAsia" w:ascii="宋体" w:hAnsi="宋体" w:cs="宋体"/>
                <w:kern w:val="0"/>
                <w:szCs w:val="21"/>
                <w:highlight w:val="none"/>
              </w:rPr>
              <w:t>Z≥80000</w:t>
            </w:r>
          </w:p>
        </w:tc>
        <w:tc>
          <w:tcPr>
            <w:tcW w:w="1866" w:type="dxa"/>
            <w:tcBorders>
              <w:top w:val="nil"/>
              <w:left w:val="nil"/>
              <w:bottom w:val="single" w:color="auto" w:sz="4" w:space="0"/>
              <w:right w:val="single" w:color="auto" w:sz="4" w:space="0"/>
            </w:tcBorders>
            <w:vAlign w:val="center"/>
          </w:tcPr>
          <w:p w14:paraId="29F87CF8">
            <w:pPr>
              <w:widowControl/>
              <w:jc w:val="center"/>
              <w:rPr>
                <w:rFonts w:hint="eastAsia" w:ascii="宋体" w:hAnsi="宋体" w:cs="宋体"/>
                <w:kern w:val="0"/>
                <w:szCs w:val="21"/>
                <w:highlight w:val="none"/>
              </w:rPr>
            </w:pPr>
            <w:r>
              <w:rPr>
                <w:rFonts w:hint="eastAsia" w:ascii="宋体" w:hAnsi="宋体" w:cs="宋体"/>
                <w:kern w:val="0"/>
                <w:szCs w:val="21"/>
                <w:highlight w:val="none"/>
              </w:rPr>
              <w:t>5000≤Z＜80000</w:t>
            </w:r>
          </w:p>
        </w:tc>
        <w:tc>
          <w:tcPr>
            <w:tcW w:w="1567" w:type="dxa"/>
            <w:tcBorders>
              <w:top w:val="nil"/>
              <w:left w:val="nil"/>
              <w:bottom w:val="single" w:color="auto" w:sz="4" w:space="0"/>
              <w:right w:val="single" w:color="auto" w:sz="4" w:space="0"/>
            </w:tcBorders>
            <w:vAlign w:val="center"/>
          </w:tcPr>
          <w:p w14:paraId="3CDEF2B6">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300≤Z＜5000</w:t>
            </w:r>
          </w:p>
        </w:tc>
        <w:tc>
          <w:tcPr>
            <w:tcW w:w="1046" w:type="dxa"/>
            <w:tcBorders>
              <w:top w:val="nil"/>
              <w:left w:val="nil"/>
              <w:bottom w:val="single" w:color="auto" w:sz="4" w:space="0"/>
              <w:right w:val="nil"/>
            </w:tcBorders>
            <w:vAlign w:val="center"/>
          </w:tcPr>
          <w:p w14:paraId="501207EF">
            <w:pPr>
              <w:widowControl/>
              <w:jc w:val="center"/>
              <w:rPr>
                <w:rFonts w:hint="eastAsia" w:ascii="宋体" w:hAnsi="宋体" w:cs="宋体"/>
                <w:kern w:val="0"/>
                <w:szCs w:val="21"/>
                <w:highlight w:val="none"/>
              </w:rPr>
            </w:pPr>
            <w:r>
              <w:rPr>
                <w:rFonts w:hint="eastAsia" w:ascii="宋体" w:hAnsi="宋体" w:cs="宋体"/>
                <w:kern w:val="0"/>
                <w:szCs w:val="21"/>
                <w:highlight w:val="none"/>
              </w:rPr>
              <w:t>Z＜300</w:t>
            </w:r>
          </w:p>
        </w:tc>
      </w:tr>
      <w:tr w14:paraId="26EF187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1AB61431">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批发业</w:t>
            </w:r>
          </w:p>
        </w:tc>
        <w:tc>
          <w:tcPr>
            <w:tcW w:w="1750" w:type="dxa"/>
            <w:tcBorders>
              <w:top w:val="nil"/>
              <w:left w:val="nil"/>
              <w:bottom w:val="nil"/>
              <w:right w:val="single" w:color="auto" w:sz="4" w:space="0"/>
            </w:tcBorders>
            <w:vAlign w:val="center"/>
          </w:tcPr>
          <w:p w14:paraId="56315FE9">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3F394BC1">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141C0A5A">
            <w:pPr>
              <w:widowControl/>
              <w:jc w:val="center"/>
              <w:rPr>
                <w:rFonts w:hint="eastAsia" w:ascii="宋体" w:hAnsi="宋体" w:cs="宋体"/>
                <w:kern w:val="0"/>
                <w:szCs w:val="21"/>
                <w:highlight w:val="none"/>
              </w:rPr>
            </w:pPr>
            <w:r>
              <w:rPr>
                <w:rFonts w:hint="eastAsia" w:ascii="宋体" w:hAnsi="宋体" w:cs="宋体"/>
                <w:kern w:val="0"/>
                <w:szCs w:val="21"/>
                <w:highlight w:val="none"/>
              </w:rPr>
              <w:t>X≥200</w:t>
            </w:r>
          </w:p>
        </w:tc>
        <w:tc>
          <w:tcPr>
            <w:tcW w:w="1866" w:type="dxa"/>
            <w:tcBorders>
              <w:top w:val="nil"/>
              <w:left w:val="nil"/>
              <w:bottom w:val="nil"/>
              <w:right w:val="single" w:color="auto" w:sz="4" w:space="0"/>
            </w:tcBorders>
            <w:vAlign w:val="center"/>
          </w:tcPr>
          <w:p w14:paraId="12C5CD01">
            <w:pPr>
              <w:widowControl/>
              <w:jc w:val="center"/>
              <w:rPr>
                <w:rFonts w:hint="eastAsia" w:ascii="宋体" w:hAnsi="宋体" w:cs="宋体"/>
                <w:kern w:val="0"/>
                <w:szCs w:val="21"/>
                <w:highlight w:val="none"/>
              </w:rPr>
            </w:pPr>
            <w:r>
              <w:rPr>
                <w:rFonts w:hint="eastAsia" w:ascii="宋体" w:hAnsi="宋体" w:cs="宋体"/>
                <w:kern w:val="0"/>
                <w:szCs w:val="21"/>
                <w:highlight w:val="none"/>
              </w:rPr>
              <w:t>20≤X＜200</w:t>
            </w:r>
          </w:p>
        </w:tc>
        <w:tc>
          <w:tcPr>
            <w:tcW w:w="1567" w:type="dxa"/>
            <w:tcBorders>
              <w:top w:val="nil"/>
              <w:left w:val="nil"/>
              <w:bottom w:val="nil"/>
              <w:right w:val="single" w:color="auto" w:sz="4" w:space="0"/>
            </w:tcBorders>
            <w:vAlign w:val="center"/>
          </w:tcPr>
          <w:p w14:paraId="49565C94">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5≤X＜20</w:t>
            </w:r>
          </w:p>
        </w:tc>
        <w:tc>
          <w:tcPr>
            <w:tcW w:w="1046" w:type="dxa"/>
            <w:tcBorders>
              <w:top w:val="nil"/>
              <w:left w:val="nil"/>
              <w:bottom w:val="nil"/>
              <w:right w:val="nil"/>
            </w:tcBorders>
            <w:vAlign w:val="center"/>
          </w:tcPr>
          <w:p w14:paraId="112A82F8">
            <w:pPr>
              <w:widowControl/>
              <w:jc w:val="center"/>
              <w:rPr>
                <w:rFonts w:hint="eastAsia" w:ascii="宋体" w:hAnsi="宋体" w:cs="宋体"/>
                <w:kern w:val="0"/>
                <w:szCs w:val="21"/>
                <w:highlight w:val="none"/>
              </w:rPr>
            </w:pPr>
            <w:r>
              <w:rPr>
                <w:rFonts w:hint="eastAsia" w:ascii="宋体" w:hAnsi="宋体" w:cs="宋体"/>
                <w:kern w:val="0"/>
                <w:szCs w:val="21"/>
                <w:highlight w:val="none"/>
              </w:rPr>
              <w:t>X＜5</w:t>
            </w:r>
          </w:p>
        </w:tc>
      </w:tr>
      <w:tr w14:paraId="2A6B6CB1">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3D8A8C29">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072FCF33">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502C83E2">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56CC6352">
            <w:pPr>
              <w:widowControl/>
              <w:jc w:val="center"/>
              <w:rPr>
                <w:rFonts w:hint="eastAsia" w:ascii="宋体" w:hAnsi="宋体" w:cs="宋体"/>
                <w:kern w:val="0"/>
                <w:szCs w:val="21"/>
                <w:highlight w:val="none"/>
              </w:rPr>
            </w:pPr>
            <w:r>
              <w:rPr>
                <w:rFonts w:hint="eastAsia" w:ascii="宋体" w:hAnsi="宋体" w:cs="宋体"/>
                <w:kern w:val="0"/>
                <w:szCs w:val="21"/>
                <w:highlight w:val="none"/>
              </w:rPr>
              <w:t>Y≥40000</w:t>
            </w:r>
          </w:p>
        </w:tc>
        <w:tc>
          <w:tcPr>
            <w:tcW w:w="1866" w:type="dxa"/>
            <w:tcBorders>
              <w:top w:val="nil"/>
              <w:left w:val="nil"/>
              <w:bottom w:val="single" w:color="auto" w:sz="4" w:space="0"/>
              <w:right w:val="single" w:color="auto" w:sz="4" w:space="0"/>
            </w:tcBorders>
            <w:vAlign w:val="center"/>
          </w:tcPr>
          <w:p w14:paraId="7A0B220B">
            <w:pPr>
              <w:widowControl/>
              <w:jc w:val="center"/>
              <w:rPr>
                <w:rFonts w:hint="eastAsia" w:ascii="宋体" w:hAnsi="宋体" w:cs="宋体"/>
                <w:kern w:val="0"/>
                <w:szCs w:val="21"/>
                <w:highlight w:val="none"/>
              </w:rPr>
            </w:pPr>
            <w:r>
              <w:rPr>
                <w:rFonts w:hint="eastAsia" w:ascii="宋体" w:hAnsi="宋体" w:cs="宋体"/>
                <w:kern w:val="0"/>
                <w:szCs w:val="21"/>
                <w:highlight w:val="none"/>
              </w:rPr>
              <w:t>5000≤Y＜40000</w:t>
            </w:r>
          </w:p>
        </w:tc>
        <w:tc>
          <w:tcPr>
            <w:tcW w:w="1567" w:type="dxa"/>
            <w:tcBorders>
              <w:top w:val="nil"/>
              <w:left w:val="nil"/>
              <w:bottom w:val="single" w:color="auto" w:sz="4" w:space="0"/>
              <w:right w:val="single" w:color="auto" w:sz="4" w:space="0"/>
            </w:tcBorders>
            <w:vAlign w:val="center"/>
          </w:tcPr>
          <w:p w14:paraId="1825F75C">
            <w:pPr>
              <w:widowControl/>
              <w:ind w:left="-1" w:leftChars="-1" w:hanging="1"/>
              <w:jc w:val="center"/>
              <w:rPr>
                <w:rFonts w:hint="eastAsia" w:ascii="宋体" w:hAnsi="宋体" w:cs="宋体"/>
                <w:kern w:val="0"/>
                <w:szCs w:val="21"/>
                <w:highlight w:val="none"/>
              </w:rPr>
            </w:pPr>
            <w:r>
              <w:rPr>
                <w:rFonts w:hint="eastAsia" w:ascii="宋体" w:hAnsi="宋体" w:cs="宋体"/>
                <w:kern w:val="0"/>
                <w:szCs w:val="21"/>
                <w:highlight w:val="none"/>
              </w:rPr>
              <w:t>1000≤Y＜5000</w:t>
            </w:r>
          </w:p>
        </w:tc>
        <w:tc>
          <w:tcPr>
            <w:tcW w:w="1046" w:type="dxa"/>
            <w:tcBorders>
              <w:top w:val="nil"/>
              <w:left w:val="nil"/>
              <w:bottom w:val="single" w:color="auto" w:sz="4" w:space="0"/>
              <w:right w:val="nil"/>
            </w:tcBorders>
            <w:vAlign w:val="center"/>
          </w:tcPr>
          <w:p w14:paraId="038F458A">
            <w:pPr>
              <w:widowControl/>
              <w:jc w:val="center"/>
              <w:rPr>
                <w:rFonts w:hint="eastAsia" w:ascii="宋体" w:hAnsi="宋体" w:cs="宋体"/>
                <w:kern w:val="0"/>
                <w:szCs w:val="21"/>
                <w:highlight w:val="none"/>
              </w:rPr>
            </w:pPr>
            <w:r>
              <w:rPr>
                <w:rFonts w:hint="eastAsia" w:ascii="宋体" w:hAnsi="宋体" w:cs="宋体"/>
                <w:kern w:val="0"/>
                <w:szCs w:val="21"/>
                <w:highlight w:val="none"/>
              </w:rPr>
              <w:t>Y＜1000</w:t>
            </w:r>
          </w:p>
        </w:tc>
      </w:tr>
      <w:tr w14:paraId="134FEBB1">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635868F">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零售业</w:t>
            </w:r>
          </w:p>
        </w:tc>
        <w:tc>
          <w:tcPr>
            <w:tcW w:w="1750" w:type="dxa"/>
            <w:tcBorders>
              <w:top w:val="nil"/>
              <w:left w:val="nil"/>
              <w:bottom w:val="nil"/>
              <w:right w:val="single" w:color="auto" w:sz="4" w:space="0"/>
            </w:tcBorders>
            <w:vAlign w:val="center"/>
          </w:tcPr>
          <w:p w14:paraId="7E7807FE">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5DD798C7">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330CEDB9">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1208AD79">
            <w:pPr>
              <w:widowControl/>
              <w:jc w:val="center"/>
              <w:rPr>
                <w:rFonts w:hint="eastAsia" w:ascii="宋体" w:hAnsi="宋体" w:cs="宋体"/>
                <w:kern w:val="0"/>
                <w:szCs w:val="21"/>
                <w:highlight w:val="none"/>
              </w:rPr>
            </w:pPr>
            <w:r>
              <w:rPr>
                <w:rFonts w:hint="eastAsia" w:ascii="宋体" w:hAnsi="宋体" w:cs="宋体"/>
                <w:kern w:val="0"/>
                <w:szCs w:val="21"/>
                <w:highlight w:val="none"/>
              </w:rPr>
              <w:t>50≤X＜300</w:t>
            </w:r>
          </w:p>
        </w:tc>
        <w:tc>
          <w:tcPr>
            <w:tcW w:w="1567" w:type="dxa"/>
            <w:tcBorders>
              <w:top w:val="nil"/>
              <w:left w:val="nil"/>
              <w:bottom w:val="nil"/>
              <w:right w:val="single" w:color="auto" w:sz="4" w:space="0"/>
            </w:tcBorders>
            <w:vAlign w:val="center"/>
          </w:tcPr>
          <w:p w14:paraId="71F3B792">
            <w:pPr>
              <w:widowControl/>
              <w:ind w:left="-1" w:leftChars="-1" w:hanging="1"/>
              <w:jc w:val="center"/>
              <w:rPr>
                <w:rFonts w:hint="eastAsia" w:ascii="宋体" w:hAnsi="宋体" w:cs="宋体"/>
                <w:kern w:val="0"/>
                <w:szCs w:val="21"/>
                <w:highlight w:val="none"/>
              </w:rPr>
            </w:pPr>
            <w:r>
              <w:rPr>
                <w:rFonts w:hint="eastAsia" w:ascii="宋体" w:hAnsi="宋体" w:cs="宋体"/>
                <w:kern w:val="0"/>
                <w:szCs w:val="21"/>
                <w:highlight w:val="none"/>
              </w:rPr>
              <w:t xml:space="preserve">10≤X＜50 </w:t>
            </w:r>
          </w:p>
        </w:tc>
        <w:tc>
          <w:tcPr>
            <w:tcW w:w="1046" w:type="dxa"/>
            <w:tcBorders>
              <w:top w:val="nil"/>
              <w:left w:val="nil"/>
              <w:bottom w:val="nil"/>
              <w:right w:val="nil"/>
            </w:tcBorders>
            <w:vAlign w:val="center"/>
          </w:tcPr>
          <w:p w14:paraId="2DD65A38">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49EFE105">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7C119481">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497B0356">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0F3BD86E">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05EAB3CE">
            <w:pPr>
              <w:widowControl/>
              <w:jc w:val="center"/>
              <w:rPr>
                <w:rFonts w:hint="eastAsia" w:ascii="宋体" w:hAnsi="宋体" w:cs="宋体"/>
                <w:kern w:val="0"/>
                <w:szCs w:val="21"/>
                <w:highlight w:val="none"/>
              </w:rPr>
            </w:pPr>
            <w:r>
              <w:rPr>
                <w:rFonts w:hint="eastAsia" w:ascii="宋体" w:hAnsi="宋体" w:cs="宋体"/>
                <w:kern w:val="0"/>
                <w:szCs w:val="21"/>
                <w:highlight w:val="none"/>
              </w:rPr>
              <w:t>Y≥20000</w:t>
            </w:r>
          </w:p>
        </w:tc>
        <w:tc>
          <w:tcPr>
            <w:tcW w:w="1866" w:type="dxa"/>
            <w:tcBorders>
              <w:top w:val="nil"/>
              <w:left w:val="nil"/>
              <w:bottom w:val="single" w:color="auto" w:sz="4" w:space="0"/>
              <w:right w:val="single" w:color="auto" w:sz="4" w:space="0"/>
            </w:tcBorders>
            <w:vAlign w:val="center"/>
          </w:tcPr>
          <w:p w14:paraId="18009006">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68A1F3C5">
            <w:pPr>
              <w:widowControl/>
              <w:ind w:left="-1" w:leftChars="-1" w:hanging="1"/>
              <w:jc w:val="center"/>
              <w:rPr>
                <w:rFonts w:hint="eastAsia" w:ascii="宋体" w:hAnsi="宋体" w:cs="宋体"/>
                <w:kern w:val="0"/>
                <w:szCs w:val="21"/>
                <w:highlight w:val="none"/>
              </w:rPr>
            </w:pPr>
            <w:r>
              <w:rPr>
                <w:rFonts w:hint="eastAsia" w:ascii="宋体" w:hAnsi="宋体" w:cs="宋体"/>
                <w:kern w:val="0"/>
                <w:szCs w:val="21"/>
                <w:highlight w:val="none"/>
              </w:rPr>
              <w:t xml:space="preserve">100≤Y＜500 </w:t>
            </w:r>
          </w:p>
        </w:tc>
        <w:tc>
          <w:tcPr>
            <w:tcW w:w="1046" w:type="dxa"/>
            <w:tcBorders>
              <w:top w:val="nil"/>
              <w:left w:val="nil"/>
              <w:bottom w:val="single" w:color="auto" w:sz="4" w:space="0"/>
              <w:right w:val="nil"/>
            </w:tcBorders>
            <w:vAlign w:val="center"/>
          </w:tcPr>
          <w:p w14:paraId="2811B23F">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7E4B5FF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12985742">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交通运输业 *</w:t>
            </w:r>
          </w:p>
        </w:tc>
        <w:tc>
          <w:tcPr>
            <w:tcW w:w="1750" w:type="dxa"/>
            <w:tcBorders>
              <w:top w:val="nil"/>
              <w:left w:val="nil"/>
              <w:bottom w:val="nil"/>
              <w:right w:val="single" w:color="auto" w:sz="4" w:space="0"/>
            </w:tcBorders>
            <w:vAlign w:val="center"/>
          </w:tcPr>
          <w:p w14:paraId="79583BAA">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48F5EDE8">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1DB4AE95">
            <w:pPr>
              <w:widowControl/>
              <w:jc w:val="center"/>
              <w:rPr>
                <w:rFonts w:hint="eastAsia"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14:paraId="379A40AD">
            <w:pPr>
              <w:widowControl/>
              <w:jc w:val="center"/>
              <w:rPr>
                <w:rFonts w:hint="eastAsia"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14:paraId="33B00FAE">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20≤X＜300</w:t>
            </w:r>
          </w:p>
        </w:tc>
        <w:tc>
          <w:tcPr>
            <w:tcW w:w="1046" w:type="dxa"/>
            <w:tcBorders>
              <w:top w:val="nil"/>
              <w:left w:val="nil"/>
              <w:bottom w:val="nil"/>
              <w:right w:val="nil"/>
            </w:tcBorders>
            <w:vAlign w:val="center"/>
          </w:tcPr>
          <w:p w14:paraId="04565018">
            <w:pPr>
              <w:widowControl/>
              <w:jc w:val="center"/>
              <w:rPr>
                <w:rFonts w:hint="eastAsia" w:ascii="宋体" w:hAnsi="宋体" w:cs="宋体"/>
                <w:kern w:val="0"/>
                <w:szCs w:val="21"/>
                <w:highlight w:val="none"/>
              </w:rPr>
            </w:pPr>
            <w:r>
              <w:rPr>
                <w:rFonts w:hint="eastAsia" w:ascii="宋体" w:hAnsi="宋体" w:cs="宋体"/>
                <w:kern w:val="0"/>
                <w:szCs w:val="21"/>
                <w:highlight w:val="none"/>
              </w:rPr>
              <w:t>X＜20</w:t>
            </w:r>
          </w:p>
        </w:tc>
      </w:tr>
      <w:tr w14:paraId="5C02807F">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2CAC755F">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6F1F88AA">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7CAC2B8">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89CC21F">
            <w:pPr>
              <w:widowControl/>
              <w:jc w:val="center"/>
              <w:rPr>
                <w:rFonts w:hint="eastAsia" w:ascii="宋体" w:hAnsi="宋体" w:cs="宋体"/>
                <w:kern w:val="0"/>
                <w:szCs w:val="21"/>
                <w:highlight w:val="none"/>
              </w:rPr>
            </w:pPr>
            <w:r>
              <w:rPr>
                <w:rFonts w:hint="eastAsia" w:ascii="宋体" w:hAnsi="宋体" w:cs="宋体"/>
                <w:kern w:val="0"/>
                <w:szCs w:val="21"/>
                <w:highlight w:val="none"/>
              </w:rPr>
              <w:t>Y≥30000</w:t>
            </w:r>
          </w:p>
        </w:tc>
        <w:tc>
          <w:tcPr>
            <w:tcW w:w="1866" w:type="dxa"/>
            <w:tcBorders>
              <w:top w:val="nil"/>
              <w:left w:val="nil"/>
              <w:bottom w:val="single" w:color="auto" w:sz="4" w:space="0"/>
              <w:right w:val="single" w:color="auto" w:sz="4" w:space="0"/>
            </w:tcBorders>
            <w:vAlign w:val="center"/>
          </w:tcPr>
          <w:p w14:paraId="20CFD85C">
            <w:pPr>
              <w:widowControl/>
              <w:jc w:val="center"/>
              <w:rPr>
                <w:rFonts w:hint="eastAsia" w:ascii="宋体" w:hAnsi="宋体" w:cs="宋体"/>
                <w:kern w:val="0"/>
                <w:szCs w:val="21"/>
                <w:highlight w:val="none"/>
              </w:rPr>
            </w:pPr>
            <w:r>
              <w:rPr>
                <w:rFonts w:hint="eastAsia" w:ascii="宋体" w:hAnsi="宋体" w:cs="宋体"/>
                <w:kern w:val="0"/>
                <w:szCs w:val="21"/>
                <w:highlight w:val="none"/>
              </w:rPr>
              <w:t>3000≤Y＜30000</w:t>
            </w:r>
          </w:p>
        </w:tc>
        <w:tc>
          <w:tcPr>
            <w:tcW w:w="1567" w:type="dxa"/>
            <w:tcBorders>
              <w:top w:val="nil"/>
              <w:left w:val="nil"/>
              <w:bottom w:val="single" w:color="auto" w:sz="4" w:space="0"/>
              <w:right w:val="single" w:color="auto" w:sz="4" w:space="0"/>
            </w:tcBorders>
            <w:vAlign w:val="center"/>
          </w:tcPr>
          <w:p w14:paraId="60AC04A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200≤Y＜3000</w:t>
            </w:r>
          </w:p>
        </w:tc>
        <w:tc>
          <w:tcPr>
            <w:tcW w:w="1046" w:type="dxa"/>
            <w:tcBorders>
              <w:top w:val="nil"/>
              <w:left w:val="nil"/>
              <w:bottom w:val="single" w:color="auto" w:sz="4" w:space="0"/>
              <w:right w:val="nil"/>
            </w:tcBorders>
            <w:vAlign w:val="center"/>
          </w:tcPr>
          <w:p w14:paraId="423A9211">
            <w:pPr>
              <w:widowControl/>
              <w:jc w:val="center"/>
              <w:rPr>
                <w:rFonts w:hint="eastAsia" w:ascii="宋体" w:hAnsi="宋体" w:cs="宋体"/>
                <w:kern w:val="0"/>
                <w:szCs w:val="21"/>
                <w:highlight w:val="none"/>
              </w:rPr>
            </w:pPr>
            <w:r>
              <w:rPr>
                <w:rFonts w:hint="eastAsia" w:ascii="宋体" w:hAnsi="宋体" w:cs="宋体"/>
                <w:kern w:val="0"/>
                <w:szCs w:val="21"/>
                <w:highlight w:val="none"/>
              </w:rPr>
              <w:t>Y＜200</w:t>
            </w:r>
          </w:p>
        </w:tc>
      </w:tr>
      <w:tr w14:paraId="37501277">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7087EAC">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仓储业*</w:t>
            </w:r>
          </w:p>
        </w:tc>
        <w:tc>
          <w:tcPr>
            <w:tcW w:w="1750" w:type="dxa"/>
            <w:tcBorders>
              <w:top w:val="nil"/>
              <w:left w:val="nil"/>
              <w:bottom w:val="nil"/>
              <w:right w:val="single" w:color="auto" w:sz="4" w:space="0"/>
            </w:tcBorders>
            <w:vAlign w:val="center"/>
          </w:tcPr>
          <w:p w14:paraId="4BF073F6">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629D7849">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4E1C7324">
            <w:pPr>
              <w:widowControl/>
              <w:jc w:val="center"/>
              <w:rPr>
                <w:rFonts w:hint="eastAsia" w:ascii="宋体" w:hAnsi="宋体" w:cs="宋体"/>
                <w:kern w:val="0"/>
                <w:szCs w:val="21"/>
                <w:highlight w:val="none"/>
              </w:rPr>
            </w:pPr>
            <w:r>
              <w:rPr>
                <w:rFonts w:hint="eastAsia" w:ascii="宋体" w:hAnsi="宋体" w:cs="宋体"/>
                <w:kern w:val="0"/>
                <w:szCs w:val="21"/>
                <w:highlight w:val="none"/>
              </w:rPr>
              <w:t>X≥200</w:t>
            </w:r>
          </w:p>
        </w:tc>
        <w:tc>
          <w:tcPr>
            <w:tcW w:w="1866" w:type="dxa"/>
            <w:tcBorders>
              <w:top w:val="nil"/>
              <w:left w:val="nil"/>
              <w:bottom w:val="nil"/>
              <w:right w:val="single" w:color="auto" w:sz="4" w:space="0"/>
            </w:tcBorders>
            <w:vAlign w:val="center"/>
          </w:tcPr>
          <w:p w14:paraId="347A1820">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100≤X＜200</w:t>
            </w:r>
          </w:p>
        </w:tc>
        <w:tc>
          <w:tcPr>
            <w:tcW w:w="1567" w:type="dxa"/>
            <w:tcBorders>
              <w:top w:val="nil"/>
              <w:left w:val="nil"/>
              <w:bottom w:val="nil"/>
              <w:right w:val="single" w:color="auto" w:sz="4" w:space="0"/>
            </w:tcBorders>
            <w:vAlign w:val="center"/>
          </w:tcPr>
          <w:p w14:paraId="4AFC5A9E">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20≤X＜100</w:t>
            </w:r>
          </w:p>
        </w:tc>
        <w:tc>
          <w:tcPr>
            <w:tcW w:w="1046" w:type="dxa"/>
            <w:tcBorders>
              <w:top w:val="nil"/>
              <w:left w:val="nil"/>
              <w:bottom w:val="nil"/>
              <w:right w:val="nil"/>
            </w:tcBorders>
            <w:vAlign w:val="center"/>
          </w:tcPr>
          <w:p w14:paraId="4E2D34D1">
            <w:pPr>
              <w:widowControl/>
              <w:jc w:val="center"/>
              <w:rPr>
                <w:rFonts w:hint="eastAsia" w:ascii="宋体" w:hAnsi="宋体" w:cs="宋体"/>
                <w:kern w:val="0"/>
                <w:szCs w:val="21"/>
                <w:highlight w:val="none"/>
              </w:rPr>
            </w:pPr>
            <w:r>
              <w:rPr>
                <w:rFonts w:hint="eastAsia" w:ascii="宋体" w:hAnsi="宋体" w:cs="宋体"/>
                <w:kern w:val="0"/>
                <w:szCs w:val="21"/>
                <w:highlight w:val="none"/>
              </w:rPr>
              <w:t>X＜20</w:t>
            </w:r>
          </w:p>
        </w:tc>
      </w:tr>
      <w:tr w14:paraId="68E65F69">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15E11F39">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787785D3">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1C55F1BB">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8275300">
            <w:pPr>
              <w:widowControl/>
              <w:jc w:val="center"/>
              <w:rPr>
                <w:rFonts w:hint="eastAsia" w:ascii="宋体" w:hAnsi="宋体" w:cs="宋体"/>
                <w:kern w:val="0"/>
                <w:szCs w:val="21"/>
                <w:highlight w:val="none"/>
              </w:rPr>
            </w:pPr>
            <w:r>
              <w:rPr>
                <w:rFonts w:hint="eastAsia" w:ascii="宋体" w:hAnsi="宋体" w:cs="宋体"/>
                <w:kern w:val="0"/>
                <w:szCs w:val="21"/>
                <w:highlight w:val="none"/>
              </w:rPr>
              <w:t>Y≥30000</w:t>
            </w:r>
          </w:p>
        </w:tc>
        <w:tc>
          <w:tcPr>
            <w:tcW w:w="1866" w:type="dxa"/>
            <w:tcBorders>
              <w:top w:val="nil"/>
              <w:left w:val="nil"/>
              <w:bottom w:val="single" w:color="auto" w:sz="4" w:space="0"/>
              <w:right w:val="single" w:color="auto" w:sz="4" w:space="0"/>
            </w:tcBorders>
            <w:vAlign w:val="center"/>
          </w:tcPr>
          <w:p w14:paraId="07A7E618">
            <w:pPr>
              <w:widowControl/>
              <w:jc w:val="center"/>
              <w:rPr>
                <w:rFonts w:hint="eastAsia" w:ascii="宋体" w:hAnsi="宋体" w:cs="宋体"/>
                <w:kern w:val="0"/>
                <w:szCs w:val="21"/>
                <w:highlight w:val="none"/>
              </w:rPr>
            </w:pPr>
            <w:r>
              <w:rPr>
                <w:rFonts w:hint="eastAsia" w:ascii="宋体" w:hAnsi="宋体" w:cs="宋体"/>
                <w:kern w:val="0"/>
                <w:szCs w:val="21"/>
                <w:highlight w:val="none"/>
              </w:rPr>
              <w:t>1000≤Y＜30000</w:t>
            </w:r>
          </w:p>
        </w:tc>
        <w:tc>
          <w:tcPr>
            <w:tcW w:w="1567" w:type="dxa"/>
            <w:tcBorders>
              <w:top w:val="nil"/>
              <w:left w:val="nil"/>
              <w:bottom w:val="single" w:color="auto" w:sz="4" w:space="0"/>
              <w:right w:val="single" w:color="auto" w:sz="4" w:space="0"/>
            </w:tcBorders>
            <w:vAlign w:val="center"/>
          </w:tcPr>
          <w:p w14:paraId="4F32D7F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100≤Y＜1000</w:t>
            </w:r>
          </w:p>
        </w:tc>
        <w:tc>
          <w:tcPr>
            <w:tcW w:w="1046" w:type="dxa"/>
            <w:tcBorders>
              <w:top w:val="nil"/>
              <w:left w:val="nil"/>
              <w:bottom w:val="single" w:color="auto" w:sz="4" w:space="0"/>
              <w:right w:val="nil"/>
            </w:tcBorders>
            <w:vAlign w:val="center"/>
          </w:tcPr>
          <w:p w14:paraId="6C9345B7">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1C577E29">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8E72891">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邮政业</w:t>
            </w:r>
          </w:p>
        </w:tc>
        <w:tc>
          <w:tcPr>
            <w:tcW w:w="1750" w:type="dxa"/>
            <w:tcBorders>
              <w:top w:val="nil"/>
              <w:left w:val="nil"/>
              <w:bottom w:val="nil"/>
              <w:right w:val="single" w:color="auto" w:sz="4" w:space="0"/>
            </w:tcBorders>
            <w:vAlign w:val="center"/>
          </w:tcPr>
          <w:p w14:paraId="070C3253">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79F33FFD">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03EAC2B4">
            <w:pPr>
              <w:widowControl/>
              <w:jc w:val="center"/>
              <w:rPr>
                <w:rFonts w:hint="eastAsia"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14:paraId="603C152F">
            <w:pPr>
              <w:widowControl/>
              <w:jc w:val="center"/>
              <w:rPr>
                <w:rFonts w:hint="eastAsia"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14:paraId="7C0582D6">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20≤X＜300</w:t>
            </w:r>
          </w:p>
        </w:tc>
        <w:tc>
          <w:tcPr>
            <w:tcW w:w="1046" w:type="dxa"/>
            <w:tcBorders>
              <w:top w:val="nil"/>
              <w:left w:val="nil"/>
              <w:bottom w:val="nil"/>
              <w:right w:val="nil"/>
            </w:tcBorders>
            <w:vAlign w:val="center"/>
          </w:tcPr>
          <w:p w14:paraId="7A7958FB">
            <w:pPr>
              <w:widowControl/>
              <w:jc w:val="center"/>
              <w:rPr>
                <w:rFonts w:hint="eastAsia" w:ascii="宋体" w:hAnsi="宋体" w:cs="宋体"/>
                <w:kern w:val="0"/>
                <w:szCs w:val="21"/>
                <w:highlight w:val="none"/>
              </w:rPr>
            </w:pPr>
            <w:r>
              <w:rPr>
                <w:rFonts w:hint="eastAsia" w:ascii="宋体" w:hAnsi="宋体" w:cs="宋体"/>
                <w:kern w:val="0"/>
                <w:szCs w:val="21"/>
                <w:highlight w:val="none"/>
              </w:rPr>
              <w:t>X＜20</w:t>
            </w:r>
          </w:p>
        </w:tc>
      </w:tr>
      <w:tr w14:paraId="5E27A748">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638FB0CD">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1A7E945F">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050EC992">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3579D57">
            <w:pPr>
              <w:widowControl/>
              <w:jc w:val="center"/>
              <w:rPr>
                <w:rFonts w:hint="eastAsia" w:ascii="宋体" w:hAnsi="宋体" w:cs="宋体"/>
                <w:kern w:val="0"/>
                <w:szCs w:val="21"/>
                <w:highlight w:val="none"/>
              </w:rPr>
            </w:pPr>
            <w:r>
              <w:rPr>
                <w:rFonts w:hint="eastAsia" w:ascii="宋体" w:hAnsi="宋体" w:cs="宋体"/>
                <w:kern w:val="0"/>
                <w:szCs w:val="21"/>
                <w:highlight w:val="none"/>
              </w:rPr>
              <w:t>Y≥30000</w:t>
            </w:r>
          </w:p>
        </w:tc>
        <w:tc>
          <w:tcPr>
            <w:tcW w:w="1866" w:type="dxa"/>
            <w:tcBorders>
              <w:top w:val="nil"/>
              <w:left w:val="nil"/>
              <w:bottom w:val="single" w:color="auto" w:sz="4" w:space="0"/>
              <w:right w:val="single" w:color="auto" w:sz="4" w:space="0"/>
            </w:tcBorders>
            <w:vAlign w:val="center"/>
          </w:tcPr>
          <w:p w14:paraId="733BC807">
            <w:pPr>
              <w:widowControl/>
              <w:jc w:val="center"/>
              <w:rPr>
                <w:rFonts w:hint="eastAsia" w:ascii="宋体" w:hAnsi="宋体" w:cs="宋体"/>
                <w:kern w:val="0"/>
                <w:szCs w:val="21"/>
                <w:highlight w:val="none"/>
              </w:rPr>
            </w:pPr>
            <w:r>
              <w:rPr>
                <w:rFonts w:hint="eastAsia" w:ascii="宋体" w:hAnsi="宋体" w:cs="宋体"/>
                <w:kern w:val="0"/>
                <w:szCs w:val="21"/>
                <w:highlight w:val="none"/>
              </w:rPr>
              <w:t>2000≤Y＜30000</w:t>
            </w:r>
          </w:p>
        </w:tc>
        <w:tc>
          <w:tcPr>
            <w:tcW w:w="1567" w:type="dxa"/>
            <w:tcBorders>
              <w:top w:val="nil"/>
              <w:left w:val="nil"/>
              <w:bottom w:val="single" w:color="auto" w:sz="4" w:space="0"/>
              <w:right w:val="single" w:color="auto" w:sz="4" w:space="0"/>
            </w:tcBorders>
            <w:vAlign w:val="center"/>
          </w:tcPr>
          <w:p w14:paraId="5775A1F0">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100≤Y＜2000</w:t>
            </w:r>
          </w:p>
        </w:tc>
        <w:tc>
          <w:tcPr>
            <w:tcW w:w="1046" w:type="dxa"/>
            <w:tcBorders>
              <w:top w:val="nil"/>
              <w:left w:val="nil"/>
              <w:bottom w:val="single" w:color="auto" w:sz="4" w:space="0"/>
              <w:right w:val="nil"/>
            </w:tcBorders>
            <w:vAlign w:val="center"/>
          </w:tcPr>
          <w:p w14:paraId="56D25585">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618B75A2">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32495870">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住宿业</w:t>
            </w:r>
          </w:p>
        </w:tc>
        <w:tc>
          <w:tcPr>
            <w:tcW w:w="1750" w:type="dxa"/>
            <w:tcBorders>
              <w:top w:val="nil"/>
              <w:left w:val="nil"/>
              <w:bottom w:val="nil"/>
              <w:right w:val="single" w:color="auto" w:sz="4" w:space="0"/>
            </w:tcBorders>
            <w:vAlign w:val="center"/>
          </w:tcPr>
          <w:p w14:paraId="42D28E03">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229EF450">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470F7821">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37806660">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14:paraId="53E4494A">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77DC829B">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532963A0">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3E2CB579">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543AB2D4">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6AEB60FB">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62F46196">
            <w:pPr>
              <w:widowControl/>
              <w:jc w:val="center"/>
              <w:rPr>
                <w:rFonts w:hint="eastAsia" w:ascii="宋体" w:hAnsi="宋体" w:cs="宋体"/>
                <w:kern w:val="0"/>
                <w:szCs w:val="21"/>
                <w:highlight w:val="none"/>
              </w:rPr>
            </w:pPr>
            <w:r>
              <w:rPr>
                <w:rFonts w:hint="eastAsia" w:ascii="宋体" w:hAnsi="宋体" w:cs="宋体"/>
                <w:kern w:val="0"/>
                <w:szCs w:val="21"/>
                <w:highlight w:val="none"/>
              </w:rPr>
              <w:t>Y≥10000</w:t>
            </w:r>
          </w:p>
        </w:tc>
        <w:tc>
          <w:tcPr>
            <w:tcW w:w="1866" w:type="dxa"/>
            <w:tcBorders>
              <w:top w:val="nil"/>
              <w:left w:val="nil"/>
              <w:bottom w:val="single" w:color="auto" w:sz="4" w:space="0"/>
              <w:right w:val="single" w:color="auto" w:sz="4" w:space="0"/>
            </w:tcBorders>
            <w:vAlign w:val="center"/>
          </w:tcPr>
          <w:p w14:paraId="5450A09E">
            <w:pPr>
              <w:widowControl/>
              <w:jc w:val="center"/>
              <w:rPr>
                <w:rFonts w:hint="eastAsia" w:ascii="宋体" w:hAnsi="宋体" w:cs="宋体"/>
                <w:kern w:val="0"/>
                <w:szCs w:val="21"/>
                <w:highlight w:val="none"/>
              </w:rPr>
            </w:pPr>
            <w:r>
              <w:rPr>
                <w:rFonts w:hint="eastAsia" w:ascii="宋体" w:hAnsi="宋体" w:cs="宋体"/>
                <w:kern w:val="0"/>
                <w:szCs w:val="21"/>
                <w:highlight w:val="none"/>
              </w:rPr>
              <w:t>2000≤Y＜10000</w:t>
            </w:r>
          </w:p>
        </w:tc>
        <w:tc>
          <w:tcPr>
            <w:tcW w:w="1567" w:type="dxa"/>
            <w:tcBorders>
              <w:top w:val="nil"/>
              <w:left w:val="nil"/>
              <w:bottom w:val="single" w:color="auto" w:sz="4" w:space="0"/>
              <w:right w:val="single" w:color="auto" w:sz="4" w:space="0"/>
            </w:tcBorders>
            <w:vAlign w:val="center"/>
          </w:tcPr>
          <w:p w14:paraId="342EA12B">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100≤Y＜2000</w:t>
            </w:r>
          </w:p>
        </w:tc>
        <w:tc>
          <w:tcPr>
            <w:tcW w:w="1046" w:type="dxa"/>
            <w:tcBorders>
              <w:top w:val="nil"/>
              <w:left w:val="nil"/>
              <w:bottom w:val="single" w:color="auto" w:sz="4" w:space="0"/>
              <w:right w:val="nil"/>
            </w:tcBorders>
            <w:vAlign w:val="center"/>
          </w:tcPr>
          <w:p w14:paraId="7BE9CB4E">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1D4A2640">
        <w:tblPrEx>
          <w:tblCellMar>
            <w:top w:w="0" w:type="dxa"/>
            <w:left w:w="108" w:type="dxa"/>
            <w:bottom w:w="0" w:type="dxa"/>
            <w:right w:w="108" w:type="dxa"/>
          </w:tblCellMar>
        </w:tblPrEx>
        <w:trPr>
          <w:trHeight w:val="442" w:hRule="exact"/>
          <w:jc w:val="center"/>
        </w:trPr>
        <w:tc>
          <w:tcPr>
            <w:tcW w:w="1930" w:type="dxa"/>
            <w:vMerge w:val="restart"/>
            <w:tcBorders>
              <w:top w:val="nil"/>
              <w:left w:val="nil"/>
              <w:bottom w:val="single" w:color="auto" w:sz="4" w:space="0"/>
              <w:right w:val="single" w:color="auto" w:sz="4" w:space="0"/>
            </w:tcBorders>
            <w:vAlign w:val="center"/>
          </w:tcPr>
          <w:p w14:paraId="75DFC75D">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餐饮业</w:t>
            </w:r>
          </w:p>
        </w:tc>
        <w:tc>
          <w:tcPr>
            <w:tcW w:w="1750" w:type="dxa"/>
            <w:tcBorders>
              <w:top w:val="nil"/>
              <w:left w:val="nil"/>
              <w:bottom w:val="nil"/>
              <w:right w:val="single" w:color="auto" w:sz="4" w:space="0"/>
            </w:tcBorders>
            <w:vAlign w:val="center"/>
          </w:tcPr>
          <w:p w14:paraId="24F03D9D">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2F786935">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3968E06F">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0776D56C">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14:paraId="74E65491">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434731B1">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3BE8F2AA">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0AA1BA6">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58F38432">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11236AA7">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16BF3F25">
            <w:pPr>
              <w:widowControl/>
              <w:jc w:val="center"/>
              <w:rPr>
                <w:rFonts w:hint="eastAsia" w:ascii="宋体" w:hAnsi="宋体" w:cs="宋体"/>
                <w:kern w:val="0"/>
                <w:szCs w:val="21"/>
                <w:highlight w:val="none"/>
              </w:rPr>
            </w:pPr>
            <w:r>
              <w:rPr>
                <w:rFonts w:hint="eastAsia" w:ascii="宋体" w:hAnsi="宋体" w:cs="宋体"/>
                <w:kern w:val="0"/>
                <w:szCs w:val="21"/>
                <w:highlight w:val="none"/>
              </w:rPr>
              <w:t>Y≥10000</w:t>
            </w:r>
          </w:p>
        </w:tc>
        <w:tc>
          <w:tcPr>
            <w:tcW w:w="1866" w:type="dxa"/>
            <w:tcBorders>
              <w:top w:val="nil"/>
              <w:left w:val="nil"/>
              <w:bottom w:val="single" w:color="auto" w:sz="4" w:space="0"/>
              <w:right w:val="single" w:color="auto" w:sz="4" w:space="0"/>
            </w:tcBorders>
            <w:vAlign w:val="center"/>
          </w:tcPr>
          <w:p w14:paraId="41E623F1">
            <w:pPr>
              <w:widowControl/>
              <w:jc w:val="center"/>
              <w:rPr>
                <w:rFonts w:hint="eastAsia" w:ascii="宋体" w:hAnsi="宋体" w:cs="宋体"/>
                <w:kern w:val="0"/>
                <w:szCs w:val="21"/>
                <w:highlight w:val="none"/>
              </w:rPr>
            </w:pPr>
            <w:r>
              <w:rPr>
                <w:rFonts w:hint="eastAsia" w:ascii="宋体" w:hAnsi="宋体" w:cs="宋体"/>
                <w:kern w:val="0"/>
                <w:szCs w:val="21"/>
                <w:highlight w:val="none"/>
              </w:rPr>
              <w:t>2000≤Y＜10000</w:t>
            </w:r>
          </w:p>
        </w:tc>
        <w:tc>
          <w:tcPr>
            <w:tcW w:w="1567" w:type="dxa"/>
            <w:tcBorders>
              <w:top w:val="nil"/>
              <w:left w:val="nil"/>
              <w:bottom w:val="single" w:color="auto" w:sz="4" w:space="0"/>
              <w:right w:val="single" w:color="auto" w:sz="4" w:space="0"/>
            </w:tcBorders>
            <w:vAlign w:val="center"/>
          </w:tcPr>
          <w:p w14:paraId="34FDA28D">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100≤Y＜2000</w:t>
            </w:r>
          </w:p>
        </w:tc>
        <w:tc>
          <w:tcPr>
            <w:tcW w:w="1046" w:type="dxa"/>
            <w:tcBorders>
              <w:top w:val="nil"/>
              <w:left w:val="nil"/>
              <w:bottom w:val="single" w:color="auto" w:sz="4" w:space="0"/>
              <w:right w:val="nil"/>
            </w:tcBorders>
            <w:vAlign w:val="center"/>
          </w:tcPr>
          <w:p w14:paraId="0151D870">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61B3CCCE">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2B24384">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信息传输业 *</w:t>
            </w:r>
          </w:p>
        </w:tc>
        <w:tc>
          <w:tcPr>
            <w:tcW w:w="1750" w:type="dxa"/>
            <w:tcBorders>
              <w:top w:val="nil"/>
              <w:left w:val="nil"/>
              <w:bottom w:val="nil"/>
              <w:right w:val="single" w:color="auto" w:sz="4" w:space="0"/>
            </w:tcBorders>
            <w:vAlign w:val="center"/>
          </w:tcPr>
          <w:p w14:paraId="3BD50980">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76DA58BA">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318AC09F">
            <w:pPr>
              <w:widowControl/>
              <w:jc w:val="center"/>
              <w:rPr>
                <w:rFonts w:hint="eastAsia" w:ascii="宋体" w:hAnsi="宋体" w:cs="宋体"/>
                <w:kern w:val="0"/>
                <w:szCs w:val="21"/>
                <w:highlight w:val="none"/>
              </w:rPr>
            </w:pPr>
            <w:r>
              <w:rPr>
                <w:rFonts w:hint="eastAsia" w:ascii="宋体" w:hAnsi="宋体" w:cs="宋体"/>
                <w:kern w:val="0"/>
                <w:szCs w:val="21"/>
                <w:highlight w:val="none"/>
              </w:rPr>
              <w:t>X≥2000</w:t>
            </w:r>
          </w:p>
        </w:tc>
        <w:tc>
          <w:tcPr>
            <w:tcW w:w="1866" w:type="dxa"/>
            <w:tcBorders>
              <w:top w:val="nil"/>
              <w:left w:val="nil"/>
              <w:bottom w:val="nil"/>
              <w:right w:val="single" w:color="auto" w:sz="4" w:space="0"/>
            </w:tcBorders>
            <w:vAlign w:val="center"/>
          </w:tcPr>
          <w:p w14:paraId="330C60B7">
            <w:pPr>
              <w:widowControl/>
              <w:jc w:val="center"/>
              <w:rPr>
                <w:rFonts w:hint="eastAsia" w:ascii="宋体" w:hAnsi="宋体" w:cs="宋体"/>
                <w:kern w:val="0"/>
                <w:szCs w:val="21"/>
                <w:highlight w:val="none"/>
              </w:rPr>
            </w:pPr>
            <w:r>
              <w:rPr>
                <w:rFonts w:hint="eastAsia" w:ascii="宋体" w:hAnsi="宋体" w:cs="宋体"/>
                <w:kern w:val="0"/>
                <w:szCs w:val="21"/>
                <w:highlight w:val="none"/>
              </w:rPr>
              <w:t>100≤X＜2000</w:t>
            </w:r>
          </w:p>
        </w:tc>
        <w:tc>
          <w:tcPr>
            <w:tcW w:w="1567" w:type="dxa"/>
            <w:tcBorders>
              <w:top w:val="nil"/>
              <w:left w:val="nil"/>
              <w:bottom w:val="nil"/>
              <w:right w:val="single" w:color="auto" w:sz="4" w:space="0"/>
            </w:tcBorders>
            <w:vAlign w:val="center"/>
          </w:tcPr>
          <w:p w14:paraId="7CE714DC">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48182798">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4A22BBD6">
        <w:tblPrEx>
          <w:tblCellMar>
            <w:top w:w="0" w:type="dxa"/>
            <w:left w:w="108" w:type="dxa"/>
            <w:bottom w:w="0" w:type="dxa"/>
            <w:right w:w="108" w:type="dxa"/>
          </w:tblCellMar>
        </w:tblPrEx>
        <w:trPr>
          <w:trHeight w:val="777" w:hRule="exact"/>
          <w:jc w:val="center"/>
        </w:trPr>
        <w:tc>
          <w:tcPr>
            <w:tcW w:w="1930" w:type="dxa"/>
            <w:vMerge w:val="continue"/>
            <w:tcBorders>
              <w:top w:val="nil"/>
              <w:left w:val="nil"/>
              <w:bottom w:val="single" w:color="auto" w:sz="4" w:space="0"/>
              <w:right w:val="single" w:color="auto" w:sz="4" w:space="0"/>
            </w:tcBorders>
            <w:vAlign w:val="center"/>
          </w:tcPr>
          <w:p w14:paraId="49C4EBD4">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2297FA8F">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3B7411EC">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6EE059A2">
            <w:pPr>
              <w:widowControl/>
              <w:jc w:val="center"/>
              <w:rPr>
                <w:rFonts w:hint="eastAsia" w:ascii="宋体" w:hAnsi="宋体" w:cs="宋体"/>
                <w:kern w:val="0"/>
                <w:szCs w:val="21"/>
                <w:highlight w:val="none"/>
              </w:rPr>
            </w:pPr>
            <w:r>
              <w:rPr>
                <w:rFonts w:hint="eastAsia" w:ascii="宋体" w:hAnsi="宋体" w:cs="宋体"/>
                <w:kern w:val="0"/>
                <w:szCs w:val="21"/>
                <w:highlight w:val="none"/>
              </w:rPr>
              <w:t>Y≥100000</w:t>
            </w:r>
          </w:p>
        </w:tc>
        <w:tc>
          <w:tcPr>
            <w:tcW w:w="1866" w:type="dxa"/>
            <w:tcBorders>
              <w:top w:val="nil"/>
              <w:left w:val="nil"/>
              <w:bottom w:val="single" w:color="auto" w:sz="4" w:space="0"/>
              <w:right w:val="single" w:color="auto" w:sz="4" w:space="0"/>
            </w:tcBorders>
            <w:vAlign w:val="center"/>
          </w:tcPr>
          <w:p w14:paraId="2FDB7FF5">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1000≤Y＜100000</w:t>
            </w:r>
          </w:p>
        </w:tc>
        <w:tc>
          <w:tcPr>
            <w:tcW w:w="1567" w:type="dxa"/>
            <w:tcBorders>
              <w:top w:val="nil"/>
              <w:left w:val="nil"/>
              <w:bottom w:val="single" w:color="auto" w:sz="4" w:space="0"/>
              <w:right w:val="single" w:color="auto" w:sz="4" w:space="0"/>
            </w:tcBorders>
            <w:vAlign w:val="center"/>
          </w:tcPr>
          <w:p w14:paraId="12C8A74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100≤Y＜1000</w:t>
            </w:r>
          </w:p>
        </w:tc>
        <w:tc>
          <w:tcPr>
            <w:tcW w:w="1046" w:type="dxa"/>
            <w:tcBorders>
              <w:top w:val="nil"/>
              <w:left w:val="nil"/>
              <w:bottom w:val="single" w:color="auto" w:sz="4" w:space="0"/>
              <w:right w:val="nil"/>
            </w:tcBorders>
            <w:vAlign w:val="center"/>
          </w:tcPr>
          <w:p w14:paraId="36C54CDE">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0A38AD67">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vAlign w:val="center"/>
          </w:tcPr>
          <w:p w14:paraId="318CDCC1">
            <w:pPr>
              <w:widowControl/>
              <w:spacing w:line="240" w:lineRule="exact"/>
              <w:jc w:val="left"/>
              <w:rPr>
                <w:rFonts w:hint="eastAsia" w:ascii="宋体" w:hAnsi="宋体" w:cs="宋体"/>
                <w:spacing w:val="-12"/>
                <w:kern w:val="0"/>
                <w:szCs w:val="21"/>
                <w:highlight w:val="none"/>
              </w:rPr>
            </w:pPr>
            <w:r>
              <w:rPr>
                <w:rFonts w:hint="eastAsia" w:ascii="宋体" w:hAnsi="宋体" w:cs="宋体"/>
                <w:spacing w:val="-12"/>
                <w:kern w:val="0"/>
                <w:szCs w:val="21"/>
                <w:highlight w:val="none"/>
              </w:rPr>
              <w:t>软件和信息技术服</w:t>
            </w:r>
            <w:r>
              <w:rPr>
                <w:rFonts w:hint="eastAsia" w:ascii="宋体" w:hAnsi="宋体" w:cs="宋体"/>
                <w:kern w:val="0"/>
                <w:szCs w:val="21"/>
                <w:highlight w:val="none"/>
              </w:rPr>
              <w:t>务业</w:t>
            </w:r>
          </w:p>
        </w:tc>
        <w:tc>
          <w:tcPr>
            <w:tcW w:w="1750" w:type="dxa"/>
            <w:tcBorders>
              <w:top w:val="nil"/>
              <w:left w:val="nil"/>
              <w:bottom w:val="nil"/>
              <w:right w:val="single" w:color="auto" w:sz="4" w:space="0"/>
            </w:tcBorders>
            <w:vAlign w:val="center"/>
          </w:tcPr>
          <w:p w14:paraId="03FDB40E">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36F12BB1">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5D25FE64">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159D1B0C">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14:paraId="4723513C">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30F03547">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3D6EE2CF">
        <w:tblPrEx>
          <w:tblCellMar>
            <w:top w:w="0" w:type="dxa"/>
            <w:left w:w="108" w:type="dxa"/>
            <w:bottom w:w="0" w:type="dxa"/>
            <w:right w:w="108" w:type="dxa"/>
          </w:tblCellMar>
        </w:tblPrEx>
        <w:trPr>
          <w:trHeight w:val="340" w:hRule="exact"/>
          <w:jc w:val="center"/>
        </w:trPr>
        <w:tc>
          <w:tcPr>
            <w:tcW w:w="1930" w:type="dxa"/>
            <w:vMerge w:val="continue"/>
            <w:tcBorders>
              <w:top w:val="single" w:color="auto" w:sz="4" w:space="0"/>
              <w:left w:val="nil"/>
              <w:bottom w:val="single" w:color="auto" w:sz="4" w:space="0"/>
              <w:right w:val="single" w:color="auto" w:sz="4" w:space="0"/>
            </w:tcBorders>
            <w:vAlign w:val="center"/>
          </w:tcPr>
          <w:p w14:paraId="3B60FC45">
            <w:pPr>
              <w:widowControl/>
              <w:jc w:val="left"/>
              <w:rPr>
                <w:rFonts w:hint="eastAsia" w:ascii="宋体" w:hAnsi="宋体" w:cs="宋体"/>
                <w:spacing w:val="-12"/>
                <w:kern w:val="0"/>
                <w:szCs w:val="21"/>
                <w:highlight w:val="none"/>
              </w:rPr>
            </w:pPr>
          </w:p>
        </w:tc>
        <w:tc>
          <w:tcPr>
            <w:tcW w:w="1750" w:type="dxa"/>
            <w:tcBorders>
              <w:top w:val="nil"/>
              <w:left w:val="nil"/>
              <w:bottom w:val="single" w:color="auto" w:sz="4" w:space="0"/>
              <w:right w:val="single" w:color="auto" w:sz="4" w:space="0"/>
            </w:tcBorders>
            <w:vAlign w:val="center"/>
          </w:tcPr>
          <w:p w14:paraId="12BAB138">
            <w:pPr>
              <w:widowControl/>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1F2D7621">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E19A017">
            <w:pPr>
              <w:widowControl/>
              <w:jc w:val="center"/>
              <w:rPr>
                <w:rFonts w:hint="eastAsia" w:ascii="宋体" w:hAnsi="宋体" w:cs="宋体"/>
                <w:kern w:val="0"/>
                <w:szCs w:val="21"/>
                <w:highlight w:val="none"/>
              </w:rPr>
            </w:pPr>
            <w:r>
              <w:rPr>
                <w:rFonts w:hint="eastAsia" w:ascii="宋体" w:hAnsi="宋体" w:cs="宋体"/>
                <w:kern w:val="0"/>
                <w:szCs w:val="21"/>
                <w:highlight w:val="none"/>
              </w:rPr>
              <w:t>Y≥10000</w:t>
            </w:r>
          </w:p>
        </w:tc>
        <w:tc>
          <w:tcPr>
            <w:tcW w:w="1866" w:type="dxa"/>
            <w:tcBorders>
              <w:top w:val="nil"/>
              <w:left w:val="nil"/>
              <w:bottom w:val="single" w:color="auto" w:sz="4" w:space="0"/>
              <w:right w:val="single" w:color="auto" w:sz="4" w:space="0"/>
            </w:tcBorders>
            <w:vAlign w:val="center"/>
          </w:tcPr>
          <w:p w14:paraId="281F4C80">
            <w:pPr>
              <w:widowControl/>
              <w:jc w:val="center"/>
              <w:rPr>
                <w:rFonts w:hint="eastAsia" w:ascii="宋体" w:hAnsi="宋体" w:cs="宋体"/>
                <w:kern w:val="0"/>
                <w:szCs w:val="21"/>
                <w:highlight w:val="none"/>
              </w:rPr>
            </w:pPr>
            <w:r>
              <w:rPr>
                <w:rFonts w:hint="eastAsia" w:ascii="宋体" w:hAnsi="宋体" w:cs="宋体"/>
                <w:kern w:val="0"/>
                <w:szCs w:val="21"/>
                <w:highlight w:val="none"/>
              </w:rPr>
              <w:t>1000≤Y＜10000</w:t>
            </w:r>
          </w:p>
        </w:tc>
        <w:tc>
          <w:tcPr>
            <w:tcW w:w="1567" w:type="dxa"/>
            <w:tcBorders>
              <w:top w:val="nil"/>
              <w:left w:val="nil"/>
              <w:bottom w:val="single" w:color="auto" w:sz="4" w:space="0"/>
              <w:right w:val="single" w:color="auto" w:sz="4" w:space="0"/>
            </w:tcBorders>
            <w:vAlign w:val="center"/>
          </w:tcPr>
          <w:p w14:paraId="53C6A28A">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50≤Y＜1000</w:t>
            </w:r>
          </w:p>
        </w:tc>
        <w:tc>
          <w:tcPr>
            <w:tcW w:w="1046" w:type="dxa"/>
            <w:tcBorders>
              <w:top w:val="nil"/>
              <w:left w:val="nil"/>
              <w:bottom w:val="single" w:color="auto" w:sz="4" w:space="0"/>
              <w:right w:val="nil"/>
            </w:tcBorders>
            <w:vAlign w:val="center"/>
          </w:tcPr>
          <w:p w14:paraId="06567263">
            <w:pPr>
              <w:widowControl/>
              <w:jc w:val="center"/>
              <w:rPr>
                <w:rFonts w:hint="eastAsia" w:ascii="宋体" w:hAnsi="宋体" w:cs="宋体"/>
                <w:kern w:val="0"/>
                <w:szCs w:val="21"/>
                <w:highlight w:val="none"/>
              </w:rPr>
            </w:pPr>
            <w:r>
              <w:rPr>
                <w:rFonts w:hint="eastAsia" w:ascii="宋体" w:hAnsi="宋体" w:cs="宋体"/>
                <w:kern w:val="0"/>
                <w:szCs w:val="21"/>
                <w:highlight w:val="none"/>
              </w:rPr>
              <w:t>Y＜50</w:t>
            </w:r>
          </w:p>
        </w:tc>
      </w:tr>
      <w:tr w14:paraId="5EF2EF5F">
        <w:tblPrEx>
          <w:tblCellMar>
            <w:top w:w="0" w:type="dxa"/>
            <w:left w:w="108" w:type="dxa"/>
            <w:bottom w:w="0" w:type="dxa"/>
            <w:right w:w="108" w:type="dxa"/>
          </w:tblCellMar>
        </w:tblPrEx>
        <w:trPr>
          <w:trHeight w:val="655" w:hRule="exact"/>
          <w:jc w:val="center"/>
        </w:trPr>
        <w:tc>
          <w:tcPr>
            <w:tcW w:w="1930" w:type="dxa"/>
            <w:vMerge w:val="restart"/>
            <w:tcBorders>
              <w:top w:val="nil"/>
              <w:left w:val="nil"/>
              <w:bottom w:val="single" w:color="auto" w:sz="4" w:space="0"/>
              <w:right w:val="single" w:color="auto" w:sz="4" w:space="0"/>
            </w:tcBorders>
            <w:vAlign w:val="center"/>
          </w:tcPr>
          <w:p w14:paraId="61FFE46E">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房地产开发经营</w:t>
            </w:r>
          </w:p>
        </w:tc>
        <w:tc>
          <w:tcPr>
            <w:tcW w:w="1750" w:type="dxa"/>
            <w:tcBorders>
              <w:top w:val="nil"/>
              <w:left w:val="nil"/>
              <w:bottom w:val="nil"/>
              <w:right w:val="single" w:color="auto" w:sz="4" w:space="0"/>
            </w:tcBorders>
            <w:vAlign w:val="center"/>
          </w:tcPr>
          <w:p w14:paraId="30EB49DF">
            <w:pPr>
              <w:widowControl/>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nil"/>
              <w:right w:val="single" w:color="auto" w:sz="4" w:space="0"/>
            </w:tcBorders>
            <w:vAlign w:val="center"/>
          </w:tcPr>
          <w:p w14:paraId="4D7DB7CB">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nil"/>
              <w:right w:val="single" w:color="auto" w:sz="4" w:space="0"/>
            </w:tcBorders>
            <w:vAlign w:val="center"/>
          </w:tcPr>
          <w:p w14:paraId="6B00C108">
            <w:pPr>
              <w:widowControl/>
              <w:jc w:val="center"/>
              <w:rPr>
                <w:rFonts w:hint="eastAsia" w:ascii="宋体" w:hAnsi="宋体" w:cs="宋体"/>
                <w:kern w:val="0"/>
                <w:szCs w:val="21"/>
                <w:highlight w:val="none"/>
              </w:rPr>
            </w:pPr>
            <w:r>
              <w:rPr>
                <w:rFonts w:hint="eastAsia" w:ascii="宋体" w:hAnsi="宋体" w:cs="宋体"/>
                <w:kern w:val="0"/>
                <w:szCs w:val="21"/>
                <w:highlight w:val="none"/>
              </w:rPr>
              <w:t>Y≥200000</w:t>
            </w:r>
          </w:p>
        </w:tc>
        <w:tc>
          <w:tcPr>
            <w:tcW w:w="1866" w:type="dxa"/>
            <w:tcBorders>
              <w:top w:val="nil"/>
              <w:left w:val="nil"/>
              <w:bottom w:val="nil"/>
              <w:right w:val="single" w:color="auto" w:sz="4" w:space="0"/>
            </w:tcBorders>
            <w:vAlign w:val="center"/>
          </w:tcPr>
          <w:p w14:paraId="16FA4B64">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1000≤Y＜200000</w:t>
            </w:r>
          </w:p>
        </w:tc>
        <w:tc>
          <w:tcPr>
            <w:tcW w:w="1567" w:type="dxa"/>
            <w:tcBorders>
              <w:top w:val="nil"/>
              <w:left w:val="nil"/>
              <w:bottom w:val="nil"/>
              <w:right w:val="single" w:color="auto" w:sz="4" w:space="0"/>
            </w:tcBorders>
            <w:vAlign w:val="center"/>
          </w:tcPr>
          <w:p w14:paraId="1B2AFBFE">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100≤Y＜1000</w:t>
            </w:r>
          </w:p>
        </w:tc>
        <w:tc>
          <w:tcPr>
            <w:tcW w:w="1046" w:type="dxa"/>
            <w:tcBorders>
              <w:top w:val="nil"/>
              <w:left w:val="nil"/>
              <w:bottom w:val="nil"/>
              <w:right w:val="nil"/>
            </w:tcBorders>
            <w:vAlign w:val="center"/>
          </w:tcPr>
          <w:p w14:paraId="5B120FBF">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44D648B0">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14:paraId="28D5F950">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33CA37D2">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6FCC513F">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0C55D58D">
            <w:pPr>
              <w:widowControl/>
              <w:jc w:val="center"/>
              <w:rPr>
                <w:rFonts w:hint="eastAsia" w:ascii="宋体" w:hAnsi="宋体" w:cs="宋体"/>
                <w:kern w:val="0"/>
                <w:szCs w:val="21"/>
                <w:highlight w:val="none"/>
              </w:rPr>
            </w:pPr>
            <w:r>
              <w:rPr>
                <w:rFonts w:hint="eastAsia" w:ascii="宋体" w:hAnsi="宋体" w:cs="宋体"/>
                <w:kern w:val="0"/>
                <w:szCs w:val="21"/>
                <w:highlight w:val="none"/>
              </w:rPr>
              <w:t>Z≥10000</w:t>
            </w:r>
          </w:p>
        </w:tc>
        <w:tc>
          <w:tcPr>
            <w:tcW w:w="1866" w:type="dxa"/>
            <w:tcBorders>
              <w:top w:val="nil"/>
              <w:left w:val="nil"/>
              <w:bottom w:val="single" w:color="auto" w:sz="4" w:space="0"/>
              <w:right w:val="single" w:color="auto" w:sz="4" w:space="0"/>
            </w:tcBorders>
            <w:vAlign w:val="center"/>
          </w:tcPr>
          <w:p w14:paraId="53EE38D8">
            <w:pPr>
              <w:widowControl/>
              <w:jc w:val="center"/>
              <w:rPr>
                <w:rFonts w:hint="eastAsia" w:ascii="宋体" w:hAnsi="宋体" w:cs="宋体"/>
                <w:kern w:val="0"/>
                <w:szCs w:val="21"/>
                <w:highlight w:val="none"/>
              </w:rPr>
            </w:pPr>
            <w:r>
              <w:rPr>
                <w:rFonts w:hint="eastAsia" w:ascii="宋体" w:hAnsi="宋体" w:cs="宋体"/>
                <w:kern w:val="0"/>
                <w:szCs w:val="21"/>
                <w:highlight w:val="none"/>
              </w:rPr>
              <w:t>5000≤Z＜10000</w:t>
            </w:r>
          </w:p>
        </w:tc>
        <w:tc>
          <w:tcPr>
            <w:tcW w:w="1567" w:type="dxa"/>
            <w:tcBorders>
              <w:top w:val="nil"/>
              <w:left w:val="nil"/>
              <w:bottom w:val="single" w:color="auto" w:sz="4" w:space="0"/>
              <w:right w:val="single" w:color="auto" w:sz="4" w:space="0"/>
            </w:tcBorders>
            <w:vAlign w:val="center"/>
          </w:tcPr>
          <w:p w14:paraId="7507A044">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2000≤Z＜5000   </w:t>
            </w:r>
          </w:p>
        </w:tc>
        <w:tc>
          <w:tcPr>
            <w:tcW w:w="1046" w:type="dxa"/>
            <w:tcBorders>
              <w:top w:val="nil"/>
              <w:left w:val="nil"/>
              <w:bottom w:val="single" w:color="auto" w:sz="4" w:space="0"/>
              <w:right w:val="nil"/>
            </w:tcBorders>
            <w:vAlign w:val="center"/>
          </w:tcPr>
          <w:p w14:paraId="409C3CD3">
            <w:pPr>
              <w:widowControl/>
              <w:jc w:val="center"/>
              <w:rPr>
                <w:rFonts w:hint="eastAsia" w:ascii="宋体" w:hAnsi="宋体" w:cs="宋体"/>
                <w:kern w:val="0"/>
                <w:szCs w:val="21"/>
                <w:highlight w:val="none"/>
              </w:rPr>
            </w:pPr>
            <w:r>
              <w:rPr>
                <w:rFonts w:hint="eastAsia" w:ascii="宋体" w:hAnsi="宋体" w:cs="宋体"/>
                <w:kern w:val="0"/>
                <w:szCs w:val="21"/>
                <w:highlight w:val="none"/>
              </w:rPr>
              <w:t>Z＜2000</w:t>
            </w:r>
          </w:p>
        </w:tc>
      </w:tr>
      <w:tr w14:paraId="311CAF41">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14:paraId="6BAF6033">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物业管理</w:t>
            </w:r>
          </w:p>
        </w:tc>
        <w:tc>
          <w:tcPr>
            <w:tcW w:w="1750" w:type="dxa"/>
            <w:tcBorders>
              <w:top w:val="nil"/>
              <w:left w:val="nil"/>
              <w:bottom w:val="nil"/>
              <w:right w:val="single" w:color="auto" w:sz="4" w:space="0"/>
            </w:tcBorders>
            <w:vAlign w:val="center"/>
          </w:tcPr>
          <w:p w14:paraId="420A83AE">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286A8D7E">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1AC2E81A">
            <w:pPr>
              <w:widowControl/>
              <w:jc w:val="center"/>
              <w:rPr>
                <w:rFonts w:hint="eastAsia"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14:paraId="424EF24E">
            <w:pPr>
              <w:widowControl/>
              <w:jc w:val="center"/>
              <w:rPr>
                <w:rFonts w:hint="eastAsia"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14:paraId="69B27167">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046" w:type="dxa"/>
            <w:tcBorders>
              <w:top w:val="nil"/>
              <w:left w:val="nil"/>
              <w:bottom w:val="nil"/>
              <w:right w:val="nil"/>
            </w:tcBorders>
            <w:vAlign w:val="center"/>
          </w:tcPr>
          <w:p w14:paraId="7DB558CD">
            <w:pPr>
              <w:widowControl/>
              <w:jc w:val="center"/>
              <w:rPr>
                <w:rFonts w:hint="eastAsia" w:ascii="宋体" w:hAnsi="宋体" w:cs="宋体"/>
                <w:kern w:val="0"/>
                <w:szCs w:val="21"/>
                <w:highlight w:val="none"/>
              </w:rPr>
            </w:pPr>
            <w:r>
              <w:rPr>
                <w:rFonts w:hint="eastAsia" w:ascii="宋体" w:hAnsi="宋体" w:cs="宋体"/>
                <w:kern w:val="0"/>
                <w:szCs w:val="21"/>
                <w:highlight w:val="none"/>
              </w:rPr>
              <w:t>X＜100</w:t>
            </w:r>
          </w:p>
        </w:tc>
      </w:tr>
      <w:tr w14:paraId="1667CB12">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14:paraId="347C10FA">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16A421C9">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31B0E321">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6A062AEC">
            <w:pPr>
              <w:widowControl/>
              <w:jc w:val="center"/>
              <w:rPr>
                <w:rFonts w:hint="eastAsia" w:ascii="宋体" w:hAnsi="宋体" w:cs="宋体"/>
                <w:kern w:val="0"/>
                <w:szCs w:val="21"/>
                <w:highlight w:val="none"/>
              </w:rPr>
            </w:pPr>
            <w:r>
              <w:rPr>
                <w:rFonts w:hint="eastAsia" w:ascii="宋体" w:hAnsi="宋体" w:cs="宋体"/>
                <w:kern w:val="0"/>
                <w:szCs w:val="21"/>
                <w:highlight w:val="none"/>
              </w:rPr>
              <w:t>Y≥5000</w:t>
            </w:r>
          </w:p>
        </w:tc>
        <w:tc>
          <w:tcPr>
            <w:tcW w:w="1866" w:type="dxa"/>
            <w:tcBorders>
              <w:top w:val="nil"/>
              <w:left w:val="nil"/>
              <w:bottom w:val="single" w:color="auto" w:sz="4" w:space="0"/>
              <w:right w:val="single" w:color="auto" w:sz="4" w:space="0"/>
            </w:tcBorders>
            <w:vAlign w:val="center"/>
          </w:tcPr>
          <w:p w14:paraId="09A999F2">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1000≤Y＜5000 </w:t>
            </w:r>
          </w:p>
        </w:tc>
        <w:tc>
          <w:tcPr>
            <w:tcW w:w="1567" w:type="dxa"/>
            <w:tcBorders>
              <w:top w:val="nil"/>
              <w:left w:val="nil"/>
              <w:bottom w:val="single" w:color="auto" w:sz="4" w:space="0"/>
              <w:right w:val="single" w:color="auto" w:sz="4" w:space="0"/>
            </w:tcBorders>
            <w:vAlign w:val="center"/>
          </w:tcPr>
          <w:p w14:paraId="4A839635">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500≤Y＜1000</w:t>
            </w:r>
          </w:p>
        </w:tc>
        <w:tc>
          <w:tcPr>
            <w:tcW w:w="1046" w:type="dxa"/>
            <w:tcBorders>
              <w:top w:val="nil"/>
              <w:left w:val="nil"/>
              <w:bottom w:val="single" w:color="auto" w:sz="4" w:space="0"/>
              <w:right w:val="nil"/>
            </w:tcBorders>
            <w:vAlign w:val="center"/>
          </w:tcPr>
          <w:p w14:paraId="3526390F">
            <w:pPr>
              <w:widowControl/>
              <w:jc w:val="center"/>
              <w:rPr>
                <w:rFonts w:hint="eastAsia" w:ascii="宋体" w:hAnsi="宋体" w:cs="宋体"/>
                <w:kern w:val="0"/>
                <w:szCs w:val="21"/>
                <w:highlight w:val="none"/>
              </w:rPr>
            </w:pPr>
            <w:r>
              <w:rPr>
                <w:rFonts w:hint="eastAsia" w:ascii="宋体" w:hAnsi="宋体" w:cs="宋体"/>
                <w:kern w:val="0"/>
                <w:szCs w:val="21"/>
                <w:highlight w:val="none"/>
              </w:rPr>
              <w:t>Y＜500</w:t>
            </w:r>
          </w:p>
        </w:tc>
      </w:tr>
      <w:tr w14:paraId="1FC7C18D">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14:paraId="26E6241E">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租赁和商务服务业</w:t>
            </w:r>
          </w:p>
        </w:tc>
        <w:tc>
          <w:tcPr>
            <w:tcW w:w="1750" w:type="dxa"/>
            <w:tcBorders>
              <w:top w:val="nil"/>
              <w:left w:val="nil"/>
              <w:bottom w:val="nil"/>
              <w:right w:val="single" w:color="auto" w:sz="4" w:space="0"/>
            </w:tcBorders>
            <w:vAlign w:val="center"/>
          </w:tcPr>
          <w:p w14:paraId="66045DAD">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508A9A53">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704F523E">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2E130A89">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14:paraId="2B8806E8">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1C7DC3A8">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384D2618">
        <w:tblPrEx>
          <w:tblCellMar>
            <w:top w:w="0" w:type="dxa"/>
            <w:left w:w="108" w:type="dxa"/>
            <w:bottom w:w="0" w:type="dxa"/>
            <w:right w:w="108" w:type="dxa"/>
          </w:tblCellMar>
        </w:tblPrEx>
        <w:trPr>
          <w:trHeight w:val="585" w:hRule="exact"/>
          <w:jc w:val="center"/>
        </w:trPr>
        <w:tc>
          <w:tcPr>
            <w:tcW w:w="1930" w:type="dxa"/>
            <w:vMerge w:val="continue"/>
            <w:tcBorders>
              <w:top w:val="nil"/>
              <w:left w:val="nil"/>
              <w:bottom w:val="single" w:color="auto" w:sz="4" w:space="0"/>
              <w:right w:val="single" w:color="auto" w:sz="4" w:space="0"/>
            </w:tcBorders>
            <w:vAlign w:val="center"/>
          </w:tcPr>
          <w:p w14:paraId="4D58F691">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68F8094A">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0E895C50">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46A72947">
            <w:pPr>
              <w:widowControl/>
              <w:jc w:val="center"/>
              <w:rPr>
                <w:rFonts w:hint="eastAsia" w:ascii="宋体" w:hAnsi="宋体" w:cs="宋体"/>
                <w:kern w:val="0"/>
                <w:szCs w:val="21"/>
                <w:highlight w:val="none"/>
              </w:rPr>
            </w:pPr>
            <w:r>
              <w:rPr>
                <w:rFonts w:hint="eastAsia" w:ascii="宋体" w:hAnsi="宋体" w:cs="宋体"/>
                <w:kern w:val="0"/>
                <w:szCs w:val="21"/>
                <w:highlight w:val="none"/>
              </w:rPr>
              <w:t>Z≥120000</w:t>
            </w:r>
          </w:p>
        </w:tc>
        <w:tc>
          <w:tcPr>
            <w:tcW w:w="1866" w:type="dxa"/>
            <w:tcBorders>
              <w:top w:val="nil"/>
              <w:left w:val="nil"/>
              <w:bottom w:val="single" w:color="auto" w:sz="4" w:space="0"/>
              <w:right w:val="single" w:color="auto" w:sz="4" w:space="0"/>
            </w:tcBorders>
            <w:vAlign w:val="center"/>
          </w:tcPr>
          <w:p w14:paraId="15E755D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8000≤Z＜120000</w:t>
            </w:r>
          </w:p>
        </w:tc>
        <w:tc>
          <w:tcPr>
            <w:tcW w:w="1567" w:type="dxa"/>
            <w:tcBorders>
              <w:top w:val="nil"/>
              <w:left w:val="nil"/>
              <w:bottom w:val="single" w:color="auto" w:sz="4" w:space="0"/>
              <w:right w:val="single" w:color="auto" w:sz="4" w:space="0"/>
            </w:tcBorders>
            <w:vAlign w:val="center"/>
          </w:tcPr>
          <w:p w14:paraId="66D428A3">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100≤Z＜8000</w:t>
            </w:r>
          </w:p>
        </w:tc>
        <w:tc>
          <w:tcPr>
            <w:tcW w:w="1046" w:type="dxa"/>
            <w:tcBorders>
              <w:top w:val="nil"/>
              <w:left w:val="nil"/>
              <w:bottom w:val="single" w:color="auto" w:sz="4" w:space="0"/>
              <w:right w:val="nil"/>
            </w:tcBorders>
            <w:vAlign w:val="center"/>
          </w:tcPr>
          <w:p w14:paraId="7427DCC3">
            <w:pPr>
              <w:widowControl/>
              <w:jc w:val="center"/>
              <w:rPr>
                <w:rFonts w:hint="eastAsia" w:ascii="宋体" w:hAnsi="宋体" w:cs="宋体"/>
                <w:kern w:val="0"/>
                <w:szCs w:val="21"/>
                <w:highlight w:val="none"/>
              </w:rPr>
            </w:pPr>
            <w:r>
              <w:rPr>
                <w:rFonts w:hint="eastAsia" w:ascii="宋体" w:hAnsi="宋体" w:cs="宋体"/>
                <w:kern w:val="0"/>
                <w:szCs w:val="21"/>
                <w:highlight w:val="none"/>
              </w:rPr>
              <w:t>Z＜100</w:t>
            </w:r>
          </w:p>
        </w:tc>
      </w:tr>
      <w:tr w14:paraId="36A9DCB8">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vAlign w:val="center"/>
          </w:tcPr>
          <w:p w14:paraId="02BB26F0">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其他未列明行业 *</w:t>
            </w:r>
          </w:p>
        </w:tc>
        <w:tc>
          <w:tcPr>
            <w:tcW w:w="1750" w:type="dxa"/>
            <w:tcBorders>
              <w:top w:val="nil"/>
              <w:left w:val="nil"/>
              <w:bottom w:val="single" w:color="auto" w:sz="4" w:space="0"/>
              <w:right w:val="single" w:color="auto" w:sz="4" w:space="0"/>
            </w:tcBorders>
            <w:vAlign w:val="center"/>
          </w:tcPr>
          <w:p w14:paraId="60D16BD9">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single" w:color="auto" w:sz="4" w:space="0"/>
              <w:right w:val="single" w:color="auto" w:sz="4" w:space="0"/>
            </w:tcBorders>
            <w:vAlign w:val="center"/>
          </w:tcPr>
          <w:p w14:paraId="5D23598C">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single" w:color="auto" w:sz="4" w:space="0"/>
              <w:right w:val="single" w:color="auto" w:sz="4" w:space="0"/>
            </w:tcBorders>
            <w:vAlign w:val="center"/>
          </w:tcPr>
          <w:p w14:paraId="302F280D">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single" w:color="auto" w:sz="4" w:space="0"/>
              <w:right w:val="single" w:color="auto" w:sz="4" w:space="0"/>
            </w:tcBorders>
            <w:vAlign w:val="center"/>
          </w:tcPr>
          <w:p w14:paraId="1C204C8C">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single" w:color="auto" w:sz="4" w:space="0"/>
              <w:right w:val="single" w:color="auto" w:sz="4" w:space="0"/>
            </w:tcBorders>
            <w:vAlign w:val="center"/>
          </w:tcPr>
          <w:p w14:paraId="1E2557D3">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single" w:color="auto" w:sz="4" w:space="0"/>
              <w:right w:val="nil"/>
            </w:tcBorders>
            <w:vAlign w:val="center"/>
          </w:tcPr>
          <w:p w14:paraId="19A6FFA3">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bl>
    <w:p w14:paraId="2D8543C7">
      <w:pPr>
        <w:widowControl/>
        <w:spacing w:line="540" w:lineRule="exact"/>
        <w:rPr>
          <w:rFonts w:hint="eastAsia" w:ascii="宋体" w:hAnsi="宋体" w:cs="宋体"/>
          <w:spacing w:val="8"/>
          <w:kern w:val="0"/>
          <w:sz w:val="28"/>
          <w:szCs w:val="28"/>
          <w:highlight w:val="none"/>
        </w:rPr>
      </w:pPr>
      <w:r>
        <w:rPr>
          <w:rFonts w:hint="eastAsia" w:ascii="宋体" w:hAnsi="宋体" w:cs="宋体"/>
          <w:spacing w:val="8"/>
          <w:kern w:val="0"/>
          <w:sz w:val="28"/>
          <w:szCs w:val="28"/>
          <w:highlight w:val="none"/>
        </w:rPr>
        <w:t>说明：</w:t>
      </w:r>
    </w:p>
    <w:p w14:paraId="6C860753">
      <w:pPr>
        <w:spacing w:line="540" w:lineRule="exact"/>
        <w:rPr>
          <w:rFonts w:hint="eastAsia" w:ascii="宋体" w:hAnsi="宋体" w:cs="宋体"/>
          <w:spacing w:val="8"/>
          <w:kern w:val="0"/>
          <w:szCs w:val="21"/>
          <w:highlight w:val="none"/>
        </w:rPr>
      </w:pPr>
      <w:r>
        <w:rPr>
          <w:rFonts w:hint="eastAsia" w:ascii="宋体" w:hAnsi="宋体" w:cs="宋体"/>
          <w:spacing w:val="8"/>
          <w:kern w:val="0"/>
          <w:szCs w:val="21"/>
          <w:highlight w:val="none"/>
        </w:rPr>
        <w:t>　　1.大型、中型和小型企业须同时满足所列指标的下限，否则下划一档；微型企业只须满足所列指标中的一项即可。</w:t>
      </w:r>
    </w:p>
    <w:p w14:paraId="6CD3F9C7">
      <w:pPr>
        <w:spacing w:line="540" w:lineRule="exact"/>
        <w:rPr>
          <w:rFonts w:hint="eastAsia" w:ascii="宋体" w:hAnsi="宋体" w:cs="宋体"/>
          <w:spacing w:val="8"/>
          <w:kern w:val="0"/>
          <w:szCs w:val="21"/>
          <w:highlight w:val="none"/>
        </w:rPr>
      </w:pPr>
      <w:r>
        <w:rPr>
          <w:rFonts w:hint="eastAsia" w:ascii="宋体" w:hAnsi="宋体" w:cs="宋体"/>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24699">
      <w:pPr>
        <w:spacing w:line="540" w:lineRule="exact"/>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CFB2670">
      <w:pPr>
        <w:spacing w:line="360" w:lineRule="auto"/>
        <w:jc w:val="left"/>
        <w:rPr>
          <w:rFonts w:hint="eastAsia" w:ascii="宋体" w:hAnsi="宋体"/>
          <w:szCs w:val="21"/>
          <w:highlight w:val="none"/>
        </w:rPr>
      </w:pPr>
    </w:p>
    <w:p w14:paraId="19FE5BC6">
      <w:pPr>
        <w:widowControl/>
        <w:spacing w:line="330" w:lineRule="atLeast"/>
        <w:jc w:val="center"/>
        <w:rPr>
          <w:rFonts w:hint="eastAsia" w:ascii="宋体" w:hAnsi="宋体" w:cs="宋体"/>
          <w:b/>
          <w:bCs/>
          <w:kern w:val="0"/>
          <w:sz w:val="36"/>
          <w:szCs w:val="32"/>
          <w:highlight w:val="none"/>
        </w:rPr>
      </w:pPr>
      <w:r>
        <w:rPr>
          <w:rFonts w:hint="eastAsia" w:ascii="宋体" w:hAnsi="宋体" w:cs="宋体"/>
          <w:b/>
          <w:bCs/>
          <w:kern w:val="0"/>
          <w:sz w:val="36"/>
          <w:szCs w:val="32"/>
          <w:highlight w:val="none"/>
        </w:rPr>
        <w:t>附件2.节能产品政府采购品目清单(详见下页)</w:t>
      </w:r>
    </w:p>
    <w:p w14:paraId="57629535">
      <w:pPr>
        <w:pStyle w:val="6"/>
        <w:rPr>
          <w:highlight w:val="none"/>
        </w:rPr>
        <w:sectPr>
          <w:footerReference r:id="rId5" w:type="default"/>
          <w:pgSz w:w="11906" w:h="16838"/>
          <w:pgMar w:top="1418" w:right="1134" w:bottom="1418" w:left="1134" w:header="851" w:footer="992" w:gutter="0"/>
          <w:pgNumType w:start="1"/>
          <w:cols w:space="720" w:num="1"/>
          <w:docGrid w:type="lines" w:linePitch="312" w:charSpace="0"/>
        </w:sectPr>
      </w:pPr>
      <w:r>
        <w:rPr>
          <w:highlight w:val="none"/>
        </w:rPr>
        <w:drawing>
          <wp:inline distT="0" distB="0" distL="114300" distR="114300">
            <wp:extent cx="6118225" cy="8653780"/>
            <wp:effectExtent l="0" t="0" r="15875" b="13970"/>
            <wp:docPr id="4" name="图片 4" descr="节能环保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节能环保_1"/>
                    <pic:cNvPicPr>
                      <a:picLocks noChangeAspect="1"/>
                    </pic:cNvPicPr>
                  </pic:nvPicPr>
                  <pic:blipFill>
                    <a:blip r:embed="rId11"/>
                    <a:stretch>
                      <a:fillRect/>
                    </a:stretch>
                  </pic:blipFill>
                  <pic:spPr>
                    <a:xfrm>
                      <a:off x="0" y="0"/>
                      <a:ext cx="6118225" cy="8653780"/>
                    </a:xfrm>
                    <a:prstGeom prst="rect">
                      <a:avLst/>
                    </a:prstGeom>
                  </pic:spPr>
                </pic:pic>
              </a:graphicData>
            </a:graphic>
          </wp:inline>
        </w:drawing>
      </w:r>
      <w:r>
        <w:rPr>
          <w:highlight w:val="none"/>
        </w:rPr>
        <w:drawing>
          <wp:inline distT="0" distB="0" distL="114300" distR="114300">
            <wp:extent cx="6118225" cy="8653780"/>
            <wp:effectExtent l="0" t="0" r="15875" b="13970"/>
            <wp:docPr id="3" name="图片 3" descr="节能环保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节能环保_2"/>
                    <pic:cNvPicPr>
                      <a:picLocks noChangeAspect="1"/>
                    </pic:cNvPicPr>
                  </pic:nvPicPr>
                  <pic:blipFill>
                    <a:blip r:embed="rId12"/>
                    <a:stretch>
                      <a:fillRect/>
                    </a:stretch>
                  </pic:blipFill>
                  <pic:spPr>
                    <a:xfrm>
                      <a:off x="0" y="0"/>
                      <a:ext cx="6118225" cy="8653780"/>
                    </a:xfrm>
                    <a:prstGeom prst="rect">
                      <a:avLst/>
                    </a:prstGeom>
                  </pic:spPr>
                </pic:pic>
              </a:graphicData>
            </a:graphic>
          </wp:inline>
        </w:drawing>
      </w:r>
      <w:r>
        <w:rPr>
          <w:highlight w:val="none"/>
        </w:rPr>
        <w:drawing>
          <wp:inline distT="0" distB="0" distL="114300" distR="114300">
            <wp:extent cx="6118225" cy="8653780"/>
            <wp:effectExtent l="0" t="0" r="15875" b="13970"/>
            <wp:docPr id="2" name="图片 2" descr="节能环保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节能环保_3"/>
                    <pic:cNvPicPr>
                      <a:picLocks noChangeAspect="1"/>
                    </pic:cNvPicPr>
                  </pic:nvPicPr>
                  <pic:blipFill>
                    <a:blip r:embed="rId13"/>
                    <a:stretch>
                      <a:fillRect/>
                    </a:stretch>
                  </pic:blipFill>
                  <pic:spPr>
                    <a:xfrm>
                      <a:off x="0" y="0"/>
                      <a:ext cx="6118225" cy="8653780"/>
                    </a:xfrm>
                    <a:prstGeom prst="rect">
                      <a:avLst/>
                    </a:prstGeom>
                  </pic:spPr>
                </pic:pic>
              </a:graphicData>
            </a:graphic>
          </wp:inline>
        </w:drawing>
      </w:r>
      <w:r>
        <w:rPr>
          <w:highlight w:val="none"/>
        </w:rPr>
        <w:drawing>
          <wp:inline distT="0" distB="0" distL="114300" distR="114300">
            <wp:extent cx="6118225" cy="8653780"/>
            <wp:effectExtent l="0" t="0" r="15875" b="13970"/>
            <wp:docPr id="1" name="图片 1" descr="节能环保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节能环保_4"/>
                    <pic:cNvPicPr>
                      <a:picLocks noChangeAspect="1"/>
                    </pic:cNvPicPr>
                  </pic:nvPicPr>
                  <pic:blipFill>
                    <a:blip r:embed="rId14"/>
                    <a:stretch>
                      <a:fillRect/>
                    </a:stretch>
                  </pic:blipFill>
                  <pic:spPr>
                    <a:xfrm>
                      <a:off x="0" y="0"/>
                      <a:ext cx="6118225" cy="8653780"/>
                    </a:xfrm>
                    <a:prstGeom prst="rect">
                      <a:avLst/>
                    </a:prstGeom>
                  </pic:spPr>
                </pic:pic>
              </a:graphicData>
            </a:graphic>
          </wp:inline>
        </w:drawing>
      </w:r>
    </w:p>
    <w:p w14:paraId="5D36FE28">
      <w:pPr>
        <w:pStyle w:val="4"/>
        <w:spacing w:line="460" w:lineRule="exact"/>
        <w:jc w:val="both"/>
        <w:rPr>
          <w:rFonts w:hint="eastAsia" w:ascii="宋体" w:hAnsi="宋体" w:cs="宋体"/>
          <w:bCs w:val="0"/>
          <w:sz w:val="21"/>
          <w:szCs w:val="21"/>
          <w:highlight w:val="none"/>
        </w:rPr>
      </w:pPr>
    </w:p>
    <w:p w14:paraId="21C11E13">
      <w:pPr>
        <w:pStyle w:val="4"/>
        <w:spacing w:line="460" w:lineRule="exact"/>
        <w:jc w:val="both"/>
        <w:rPr>
          <w:rFonts w:hint="eastAsia" w:ascii="宋体" w:hAnsi="宋体" w:cs="宋体"/>
          <w:bCs w:val="0"/>
          <w:sz w:val="21"/>
          <w:szCs w:val="21"/>
          <w:highlight w:val="none"/>
        </w:rPr>
      </w:pPr>
      <w:r>
        <w:rPr>
          <w:rFonts w:hint="eastAsia" w:ascii="宋体" w:hAnsi="宋体" w:cs="宋体"/>
          <w:bCs w:val="0"/>
          <w:sz w:val="21"/>
          <w:szCs w:val="21"/>
          <w:highlight w:val="none"/>
        </w:rPr>
        <w:t>1.总则</w:t>
      </w:r>
      <w:bookmarkEnd w:id="20"/>
      <w:bookmarkEnd w:id="21"/>
      <w:bookmarkEnd w:id="22"/>
      <w:bookmarkEnd w:id="23"/>
    </w:p>
    <w:p w14:paraId="08AB74B4">
      <w:pPr>
        <w:spacing w:line="460" w:lineRule="exact"/>
        <w:rPr>
          <w:rFonts w:hint="eastAsia" w:ascii="宋体" w:hAnsi="宋体" w:cs="宋体"/>
          <w:b/>
          <w:szCs w:val="21"/>
          <w:highlight w:val="none"/>
        </w:rPr>
      </w:pPr>
      <w:r>
        <w:rPr>
          <w:rFonts w:hint="eastAsia" w:ascii="宋体" w:hAnsi="宋体" w:cs="宋体"/>
          <w:b/>
          <w:szCs w:val="21"/>
          <w:highlight w:val="none"/>
        </w:rPr>
        <w:t>1.1 项目概况</w:t>
      </w:r>
    </w:p>
    <w:p w14:paraId="34A8E0E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1.1.1 根据《中华人民共和国政府采购法》等有关法律、法规和规章的规定，本采购项目已具备磋商条件，现对本项目进行磋商。</w:t>
      </w:r>
    </w:p>
    <w:p w14:paraId="4DC8CAA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1.1.2 采 购 人：见供应商须知前附表。</w:t>
      </w:r>
    </w:p>
    <w:p w14:paraId="2B12F5C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1.1.3 采购代理机构：见供应商须知前附表。</w:t>
      </w:r>
    </w:p>
    <w:p w14:paraId="116BCB5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1.1.4 项目名称：见供应商须知前附表。</w:t>
      </w:r>
    </w:p>
    <w:p w14:paraId="6F642EE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1.1.5 供货地点：见供应商须知前附表。</w:t>
      </w:r>
    </w:p>
    <w:p w14:paraId="71684881">
      <w:pPr>
        <w:spacing w:line="460" w:lineRule="exact"/>
        <w:rPr>
          <w:rFonts w:hint="eastAsia" w:ascii="宋体" w:hAnsi="宋体" w:cs="宋体"/>
          <w:b/>
          <w:szCs w:val="21"/>
          <w:highlight w:val="none"/>
        </w:rPr>
      </w:pPr>
      <w:r>
        <w:rPr>
          <w:rFonts w:hint="eastAsia" w:ascii="宋体" w:hAnsi="宋体" w:cs="宋体"/>
          <w:b/>
          <w:szCs w:val="21"/>
          <w:highlight w:val="none"/>
        </w:rPr>
        <w:t>1.2 资金来源和落实情况</w:t>
      </w:r>
    </w:p>
    <w:p w14:paraId="48B26EF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1.2.1 资金来源：见供应商须知前附表。</w:t>
      </w:r>
    </w:p>
    <w:p w14:paraId="00585F3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1.2.2资金落实情况：见供应商须知前附表。</w:t>
      </w:r>
    </w:p>
    <w:p w14:paraId="594A68A5">
      <w:pPr>
        <w:spacing w:line="460" w:lineRule="exact"/>
        <w:rPr>
          <w:rFonts w:hint="eastAsia" w:ascii="宋体" w:hAnsi="宋体" w:cs="宋体"/>
          <w:b/>
          <w:szCs w:val="21"/>
          <w:highlight w:val="none"/>
        </w:rPr>
      </w:pPr>
      <w:r>
        <w:rPr>
          <w:rFonts w:hint="eastAsia" w:ascii="宋体" w:hAnsi="宋体" w:cs="宋体"/>
          <w:b/>
          <w:szCs w:val="21"/>
          <w:highlight w:val="none"/>
        </w:rPr>
        <w:t>1.3 采购内容和服务期限</w:t>
      </w:r>
    </w:p>
    <w:p w14:paraId="169D78B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1.3.1 采购要求：见供应商须知前附表。</w:t>
      </w:r>
    </w:p>
    <w:p w14:paraId="322C75C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1.3.2 </w:t>
      </w:r>
      <w:r>
        <w:rPr>
          <w:rFonts w:hint="eastAsia" w:ascii="宋体" w:hAnsi="宋体" w:cs="宋体"/>
          <w:szCs w:val="21"/>
          <w:highlight w:val="none"/>
          <w:lang w:eastAsia="zh-CN"/>
        </w:rPr>
        <w:t>供货安装调试期限</w:t>
      </w:r>
      <w:r>
        <w:rPr>
          <w:rFonts w:hint="eastAsia" w:ascii="宋体" w:hAnsi="宋体" w:cs="宋体"/>
          <w:szCs w:val="21"/>
          <w:highlight w:val="none"/>
        </w:rPr>
        <w:t>：见供应商须知前附表。</w:t>
      </w:r>
    </w:p>
    <w:p w14:paraId="6EAFD5D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1.3.3 质量要求：见供应商须知前附表。</w:t>
      </w:r>
    </w:p>
    <w:p w14:paraId="6AAC9FC7">
      <w:pPr>
        <w:spacing w:line="460" w:lineRule="exact"/>
        <w:rPr>
          <w:rFonts w:hint="eastAsia" w:ascii="宋体" w:hAnsi="宋体" w:cs="宋体"/>
          <w:b/>
          <w:szCs w:val="21"/>
          <w:highlight w:val="none"/>
        </w:rPr>
      </w:pPr>
      <w:r>
        <w:rPr>
          <w:rFonts w:hint="eastAsia" w:ascii="宋体" w:hAnsi="宋体" w:cs="宋体"/>
          <w:b/>
          <w:szCs w:val="21"/>
          <w:highlight w:val="none"/>
        </w:rPr>
        <w:t>1.4 供应商资格要求</w:t>
      </w:r>
    </w:p>
    <w:p w14:paraId="7B7A987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1.4.1 供应商应具备承担本项目的资质条件，见供应商须知前附表。。</w:t>
      </w:r>
    </w:p>
    <w:p w14:paraId="2938F5A3">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1.4.2 本项目不接受联合体磋商。</w:t>
      </w:r>
    </w:p>
    <w:p w14:paraId="09343C5E">
      <w:pPr>
        <w:spacing w:line="460" w:lineRule="exact"/>
        <w:rPr>
          <w:rFonts w:hint="eastAsia" w:ascii="宋体" w:hAnsi="宋体" w:cs="宋体"/>
          <w:b/>
          <w:szCs w:val="21"/>
          <w:highlight w:val="none"/>
        </w:rPr>
      </w:pPr>
      <w:r>
        <w:rPr>
          <w:rFonts w:hint="eastAsia" w:ascii="宋体" w:hAnsi="宋体" w:cs="宋体"/>
          <w:b/>
          <w:szCs w:val="21"/>
          <w:highlight w:val="none"/>
        </w:rPr>
        <w:t>1.5 踏勘现场</w:t>
      </w:r>
    </w:p>
    <w:p w14:paraId="33FCA6EF">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1.5.1采购人不统一组织，由供应商自行安排；</w:t>
      </w:r>
    </w:p>
    <w:p w14:paraId="7E9CEEE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1.5.2 供应商踏勘现场发生的费用自理。</w:t>
      </w:r>
    </w:p>
    <w:p w14:paraId="6586B43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1.5.3供应商自行负责在踏勘现场中所发生的人员伤亡和财产损失。</w:t>
      </w:r>
    </w:p>
    <w:p w14:paraId="7BBD8690">
      <w:pPr>
        <w:spacing w:line="460" w:lineRule="exact"/>
        <w:rPr>
          <w:rFonts w:hint="eastAsia" w:ascii="宋体" w:hAnsi="宋体" w:cs="宋体"/>
          <w:b/>
          <w:szCs w:val="21"/>
          <w:highlight w:val="none"/>
        </w:rPr>
      </w:pPr>
      <w:r>
        <w:rPr>
          <w:rFonts w:hint="eastAsia" w:ascii="宋体" w:hAnsi="宋体" w:cs="宋体"/>
          <w:b/>
          <w:szCs w:val="21"/>
          <w:highlight w:val="none"/>
        </w:rPr>
        <w:t>1.6投标预备会</w:t>
      </w:r>
    </w:p>
    <w:p w14:paraId="30E02C90">
      <w:pPr>
        <w:spacing w:line="460" w:lineRule="exact"/>
        <w:ind w:firstLine="420" w:firstLineChars="200"/>
        <w:rPr>
          <w:rFonts w:hint="eastAsia" w:ascii="宋体" w:hAnsi="宋体" w:cs="宋体"/>
          <w:highlight w:val="none"/>
        </w:rPr>
      </w:pPr>
      <w:r>
        <w:rPr>
          <w:rFonts w:hint="eastAsia" w:ascii="宋体" w:hAnsi="宋体" w:cs="宋体"/>
          <w:szCs w:val="21"/>
          <w:highlight w:val="none"/>
        </w:rPr>
        <w:t>本项目不召开投标预备会。</w:t>
      </w:r>
    </w:p>
    <w:p w14:paraId="231A59AB">
      <w:pPr>
        <w:spacing w:line="460" w:lineRule="exact"/>
        <w:rPr>
          <w:rFonts w:hint="eastAsia" w:ascii="宋体" w:hAnsi="宋体" w:cs="宋体"/>
          <w:b/>
          <w:szCs w:val="21"/>
          <w:highlight w:val="none"/>
        </w:rPr>
      </w:pPr>
      <w:r>
        <w:rPr>
          <w:rFonts w:hint="eastAsia" w:ascii="宋体" w:hAnsi="宋体" w:cs="宋体"/>
          <w:b/>
          <w:szCs w:val="21"/>
          <w:highlight w:val="none"/>
        </w:rPr>
        <w:t>1.7 费用承担</w:t>
      </w:r>
    </w:p>
    <w:p w14:paraId="44EEC84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供应商准备和参加磋商活动发生的费用自理。</w:t>
      </w:r>
    </w:p>
    <w:p w14:paraId="1786B08D">
      <w:pPr>
        <w:spacing w:line="460" w:lineRule="exact"/>
        <w:rPr>
          <w:rFonts w:hint="eastAsia" w:ascii="宋体" w:hAnsi="宋体" w:cs="宋体"/>
          <w:b/>
          <w:szCs w:val="21"/>
          <w:highlight w:val="none"/>
        </w:rPr>
      </w:pPr>
      <w:r>
        <w:rPr>
          <w:rFonts w:hint="eastAsia" w:ascii="宋体" w:hAnsi="宋体" w:cs="宋体"/>
          <w:b/>
          <w:szCs w:val="21"/>
          <w:highlight w:val="none"/>
        </w:rPr>
        <w:t>1.8 保密</w:t>
      </w:r>
    </w:p>
    <w:p w14:paraId="252FD9C1">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参与采购活动的各方应对磋商文件和磋商响应文件中的商业和技术等秘密保密，违者应对由此造成的后果承担法律责任。</w:t>
      </w:r>
    </w:p>
    <w:p w14:paraId="37C1945C">
      <w:pPr>
        <w:spacing w:line="460" w:lineRule="exact"/>
        <w:rPr>
          <w:rFonts w:hint="eastAsia" w:ascii="宋体" w:hAnsi="宋体" w:cs="宋体"/>
          <w:b/>
          <w:szCs w:val="21"/>
          <w:highlight w:val="none"/>
        </w:rPr>
      </w:pPr>
      <w:r>
        <w:rPr>
          <w:rFonts w:hint="eastAsia" w:ascii="宋体" w:hAnsi="宋体" w:cs="宋体"/>
          <w:b/>
          <w:szCs w:val="21"/>
          <w:highlight w:val="none"/>
        </w:rPr>
        <w:t>1.9 语言文字</w:t>
      </w:r>
    </w:p>
    <w:p w14:paraId="18655FB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除专用术语外，与采购有关的语言均使用中文。必要时专用术语应附有中文注释。</w:t>
      </w:r>
    </w:p>
    <w:p w14:paraId="0414F414">
      <w:pPr>
        <w:spacing w:line="460" w:lineRule="exact"/>
        <w:rPr>
          <w:rFonts w:hint="eastAsia" w:ascii="宋体" w:hAnsi="宋体" w:cs="宋体"/>
          <w:b/>
          <w:szCs w:val="21"/>
          <w:highlight w:val="none"/>
        </w:rPr>
      </w:pPr>
      <w:r>
        <w:rPr>
          <w:rFonts w:hint="eastAsia" w:ascii="宋体" w:hAnsi="宋体" w:cs="宋体"/>
          <w:b/>
          <w:szCs w:val="21"/>
          <w:highlight w:val="none"/>
        </w:rPr>
        <w:t>1.10 计量单位</w:t>
      </w:r>
    </w:p>
    <w:p w14:paraId="32E45086">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所有计量均采用中华人民共和国法定计量单位。</w:t>
      </w:r>
      <w:bookmarkStart w:id="24" w:name="_Toc8031"/>
      <w:bookmarkStart w:id="25" w:name="_Toc19826"/>
      <w:bookmarkStart w:id="26" w:name="_Toc5269842"/>
      <w:bookmarkStart w:id="27" w:name="_Toc10284"/>
    </w:p>
    <w:p w14:paraId="7BF1F36D">
      <w:pPr>
        <w:pStyle w:val="4"/>
        <w:spacing w:line="460" w:lineRule="exact"/>
        <w:jc w:val="both"/>
        <w:rPr>
          <w:rFonts w:hint="eastAsia" w:ascii="宋体" w:hAnsi="宋体" w:cs="宋体"/>
          <w:bCs w:val="0"/>
          <w:sz w:val="21"/>
          <w:szCs w:val="21"/>
          <w:highlight w:val="none"/>
        </w:rPr>
      </w:pPr>
      <w:bookmarkStart w:id="28" w:name="_Toc24310"/>
      <w:bookmarkStart w:id="29" w:name="_Toc7943"/>
      <w:r>
        <w:rPr>
          <w:rFonts w:hint="eastAsia" w:ascii="宋体" w:hAnsi="宋体" w:cs="宋体"/>
          <w:bCs w:val="0"/>
          <w:sz w:val="21"/>
          <w:szCs w:val="21"/>
          <w:highlight w:val="none"/>
        </w:rPr>
        <w:t>2.磋商文件</w:t>
      </w:r>
      <w:bookmarkEnd w:id="24"/>
      <w:bookmarkEnd w:id="25"/>
      <w:bookmarkEnd w:id="26"/>
      <w:bookmarkEnd w:id="27"/>
      <w:bookmarkEnd w:id="28"/>
      <w:bookmarkEnd w:id="29"/>
    </w:p>
    <w:p w14:paraId="0C149922">
      <w:pPr>
        <w:spacing w:line="460" w:lineRule="exact"/>
        <w:rPr>
          <w:rFonts w:hint="eastAsia" w:ascii="宋体" w:hAnsi="宋体" w:cs="宋体"/>
          <w:b/>
          <w:szCs w:val="21"/>
          <w:highlight w:val="none"/>
        </w:rPr>
      </w:pPr>
      <w:r>
        <w:rPr>
          <w:rFonts w:hint="eastAsia" w:ascii="宋体" w:hAnsi="宋体" w:cs="宋体"/>
          <w:b/>
          <w:szCs w:val="21"/>
          <w:highlight w:val="none"/>
        </w:rPr>
        <w:t>2.1 磋商文件的组成</w:t>
      </w:r>
    </w:p>
    <w:p w14:paraId="0D435CA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2.1.1本磋商文件包括：</w:t>
      </w:r>
    </w:p>
    <w:p w14:paraId="6C457DE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（1）竞争性磋商公告</w:t>
      </w:r>
    </w:p>
    <w:p w14:paraId="40FCED73">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（2）供应商须知</w:t>
      </w:r>
    </w:p>
    <w:p w14:paraId="422E3476">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（3）磋商程序及办法（综合评分法）</w:t>
      </w:r>
    </w:p>
    <w:p w14:paraId="019F6AF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（4）技术参数及要求</w:t>
      </w:r>
    </w:p>
    <w:p w14:paraId="5BD81066">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（5）合同条款（参考文本）</w:t>
      </w:r>
    </w:p>
    <w:p w14:paraId="0AFA048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（6）竞争性磋商响应文件格式</w:t>
      </w:r>
    </w:p>
    <w:p w14:paraId="348B99F0">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2.1.2根据本章第2.1 款对磋商文件所作的澄清、修改，构成磋商文件的组成部分。</w:t>
      </w:r>
    </w:p>
    <w:p w14:paraId="6A9D5431">
      <w:pPr>
        <w:spacing w:line="460" w:lineRule="exact"/>
        <w:rPr>
          <w:rFonts w:hint="eastAsia" w:ascii="宋体" w:hAnsi="宋体" w:cs="宋体"/>
          <w:b/>
          <w:szCs w:val="21"/>
          <w:highlight w:val="none"/>
        </w:rPr>
      </w:pPr>
      <w:r>
        <w:rPr>
          <w:rFonts w:hint="eastAsia" w:ascii="宋体" w:hAnsi="宋体" w:cs="宋体"/>
          <w:b/>
          <w:szCs w:val="21"/>
          <w:highlight w:val="none"/>
        </w:rPr>
        <w:t>2.2 采购文件的澄清、修改、补充的通知及响应时间变更</w:t>
      </w:r>
    </w:p>
    <w:p w14:paraId="30B3CAFF">
      <w:pPr>
        <w:pStyle w:val="23"/>
        <w:spacing w:before="0" w:after="0" w:line="360" w:lineRule="auto"/>
        <w:ind w:firstLine="420" w:firstLineChars="200"/>
        <w:jc w:val="left"/>
        <w:rPr>
          <w:rFonts w:hint="eastAsia" w:ascii="宋体" w:hAnsi="宋体" w:cs="宋体"/>
          <w:b w:val="0"/>
          <w:bCs w:val="0"/>
          <w:sz w:val="21"/>
          <w:szCs w:val="21"/>
          <w:highlight w:val="none"/>
        </w:rPr>
      </w:pPr>
      <w:bookmarkStart w:id="30" w:name="_Toc26324"/>
      <w:bookmarkStart w:id="31" w:name="_Toc2092"/>
      <w:r>
        <w:rPr>
          <w:rFonts w:hint="eastAsia" w:ascii="宋体" w:hAnsi="宋体" w:cs="宋体"/>
          <w:b w:val="0"/>
          <w:bCs w:val="0"/>
          <w:sz w:val="21"/>
          <w:szCs w:val="21"/>
          <w:highlight w:val="none"/>
        </w:rPr>
        <w:t>2.2.1响应文件在投标截止时间前的所有澄清、修改（包括时间变更等）、补充事项，均在“磋商公告”所述媒体予以公告。澄清或修改公告在法定网站以公告形式发布，依法视为书面通知，不再另行通知。</w:t>
      </w:r>
      <w:bookmarkEnd w:id="30"/>
      <w:bookmarkEnd w:id="31"/>
    </w:p>
    <w:p w14:paraId="7C7F6164">
      <w:pPr>
        <w:pStyle w:val="23"/>
        <w:spacing w:before="0" w:after="0" w:line="360" w:lineRule="auto"/>
        <w:ind w:firstLine="420" w:firstLineChars="200"/>
        <w:jc w:val="left"/>
        <w:rPr>
          <w:rFonts w:hint="eastAsia" w:ascii="宋体" w:hAnsi="宋体" w:cs="宋体"/>
          <w:b w:val="0"/>
          <w:bCs w:val="0"/>
          <w:sz w:val="21"/>
          <w:szCs w:val="21"/>
          <w:highlight w:val="none"/>
        </w:rPr>
      </w:pPr>
      <w:bookmarkStart w:id="32" w:name="_Toc31453"/>
      <w:bookmarkStart w:id="33" w:name="_Toc20102"/>
      <w:r>
        <w:rPr>
          <w:rFonts w:hint="eastAsia" w:ascii="宋体" w:hAnsi="宋体" w:cs="宋体"/>
          <w:b w:val="0"/>
          <w:bCs w:val="0"/>
          <w:sz w:val="21"/>
          <w:szCs w:val="21"/>
          <w:highlight w:val="none"/>
        </w:rPr>
        <w:t>2.2.2基于网上电子交易的特点--无权限获知或通知潜在</w:t>
      </w:r>
      <w:r>
        <w:rPr>
          <w:rFonts w:hint="eastAsia" w:ascii="宋体" w:hAnsi="宋体" w:cs="宋体"/>
          <w:b w:val="0"/>
          <w:bCs w:val="0"/>
          <w:sz w:val="21"/>
          <w:szCs w:val="21"/>
          <w:highlight w:val="none"/>
          <w:lang w:eastAsia="zh-CN"/>
        </w:rPr>
        <w:t>供应商</w:t>
      </w:r>
      <w:r>
        <w:rPr>
          <w:rFonts w:hint="eastAsia" w:ascii="宋体" w:hAnsi="宋体" w:cs="宋体"/>
          <w:b w:val="0"/>
          <w:bCs w:val="0"/>
          <w:sz w:val="21"/>
          <w:szCs w:val="21"/>
          <w:highlight w:val="none"/>
        </w:rPr>
        <w:t>，潜在</w:t>
      </w:r>
      <w:r>
        <w:rPr>
          <w:rFonts w:hint="eastAsia" w:ascii="宋体" w:hAnsi="宋体" w:cs="宋体"/>
          <w:b w:val="0"/>
          <w:bCs w:val="0"/>
          <w:sz w:val="21"/>
          <w:szCs w:val="21"/>
          <w:highlight w:val="none"/>
          <w:lang w:eastAsia="zh-CN"/>
        </w:rPr>
        <w:t>供应商</w:t>
      </w:r>
      <w:r>
        <w:rPr>
          <w:rFonts w:hint="eastAsia" w:ascii="宋体" w:hAnsi="宋体" w:cs="宋体"/>
          <w:b w:val="0"/>
          <w:bCs w:val="0"/>
          <w:sz w:val="21"/>
          <w:szCs w:val="21"/>
          <w:highlight w:val="none"/>
        </w:rPr>
        <w:t>应随时关注“磋商公告”所述媒体相关项目信息（为免各部门网站出现维护等情况，潜在</w:t>
      </w:r>
      <w:r>
        <w:rPr>
          <w:rFonts w:hint="eastAsia" w:ascii="宋体" w:hAnsi="宋体" w:cs="宋体"/>
          <w:b w:val="0"/>
          <w:bCs w:val="0"/>
          <w:sz w:val="21"/>
          <w:szCs w:val="21"/>
          <w:highlight w:val="none"/>
          <w:lang w:eastAsia="zh-CN"/>
        </w:rPr>
        <w:t>供应商</w:t>
      </w:r>
      <w:r>
        <w:rPr>
          <w:rFonts w:hint="eastAsia" w:ascii="宋体" w:hAnsi="宋体" w:cs="宋体"/>
          <w:b w:val="0"/>
          <w:bCs w:val="0"/>
          <w:sz w:val="21"/>
          <w:szCs w:val="21"/>
          <w:highlight w:val="none"/>
        </w:rPr>
        <w:t>应对“磋商公告”所述媒体逐一查阅）如有遗漏，后果自负。磋商文件的澄清、修改、补充书构成磋商文件的组成部分，并取代磋商文件中被澄清、修改处，对所有</w:t>
      </w:r>
      <w:r>
        <w:rPr>
          <w:rFonts w:hint="eastAsia" w:ascii="宋体" w:hAnsi="宋体" w:cs="宋体"/>
          <w:b w:val="0"/>
          <w:bCs w:val="0"/>
          <w:sz w:val="21"/>
          <w:szCs w:val="21"/>
          <w:highlight w:val="none"/>
          <w:lang w:eastAsia="zh-CN"/>
        </w:rPr>
        <w:t>供应商</w:t>
      </w:r>
      <w:r>
        <w:rPr>
          <w:rFonts w:hint="eastAsia" w:ascii="宋体" w:hAnsi="宋体" w:cs="宋体"/>
          <w:b w:val="0"/>
          <w:bCs w:val="0"/>
          <w:sz w:val="21"/>
          <w:szCs w:val="21"/>
          <w:highlight w:val="none"/>
        </w:rPr>
        <w:t>均有约束力。</w:t>
      </w:r>
      <w:bookmarkEnd w:id="32"/>
      <w:bookmarkEnd w:id="33"/>
    </w:p>
    <w:p w14:paraId="3DC8217B">
      <w:pPr>
        <w:pStyle w:val="4"/>
        <w:spacing w:line="460" w:lineRule="exact"/>
        <w:jc w:val="left"/>
        <w:rPr>
          <w:rFonts w:hint="eastAsia" w:ascii="宋体" w:hAnsi="宋体" w:cs="宋体"/>
          <w:bCs w:val="0"/>
          <w:sz w:val="21"/>
          <w:szCs w:val="21"/>
          <w:highlight w:val="none"/>
        </w:rPr>
      </w:pPr>
      <w:bookmarkStart w:id="34" w:name="_Toc9362"/>
      <w:bookmarkStart w:id="35" w:name="_Toc30789"/>
      <w:bookmarkStart w:id="36" w:name="_Toc1784"/>
      <w:bookmarkStart w:id="37" w:name="_Toc5269843"/>
      <w:bookmarkStart w:id="38" w:name="_Toc7192"/>
      <w:bookmarkStart w:id="39" w:name="_Toc332"/>
      <w:r>
        <w:rPr>
          <w:rFonts w:hint="eastAsia" w:ascii="宋体" w:hAnsi="宋体" w:cs="宋体"/>
          <w:bCs w:val="0"/>
          <w:sz w:val="21"/>
          <w:szCs w:val="21"/>
          <w:highlight w:val="none"/>
        </w:rPr>
        <w:t>3.磋商响应文件</w:t>
      </w:r>
      <w:bookmarkEnd w:id="34"/>
      <w:bookmarkEnd w:id="35"/>
      <w:bookmarkEnd w:id="36"/>
      <w:bookmarkEnd w:id="37"/>
      <w:bookmarkEnd w:id="38"/>
      <w:bookmarkEnd w:id="39"/>
    </w:p>
    <w:p w14:paraId="41B931BE">
      <w:pPr>
        <w:spacing w:line="460" w:lineRule="exact"/>
        <w:rPr>
          <w:rFonts w:hint="eastAsia" w:ascii="宋体" w:hAnsi="宋体" w:cs="宋体"/>
          <w:b/>
          <w:szCs w:val="21"/>
          <w:highlight w:val="none"/>
        </w:rPr>
      </w:pPr>
      <w:r>
        <w:rPr>
          <w:rFonts w:hint="eastAsia" w:ascii="宋体" w:hAnsi="宋体" w:cs="宋体"/>
          <w:b/>
          <w:szCs w:val="21"/>
          <w:highlight w:val="none"/>
        </w:rPr>
        <w:t>3.1 磋商响应文件的组成</w:t>
      </w:r>
    </w:p>
    <w:p w14:paraId="78B6197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3.1.1 磋商响应文件应包括但不限于下列内容：</w:t>
      </w:r>
    </w:p>
    <w:p w14:paraId="7CFCDDF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1.磋商响应承诺书</w:t>
      </w:r>
    </w:p>
    <w:p w14:paraId="0BDB91C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2.磋商响应函附录（第一轮报价）</w:t>
      </w:r>
    </w:p>
    <w:p w14:paraId="0173C1A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3.报价明细表</w:t>
      </w:r>
    </w:p>
    <w:p w14:paraId="50D8048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4.中小企业声明函</w:t>
      </w:r>
    </w:p>
    <w:p w14:paraId="0A3243A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5.商务条款偏差表</w:t>
      </w:r>
    </w:p>
    <w:p w14:paraId="455A1ABC">
      <w:pPr>
        <w:pStyle w:val="12"/>
        <w:spacing w:line="360" w:lineRule="auto"/>
        <w:ind w:left="0" w:leftChars="0" w:firstLine="420" w:firstLineChars="200"/>
        <w:rPr>
          <w:rFonts w:hint="eastAsia" w:ascii="宋体" w:hAnsi="宋体" w:cs="宋体"/>
          <w:highlight w:val="none"/>
        </w:rPr>
      </w:pPr>
      <w:r>
        <w:rPr>
          <w:rFonts w:hint="eastAsia" w:ascii="宋体" w:hAnsi="宋体" w:cs="宋体"/>
          <w:highlight w:val="none"/>
        </w:rPr>
        <w:t>6.技术要求响应与偏差表</w:t>
      </w:r>
    </w:p>
    <w:p w14:paraId="2CC0799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7.售后服务承诺</w:t>
      </w:r>
    </w:p>
    <w:p w14:paraId="6F0445E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8.资格证明材料</w:t>
      </w:r>
    </w:p>
    <w:p w14:paraId="11FB93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9.法定代表人授权书</w:t>
      </w:r>
    </w:p>
    <w:p w14:paraId="7B4DE02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10.供应商基本情况</w:t>
      </w:r>
    </w:p>
    <w:p w14:paraId="759C74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11.类似项目业绩情况表</w:t>
      </w:r>
    </w:p>
    <w:p w14:paraId="0E25D8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12.供货及安装方案</w:t>
      </w:r>
    </w:p>
    <w:p w14:paraId="5CFA366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13.供应商认为必要的其它材料</w:t>
      </w:r>
    </w:p>
    <w:p w14:paraId="06065E79">
      <w:pPr>
        <w:pStyle w:val="42"/>
        <w:spacing w:line="360" w:lineRule="auto"/>
        <w:ind w:firstLine="420" w:firstLineChars="200"/>
        <w:rPr>
          <w:rFonts w:hint="eastAsia" w:hAnsi="宋体"/>
          <w:sz w:val="21"/>
          <w:szCs w:val="21"/>
          <w:highlight w:val="none"/>
        </w:rPr>
      </w:pPr>
      <w:r>
        <w:rPr>
          <w:rFonts w:hint="eastAsia" w:hAnsi="宋体"/>
          <w:sz w:val="21"/>
          <w:szCs w:val="21"/>
          <w:highlight w:val="none"/>
        </w:rPr>
        <w:t>14.磋商报价（第二轮）</w:t>
      </w:r>
    </w:p>
    <w:p w14:paraId="3D62F2E4">
      <w:pPr>
        <w:spacing w:line="460" w:lineRule="exact"/>
        <w:rPr>
          <w:rFonts w:hint="eastAsia" w:ascii="宋体" w:hAnsi="宋体" w:cs="宋体"/>
          <w:b/>
          <w:szCs w:val="21"/>
          <w:highlight w:val="none"/>
        </w:rPr>
      </w:pPr>
      <w:r>
        <w:rPr>
          <w:rFonts w:hint="eastAsia" w:ascii="宋体" w:hAnsi="宋体" w:cs="宋体"/>
          <w:b/>
          <w:szCs w:val="21"/>
          <w:highlight w:val="none"/>
        </w:rPr>
        <w:t>3.2 磋商报价</w:t>
      </w:r>
    </w:p>
    <w:p w14:paraId="180CF1B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3.2.1 供应商应根据本文件规定的工作内容和工作量，自行测算费用。此费用应包括完成本采购项目全过程的一切费用。</w:t>
      </w:r>
    </w:p>
    <w:p w14:paraId="43A2C27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3.2.2 供应商每轮只允许有一个报价，采购人和采购代理机构不接受有任何选择报价的投标。</w:t>
      </w:r>
    </w:p>
    <w:p w14:paraId="560C25A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3.2.3 供应商不得以任何理由在磋商完成后对最终磋商报价予以修改，报价在磋商有效期内是固定的，不因任何原因而改变。</w:t>
      </w:r>
    </w:p>
    <w:p w14:paraId="398C736F">
      <w:pPr>
        <w:spacing w:line="460" w:lineRule="exact"/>
        <w:rPr>
          <w:rFonts w:hint="eastAsia" w:ascii="宋体" w:hAnsi="宋体" w:cs="宋体"/>
          <w:b/>
          <w:szCs w:val="21"/>
          <w:highlight w:val="none"/>
        </w:rPr>
      </w:pPr>
      <w:r>
        <w:rPr>
          <w:rFonts w:hint="eastAsia" w:ascii="宋体" w:hAnsi="宋体" w:cs="宋体"/>
          <w:b/>
          <w:szCs w:val="21"/>
          <w:highlight w:val="none"/>
        </w:rPr>
        <w:t>3.3 磋商有效期</w:t>
      </w:r>
    </w:p>
    <w:p w14:paraId="5C35347A">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3.3.1 在供应商须知前附表规定的磋商有效期内，供应商不得要求撤销或修改其磋商响应文件。</w:t>
      </w:r>
    </w:p>
    <w:p w14:paraId="002B0D4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3.3.2 出现特殊情况需要延长磋商有效期的，采购人以书面形式通知所有供应商延长磋商有效期。供应商同意延长的，则顺延磋商有效期。但不得要求或被允许修改或撤销其磋商响应文件；供应商拒绝延长的，其磋商响应文件失效。</w:t>
      </w:r>
    </w:p>
    <w:p w14:paraId="0EA93849">
      <w:pPr>
        <w:spacing w:line="460" w:lineRule="exact"/>
        <w:rPr>
          <w:rFonts w:hint="eastAsia" w:ascii="宋体" w:hAnsi="宋体" w:cs="宋体"/>
          <w:b/>
          <w:szCs w:val="21"/>
          <w:highlight w:val="none"/>
        </w:rPr>
      </w:pPr>
      <w:r>
        <w:rPr>
          <w:rFonts w:hint="eastAsia" w:ascii="宋体" w:hAnsi="宋体" w:cs="宋体"/>
          <w:b/>
          <w:szCs w:val="21"/>
          <w:highlight w:val="none"/>
        </w:rPr>
        <w:t>3.4 资格审查资料</w:t>
      </w:r>
    </w:p>
    <w:p w14:paraId="0CE0F3AF">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3.4.1 “供应商基本情况表”应附供应商营业执照副本等材料的复印件或扫描件。</w:t>
      </w:r>
    </w:p>
    <w:p w14:paraId="2CF1340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w:t>
      </w:r>
    </w:p>
    <w:p w14:paraId="3C65F06D">
      <w:pPr>
        <w:spacing w:line="460" w:lineRule="exact"/>
        <w:rPr>
          <w:rFonts w:hint="eastAsia" w:ascii="宋体" w:hAnsi="宋体" w:cs="宋体"/>
          <w:b/>
          <w:szCs w:val="21"/>
          <w:highlight w:val="none"/>
        </w:rPr>
      </w:pPr>
      <w:r>
        <w:rPr>
          <w:rFonts w:hint="eastAsia" w:ascii="宋体" w:hAnsi="宋体" w:cs="宋体"/>
          <w:b/>
          <w:szCs w:val="21"/>
          <w:highlight w:val="none"/>
        </w:rPr>
        <w:t>3.5备选磋商方案</w:t>
      </w:r>
    </w:p>
    <w:p w14:paraId="2DC569A1">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供应商不得递交备选磋商方案。</w:t>
      </w:r>
    </w:p>
    <w:p w14:paraId="09720BC6">
      <w:pPr>
        <w:spacing w:line="460" w:lineRule="exact"/>
        <w:rPr>
          <w:rFonts w:hint="eastAsia" w:ascii="宋体" w:hAnsi="宋体" w:cs="宋体"/>
          <w:b/>
          <w:szCs w:val="21"/>
          <w:highlight w:val="none"/>
        </w:rPr>
      </w:pPr>
      <w:r>
        <w:rPr>
          <w:rFonts w:hint="eastAsia" w:ascii="宋体" w:hAnsi="宋体" w:cs="宋体"/>
          <w:b/>
          <w:szCs w:val="21"/>
          <w:highlight w:val="none"/>
        </w:rPr>
        <w:t>3.6磋商响应文件的编制</w:t>
      </w:r>
    </w:p>
    <w:p w14:paraId="773A6CF0">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3.6.1 磋商响应文件应按第六章“磋商响应文件格式”进行编写，如有必要，可以增加附页，作为磋商响应文件的组成部分。其中，磋商函附录在满足磋商文件实质性要求的基础上，可以提出比磋商文件要求更有利于采购人的承诺。</w:t>
      </w:r>
    </w:p>
    <w:p w14:paraId="1772345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3.6.2 磋商响应文件应当对磋商文件有关服务期限、质量要求、磋商内容等实质性内容作出响应。</w:t>
      </w:r>
    </w:p>
    <w:p w14:paraId="134FB352">
      <w:pPr>
        <w:spacing w:line="460" w:lineRule="exact"/>
        <w:ind w:firstLine="420" w:firstLineChars="200"/>
        <w:rPr>
          <w:rFonts w:hint="eastAsia" w:ascii="宋体" w:hAnsi="宋体" w:cs="宋体"/>
          <w:szCs w:val="21"/>
          <w:highlight w:val="none"/>
        </w:rPr>
      </w:pPr>
      <w:bookmarkStart w:id="40" w:name="_Toc13875"/>
      <w:bookmarkStart w:id="41" w:name="_Toc10111"/>
      <w:bookmarkStart w:id="42" w:name="_Toc22190"/>
      <w:bookmarkStart w:id="43" w:name="_Toc5269844"/>
      <w:r>
        <w:rPr>
          <w:rFonts w:hint="eastAsia" w:ascii="宋体" w:hAnsi="宋体" w:cs="宋体"/>
          <w:szCs w:val="21"/>
          <w:highlight w:val="none"/>
        </w:rPr>
        <w:t>3.6.3供应商通过荥阳市公共资源交易中心受理大厅 CA 密钥窗口办理电子认证，所有要求法定代表人或其委托代理人签字（或盖章）的都应用法定代表人或其委托代理人的签字或盖章或电子签章。</w:t>
      </w:r>
    </w:p>
    <w:p w14:paraId="739F1AF7">
      <w:pPr>
        <w:spacing w:line="360" w:lineRule="auto"/>
        <w:ind w:firstLine="420" w:firstLineChars="200"/>
        <w:rPr>
          <w:rFonts w:hint="eastAsia" w:ascii="宋体" w:hAnsi="宋体" w:cs="宋体"/>
          <w:highlight w:val="none"/>
        </w:rPr>
      </w:pPr>
      <w:r>
        <w:rPr>
          <w:rFonts w:hint="eastAsia" w:ascii="宋体" w:hAnsi="宋体" w:cs="宋体"/>
          <w:highlight w:val="none"/>
        </w:rPr>
        <w:t>3.6.4供应商（供应商）请登陆荥阳市公共资源交易中心网站—下载中心—下载中心栏目下载最新版本的磋商响应文件制作工具安装包，并使用安装后的最新版本磋商响应文件制作工具制作电子磋商响应文件（具体制作手册请查询交易中心网站-办事指南-磋商响应文件制作操作手册）。</w:t>
      </w:r>
    </w:p>
    <w:p w14:paraId="39DA6F31">
      <w:pPr>
        <w:pStyle w:val="4"/>
        <w:spacing w:line="360" w:lineRule="auto"/>
        <w:jc w:val="left"/>
        <w:rPr>
          <w:rFonts w:hint="eastAsia" w:ascii="宋体" w:hAnsi="宋体" w:cs="宋体"/>
          <w:bCs w:val="0"/>
          <w:sz w:val="21"/>
          <w:szCs w:val="21"/>
          <w:highlight w:val="none"/>
        </w:rPr>
      </w:pPr>
      <w:bookmarkStart w:id="44" w:name="_Toc30188"/>
      <w:bookmarkStart w:id="45" w:name="_Toc24115"/>
      <w:r>
        <w:rPr>
          <w:rFonts w:hint="eastAsia" w:ascii="宋体" w:hAnsi="宋体" w:cs="宋体"/>
          <w:bCs w:val="0"/>
          <w:sz w:val="21"/>
          <w:szCs w:val="21"/>
          <w:highlight w:val="none"/>
        </w:rPr>
        <w:t>4.</w:t>
      </w:r>
      <w:bookmarkEnd w:id="40"/>
      <w:bookmarkEnd w:id="41"/>
      <w:r>
        <w:rPr>
          <w:rFonts w:hint="eastAsia" w:ascii="宋体" w:hAnsi="宋体" w:cs="宋体"/>
          <w:bCs w:val="0"/>
          <w:sz w:val="21"/>
          <w:szCs w:val="21"/>
          <w:highlight w:val="none"/>
        </w:rPr>
        <w:t>磋商响应文件的递交</w:t>
      </w:r>
      <w:bookmarkEnd w:id="42"/>
      <w:bookmarkEnd w:id="43"/>
      <w:bookmarkEnd w:id="44"/>
      <w:bookmarkEnd w:id="45"/>
    </w:p>
    <w:p w14:paraId="0BE86F37">
      <w:pPr>
        <w:spacing w:line="460" w:lineRule="exact"/>
        <w:rPr>
          <w:rFonts w:hint="eastAsia" w:ascii="宋体" w:hAnsi="宋体" w:cs="宋体"/>
          <w:b/>
          <w:szCs w:val="21"/>
          <w:highlight w:val="none"/>
        </w:rPr>
      </w:pPr>
      <w:r>
        <w:rPr>
          <w:rFonts w:hint="eastAsia" w:ascii="宋体" w:hAnsi="宋体" w:cs="宋体"/>
          <w:b/>
          <w:szCs w:val="21"/>
          <w:highlight w:val="none"/>
        </w:rPr>
        <w:t>4.1 磋商响应文件的密封和标记</w:t>
      </w:r>
    </w:p>
    <w:p w14:paraId="6EFF3E3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4.1.1 供应商应当按照磋商文件和电子招标投标交易平台的要求加密响应文件，具体要求见供应商须知前附表。 </w:t>
      </w:r>
    </w:p>
    <w:p w14:paraId="510378E9">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4.1.2  未按本章第4.1.1项要求密封和加写标记的磋商响应文件，采购人或磋商小组不予受理。</w:t>
      </w:r>
    </w:p>
    <w:p w14:paraId="0D4258E4">
      <w:pPr>
        <w:spacing w:line="460" w:lineRule="exact"/>
        <w:rPr>
          <w:rFonts w:hint="eastAsia" w:ascii="宋体" w:hAnsi="宋体" w:cs="宋体"/>
          <w:b/>
          <w:szCs w:val="21"/>
          <w:highlight w:val="none"/>
        </w:rPr>
      </w:pPr>
      <w:r>
        <w:rPr>
          <w:rFonts w:hint="eastAsia" w:ascii="宋体" w:hAnsi="宋体" w:cs="宋体"/>
          <w:b/>
          <w:szCs w:val="21"/>
          <w:highlight w:val="none"/>
        </w:rPr>
        <w:t>4.2 磋商响应文件的递交</w:t>
      </w:r>
    </w:p>
    <w:p w14:paraId="4558D8E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4.2.1 供应商应在供应商须知前附表2.2.2 项规定的磋商截止时间前递交磋商响应文件。</w:t>
      </w:r>
    </w:p>
    <w:p w14:paraId="7C86DB7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4.2.2 供应商递交磋商响应文件的地点：见供应商须知前附表。</w:t>
      </w:r>
    </w:p>
    <w:p w14:paraId="5C9EE04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4.2.3 除供应商须知前附表另有规定外，供应商所递交的磋商响应文件不予退还。</w:t>
      </w:r>
    </w:p>
    <w:p w14:paraId="560F523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4.2.4 逾期送达的或者未送达指定地点的磋商响应文件，采购人不予受理。</w:t>
      </w:r>
    </w:p>
    <w:p w14:paraId="24D2184B">
      <w:pPr>
        <w:spacing w:line="360" w:lineRule="auto"/>
        <w:ind w:firstLine="420" w:firstLineChars="200"/>
        <w:rPr>
          <w:rFonts w:hint="eastAsia" w:ascii="宋体" w:hAnsi="宋体" w:cs="宋体"/>
          <w:highlight w:val="none"/>
        </w:rPr>
      </w:pPr>
      <w:r>
        <w:rPr>
          <w:rFonts w:hint="eastAsia" w:ascii="宋体" w:hAnsi="宋体" w:cs="宋体"/>
          <w:szCs w:val="21"/>
          <w:highlight w:val="none"/>
        </w:rPr>
        <w:t>4.2.5</w:t>
      </w:r>
      <w:r>
        <w:rPr>
          <w:rFonts w:hint="eastAsia" w:ascii="宋体" w:hAnsi="宋体" w:cs="宋体"/>
          <w:highlight w:val="none"/>
        </w:rPr>
        <w:t>响应文件上传：各供应商（供应商）须在投标截止时间前企业身份认证锁（CA密钥）登陆荥阳市公共资源交易中心网站上传加密的电子磋商响应文件到系统的指定位置。上传时必须得到电脑‘上传成功’的确认回复。请供应商（供应商）在上传时认真检查上传磋商响应文件是否完整、正确。</w:t>
      </w:r>
    </w:p>
    <w:p w14:paraId="2AFAC8F1">
      <w:pPr>
        <w:spacing w:line="360" w:lineRule="auto"/>
        <w:ind w:firstLine="420" w:firstLineChars="200"/>
        <w:rPr>
          <w:rFonts w:hint="eastAsia" w:ascii="宋体" w:hAnsi="宋体" w:cs="宋体"/>
          <w:highlight w:val="none"/>
        </w:rPr>
      </w:pPr>
      <w:r>
        <w:rPr>
          <w:rFonts w:hint="eastAsia" w:ascii="宋体" w:hAnsi="宋体" w:cs="宋体"/>
          <w:szCs w:val="21"/>
          <w:highlight w:val="none"/>
        </w:rPr>
        <w:t>4.2.6</w:t>
      </w:r>
      <w:r>
        <w:rPr>
          <w:rFonts w:hint="eastAsia" w:ascii="宋体" w:hAnsi="宋体" w:cs="宋体"/>
          <w:highlight w:val="none"/>
        </w:rPr>
        <w:t>供应商（供应商）在交易中心投标系统无法上传电子磋商响应文件时，请在工作时间及时与荥阳市公共资源交易中心联系。</w:t>
      </w:r>
    </w:p>
    <w:p w14:paraId="71FB9B44">
      <w:pPr>
        <w:pStyle w:val="10"/>
        <w:ind w:firstLine="436" w:firstLineChars="200"/>
        <w:rPr>
          <w:rFonts w:hint="eastAsia" w:ascii="宋体" w:eastAsia="宋体" w:cs="宋体"/>
          <w:b w:val="0"/>
          <w:bCs w:val="0"/>
          <w:sz w:val="21"/>
          <w:szCs w:val="21"/>
          <w:highlight w:val="none"/>
        </w:rPr>
      </w:pPr>
      <w:r>
        <w:rPr>
          <w:rFonts w:hint="eastAsia" w:ascii="宋体" w:eastAsia="宋体" w:cs="宋体"/>
          <w:b w:val="0"/>
          <w:bCs w:val="0"/>
          <w:color w:val="000000"/>
          <w:kern w:val="0"/>
          <w:sz w:val="21"/>
          <w:szCs w:val="21"/>
          <w:highlight w:val="none"/>
        </w:rPr>
        <w:t>4.2.7逾期上传/送达的或者未上传/未送达指定地点的磋商响应文件，采购人不予受理。</w:t>
      </w:r>
    </w:p>
    <w:p w14:paraId="5C80781D">
      <w:pPr>
        <w:pStyle w:val="4"/>
        <w:spacing w:line="460" w:lineRule="exact"/>
        <w:jc w:val="left"/>
        <w:rPr>
          <w:rFonts w:hint="eastAsia" w:ascii="宋体" w:hAnsi="宋体" w:cs="宋体"/>
          <w:bCs w:val="0"/>
          <w:sz w:val="21"/>
          <w:szCs w:val="21"/>
          <w:highlight w:val="none"/>
        </w:rPr>
      </w:pPr>
      <w:bookmarkStart w:id="46" w:name="_Toc21992"/>
      <w:bookmarkStart w:id="47" w:name="_Toc30971"/>
      <w:bookmarkStart w:id="48" w:name="_Toc24941"/>
      <w:bookmarkStart w:id="49" w:name="_Toc31868"/>
      <w:bookmarkStart w:id="50" w:name="_Toc12772"/>
      <w:bookmarkStart w:id="51" w:name="_Toc5269845"/>
      <w:r>
        <w:rPr>
          <w:rFonts w:hint="eastAsia" w:ascii="宋体" w:hAnsi="宋体" w:cs="宋体"/>
          <w:bCs w:val="0"/>
          <w:sz w:val="21"/>
          <w:szCs w:val="21"/>
          <w:highlight w:val="none"/>
        </w:rPr>
        <w:t>5.磋商</w:t>
      </w:r>
      <w:bookmarkEnd w:id="46"/>
      <w:bookmarkEnd w:id="47"/>
      <w:bookmarkEnd w:id="48"/>
      <w:bookmarkEnd w:id="49"/>
      <w:bookmarkEnd w:id="50"/>
      <w:bookmarkEnd w:id="51"/>
    </w:p>
    <w:p w14:paraId="478CC67A">
      <w:pPr>
        <w:spacing w:line="460" w:lineRule="exact"/>
        <w:rPr>
          <w:rFonts w:hint="eastAsia" w:ascii="宋体" w:hAnsi="宋体" w:cs="宋体"/>
          <w:szCs w:val="21"/>
          <w:highlight w:val="none"/>
        </w:rPr>
      </w:pPr>
      <w:r>
        <w:rPr>
          <w:rFonts w:hint="eastAsia" w:ascii="宋体" w:hAnsi="宋体" w:cs="宋体"/>
          <w:b/>
          <w:szCs w:val="21"/>
          <w:highlight w:val="none"/>
        </w:rPr>
        <w:t>5.1 磋商时间和地点</w:t>
      </w:r>
    </w:p>
    <w:p w14:paraId="7EA71D4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5.1.1见供应商须知前附表。供应商应当在供应商须知前附表2.2.2 项规定的响应截止时间前，准时参加磋商活动并进行磋商谈判、答疑澄清、二次报价。</w:t>
      </w:r>
    </w:p>
    <w:p w14:paraId="6C1ACFEF">
      <w:pPr>
        <w:spacing w:line="460" w:lineRule="exact"/>
        <w:rPr>
          <w:rFonts w:hint="eastAsia" w:ascii="宋体" w:hAnsi="宋体" w:cs="宋体"/>
          <w:b/>
          <w:szCs w:val="21"/>
          <w:highlight w:val="none"/>
        </w:rPr>
      </w:pPr>
      <w:r>
        <w:rPr>
          <w:rFonts w:hint="eastAsia" w:ascii="宋体" w:hAnsi="宋体" w:cs="宋体"/>
          <w:b/>
          <w:szCs w:val="21"/>
          <w:highlight w:val="none"/>
        </w:rPr>
        <w:t>5.2 开标程序</w:t>
      </w:r>
    </w:p>
    <w:p w14:paraId="5BA7E501">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5.2.1主持人按下列程序进行开标：</w:t>
      </w:r>
    </w:p>
    <w:p w14:paraId="530947D4">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（1）宣布磋商纪律。</w:t>
      </w:r>
    </w:p>
    <w:p w14:paraId="26158282">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（2）宣布采购人、监标人等有关人员姓名；</w:t>
      </w:r>
    </w:p>
    <w:p w14:paraId="223C7DAF">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（3）检查磋商响应文件的密封情况，并对上传至交易平台的加密磋商响应文件进行解密；</w:t>
      </w:r>
    </w:p>
    <w:p w14:paraId="05AE6EDB">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（4）供应商代表、采购人代表、监标人等有关人员在磋商记录上签字确认。</w:t>
      </w:r>
    </w:p>
    <w:p w14:paraId="0FDF7797">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（5）开标结束。</w:t>
      </w:r>
    </w:p>
    <w:p w14:paraId="0AFB9FE5">
      <w:pPr>
        <w:tabs>
          <w:tab w:val="left" w:pos="720"/>
          <w:tab w:val="left" w:pos="1980"/>
        </w:tabs>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5.2.2磋商工作由磋商小组主持，对所有供应商的竞争性磋商响应文件进行评审，并推荐候选成交供应商。磋商工作按下列程序进行：</w:t>
      </w:r>
    </w:p>
    <w:p w14:paraId="7231C4F8">
      <w:pPr>
        <w:spacing w:line="460" w:lineRule="exact"/>
        <w:ind w:firstLine="210" w:firstLineChars="100"/>
        <w:rPr>
          <w:rFonts w:hint="eastAsia" w:ascii="宋体" w:hAnsi="宋体" w:cs="宋体"/>
          <w:szCs w:val="21"/>
          <w:highlight w:val="none"/>
        </w:rPr>
      </w:pPr>
      <w:r>
        <w:rPr>
          <w:rFonts w:hint="eastAsia" w:ascii="宋体" w:hAnsi="宋体" w:cs="宋体"/>
          <w:szCs w:val="21"/>
          <w:highlight w:val="none"/>
        </w:rPr>
        <w:t>（1）初步评审；</w:t>
      </w:r>
    </w:p>
    <w:p w14:paraId="7A5E4172">
      <w:pPr>
        <w:spacing w:line="460" w:lineRule="exact"/>
        <w:ind w:firstLine="210" w:firstLineChars="100"/>
        <w:rPr>
          <w:rFonts w:hint="eastAsia" w:ascii="宋体" w:hAnsi="宋体" w:cs="宋体"/>
          <w:szCs w:val="21"/>
          <w:highlight w:val="none"/>
        </w:rPr>
      </w:pPr>
      <w:r>
        <w:rPr>
          <w:rFonts w:hint="eastAsia" w:ascii="宋体" w:hAnsi="宋体" w:cs="宋体"/>
          <w:szCs w:val="21"/>
          <w:highlight w:val="none"/>
        </w:rPr>
        <w:t>（2）磋商；</w:t>
      </w:r>
    </w:p>
    <w:p w14:paraId="0D01AD3A">
      <w:pPr>
        <w:spacing w:line="460" w:lineRule="exact"/>
        <w:ind w:firstLine="210" w:firstLineChars="100"/>
        <w:rPr>
          <w:rFonts w:hint="eastAsia" w:ascii="宋体" w:hAnsi="宋体" w:cs="宋体"/>
          <w:szCs w:val="21"/>
          <w:highlight w:val="none"/>
        </w:rPr>
      </w:pPr>
      <w:r>
        <w:rPr>
          <w:rFonts w:hint="eastAsia" w:ascii="宋体" w:hAnsi="宋体" w:cs="宋体"/>
          <w:szCs w:val="21"/>
          <w:highlight w:val="none"/>
        </w:rPr>
        <w:t>（3）综合评分；</w:t>
      </w:r>
    </w:p>
    <w:p w14:paraId="145F3276">
      <w:pPr>
        <w:spacing w:line="460" w:lineRule="exact"/>
        <w:ind w:firstLine="210" w:firstLineChars="100"/>
        <w:rPr>
          <w:rFonts w:hint="eastAsia" w:ascii="宋体" w:hAnsi="宋体" w:cs="宋体"/>
          <w:szCs w:val="21"/>
          <w:highlight w:val="none"/>
        </w:rPr>
      </w:pPr>
      <w:r>
        <w:rPr>
          <w:rFonts w:hint="eastAsia" w:ascii="宋体" w:hAnsi="宋体" w:cs="宋体"/>
          <w:szCs w:val="21"/>
          <w:highlight w:val="none"/>
        </w:rPr>
        <w:t>（4）候选成交供应商的确定。</w:t>
      </w:r>
    </w:p>
    <w:p w14:paraId="231F88AC">
      <w:pPr>
        <w:pStyle w:val="10"/>
        <w:rPr>
          <w:rFonts w:hint="eastAsia" w:ascii="宋体" w:eastAsia="宋体" w:cs="宋体"/>
          <w:sz w:val="21"/>
          <w:szCs w:val="21"/>
          <w:highlight w:val="none"/>
        </w:rPr>
      </w:pPr>
      <w:r>
        <w:rPr>
          <w:rFonts w:hint="eastAsia" w:ascii="宋体" w:eastAsia="宋体" w:cs="宋体"/>
          <w:sz w:val="21"/>
          <w:szCs w:val="21"/>
          <w:highlight w:val="none"/>
        </w:rPr>
        <w:t>5.3磋商时出现下列情况的，采购人将拒绝其响应文件</w:t>
      </w:r>
    </w:p>
    <w:p w14:paraId="0BCB03FB">
      <w:pPr>
        <w:pStyle w:val="10"/>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（1）经检查数字证书无效的响应文件；</w:t>
      </w:r>
    </w:p>
    <w:p w14:paraId="06647154">
      <w:pPr>
        <w:pStyle w:val="10"/>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（2）供应商未按供应商须知表 5.1 项规定完成响应文件解密的；</w:t>
      </w:r>
    </w:p>
    <w:p w14:paraId="565C5F62">
      <w:pPr>
        <w:pStyle w:val="10"/>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（3）供应商法定代表人或其委托代理人未按时参加磋商会的。</w:t>
      </w:r>
    </w:p>
    <w:p w14:paraId="30C41176">
      <w:pPr>
        <w:pStyle w:val="4"/>
        <w:spacing w:line="460" w:lineRule="exact"/>
        <w:jc w:val="left"/>
        <w:rPr>
          <w:rFonts w:hint="eastAsia" w:ascii="宋体" w:hAnsi="宋体" w:cs="宋体"/>
          <w:bCs w:val="0"/>
          <w:sz w:val="21"/>
          <w:szCs w:val="21"/>
          <w:highlight w:val="none"/>
        </w:rPr>
      </w:pPr>
      <w:bookmarkStart w:id="52" w:name="_Toc16420"/>
      <w:bookmarkStart w:id="53" w:name="_Toc22776"/>
      <w:bookmarkStart w:id="54" w:name="_Toc1681"/>
      <w:bookmarkStart w:id="55" w:name="_Toc30601"/>
      <w:bookmarkStart w:id="56" w:name="_Toc5269846"/>
      <w:bookmarkStart w:id="57" w:name="_Toc3665"/>
      <w:r>
        <w:rPr>
          <w:rFonts w:hint="eastAsia" w:ascii="宋体" w:hAnsi="宋体" w:cs="宋体"/>
          <w:bCs w:val="0"/>
          <w:sz w:val="21"/>
          <w:szCs w:val="21"/>
          <w:highlight w:val="none"/>
        </w:rPr>
        <w:t>6.磋商评审</w:t>
      </w:r>
      <w:bookmarkEnd w:id="52"/>
      <w:bookmarkEnd w:id="53"/>
      <w:bookmarkEnd w:id="54"/>
      <w:bookmarkEnd w:id="55"/>
      <w:bookmarkEnd w:id="56"/>
      <w:bookmarkEnd w:id="57"/>
    </w:p>
    <w:p w14:paraId="6CDEB40E">
      <w:pPr>
        <w:spacing w:line="460" w:lineRule="exact"/>
        <w:rPr>
          <w:rFonts w:hint="eastAsia" w:ascii="宋体" w:hAnsi="宋体" w:cs="宋体"/>
          <w:b/>
          <w:szCs w:val="21"/>
          <w:highlight w:val="none"/>
        </w:rPr>
      </w:pPr>
      <w:r>
        <w:rPr>
          <w:rFonts w:hint="eastAsia" w:ascii="宋体" w:hAnsi="宋体" w:cs="宋体"/>
          <w:b/>
          <w:szCs w:val="21"/>
          <w:highlight w:val="none"/>
        </w:rPr>
        <w:t>6.1 磋商小组</w:t>
      </w:r>
    </w:p>
    <w:p w14:paraId="36AE7546">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6.1.1 磋商评审由依法组建的磋商小组负责。</w:t>
      </w:r>
      <w:r>
        <w:rPr>
          <w:rFonts w:hint="eastAsia" w:ascii="宋体" w:hAnsi="宋体" w:cs="宋体"/>
          <w:color w:val="000000"/>
          <w:szCs w:val="21"/>
          <w:highlight w:val="none"/>
        </w:rPr>
        <w:t>磋商小组由有关技术、经济等方面的专家组成。磋商小组成员人数以及技术、经济等方面专家的确定方式见供应商须知前附表。</w:t>
      </w:r>
    </w:p>
    <w:p w14:paraId="5DD5BF6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6.1.2磋商小组成员有下列情形之一的，应当回避：</w:t>
      </w:r>
    </w:p>
    <w:p w14:paraId="6C1C4BA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（1）采购人或供应商的主要负责人的近亲属；</w:t>
      </w:r>
    </w:p>
    <w:p w14:paraId="148FF85A">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（2）项目主管部门或者行政监督部门的人员；</w:t>
      </w:r>
    </w:p>
    <w:p w14:paraId="723759B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（3）与供应商有经济利益关系，可能影响公正评审的；</w:t>
      </w:r>
    </w:p>
    <w:p w14:paraId="5079336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（4）曾因在采购、评标以及其他与采购投标有关活动中从事违法行为而受过行政处罚或刑事处罚的。</w:t>
      </w:r>
    </w:p>
    <w:p w14:paraId="54B57DD6">
      <w:pPr>
        <w:spacing w:line="460" w:lineRule="exact"/>
        <w:rPr>
          <w:rFonts w:hint="eastAsia" w:ascii="宋体" w:hAnsi="宋体" w:cs="宋体"/>
          <w:b/>
          <w:szCs w:val="21"/>
          <w:highlight w:val="none"/>
        </w:rPr>
      </w:pPr>
      <w:r>
        <w:rPr>
          <w:rFonts w:hint="eastAsia" w:ascii="宋体" w:hAnsi="宋体" w:cs="宋体"/>
          <w:b/>
          <w:szCs w:val="21"/>
          <w:highlight w:val="none"/>
        </w:rPr>
        <w:t>6.2 磋商原则</w:t>
      </w:r>
    </w:p>
    <w:p w14:paraId="51A953E8">
      <w:pPr>
        <w:tabs>
          <w:tab w:val="left" w:pos="720"/>
          <w:tab w:val="left" w:pos="1980"/>
        </w:tabs>
        <w:spacing w:line="460" w:lineRule="exact"/>
        <w:ind w:firstLine="422" w:firstLineChars="200"/>
        <w:rPr>
          <w:rFonts w:hint="eastAsia" w:ascii="宋体" w:hAnsi="宋体" w:cs="宋体"/>
          <w:b/>
          <w:szCs w:val="21"/>
          <w:highlight w:val="none"/>
        </w:rPr>
      </w:pPr>
      <w:r>
        <w:rPr>
          <w:rFonts w:hint="eastAsia" w:ascii="宋体" w:hAnsi="宋体" w:cs="宋体"/>
          <w:b/>
          <w:szCs w:val="21"/>
          <w:highlight w:val="none"/>
        </w:rPr>
        <w:t>磋商小组应按照客观、公正、审慎的原则，根据磋商文件规定的评审程序、评审方法和评审标准进行独立评审。</w:t>
      </w:r>
    </w:p>
    <w:p w14:paraId="6804CAF6">
      <w:pPr>
        <w:spacing w:line="460" w:lineRule="exact"/>
        <w:rPr>
          <w:rFonts w:hint="eastAsia" w:ascii="宋体" w:hAnsi="宋体" w:cs="宋体"/>
          <w:b/>
          <w:szCs w:val="21"/>
          <w:highlight w:val="none"/>
        </w:rPr>
      </w:pPr>
      <w:r>
        <w:rPr>
          <w:rFonts w:hint="eastAsia" w:ascii="宋体" w:hAnsi="宋体" w:cs="宋体"/>
          <w:b/>
          <w:szCs w:val="21"/>
          <w:highlight w:val="none"/>
        </w:rPr>
        <w:t>6.3 评审办法</w:t>
      </w:r>
    </w:p>
    <w:p w14:paraId="1AEB3DD9">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磋商小组按照第三章“磋商程序及办法”规定的方法、评审因素、标准和程序对磋商响应文件进行评审。第三章“磋商程序及办法”没有规定的方法、评审因素和标准，不作为评审依据。</w:t>
      </w:r>
      <w:bookmarkStart w:id="58" w:name="_Toc22917"/>
      <w:bookmarkStart w:id="59" w:name="_Toc5269847"/>
      <w:bookmarkStart w:id="60" w:name="_Toc30878"/>
      <w:bookmarkStart w:id="61" w:name="_Toc23215"/>
    </w:p>
    <w:p w14:paraId="4DB078AF">
      <w:pPr>
        <w:pStyle w:val="4"/>
        <w:spacing w:line="460" w:lineRule="exact"/>
        <w:jc w:val="left"/>
        <w:rPr>
          <w:rFonts w:hint="eastAsia" w:ascii="宋体" w:hAnsi="宋体" w:cs="宋体"/>
          <w:bCs w:val="0"/>
          <w:sz w:val="21"/>
          <w:szCs w:val="21"/>
          <w:highlight w:val="none"/>
        </w:rPr>
      </w:pPr>
      <w:bookmarkStart w:id="62" w:name="_Toc14519"/>
      <w:bookmarkStart w:id="63" w:name="_Toc26159"/>
      <w:r>
        <w:rPr>
          <w:rFonts w:hint="eastAsia" w:ascii="宋体" w:hAnsi="宋体" w:cs="宋体"/>
          <w:bCs w:val="0"/>
          <w:sz w:val="21"/>
          <w:szCs w:val="21"/>
          <w:highlight w:val="none"/>
        </w:rPr>
        <w:t>7.合同授予</w:t>
      </w:r>
      <w:bookmarkEnd w:id="58"/>
      <w:bookmarkEnd w:id="59"/>
      <w:bookmarkEnd w:id="60"/>
      <w:bookmarkEnd w:id="61"/>
      <w:bookmarkEnd w:id="62"/>
      <w:bookmarkEnd w:id="63"/>
    </w:p>
    <w:p w14:paraId="0612BD06">
      <w:pPr>
        <w:spacing w:line="460" w:lineRule="exact"/>
        <w:rPr>
          <w:rFonts w:hint="eastAsia" w:ascii="宋体" w:hAnsi="宋体" w:cs="宋体"/>
          <w:b/>
          <w:szCs w:val="21"/>
          <w:highlight w:val="none"/>
        </w:rPr>
      </w:pPr>
      <w:r>
        <w:rPr>
          <w:rFonts w:hint="eastAsia" w:ascii="宋体" w:hAnsi="宋体" w:cs="宋体"/>
          <w:b/>
          <w:szCs w:val="21"/>
          <w:highlight w:val="none"/>
        </w:rPr>
        <w:t>7.1 定标方式</w:t>
      </w:r>
    </w:p>
    <w:p w14:paraId="17EA54CA">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供应商须知前附表规定磋商小组</w:t>
      </w:r>
      <w:r>
        <w:rPr>
          <w:rFonts w:hint="eastAsia" w:ascii="宋体" w:hAnsi="宋体" w:cs="宋体"/>
          <w:highlight w:val="none"/>
        </w:rPr>
        <w:t>推荐</w:t>
      </w:r>
      <w:r>
        <w:rPr>
          <w:rFonts w:hint="eastAsia" w:ascii="宋体" w:hAnsi="宋体" w:cs="宋体"/>
          <w:highlight w:val="none"/>
          <w:lang w:val="en-US" w:eastAsia="zh-CN"/>
        </w:rPr>
        <w:t>3</w:t>
      </w:r>
      <w:r>
        <w:rPr>
          <w:rFonts w:hint="eastAsia" w:ascii="宋体" w:hAnsi="宋体" w:cs="宋体"/>
          <w:highlight w:val="none"/>
        </w:rPr>
        <w:t>名成交候选人。</w:t>
      </w:r>
    </w:p>
    <w:p w14:paraId="13C39969">
      <w:pPr>
        <w:spacing w:line="460" w:lineRule="exact"/>
        <w:rPr>
          <w:rFonts w:hint="eastAsia" w:ascii="宋体" w:hAnsi="宋体" w:cs="宋体"/>
          <w:b/>
          <w:szCs w:val="21"/>
          <w:highlight w:val="none"/>
        </w:rPr>
      </w:pPr>
      <w:r>
        <w:rPr>
          <w:rFonts w:hint="eastAsia" w:ascii="宋体" w:hAnsi="宋体" w:cs="宋体"/>
          <w:b/>
          <w:szCs w:val="21"/>
          <w:highlight w:val="none"/>
        </w:rPr>
        <w:t>7.2 成交通知</w:t>
      </w:r>
    </w:p>
    <w:p w14:paraId="51E1045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在本章第3.3.1 款规定的磋商有效期内，采购人以书面形式向成交供应商发出成交通知书，同时将成交结果通知未成交的供应商。</w:t>
      </w:r>
    </w:p>
    <w:p w14:paraId="406F99F3">
      <w:pPr>
        <w:spacing w:line="460" w:lineRule="exact"/>
        <w:rPr>
          <w:rFonts w:hint="eastAsia" w:ascii="宋体" w:hAnsi="宋体" w:cs="宋体"/>
          <w:b/>
          <w:szCs w:val="21"/>
          <w:highlight w:val="none"/>
        </w:rPr>
      </w:pPr>
      <w:r>
        <w:rPr>
          <w:rFonts w:hint="eastAsia" w:ascii="宋体" w:hAnsi="宋体" w:cs="宋体"/>
          <w:b/>
          <w:szCs w:val="21"/>
          <w:highlight w:val="none"/>
        </w:rPr>
        <w:t>7.3 履约担保</w:t>
      </w:r>
    </w:p>
    <w:p w14:paraId="1471E92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7.3.1 在签订合同前，成交供应商应按供应商须知前附表规定的金额、担保形式和磋商文件第四章“合同条款及格式”规定的履约担保格式向采购人提交履约担保。 </w:t>
      </w:r>
    </w:p>
    <w:p w14:paraId="710A49E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7.3.2 成交供应商不能按本章第7.3.1 项要求提交履约担保的，视为放弃，给采购人造成的损失，成交供应商还应予以赔偿。</w:t>
      </w:r>
    </w:p>
    <w:p w14:paraId="32C1B008">
      <w:pPr>
        <w:spacing w:line="460" w:lineRule="exact"/>
        <w:rPr>
          <w:rFonts w:hint="eastAsia" w:ascii="宋体" w:hAnsi="宋体" w:cs="宋体"/>
          <w:b/>
          <w:szCs w:val="21"/>
          <w:highlight w:val="none"/>
        </w:rPr>
      </w:pPr>
      <w:r>
        <w:rPr>
          <w:rFonts w:hint="eastAsia" w:ascii="宋体" w:hAnsi="宋体" w:cs="宋体"/>
          <w:b/>
          <w:szCs w:val="21"/>
          <w:highlight w:val="none"/>
        </w:rPr>
        <w:t>7.4 签订合同</w:t>
      </w:r>
    </w:p>
    <w:p w14:paraId="4B8AF4A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7.4.1 采购人和成交供应商应当自成交通知书发出之日起规定时间内，根据磋商文件和成交供应商的磋商响应文件订立书面合同。成交供应商无正当理由拒签合同的，采购人取消其成交资格。</w:t>
      </w:r>
    </w:p>
    <w:p w14:paraId="2CD88B0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7.4.2 发出成交通知书后，成交供应商无正当理由拒签合同的，给采购人造成损失的，还应当赔偿损失。</w:t>
      </w:r>
    </w:p>
    <w:p w14:paraId="0A5A55A7">
      <w:pPr>
        <w:pStyle w:val="4"/>
        <w:spacing w:line="460" w:lineRule="exact"/>
        <w:jc w:val="left"/>
        <w:rPr>
          <w:rFonts w:hint="eastAsia" w:ascii="宋体" w:hAnsi="宋体" w:cs="宋体"/>
          <w:bCs w:val="0"/>
          <w:sz w:val="21"/>
          <w:szCs w:val="21"/>
          <w:highlight w:val="none"/>
        </w:rPr>
      </w:pPr>
      <w:bookmarkStart w:id="64" w:name="_Toc19153"/>
      <w:bookmarkStart w:id="65" w:name="_Toc5269848"/>
      <w:bookmarkStart w:id="66" w:name="_Toc29552"/>
      <w:bookmarkStart w:id="67" w:name="_Toc19828"/>
      <w:bookmarkStart w:id="68" w:name="_Toc31926"/>
      <w:bookmarkStart w:id="69" w:name="_Toc7113"/>
      <w:r>
        <w:rPr>
          <w:rFonts w:hint="eastAsia" w:ascii="宋体" w:hAnsi="宋体" w:cs="宋体"/>
          <w:bCs w:val="0"/>
          <w:sz w:val="21"/>
          <w:szCs w:val="21"/>
          <w:highlight w:val="none"/>
        </w:rPr>
        <w:t>8.重新</w:t>
      </w:r>
      <w:bookmarkEnd w:id="64"/>
      <w:r>
        <w:rPr>
          <w:rFonts w:hint="eastAsia" w:ascii="宋体" w:hAnsi="宋体" w:cs="宋体"/>
          <w:bCs w:val="0"/>
          <w:sz w:val="21"/>
          <w:szCs w:val="21"/>
          <w:highlight w:val="none"/>
        </w:rPr>
        <w:t>采购</w:t>
      </w:r>
      <w:bookmarkEnd w:id="65"/>
      <w:bookmarkEnd w:id="66"/>
      <w:bookmarkEnd w:id="67"/>
      <w:bookmarkEnd w:id="68"/>
      <w:bookmarkEnd w:id="69"/>
    </w:p>
    <w:p w14:paraId="46948D6F">
      <w:pPr>
        <w:spacing w:line="460" w:lineRule="exact"/>
        <w:rPr>
          <w:rFonts w:hint="eastAsia" w:ascii="宋体" w:hAnsi="宋体" w:cs="宋体"/>
          <w:b/>
          <w:szCs w:val="21"/>
          <w:highlight w:val="none"/>
        </w:rPr>
      </w:pPr>
      <w:r>
        <w:rPr>
          <w:rFonts w:hint="eastAsia" w:ascii="宋体" w:hAnsi="宋体" w:cs="宋体"/>
          <w:b/>
          <w:szCs w:val="21"/>
          <w:highlight w:val="none"/>
        </w:rPr>
        <w:t>8.1 重新采购</w:t>
      </w:r>
    </w:p>
    <w:p w14:paraId="4C02A3C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有下列情形之一的，采购人将重新采购：</w:t>
      </w:r>
    </w:p>
    <w:p w14:paraId="1C51FBF0">
      <w:pPr>
        <w:numPr>
          <w:ilvl w:val="0"/>
          <w:numId w:val="3"/>
        </w:num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因情况变化，不再符合规定的竞争性磋商采购方式适用情形的；</w:t>
      </w:r>
    </w:p>
    <w:p w14:paraId="103AD638">
      <w:pPr>
        <w:numPr>
          <w:ilvl w:val="0"/>
          <w:numId w:val="3"/>
        </w:num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出现影响采购公正的违法、违规行为的；</w:t>
      </w:r>
    </w:p>
    <w:p w14:paraId="3C38E661">
      <w:pPr>
        <w:pStyle w:val="4"/>
        <w:spacing w:line="460" w:lineRule="exact"/>
        <w:jc w:val="left"/>
        <w:rPr>
          <w:rFonts w:hint="eastAsia" w:ascii="宋体" w:hAnsi="宋体" w:cs="宋体"/>
          <w:bCs w:val="0"/>
          <w:sz w:val="21"/>
          <w:szCs w:val="21"/>
          <w:highlight w:val="none"/>
        </w:rPr>
      </w:pPr>
      <w:bookmarkStart w:id="70" w:name="_Toc14953"/>
      <w:bookmarkStart w:id="71" w:name="_Toc15001"/>
      <w:bookmarkStart w:id="72" w:name="_Toc27321"/>
      <w:bookmarkStart w:id="73" w:name="_Toc12498"/>
      <w:bookmarkStart w:id="74" w:name="_Toc14198"/>
      <w:bookmarkStart w:id="75" w:name="_Toc5269849"/>
      <w:r>
        <w:rPr>
          <w:rFonts w:hint="eastAsia" w:ascii="宋体" w:hAnsi="宋体" w:cs="宋体"/>
          <w:bCs w:val="0"/>
          <w:sz w:val="21"/>
          <w:szCs w:val="21"/>
          <w:highlight w:val="none"/>
        </w:rPr>
        <w:t>9.纪律和监督</w:t>
      </w:r>
      <w:bookmarkEnd w:id="70"/>
      <w:bookmarkEnd w:id="71"/>
      <w:bookmarkEnd w:id="72"/>
      <w:bookmarkEnd w:id="73"/>
      <w:bookmarkEnd w:id="74"/>
      <w:bookmarkEnd w:id="75"/>
    </w:p>
    <w:p w14:paraId="6DEAEE61">
      <w:pPr>
        <w:spacing w:line="460" w:lineRule="exact"/>
        <w:ind w:firstLine="422" w:firstLineChars="200"/>
        <w:rPr>
          <w:rFonts w:hint="eastAsia" w:ascii="宋体" w:hAnsi="宋体" w:cs="宋体"/>
          <w:b/>
          <w:szCs w:val="21"/>
          <w:highlight w:val="none"/>
        </w:rPr>
      </w:pPr>
      <w:r>
        <w:rPr>
          <w:rFonts w:hint="eastAsia" w:ascii="宋体" w:hAnsi="宋体" w:cs="宋体"/>
          <w:b/>
          <w:szCs w:val="21"/>
          <w:highlight w:val="none"/>
        </w:rPr>
        <w:t>9.1 对磋商小组成员的纪律要求</w:t>
      </w:r>
    </w:p>
    <w:p w14:paraId="68C7E29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磋商小组成员不得收受他人的财物或者其他好处，不得向他人透漏对磋商响应文件的评审和比较、成交候选人的推荐情况以及评审有关的其他情况。在评审活动中，磋商小组成员不得擅离职守，影响评审程序正常进行。</w:t>
      </w:r>
    </w:p>
    <w:p w14:paraId="574CB5A9">
      <w:pPr>
        <w:spacing w:line="460" w:lineRule="exact"/>
        <w:ind w:firstLine="422" w:firstLineChars="200"/>
        <w:rPr>
          <w:rFonts w:hint="eastAsia" w:ascii="宋体" w:hAnsi="宋体" w:cs="宋体"/>
          <w:b/>
          <w:szCs w:val="21"/>
          <w:highlight w:val="none"/>
        </w:rPr>
      </w:pPr>
      <w:r>
        <w:rPr>
          <w:rFonts w:hint="eastAsia" w:ascii="宋体" w:hAnsi="宋体" w:cs="宋体"/>
          <w:b/>
          <w:szCs w:val="21"/>
          <w:highlight w:val="none"/>
        </w:rPr>
        <w:t>9.2 对与评审活动有关的工作人员的纪律要求</w:t>
      </w:r>
    </w:p>
    <w:p w14:paraId="34E2096F">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与评审活动有关的工作人员不得收受他人的财物或者其他好处，不得向他人透漏对磋商响应文件的评审和比较、成交候选人的推荐情况以及评审有关的其他情况。在评审活动中，与评审活动有关的工作人员不得擅离职守，影响评审程序正常进行。</w:t>
      </w:r>
    </w:p>
    <w:p w14:paraId="5E90B686">
      <w:pPr>
        <w:spacing w:line="460" w:lineRule="exact"/>
        <w:ind w:firstLine="413" w:firstLineChars="196"/>
        <w:rPr>
          <w:rFonts w:hint="eastAsia" w:ascii="宋体" w:hAnsi="宋体" w:cs="宋体"/>
          <w:b/>
          <w:szCs w:val="21"/>
          <w:highlight w:val="none"/>
        </w:rPr>
      </w:pPr>
      <w:r>
        <w:rPr>
          <w:rFonts w:hint="eastAsia" w:ascii="宋体" w:hAnsi="宋体" w:cs="宋体"/>
          <w:b/>
          <w:szCs w:val="21"/>
          <w:highlight w:val="none"/>
        </w:rPr>
        <w:t>9.3 投诉</w:t>
      </w:r>
    </w:p>
    <w:p w14:paraId="70B70C4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供应商和其他利害关系人认为本次采购活动违反法律、法规和规章规定的，有权向有关行政监督部门投诉。</w:t>
      </w:r>
    </w:p>
    <w:p w14:paraId="395F7C61">
      <w:pPr>
        <w:pStyle w:val="4"/>
        <w:spacing w:line="460" w:lineRule="exact"/>
        <w:jc w:val="left"/>
        <w:rPr>
          <w:rFonts w:hint="eastAsia" w:ascii="宋体" w:hAnsi="宋体" w:cs="宋体"/>
          <w:bCs w:val="0"/>
          <w:sz w:val="21"/>
          <w:szCs w:val="21"/>
          <w:highlight w:val="none"/>
        </w:rPr>
      </w:pPr>
      <w:bookmarkStart w:id="76" w:name="_Toc5269850"/>
      <w:bookmarkStart w:id="77" w:name="_Toc32183"/>
      <w:bookmarkStart w:id="78" w:name="_Toc21492"/>
      <w:bookmarkStart w:id="79" w:name="_Toc23359"/>
      <w:bookmarkStart w:id="80" w:name="_Toc4660"/>
      <w:bookmarkStart w:id="81" w:name="_Toc10859"/>
      <w:r>
        <w:rPr>
          <w:rFonts w:hint="eastAsia" w:ascii="宋体" w:hAnsi="宋体" w:cs="宋体"/>
          <w:bCs w:val="0"/>
          <w:sz w:val="21"/>
          <w:szCs w:val="21"/>
          <w:highlight w:val="none"/>
        </w:rPr>
        <w:t>10.需要补充的其他内容</w:t>
      </w:r>
      <w:bookmarkEnd w:id="76"/>
      <w:bookmarkEnd w:id="77"/>
      <w:bookmarkEnd w:id="78"/>
      <w:bookmarkEnd w:id="79"/>
      <w:bookmarkEnd w:id="80"/>
      <w:bookmarkEnd w:id="81"/>
    </w:p>
    <w:p w14:paraId="1F3354B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需要补充的其他内容：见供应商须知前附表。</w:t>
      </w:r>
    </w:p>
    <w:p w14:paraId="0F455177">
      <w:pPr>
        <w:pStyle w:val="2"/>
        <w:numPr>
          <w:ilvl w:val="0"/>
          <w:numId w:val="0"/>
        </w:numPr>
        <w:tabs>
          <w:tab w:val="clear" w:pos="432"/>
        </w:tabs>
        <w:rPr>
          <w:rFonts w:hint="eastAsia" w:ascii="宋体" w:hAnsi="宋体" w:cs="宋体"/>
          <w:highlight w:val="none"/>
        </w:rPr>
      </w:pPr>
      <w:bookmarkStart w:id="82" w:name="_Toc30573"/>
      <w:bookmarkStart w:id="83" w:name="_Toc22459"/>
      <w:r>
        <w:rPr>
          <w:rFonts w:hint="eastAsia" w:ascii="宋体" w:hAnsi="宋体" w:cs="宋体"/>
          <w:highlight w:val="none"/>
        </w:rPr>
        <w:br w:type="page"/>
      </w:r>
      <w:bookmarkStart w:id="84" w:name="_Toc19616"/>
      <w:r>
        <w:rPr>
          <w:rFonts w:hint="eastAsia" w:ascii="宋体" w:hAnsi="宋体" w:cs="宋体"/>
          <w:b/>
          <w:bCs/>
          <w:highlight w:val="none"/>
        </w:rPr>
        <w:t>第三章 磋商程序及办法（综合评分法）</w:t>
      </w:r>
      <w:bookmarkEnd w:id="82"/>
      <w:bookmarkEnd w:id="83"/>
      <w:bookmarkEnd w:id="84"/>
    </w:p>
    <w:tbl>
      <w:tblPr>
        <w:tblStyle w:val="26"/>
        <w:tblpPr w:leftFromText="180" w:rightFromText="180" w:vertAnchor="text" w:horzAnchor="page" w:tblpX="1205" w:tblpY="363"/>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1"/>
        <w:gridCol w:w="2121"/>
        <w:gridCol w:w="5972"/>
      </w:tblGrid>
      <w:tr w14:paraId="0C88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98" w:type="dxa"/>
            <w:gridSpan w:val="2"/>
            <w:vAlign w:val="center"/>
          </w:tcPr>
          <w:p w14:paraId="7152EE10">
            <w:pPr>
              <w:spacing w:line="400" w:lineRule="exact"/>
              <w:jc w:val="center"/>
              <w:rPr>
                <w:rFonts w:hint="eastAsia" w:ascii="宋体" w:hAnsi="宋体" w:cs="宋体"/>
                <w:szCs w:val="21"/>
                <w:highlight w:val="none"/>
              </w:rPr>
            </w:pPr>
            <w:bookmarkStart w:id="85" w:name="_Toc5269852"/>
            <w:bookmarkStart w:id="86" w:name="_Toc409023135"/>
            <w:bookmarkStart w:id="87" w:name="_Toc28209"/>
            <w:bookmarkStart w:id="88" w:name="_Toc17131"/>
            <w:bookmarkStart w:id="89" w:name="_Toc433093355"/>
            <w:bookmarkStart w:id="90" w:name="_Toc6653"/>
            <w:r>
              <w:rPr>
                <w:rFonts w:hint="eastAsia" w:ascii="宋体" w:hAnsi="宋体" w:cs="宋体"/>
                <w:szCs w:val="21"/>
                <w:highlight w:val="none"/>
              </w:rPr>
              <w:t>条款号</w:t>
            </w:r>
          </w:p>
        </w:tc>
        <w:tc>
          <w:tcPr>
            <w:tcW w:w="2121" w:type="dxa"/>
            <w:vAlign w:val="center"/>
          </w:tcPr>
          <w:p w14:paraId="1583BF9F">
            <w:pPr>
              <w:spacing w:line="400" w:lineRule="exact"/>
              <w:jc w:val="center"/>
              <w:rPr>
                <w:rFonts w:hint="eastAsia" w:ascii="宋体" w:hAnsi="宋体" w:cs="宋体"/>
                <w:szCs w:val="21"/>
                <w:highlight w:val="none"/>
              </w:rPr>
            </w:pPr>
            <w:r>
              <w:rPr>
                <w:rFonts w:hint="eastAsia" w:ascii="宋体" w:hAnsi="宋体" w:cs="宋体"/>
                <w:szCs w:val="21"/>
                <w:highlight w:val="none"/>
              </w:rPr>
              <w:t>评审因素</w:t>
            </w:r>
          </w:p>
        </w:tc>
        <w:tc>
          <w:tcPr>
            <w:tcW w:w="5972" w:type="dxa"/>
            <w:vAlign w:val="center"/>
          </w:tcPr>
          <w:p w14:paraId="7A5AE823">
            <w:pPr>
              <w:spacing w:line="400" w:lineRule="exact"/>
              <w:jc w:val="center"/>
              <w:rPr>
                <w:rFonts w:hint="eastAsia" w:ascii="宋体" w:hAnsi="宋体" w:cs="宋体"/>
                <w:szCs w:val="21"/>
                <w:highlight w:val="none"/>
              </w:rPr>
            </w:pPr>
            <w:r>
              <w:rPr>
                <w:rFonts w:hint="eastAsia" w:ascii="宋体" w:hAnsi="宋体" w:cs="宋体"/>
                <w:szCs w:val="21"/>
                <w:highlight w:val="none"/>
              </w:rPr>
              <w:t>评审标准</w:t>
            </w:r>
          </w:p>
        </w:tc>
      </w:tr>
      <w:tr w14:paraId="3E3F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restart"/>
            <w:tcBorders>
              <w:top w:val="double" w:color="auto" w:sz="4" w:space="0"/>
            </w:tcBorders>
            <w:vAlign w:val="center"/>
          </w:tcPr>
          <w:p w14:paraId="6AF4EAFA">
            <w:pPr>
              <w:spacing w:line="400" w:lineRule="exact"/>
              <w:jc w:val="center"/>
              <w:rPr>
                <w:rFonts w:hint="eastAsia" w:ascii="宋体" w:hAnsi="宋体" w:cs="宋体"/>
                <w:szCs w:val="21"/>
                <w:highlight w:val="none"/>
              </w:rPr>
            </w:pPr>
            <w:r>
              <w:rPr>
                <w:rFonts w:hint="eastAsia" w:ascii="宋体" w:hAnsi="宋体" w:cs="宋体"/>
                <w:szCs w:val="21"/>
                <w:highlight w:val="none"/>
              </w:rPr>
              <w:t>2.1.1</w:t>
            </w:r>
          </w:p>
        </w:tc>
        <w:tc>
          <w:tcPr>
            <w:tcW w:w="851" w:type="dxa"/>
            <w:vMerge w:val="restart"/>
            <w:tcBorders>
              <w:top w:val="double" w:color="auto" w:sz="4" w:space="0"/>
              <w:left w:val="double" w:color="auto" w:sz="4" w:space="0"/>
            </w:tcBorders>
            <w:vAlign w:val="center"/>
          </w:tcPr>
          <w:p w14:paraId="50E770DB">
            <w:pPr>
              <w:spacing w:line="400" w:lineRule="exact"/>
              <w:jc w:val="center"/>
              <w:rPr>
                <w:rFonts w:hint="eastAsia" w:ascii="宋体" w:hAnsi="宋体" w:cs="宋体"/>
                <w:szCs w:val="21"/>
                <w:highlight w:val="none"/>
              </w:rPr>
            </w:pPr>
            <w:r>
              <w:rPr>
                <w:rFonts w:hint="eastAsia" w:ascii="宋体" w:hAnsi="宋体" w:cs="宋体"/>
                <w:color w:val="000000"/>
                <w:kern w:val="0"/>
                <w:szCs w:val="21"/>
                <w:highlight w:val="none"/>
              </w:rPr>
              <w:t>形式评审标准</w:t>
            </w:r>
          </w:p>
        </w:tc>
        <w:tc>
          <w:tcPr>
            <w:tcW w:w="2121" w:type="dxa"/>
            <w:tcBorders>
              <w:top w:val="double" w:color="auto" w:sz="4" w:space="0"/>
            </w:tcBorders>
            <w:vAlign w:val="center"/>
          </w:tcPr>
          <w:p w14:paraId="59E15B19">
            <w:pPr>
              <w:widowControl/>
              <w:adjustRightInd w:val="0"/>
              <w:snapToGrid w:val="0"/>
              <w:spacing w:line="360" w:lineRule="auto"/>
              <w:jc w:val="center"/>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供应商名称</w:t>
            </w:r>
          </w:p>
        </w:tc>
        <w:tc>
          <w:tcPr>
            <w:tcW w:w="5972" w:type="dxa"/>
            <w:tcBorders>
              <w:top w:val="double" w:color="auto" w:sz="4" w:space="0"/>
            </w:tcBorders>
            <w:vAlign w:val="center"/>
          </w:tcPr>
          <w:p w14:paraId="3570AA3F">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与营业执照一致</w:t>
            </w:r>
          </w:p>
        </w:tc>
      </w:tr>
      <w:tr w14:paraId="2162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vAlign w:val="center"/>
          </w:tcPr>
          <w:p w14:paraId="36DC73C8">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4252997F">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75D76ECE">
            <w:pPr>
              <w:widowControl/>
              <w:adjustRightInd w:val="0"/>
              <w:snapToGrid w:val="0"/>
              <w:spacing w:line="360" w:lineRule="auto"/>
              <w:jc w:val="center"/>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磋商响应函签字盖章</w:t>
            </w:r>
          </w:p>
        </w:tc>
        <w:tc>
          <w:tcPr>
            <w:tcW w:w="5972" w:type="dxa"/>
            <w:tcBorders>
              <w:top w:val="double" w:color="auto" w:sz="4" w:space="0"/>
            </w:tcBorders>
            <w:vAlign w:val="center"/>
          </w:tcPr>
          <w:p w14:paraId="64C2D496">
            <w:pPr>
              <w:widowControl/>
              <w:adjustRightInd w:val="0"/>
              <w:snapToGrid w:val="0"/>
              <w:spacing w:line="360" w:lineRule="auto"/>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有法定代表人或其委托代理人签字并加盖单位公章或电子签章</w:t>
            </w:r>
          </w:p>
        </w:tc>
      </w:tr>
      <w:tr w14:paraId="5C13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vAlign w:val="center"/>
          </w:tcPr>
          <w:p w14:paraId="58E89840">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6E25BD78">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38E285DA">
            <w:pPr>
              <w:widowControl/>
              <w:adjustRightInd w:val="0"/>
              <w:snapToGrid w:val="0"/>
              <w:spacing w:line="360" w:lineRule="auto"/>
              <w:jc w:val="center"/>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响应文件格式</w:t>
            </w:r>
          </w:p>
        </w:tc>
        <w:tc>
          <w:tcPr>
            <w:tcW w:w="5972" w:type="dxa"/>
            <w:tcBorders>
              <w:top w:val="double" w:color="auto" w:sz="4" w:space="0"/>
            </w:tcBorders>
            <w:vAlign w:val="center"/>
          </w:tcPr>
          <w:p w14:paraId="6535CD57">
            <w:pPr>
              <w:widowControl/>
              <w:adjustRightInd w:val="0"/>
              <w:snapToGrid w:val="0"/>
              <w:spacing w:line="360" w:lineRule="auto"/>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符合第六章“竞争性磋商响应文件格式”的要求</w:t>
            </w:r>
          </w:p>
        </w:tc>
      </w:tr>
      <w:tr w14:paraId="6542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71ED439F">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36481A42">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0724143F">
            <w:pPr>
              <w:widowControl/>
              <w:adjustRightInd w:val="0"/>
              <w:snapToGrid w:val="0"/>
              <w:spacing w:line="360" w:lineRule="auto"/>
              <w:jc w:val="center"/>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报价唯一</w:t>
            </w:r>
          </w:p>
        </w:tc>
        <w:tc>
          <w:tcPr>
            <w:tcW w:w="5972" w:type="dxa"/>
            <w:tcBorders>
              <w:top w:val="double" w:color="auto" w:sz="4" w:space="0"/>
            </w:tcBorders>
            <w:vAlign w:val="center"/>
          </w:tcPr>
          <w:p w14:paraId="0E296631">
            <w:pPr>
              <w:widowControl/>
              <w:adjustRightInd w:val="0"/>
              <w:snapToGrid w:val="0"/>
              <w:spacing w:line="360" w:lineRule="auto"/>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每一轮</w:t>
            </w:r>
            <w:r>
              <w:rPr>
                <w:rFonts w:hint="eastAsia" w:ascii="宋体" w:hAnsi="宋体" w:cs="宋体"/>
                <w:color w:val="000000"/>
                <w:kern w:val="0"/>
                <w:szCs w:val="21"/>
                <w:highlight w:val="none"/>
              </w:rPr>
              <w:t>只能有一个有效报价</w:t>
            </w:r>
          </w:p>
        </w:tc>
      </w:tr>
      <w:tr w14:paraId="39D0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restart"/>
            <w:vAlign w:val="center"/>
          </w:tcPr>
          <w:p w14:paraId="36CD2811">
            <w:pPr>
              <w:spacing w:line="400" w:lineRule="exact"/>
              <w:jc w:val="center"/>
              <w:rPr>
                <w:rFonts w:hint="eastAsia" w:ascii="宋体" w:hAnsi="宋体" w:cs="宋体"/>
                <w:szCs w:val="21"/>
                <w:highlight w:val="none"/>
              </w:rPr>
            </w:pPr>
            <w:r>
              <w:rPr>
                <w:rFonts w:hint="eastAsia" w:ascii="宋体" w:hAnsi="宋体" w:cs="宋体"/>
                <w:szCs w:val="21"/>
                <w:highlight w:val="none"/>
              </w:rPr>
              <w:t>2.1.2</w:t>
            </w:r>
          </w:p>
        </w:tc>
        <w:tc>
          <w:tcPr>
            <w:tcW w:w="851" w:type="dxa"/>
            <w:vMerge w:val="restart"/>
            <w:tcBorders>
              <w:left w:val="double" w:color="auto" w:sz="4" w:space="0"/>
            </w:tcBorders>
            <w:vAlign w:val="center"/>
          </w:tcPr>
          <w:p w14:paraId="7786D789">
            <w:pPr>
              <w:spacing w:line="400" w:lineRule="exact"/>
              <w:jc w:val="center"/>
              <w:rPr>
                <w:rFonts w:hint="eastAsia" w:ascii="宋体" w:hAnsi="宋体" w:cs="宋体"/>
                <w:szCs w:val="21"/>
                <w:highlight w:val="none"/>
              </w:rPr>
            </w:pPr>
            <w:r>
              <w:rPr>
                <w:rFonts w:hint="eastAsia" w:ascii="宋体" w:hAnsi="宋体" w:cs="宋体"/>
                <w:szCs w:val="21"/>
                <w:highlight w:val="none"/>
              </w:rPr>
              <w:t>响应性</w:t>
            </w:r>
          </w:p>
          <w:p w14:paraId="0B0787ED">
            <w:pPr>
              <w:spacing w:line="400" w:lineRule="exact"/>
              <w:jc w:val="center"/>
              <w:rPr>
                <w:rFonts w:hint="eastAsia" w:ascii="宋体" w:hAnsi="宋体" w:cs="宋体"/>
                <w:szCs w:val="21"/>
                <w:highlight w:val="none"/>
              </w:rPr>
            </w:pPr>
            <w:r>
              <w:rPr>
                <w:rFonts w:hint="eastAsia" w:ascii="宋体" w:hAnsi="宋体" w:cs="宋体"/>
                <w:szCs w:val="21"/>
                <w:highlight w:val="none"/>
              </w:rPr>
              <w:t>评审标准</w:t>
            </w:r>
          </w:p>
        </w:tc>
        <w:tc>
          <w:tcPr>
            <w:tcW w:w="2121" w:type="dxa"/>
            <w:tcBorders>
              <w:top w:val="double" w:color="auto" w:sz="4" w:space="0"/>
            </w:tcBorders>
            <w:vAlign w:val="center"/>
          </w:tcPr>
          <w:p w14:paraId="3AF64AF7">
            <w:pPr>
              <w:spacing w:line="360" w:lineRule="auto"/>
              <w:jc w:val="center"/>
              <w:rPr>
                <w:rFonts w:hint="eastAsia" w:ascii="宋体" w:hAnsi="宋体" w:cs="宋体"/>
                <w:color w:val="000000"/>
                <w:kern w:val="0"/>
                <w:szCs w:val="21"/>
                <w:highlight w:val="none"/>
              </w:rPr>
            </w:pPr>
            <w:r>
              <w:rPr>
                <w:rFonts w:hint="eastAsia" w:ascii="宋体" w:hAnsi="宋体" w:cs="宋体"/>
                <w:szCs w:val="21"/>
                <w:highlight w:val="none"/>
              </w:rPr>
              <w:t>合同履行期限</w:t>
            </w:r>
          </w:p>
        </w:tc>
        <w:tc>
          <w:tcPr>
            <w:tcW w:w="5972" w:type="dxa"/>
            <w:tcBorders>
              <w:top w:val="double" w:color="auto" w:sz="4" w:space="0"/>
            </w:tcBorders>
            <w:vAlign w:val="center"/>
          </w:tcPr>
          <w:p w14:paraId="15A6C498">
            <w:pPr>
              <w:spacing w:line="360" w:lineRule="auto"/>
              <w:rPr>
                <w:rFonts w:hint="eastAsia" w:ascii="宋体" w:hAnsi="宋体" w:cs="宋体"/>
                <w:color w:val="000000"/>
                <w:kern w:val="0"/>
                <w:szCs w:val="21"/>
                <w:highlight w:val="none"/>
              </w:rPr>
            </w:pPr>
            <w:r>
              <w:rPr>
                <w:rFonts w:hint="eastAsia" w:ascii="宋体" w:hAnsi="宋体" w:cs="宋体"/>
                <w:szCs w:val="21"/>
                <w:highlight w:val="none"/>
              </w:rPr>
              <w:t>符合第二章“供应商须知”第1.3.2项规定</w:t>
            </w:r>
          </w:p>
        </w:tc>
      </w:tr>
      <w:tr w14:paraId="5A0A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158B772F">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2268070A">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0BE2D09F">
            <w:pPr>
              <w:spacing w:line="360" w:lineRule="auto"/>
              <w:jc w:val="center"/>
              <w:rPr>
                <w:rFonts w:hint="eastAsia" w:ascii="宋体" w:hAnsi="宋体" w:cs="宋体"/>
                <w:color w:val="000000"/>
                <w:kern w:val="0"/>
                <w:szCs w:val="21"/>
                <w:highlight w:val="none"/>
              </w:rPr>
            </w:pPr>
            <w:r>
              <w:rPr>
                <w:rFonts w:hint="eastAsia" w:ascii="宋体" w:hAnsi="宋体" w:cs="宋体"/>
                <w:szCs w:val="21"/>
                <w:highlight w:val="none"/>
              </w:rPr>
              <w:t>质量要求</w:t>
            </w:r>
          </w:p>
        </w:tc>
        <w:tc>
          <w:tcPr>
            <w:tcW w:w="5972" w:type="dxa"/>
            <w:tcBorders>
              <w:top w:val="double" w:color="auto" w:sz="4" w:space="0"/>
            </w:tcBorders>
            <w:vAlign w:val="center"/>
          </w:tcPr>
          <w:p w14:paraId="176A09E7">
            <w:pPr>
              <w:spacing w:line="360" w:lineRule="auto"/>
              <w:rPr>
                <w:rFonts w:hint="eastAsia" w:ascii="宋体" w:hAnsi="宋体" w:cs="宋体"/>
                <w:color w:val="000000"/>
                <w:kern w:val="0"/>
                <w:szCs w:val="21"/>
                <w:highlight w:val="none"/>
              </w:rPr>
            </w:pPr>
            <w:r>
              <w:rPr>
                <w:rFonts w:hint="eastAsia" w:ascii="宋体" w:hAnsi="宋体" w:cs="宋体"/>
                <w:szCs w:val="21"/>
                <w:highlight w:val="none"/>
              </w:rPr>
              <w:t>符合第二章“供应商须知”第1.3.3项规定</w:t>
            </w:r>
          </w:p>
        </w:tc>
      </w:tr>
      <w:tr w14:paraId="4254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65D6343A">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659E93B2">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0F9512D2">
            <w:pPr>
              <w:spacing w:line="360" w:lineRule="auto"/>
              <w:jc w:val="center"/>
              <w:rPr>
                <w:rFonts w:hint="eastAsia" w:ascii="宋体" w:hAnsi="宋体" w:cs="宋体"/>
                <w:color w:val="000000"/>
                <w:kern w:val="0"/>
                <w:szCs w:val="21"/>
                <w:highlight w:val="none"/>
              </w:rPr>
            </w:pPr>
            <w:r>
              <w:rPr>
                <w:rFonts w:hint="eastAsia" w:ascii="宋体" w:hAnsi="宋体" w:cs="宋体"/>
                <w:szCs w:val="21"/>
                <w:highlight w:val="none"/>
              </w:rPr>
              <w:t>磋商有效期</w:t>
            </w:r>
          </w:p>
        </w:tc>
        <w:tc>
          <w:tcPr>
            <w:tcW w:w="5972" w:type="dxa"/>
            <w:tcBorders>
              <w:top w:val="double" w:color="auto" w:sz="4" w:space="0"/>
            </w:tcBorders>
            <w:vAlign w:val="center"/>
          </w:tcPr>
          <w:p w14:paraId="64FFBF21">
            <w:pPr>
              <w:spacing w:line="360" w:lineRule="auto"/>
              <w:rPr>
                <w:rFonts w:hint="eastAsia" w:ascii="宋体" w:hAnsi="宋体" w:cs="宋体"/>
                <w:color w:val="000000"/>
                <w:kern w:val="0"/>
                <w:szCs w:val="21"/>
                <w:highlight w:val="none"/>
              </w:rPr>
            </w:pPr>
            <w:r>
              <w:rPr>
                <w:rFonts w:hint="eastAsia" w:ascii="宋体" w:hAnsi="宋体" w:cs="宋体"/>
                <w:szCs w:val="21"/>
                <w:highlight w:val="none"/>
              </w:rPr>
              <w:t>符合第二章“供应商须知”第3.3.1项规定</w:t>
            </w:r>
          </w:p>
        </w:tc>
      </w:tr>
      <w:tr w14:paraId="0470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3569AC19">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31FC11C6">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2E42B8D7">
            <w:pPr>
              <w:spacing w:line="360" w:lineRule="auto"/>
              <w:jc w:val="center"/>
              <w:rPr>
                <w:rFonts w:hint="eastAsia" w:ascii="宋体" w:hAnsi="宋体" w:cs="宋体"/>
                <w:color w:val="000000"/>
                <w:kern w:val="0"/>
                <w:szCs w:val="21"/>
                <w:highlight w:val="none"/>
              </w:rPr>
            </w:pPr>
            <w:r>
              <w:rPr>
                <w:rFonts w:hint="eastAsia" w:ascii="宋体" w:hAnsi="宋体" w:cs="宋体"/>
                <w:szCs w:val="21"/>
                <w:highlight w:val="none"/>
              </w:rPr>
              <w:t>采购内容</w:t>
            </w:r>
          </w:p>
        </w:tc>
        <w:tc>
          <w:tcPr>
            <w:tcW w:w="5972" w:type="dxa"/>
            <w:tcBorders>
              <w:top w:val="double" w:color="auto" w:sz="4" w:space="0"/>
            </w:tcBorders>
            <w:vAlign w:val="center"/>
          </w:tcPr>
          <w:p w14:paraId="50B9D6C3">
            <w:pPr>
              <w:spacing w:line="360" w:lineRule="auto"/>
              <w:rPr>
                <w:rFonts w:hint="eastAsia" w:ascii="宋体" w:hAnsi="宋体" w:cs="宋体"/>
                <w:color w:val="000000"/>
                <w:kern w:val="0"/>
                <w:szCs w:val="21"/>
                <w:highlight w:val="none"/>
              </w:rPr>
            </w:pPr>
            <w:r>
              <w:rPr>
                <w:rFonts w:hint="eastAsia" w:ascii="宋体" w:hAnsi="宋体" w:cs="宋体"/>
                <w:szCs w:val="21"/>
                <w:highlight w:val="none"/>
              </w:rPr>
              <w:t>符合第二章“供应商须知”第1.3.1项规定</w:t>
            </w:r>
          </w:p>
        </w:tc>
      </w:tr>
      <w:tr w14:paraId="6A09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restart"/>
            <w:vAlign w:val="center"/>
          </w:tcPr>
          <w:p w14:paraId="78A901DE">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2.1.3</w:t>
            </w:r>
          </w:p>
        </w:tc>
        <w:tc>
          <w:tcPr>
            <w:tcW w:w="851" w:type="dxa"/>
            <w:vMerge w:val="restart"/>
            <w:vAlign w:val="center"/>
          </w:tcPr>
          <w:p w14:paraId="06B9A96C">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资格性评审标准</w:t>
            </w:r>
          </w:p>
        </w:tc>
        <w:tc>
          <w:tcPr>
            <w:tcW w:w="2121" w:type="dxa"/>
            <w:vAlign w:val="center"/>
          </w:tcPr>
          <w:p w14:paraId="1BA54CCF">
            <w:pPr>
              <w:spacing w:line="360" w:lineRule="exact"/>
              <w:jc w:val="center"/>
              <w:rPr>
                <w:rFonts w:hint="eastAsia" w:ascii="宋体" w:hAnsi="宋体" w:cs="宋体"/>
                <w:szCs w:val="21"/>
                <w:highlight w:val="none"/>
              </w:rPr>
            </w:pPr>
            <w:r>
              <w:rPr>
                <w:rFonts w:hint="eastAsia" w:ascii="宋体" w:hAnsi="宋体" w:cs="宋体"/>
                <w:szCs w:val="21"/>
                <w:highlight w:val="none"/>
              </w:rPr>
              <w:t>具有独立承担民事责任的能力</w:t>
            </w:r>
          </w:p>
        </w:tc>
        <w:tc>
          <w:tcPr>
            <w:tcW w:w="5972" w:type="dxa"/>
            <w:vAlign w:val="center"/>
          </w:tcPr>
          <w:p w14:paraId="2F8059FF">
            <w:pPr>
              <w:spacing w:line="360" w:lineRule="exact"/>
              <w:rPr>
                <w:rFonts w:hint="eastAsia" w:ascii="宋体" w:hAnsi="宋体" w:cs="宋体"/>
                <w:szCs w:val="21"/>
                <w:highlight w:val="none"/>
              </w:rPr>
            </w:pPr>
            <w:r>
              <w:rPr>
                <w:rFonts w:hint="eastAsia" w:ascii="宋体" w:hAnsi="宋体" w:cs="宋体"/>
                <w:szCs w:val="21"/>
                <w:highlight w:val="none"/>
              </w:rPr>
              <w:t>需提供有效的营业执照</w:t>
            </w:r>
          </w:p>
        </w:tc>
      </w:tr>
      <w:tr w14:paraId="10C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continue"/>
            <w:vAlign w:val="center"/>
          </w:tcPr>
          <w:p w14:paraId="03B51FF2">
            <w:pPr>
              <w:widowControl/>
              <w:spacing w:line="400" w:lineRule="exact"/>
              <w:jc w:val="center"/>
              <w:rPr>
                <w:rFonts w:hint="eastAsia" w:ascii="宋体" w:hAnsi="宋体" w:cs="宋体"/>
                <w:kern w:val="0"/>
                <w:szCs w:val="21"/>
                <w:highlight w:val="none"/>
              </w:rPr>
            </w:pPr>
          </w:p>
        </w:tc>
        <w:tc>
          <w:tcPr>
            <w:tcW w:w="851" w:type="dxa"/>
            <w:vMerge w:val="continue"/>
            <w:vAlign w:val="center"/>
          </w:tcPr>
          <w:p w14:paraId="56974960">
            <w:pPr>
              <w:widowControl/>
              <w:spacing w:line="400" w:lineRule="exact"/>
              <w:jc w:val="center"/>
              <w:rPr>
                <w:rFonts w:hint="eastAsia" w:ascii="宋体" w:hAnsi="宋体" w:cs="宋体"/>
                <w:kern w:val="0"/>
                <w:szCs w:val="21"/>
                <w:highlight w:val="none"/>
              </w:rPr>
            </w:pPr>
          </w:p>
        </w:tc>
        <w:tc>
          <w:tcPr>
            <w:tcW w:w="2121" w:type="dxa"/>
            <w:vAlign w:val="center"/>
          </w:tcPr>
          <w:p w14:paraId="04E6C624">
            <w:pPr>
              <w:pStyle w:val="50"/>
              <w:ind w:left="86" w:right="78"/>
              <w:jc w:val="center"/>
              <w:rPr>
                <w:rFonts w:hint="eastAsia" w:ascii="宋体" w:hAnsi="宋体" w:cs="宋体"/>
                <w:sz w:val="21"/>
                <w:szCs w:val="21"/>
                <w:highlight w:val="none"/>
              </w:rPr>
            </w:pPr>
            <w:r>
              <w:rPr>
                <w:rFonts w:hint="eastAsia" w:ascii="宋体" w:hAnsi="宋体" w:cs="宋体"/>
                <w:sz w:val="21"/>
                <w:szCs w:val="21"/>
                <w:highlight w:val="none"/>
              </w:rPr>
              <w:t>具有良好的商业信誉和健全的财务会计制度</w:t>
            </w:r>
          </w:p>
        </w:tc>
        <w:tc>
          <w:tcPr>
            <w:tcW w:w="5972" w:type="dxa"/>
            <w:vAlign w:val="center"/>
          </w:tcPr>
          <w:p w14:paraId="244BF386">
            <w:pPr>
              <w:spacing w:line="360" w:lineRule="exact"/>
              <w:rPr>
                <w:rFonts w:hint="eastAsia" w:ascii="宋体" w:hAnsi="宋体" w:cs="宋体"/>
                <w:szCs w:val="21"/>
                <w:highlight w:val="none"/>
              </w:rPr>
            </w:pPr>
            <w:r>
              <w:rPr>
                <w:rFonts w:hint="eastAsia" w:ascii="宋体" w:hAnsi="宋体" w:cs="宋体"/>
                <w:color w:val="000000"/>
                <w:kern w:val="0"/>
                <w:szCs w:val="21"/>
                <w:highlight w:val="none"/>
              </w:rPr>
              <w:t>符合第二章“供应商须知前附表”规定</w:t>
            </w:r>
          </w:p>
        </w:tc>
      </w:tr>
      <w:tr w14:paraId="6DC2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47" w:type="dxa"/>
            <w:vMerge w:val="continue"/>
            <w:vAlign w:val="center"/>
          </w:tcPr>
          <w:p w14:paraId="36717823">
            <w:pPr>
              <w:spacing w:line="400" w:lineRule="exact"/>
              <w:jc w:val="center"/>
              <w:rPr>
                <w:rFonts w:hint="eastAsia" w:ascii="宋体" w:hAnsi="宋体" w:cs="宋体"/>
                <w:szCs w:val="21"/>
                <w:highlight w:val="none"/>
              </w:rPr>
            </w:pPr>
          </w:p>
        </w:tc>
        <w:tc>
          <w:tcPr>
            <w:tcW w:w="851" w:type="dxa"/>
            <w:vMerge w:val="continue"/>
            <w:vAlign w:val="center"/>
          </w:tcPr>
          <w:p w14:paraId="3A1AB8DF">
            <w:pPr>
              <w:spacing w:line="400" w:lineRule="exact"/>
              <w:jc w:val="center"/>
              <w:rPr>
                <w:rFonts w:hint="eastAsia" w:ascii="宋体" w:hAnsi="宋体" w:cs="宋体"/>
                <w:szCs w:val="21"/>
                <w:highlight w:val="none"/>
              </w:rPr>
            </w:pPr>
          </w:p>
        </w:tc>
        <w:tc>
          <w:tcPr>
            <w:tcW w:w="2121" w:type="dxa"/>
            <w:vAlign w:val="center"/>
          </w:tcPr>
          <w:p w14:paraId="2E331AE7">
            <w:pPr>
              <w:spacing w:line="360" w:lineRule="exact"/>
              <w:jc w:val="center"/>
              <w:rPr>
                <w:rFonts w:hint="eastAsia" w:ascii="宋体" w:hAnsi="宋体" w:cs="宋体"/>
                <w:szCs w:val="21"/>
                <w:highlight w:val="none"/>
              </w:rPr>
            </w:pPr>
            <w:r>
              <w:rPr>
                <w:rFonts w:hint="eastAsia" w:ascii="宋体" w:hAnsi="宋体" w:cs="宋体"/>
                <w:szCs w:val="21"/>
                <w:highlight w:val="none"/>
              </w:rPr>
              <w:t>具有履行合同所必需的设备和专业技术能力</w:t>
            </w:r>
          </w:p>
        </w:tc>
        <w:tc>
          <w:tcPr>
            <w:tcW w:w="5972" w:type="dxa"/>
            <w:vAlign w:val="center"/>
          </w:tcPr>
          <w:p w14:paraId="799BEC3A">
            <w:pPr>
              <w:spacing w:line="360" w:lineRule="exact"/>
              <w:rPr>
                <w:rFonts w:hint="eastAsia" w:ascii="宋体" w:hAnsi="宋体" w:cs="宋体"/>
                <w:szCs w:val="21"/>
                <w:highlight w:val="none"/>
              </w:rPr>
            </w:pPr>
            <w:r>
              <w:rPr>
                <w:rFonts w:hint="eastAsia" w:ascii="宋体" w:hAnsi="宋体" w:cs="宋体"/>
                <w:color w:val="000000"/>
                <w:kern w:val="0"/>
                <w:szCs w:val="21"/>
                <w:highlight w:val="none"/>
              </w:rPr>
              <w:t>符合第二章“供应商须知前附表”规定</w:t>
            </w:r>
          </w:p>
        </w:tc>
      </w:tr>
      <w:tr w14:paraId="2B5E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7" w:type="dxa"/>
            <w:vMerge w:val="continue"/>
            <w:vAlign w:val="center"/>
          </w:tcPr>
          <w:p w14:paraId="55A4F6A9">
            <w:pPr>
              <w:spacing w:line="400" w:lineRule="exact"/>
              <w:jc w:val="center"/>
              <w:rPr>
                <w:rFonts w:hint="eastAsia" w:ascii="宋体" w:hAnsi="宋体" w:cs="宋体"/>
                <w:szCs w:val="21"/>
                <w:highlight w:val="none"/>
              </w:rPr>
            </w:pPr>
          </w:p>
        </w:tc>
        <w:tc>
          <w:tcPr>
            <w:tcW w:w="851" w:type="dxa"/>
            <w:vMerge w:val="continue"/>
            <w:vAlign w:val="center"/>
          </w:tcPr>
          <w:p w14:paraId="34979307">
            <w:pPr>
              <w:spacing w:line="400" w:lineRule="exact"/>
              <w:jc w:val="center"/>
              <w:rPr>
                <w:rFonts w:hint="eastAsia" w:ascii="宋体" w:hAnsi="宋体" w:cs="宋体"/>
                <w:szCs w:val="21"/>
                <w:highlight w:val="none"/>
              </w:rPr>
            </w:pPr>
          </w:p>
        </w:tc>
        <w:tc>
          <w:tcPr>
            <w:tcW w:w="2121" w:type="dxa"/>
            <w:vAlign w:val="center"/>
          </w:tcPr>
          <w:p w14:paraId="35F04105">
            <w:pPr>
              <w:spacing w:line="360" w:lineRule="exact"/>
              <w:jc w:val="center"/>
              <w:rPr>
                <w:rFonts w:hint="eastAsia" w:ascii="宋体" w:hAnsi="宋体" w:cs="宋体"/>
                <w:szCs w:val="21"/>
                <w:highlight w:val="none"/>
              </w:rPr>
            </w:pPr>
            <w:r>
              <w:rPr>
                <w:rFonts w:hint="eastAsia" w:ascii="宋体" w:hAnsi="宋体" w:cs="宋体"/>
                <w:szCs w:val="21"/>
                <w:highlight w:val="none"/>
              </w:rPr>
              <w:t>具有依法缴纳税收和社会保障资金的良好记录</w:t>
            </w:r>
          </w:p>
        </w:tc>
        <w:tc>
          <w:tcPr>
            <w:tcW w:w="5972" w:type="dxa"/>
            <w:vAlign w:val="center"/>
          </w:tcPr>
          <w:p w14:paraId="5CFB2F9C">
            <w:pPr>
              <w:spacing w:line="360" w:lineRule="exact"/>
              <w:rPr>
                <w:rFonts w:hint="eastAsia" w:ascii="宋体" w:hAnsi="宋体" w:cs="宋体"/>
                <w:szCs w:val="21"/>
                <w:highlight w:val="none"/>
              </w:rPr>
            </w:pPr>
            <w:r>
              <w:rPr>
                <w:rFonts w:hint="eastAsia" w:ascii="宋体" w:hAnsi="宋体" w:cs="宋体"/>
                <w:color w:val="000000"/>
                <w:kern w:val="0"/>
                <w:szCs w:val="21"/>
                <w:highlight w:val="none"/>
              </w:rPr>
              <w:t>符合第二章“供应商须知前附表”规定</w:t>
            </w:r>
          </w:p>
        </w:tc>
      </w:tr>
      <w:tr w14:paraId="706D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7" w:type="dxa"/>
            <w:vMerge w:val="continue"/>
            <w:vAlign w:val="center"/>
          </w:tcPr>
          <w:p w14:paraId="5FE99D0E">
            <w:pPr>
              <w:spacing w:line="360" w:lineRule="exact"/>
              <w:rPr>
                <w:rFonts w:hint="eastAsia" w:ascii="宋体" w:hAnsi="宋体" w:cs="宋体"/>
                <w:szCs w:val="21"/>
                <w:highlight w:val="none"/>
              </w:rPr>
            </w:pPr>
          </w:p>
        </w:tc>
        <w:tc>
          <w:tcPr>
            <w:tcW w:w="851" w:type="dxa"/>
            <w:vMerge w:val="continue"/>
            <w:vAlign w:val="center"/>
          </w:tcPr>
          <w:p w14:paraId="203B19D3">
            <w:pPr>
              <w:spacing w:line="360" w:lineRule="exact"/>
              <w:rPr>
                <w:rFonts w:hint="eastAsia" w:ascii="宋体" w:hAnsi="宋体" w:cs="宋体"/>
                <w:szCs w:val="21"/>
                <w:highlight w:val="none"/>
              </w:rPr>
            </w:pPr>
          </w:p>
        </w:tc>
        <w:tc>
          <w:tcPr>
            <w:tcW w:w="2121" w:type="dxa"/>
            <w:vAlign w:val="center"/>
          </w:tcPr>
          <w:p w14:paraId="165A712C">
            <w:pPr>
              <w:spacing w:line="360" w:lineRule="exact"/>
              <w:jc w:val="center"/>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w:t>
            </w:r>
          </w:p>
        </w:tc>
        <w:tc>
          <w:tcPr>
            <w:tcW w:w="5972" w:type="dxa"/>
            <w:vAlign w:val="center"/>
          </w:tcPr>
          <w:p w14:paraId="26B45D55">
            <w:pPr>
              <w:spacing w:line="360" w:lineRule="exact"/>
              <w:rPr>
                <w:rFonts w:hint="eastAsia" w:ascii="宋体" w:hAnsi="宋体" w:cs="宋体"/>
                <w:szCs w:val="21"/>
                <w:highlight w:val="none"/>
              </w:rPr>
            </w:pPr>
            <w:r>
              <w:rPr>
                <w:rFonts w:hint="eastAsia" w:ascii="宋体" w:hAnsi="宋体" w:cs="宋体"/>
                <w:color w:val="000000"/>
                <w:kern w:val="0"/>
                <w:szCs w:val="21"/>
                <w:highlight w:val="none"/>
              </w:rPr>
              <w:t>符合第二章“供应商须知前附表”规定</w:t>
            </w:r>
          </w:p>
        </w:tc>
      </w:tr>
      <w:tr w14:paraId="6B44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47" w:type="dxa"/>
            <w:vMerge w:val="continue"/>
            <w:vAlign w:val="center"/>
          </w:tcPr>
          <w:p w14:paraId="2CA8026B">
            <w:pPr>
              <w:spacing w:line="360" w:lineRule="exact"/>
              <w:rPr>
                <w:rFonts w:hint="eastAsia" w:ascii="宋体" w:hAnsi="宋体" w:cs="宋体"/>
                <w:szCs w:val="21"/>
                <w:highlight w:val="none"/>
              </w:rPr>
            </w:pPr>
          </w:p>
        </w:tc>
        <w:tc>
          <w:tcPr>
            <w:tcW w:w="851" w:type="dxa"/>
            <w:vMerge w:val="continue"/>
            <w:vAlign w:val="center"/>
          </w:tcPr>
          <w:p w14:paraId="4471833C">
            <w:pPr>
              <w:spacing w:line="360" w:lineRule="exact"/>
              <w:rPr>
                <w:rFonts w:hint="eastAsia" w:ascii="宋体" w:hAnsi="宋体" w:cs="宋体"/>
                <w:szCs w:val="21"/>
                <w:highlight w:val="none"/>
              </w:rPr>
            </w:pPr>
          </w:p>
        </w:tc>
        <w:tc>
          <w:tcPr>
            <w:tcW w:w="2121" w:type="dxa"/>
            <w:vAlign w:val="center"/>
          </w:tcPr>
          <w:p w14:paraId="51C46FC2">
            <w:pPr>
              <w:spacing w:line="360" w:lineRule="exact"/>
              <w:jc w:val="center"/>
              <w:rPr>
                <w:rFonts w:hint="eastAsia" w:ascii="宋体" w:hAnsi="宋体" w:cs="宋体"/>
                <w:szCs w:val="21"/>
                <w:highlight w:val="none"/>
              </w:rPr>
            </w:pPr>
            <w:r>
              <w:rPr>
                <w:rFonts w:hint="eastAsia" w:ascii="宋体" w:hAnsi="宋体" w:cs="宋体"/>
                <w:szCs w:val="21"/>
                <w:highlight w:val="none"/>
              </w:rPr>
              <w:t>特定资格要求</w:t>
            </w:r>
          </w:p>
        </w:tc>
        <w:tc>
          <w:tcPr>
            <w:tcW w:w="5972" w:type="dxa"/>
            <w:vAlign w:val="center"/>
          </w:tcPr>
          <w:p w14:paraId="73E75C14">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14:paraId="24E172A9">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医疗产品需提供医疗器械经营许可证或医疗器械经营备案凭证；供应商若为制造商，须具有监督管理部门颁发的《医疗器械生产企业许可证》；若为代理商，须具有监督管理部门颁发的《医疗器械经营许可证》或《医疗器械经营备案凭证》；</w:t>
            </w:r>
          </w:p>
          <w:p w14:paraId="4554AD98">
            <w:pPr>
              <w:pStyle w:val="6"/>
              <w:spacing w:line="360" w:lineRule="auto"/>
              <w:ind w:firstLine="420" w:firstLineChars="200"/>
              <w:jc w:val="both"/>
              <w:rPr>
                <w:rFonts w:hint="eastAsia"/>
                <w:sz w:val="21"/>
                <w:szCs w:val="21"/>
                <w:highlight w:val="none"/>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w:t>
            </w:r>
            <w:r>
              <w:rPr>
                <w:rFonts w:hint="eastAsia"/>
                <w:sz w:val="21"/>
                <w:szCs w:val="21"/>
                <w:highlight w:val="none"/>
              </w:rPr>
              <w:t xml:space="preserve">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根据需要可对所有参与本项目投标的供应商的信用情况（失信被执行人、重大税收违法失信主体、政府采购严重违法失信行为记录名单）进行查询。若在开标当天查询到供应商有相关负面信息的，则该供应商为无效供应商；  </w:t>
            </w:r>
          </w:p>
          <w:p w14:paraId="5D3E3DFE">
            <w:pPr>
              <w:pStyle w:val="6"/>
              <w:spacing w:line="360" w:lineRule="auto"/>
              <w:ind w:firstLine="210" w:firstLineChars="100"/>
              <w:jc w:val="both"/>
              <w:rPr>
                <w:sz w:val="21"/>
                <w:szCs w:val="21"/>
                <w:highlight w:val="none"/>
              </w:rPr>
            </w:pPr>
            <w:r>
              <w:rPr>
                <w:rFonts w:hint="eastAsia"/>
                <w:sz w:val="21"/>
                <w:szCs w:val="21"/>
                <w:highlight w:val="none"/>
                <w:lang w:eastAsia="zh-CN"/>
              </w:rPr>
              <w:t>（</w:t>
            </w: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w:t>
            </w:r>
            <w:r>
              <w:rPr>
                <w:rFonts w:hint="eastAsia"/>
                <w:sz w:val="21"/>
                <w:szCs w:val="21"/>
                <w:highlight w:val="none"/>
                <w:lang w:eastAsia="zh-CN"/>
              </w:rPr>
              <w:t>本公告发布日期之后投标截止日期之前</w:t>
            </w:r>
            <w:r>
              <w:rPr>
                <w:rFonts w:hint="eastAsia"/>
                <w:sz w:val="21"/>
                <w:szCs w:val="21"/>
                <w:highlight w:val="none"/>
              </w:rPr>
              <w:t>】。</w:t>
            </w:r>
          </w:p>
        </w:tc>
      </w:tr>
    </w:tbl>
    <w:p w14:paraId="3B82D54F">
      <w:pPr>
        <w:jc w:val="left"/>
        <w:rPr>
          <w:rFonts w:hint="eastAsia" w:ascii="宋体" w:hAnsi="宋体" w:cs="宋体"/>
          <w:bCs/>
          <w:highlight w:val="none"/>
        </w:rPr>
      </w:pPr>
      <w:r>
        <w:rPr>
          <w:rFonts w:hint="eastAsia" w:ascii="宋体" w:hAnsi="宋体" w:cs="宋体"/>
          <w:bCs/>
          <w:sz w:val="30"/>
          <w:szCs w:val="30"/>
          <w:highlight w:val="none"/>
        </w:rPr>
        <w:t>1.磋商程序及办法前附表</w:t>
      </w:r>
      <w:bookmarkEnd w:id="85"/>
      <w:bookmarkEnd w:id="86"/>
      <w:bookmarkEnd w:id="87"/>
      <w:bookmarkEnd w:id="88"/>
      <w:bookmarkEnd w:id="89"/>
      <w:bookmarkEnd w:id="90"/>
    </w:p>
    <w:p w14:paraId="253E01A8">
      <w:pPr>
        <w:rPr>
          <w:rFonts w:hint="eastAsia" w:ascii="宋体" w:hAnsi="宋体" w:cs="宋体"/>
          <w:highlight w:val="none"/>
        </w:rPr>
      </w:pPr>
    </w:p>
    <w:p w14:paraId="56D24838">
      <w:pPr>
        <w:rPr>
          <w:rFonts w:hint="eastAsia" w:ascii="宋体" w:hAnsi="宋体" w:cs="宋体"/>
          <w:sz w:val="30"/>
          <w:szCs w:val="30"/>
          <w:highlight w:val="none"/>
        </w:rPr>
      </w:pPr>
      <w:r>
        <w:rPr>
          <w:rFonts w:hint="eastAsia" w:ascii="宋体" w:hAnsi="宋体" w:cs="宋体"/>
          <w:sz w:val="30"/>
          <w:szCs w:val="30"/>
          <w:highlight w:val="none"/>
        </w:rPr>
        <w:t>2.详细评审</w:t>
      </w:r>
    </w:p>
    <w:tbl>
      <w:tblPr>
        <w:tblStyle w:val="26"/>
        <w:tblW w:w="10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192"/>
        <w:gridCol w:w="1560"/>
        <w:gridCol w:w="6270"/>
      </w:tblGrid>
      <w:tr w14:paraId="4ACF4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14:paraId="5C298367">
            <w:pPr>
              <w:widowControl/>
              <w:spacing w:line="360" w:lineRule="auto"/>
              <w:jc w:val="left"/>
              <w:rPr>
                <w:rFonts w:hint="eastAsia" w:ascii="宋体" w:hAnsi="宋体" w:cs="宋体"/>
                <w:szCs w:val="21"/>
                <w:highlight w:val="none"/>
              </w:rPr>
            </w:pPr>
            <w:bookmarkStart w:id="91" w:name="_Toc12526"/>
            <w:bookmarkStart w:id="92" w:name="_Toc10657"/>
            <w:bookmarkStart w:id="93" w:name="_Toc5269853"/>
            <w:bookmarkStart w:id="94" w:name="_Toc11164"/>
          </w:p>
          <w:p w14:paraId="3FA2F84F">
            <w:pPr>
              <w:widowControl/>
              <w:spacing w:line="360" w:lineRule="auto"/>
              <w:jc w:val="left"/>
              <w:rPr>
                <w:rFonts w:hint="eastAsia" w:ascii="宋体" w:hAnsi="宋体" w:cs="宋体"/>
                <w:szCs w:val="21"/>
                <w:highlight w:val="none"/>
              </w:rPr>
            </w:pPr>
          </w:p>
          <w:p w14:paraId="6A1CCC22">
            <w:pPr>
              <w:widowControl/>
              <w:spacing w:line="360" w:lineRule="auto"/>
              <w:jc w:val="left"/>
              <w:rPr>
                <w:rFonts w:hint="eastAsia" w:ascii="宋体" w:hAnsi="宋体" w:cs="宋体"/>
                <w:szCs w:val="21"/>
                <w:highlight w:val="none"/>
              </w:rPr>
            </w:pPr>
          </w:p>
          <w:p w14:paraId="6DD02198">
            <w:pPr>
              <w:widowControl/>
              <w:spacing w:line="360" w:lineRule="auto"/>
              <w:jc w:val="left"/>
              <w:rPr>
                <w:rFonts w:hint="eastAsia" w:ascii="宋体" w:hAnsi="宋体" w:cs="宋体"/>
                <w:szCs w:val="21"/>
                <w:highlight w:val="none"/>
              </w:rPr>
            </w:pPr>
          </w:p>
          <w:p w14:paraId="64A5BDFA">
            <w:pPr>
              <w:widowControl/>
              <w:spacing w:line="360" w:lineRule="auto"/>
              <w:jc w:val="left"/>
              <w:rPr>
                <w:rFonts w:hint="eastAsia" w:ascii="宋体" w:hAnsi="宋体" w:cs="宋体"/>
                <w:szCs w:val="21"/>
                <w:highlight w:val="none"/>
              </w:rPr>
            </w:pPr>
          </w:p>
          <w:p w14:paraId="4576001A">
            <w:pPr>
              <w:widowControl/>
              <w:spacing w:line="360" w:lineRule="auto"/>
              <w:jc w:val="left"/>
              <w:rPr>
                <w:rFonts w:hint="eastAsia" w:ascii="宋体" w:hAnsi="宋体" w:cs="宋体"/>
                <w:szCs w:val="21"/>
                <w:highlight w:val="none"/>
              </w:rPr>
            </w:pPr>
          </w:p>
          <w:p w14:paraId="5AEECEF1">
            <w:pPr>
              <w:widowControl/>
              <w:spacing w:line="360" w:lineRule="auto"/>
              <w:jc w:val="left"/>
              <w:rPr>
                <w:rFonts w:hint="eastAsia" w:ascii="宋体" w:hAnsi="宋体" w:cs="宋体"/>
                <w:szCs w:val="21"/>
                <w:highlight w:val="none"/>
              </w:rPr>
            </w:pPr>
          </w:p>
          <w:p w14:paraId="1685EA2A">
            <w:pPr>
              <w:widowControl/>
              <w:spacing w:line="360" w:lineRule="auto"/>
              <w:jc w:val="left"/>
              <w:rPr>
                <w:rFonts w:hint="eastAsia" w:ascii="宋体" w:hAnsi="宋体" w:cs="宋体"/>
                <w:szCs w:val="21"/>
                <w:highlight w:val="none"/>
              </w:rPr>
            </w:pPr>
            <w:r>
              <w:rPr>
                <w:rFonts w:hint="eastAsia" w:ascii="宋体" w:hAnsi="宋体" w:cs="宋体"/>
                <w:szCs w:val="21"/>
                <w:highlight w:val="none"/>
              </w:rPr>
              <w:t>详细评审</w:t>
            </w:r>
          </w:p>
        </w:tc>
        <w:tc>
          <w:tcPr>
            <w:tcW w:w="1192" w:type="dxa"/>
            <w:tcBorders>
              <w:top w:val="single" w:color="auto" w:sz="4" w:space="0"/>
              <w:left w:val="single" w:color="auto" w:sz="4" w:space="0"/>
              <w:bottom w:val="single" w:color="auto" w:sz="4" w:space="0"/>
              <w:right w:val="single" w:color="auto" w:sz="4" w:space="0"/>
            </w:tcBorders>
            <w:vAlign w:val="center"/>
          </w:tcPr>
          <w:p w14:paraId="2A751557">
            <w:pPr>
              <w:widowControl/>
              <w:spacing w:line="360" w:lineRule="auto"/>
              <w:jc w:val="center"/>
              <w:rPr>
                <w:rFonts w:hint="eastAsia" w:ascii="宋体" w:hAnsi="宋体" w:cs="宋体"/>
                <w:szCs w:val="21"/>
                <w:highlight w:val="none"/>
              </w:rPr>
            </w:pPr>
            <w:r>
              <w:rPr>
                <w:rFonts w:hint="eastAsia" w:ascii="宋体" w:hAnsi="宋体" w:cs="宋体"/>
                <w:szCs w:val="21"/>
                <w:highlight w:val="none"/>
              </w:rPr>
              <w:t>2.2.1</w:t>
            </w:r>
          </w:p>
        </w:tc>
        <w:tc>
          <w:tcPr>
            <w:tcW w:w="1560" w:type="dxa"/>
            <w:tcBorders>
              <w:top w:val="single" w:color="auto" w:sz="4" w:space="0"/>
              <w:left w:val="single" w:color="auto" w:sz="4" w:space="0"/>
              <w:bottom w:val="single" w:color="auto" w:sz="4" w:space="0"/>
              <w:right w:val="single" w:color="auto" w:sz="4" w:space="0"/>
            </w:tcBorders>
            <w:vAlign w:val="center"/>
          </w:tcPr>
          <w:p w14:paraId="68C07A67">
            <w:pPr>
              <w:adjustRightInd w:val="0"/>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 xml:space="preserve"> 分值构成</w:t>
            </w:r>
          </w:p>
          <w:p w14:paraId="3B24AC6B">
            <w:pPr>
              <w:pStyle w:val="24"/>
              <w:spacing w:line="36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（总分100分）</w:t>
            </w:r>
          </w:p>
        </w:tc>
        <w:tc>
          <w:tcPr>
            <w:tcW w:w="6270" w:type="dxa"/>
            <w:tcBorders>
              <w:top w:val="single" w:color="auto" w:sz="4" w:space="0"/>
              <w:left w:val="single" w:color="auto" w:sz="4" w:space="0"/>
              <w:bottom w:val="single" w:color="auto" w:sz="4" w:space="0"/>
              <w:right w:val="single" w:color="auto" w:sz="4" w:space="0"/>
            </w:tcBorders>
            <w:vAlign w:val="center"/>
          </w:tcPr>
          <w:p w14:paraId="08F74709">
            <w:pPr>
              <w:adjustRightInd w:val="0"/>
              <w:spacing w:line="360" w:lineRule="auto"/>
              <w:jc w:val="left"/>
              <w:textAlignment w:val="baseline"/>
              <w:rPr>
                <w:rFonts w:hint="eastAsia" w:ascii="宋体" w:hAnsi="宋体" w:cs="宋体"/>
                <w:szCs w:val="21"/>
                <w:highlight w:val="none"/>
              </w:rPr>
            </w:pPr>
            <w:r>
              <w:rPr>
                <w:rFonts w:hint="eastAsia" w:ascii="宋体" w:hAnsi="宋体" w:cs="宋体"/>
                <w:szCs w:val="21"/>
                <w:highlight w:val="none"/>
              </w:rPr>
              <w:t>经济标评分：30分</w:t>
            </w:r>
          </w:p>
          <w:p w14:paraId="116CE6A9">
            <w:pPr>
              <w:adjustRightInd w:val="0"/>
              <w:spacing w:line="360" w:lineRule="auto"/>
              <w:jc w:val="left"/>
              <w:textAlignment w:val="baseline"/>
              <w:rPr>
                <w:rFonts w:hint="eastAsia" w:ascii="宋体" w:hAnsi="宋体" w:cs="宋体"/>
                <w:szCs w:val="21"/>
                <w:highlight w:val="none"/>
              </w:rPr>
            </w:pPr>
            <w:r>
              <w:rPr>
                <w:rFonts w:hint="eastAsia" w:ascii="宋体" w:hAnsi="宋体" w:cs="宋体"/>
                <w:szCs w:val="21"/>
                <w:highlight w:val="none"/>
              </w:rPr>
              <w:t>技术标评分：64分</w:t>
            </w:r>
          </w:p>
          <w:p w14:paraId="19D99253">
            <w:pPr>
              <w:adjustRightInd w:val="0"/>
              <w:spacing w:line="360" w:lineRule="auto"/>
              <w:jc w:val="left"/>
              <w:textAlignment w:val="baseline"/>
              <w:rPr>
                <w:rFonts w:hint="eastAsia" w:ascii="宋体" w:hAnsi="宋体" w:cs="宋体"/>
                <w:szCs w:val="21"/>
                <w:highlight w:val="none"/>
              </w:rPr>
            </w:pPr>
            <w:r>
              <w:rPr>
                <w:rFonts w:hint="eastAsia" w:ascii="宋体" w:hAnsi="宋体" w:cs="宋体"/>
                <w:szCs w:val="21"/>
                <w:highlight w:val="none"/>
              </w:rPr>
              <w:t>综合标评分：6分</w:t>
            </w:r>
          </w:p>
        </w:tc>
      </w:tr>
      <w:tr w14:paraId="0450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9" w:hRule="atLeast"/>
          <w:jc w:val="center"/>
        </w:trPr>
        <w:tc>
          <w:tcPr>
            <w:tcW w:w="1148" w:type="dxa"/>
            <w:vMerge w:val="continue"/>
            <w:tcBorders>
              <w:top w:val="single" w:color="auto" w:sz="4" w:space="0"/>
              <w:left w:val="single" w:color="auto" w:sz="4" w:space="0"/>
              <w:right w:val="single" w:color="auto" w:sz="4" w:space="0"/>
            </w:tcBorders>
            <w:vAlign w:val="center"/>
          </w:tcPr>
          <w:p w14:paraId="0C9A02AF">
            <w:pPr>
              <w:widowControl/>
              <w:spacing w:line="360" w:lineRule="auto"/>
              <w:jc w:val="left"/>
              <w:rPr>
                <w:rFonts w:hint="eastAsia" w:ascii="宋体" w:hAnsi="宋体" w:cs="宋体"/>
                <w:szCs w:val="21"/>
                <w:highlight w:val="none"/>
              </w:rPr>
            </w:pPr>
          </w:p>
        </w:tc>
        <w:tc>
          <w:tcPr>
            <w:tcW w:w="1192" w:type="dxa"/>
            <w:tcBorders>
              <w:top w:val="single" w:color="auto" w:sz="4" w:space="0"/>
              <w:left w:val="nil"/>
              <w:bottom w:val="single" w:color="auto" w:sz="4" w:space="0"/>
              <w:right w:val="single" w:color="auto" w:sz="4" w:space="0"/>
            </w:tcBorders>
            <w:vAlign w:val="center"/>
          </w:tcPr>
          <w:p w14:paraId="0B65B511">
            <w:pPr>
              <w:widowControl/>
              <w:spacing w:line="360" w:lineRule="auto"/>
              <w:jc w:val="center"/>
              <w:rPr>
                <w:rFonts w:hint="eastAsia" w:ascii="宋体" w:hAnsi="宋体" w:cs="宋体"/>
                <w:szCs w:val="21"/>
                <w:highlight w:val="none"/>
              </w:rPr>
            </w:pPr>
          </w:p>
          <w:p w14:paraId="57DFF736">
            <w:pPr>
              <w:widowControl/>
              <w:spacing w:line="360" w:lineRule="auto"/>
              <w:rPr>
                <w:rFonts w:hint="eastAsia" w:ascii="宋体" w:hAnsi="宋体" w:cs="宋体"/>
                <w:szCs w:val="21"/>
                <w:highlight w:val="none"/>
              </w:rPr>
            </w:pPr>
            <w:r>
              <w:rPr>
                <w:rFonts w:hint="eastAsia" w:ascii="宋体" w:hAnsi="宋体" w:cs="宋体"/>
                <w:szCs w:val="21"/>
                <w:highlight w:val="none"/>
              </w:rPr>
              <w:t>2.2.2（1）经济标评分（30分）</w:t>
            </w:r>
          </w:p>
        </w:tc>
        <w:tc>
          <w:tcPr>
            <w:tcW w:w="1560" w:type="dxa"/>
            <w:tcBorders>
              <w:top w:val="single" w:color="auto" w:sz="4" w:space="0"/>
              <w:left w:val="single" w:color="auto" w:sz="4" w:space="0"/>
              <w:bottom w:val="single" w:color="auto" w:sz="4" w:space="0"/>
              <w:right w:val="single" w:color="auto" w:sz="4" w:space="0"/>
            </w:tcBorders>
            <w:vAlign w:val="center"/>
          </w:tcPr>
          <w:p w14:paraId="461BA8A3">
            <w:pPr>
              <w:spacing w:line="360" w:lineRule="auto"/>
              <w:rPr>
                <w:rFonts w:hint="eastAsia" w:ascii="宋体" w:hAnsi="宋体" w:cs="宋体"/>
                <w:szCs w:val="21"/>
                <w:highlight w:val="none"/>
              </w:rPr>
            </w:pPr>
          </w:p>
          <w:p w14:paraId="2E213CC6">
            <w:pPr>
              <w:spacing w:line="360" w:lineRule="auto"/>
              <w:jc w:val="center"/>
              <w:rPr>
                <w:rFonts w:hint="eastAsia" w:ascii="宋体" w:hAnsi="宋体" w:cs="宋体"/>
                <w:szCs w:val="21"/>
                <w:highlight w:val="none"/>
              </w:rPr>
            </w:pPr>
            <w:r>
              <w:rPr>
                <w:rFonts w:hint="eastAsia" w:ascii="宋体" w:hAnsi="宋体" w:cs="宋体"/>
                <w:szCs w:val="21"/>
                <w:highlight w:val="none"/>
              </w:rPr>
              <w:t>投标报价</w:t>
            </w:r>
          </w:p>
          <w:p w14:paraId="4C253D50">
            <w:pPr>
              <w:adjustRightInd w:val="0"/>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（30分）</w:t>
            </w:r>
          </w:p>
        </w:tc>
        <w:tc>
          <w:tcPr>
            <w:tcW w:w="6270" w:type="dxa"/>
            <w:tcBorders>
              <w:top w:val="single" w:color="auto" w:sz="4" w:space="0"/>
              <w:left w:val="single" w:color="auto" w:sz="4" w:space="0"/>
              <w:bottom w:val="single" w:color="auto" w:sz="4" w:space="0"/>
              <w:right w:val="single" w:color="auto" w:sz="4" w:space="0"/>
            </w:tcBorders>
            <w:vAlign w:val="center"/>
          </w:tcPr>
          <w:p w14:paraId="4BAE078B">
            <w:pPr>
              <w:shd w:val="clear" w:color="auto" w:fill="FFFFFF"/>
              <w:adjustRightInd w:val="0"/>
              <w:snapToGrid w:val="0"/>
              <w:spacing w:line="360" w:lineRule="auto"/>
              <w:rPr>
                <w:rFonts w:hint="eastAsia" w:ascii="宋体" w:hAnsi="宋体" w:cs="宋体"/>
                <w:b/>
                <w:bCs/>
                <w:szCs w:val="21"/>
                <w:highlight w:val="none"/>
              </w:rPr>
            </w:pPr>
            <w:r>
              <w:rPr>
                <w:rFonts w:hint="eastAsia" w:ascii="宋体" w:hAnsi="宋体" w:cs="宋体"/>
                <w:b/>
                <w:bCs/>
                <w:szCs w:val="21"/>
                <w:highlight w:val="none"/>
              </w:rPr>
              <w:t>评标基准价：</w:t>
            </w:r>
          </w:p>
          <w:p w14:paraId="6E644565">
            <w:pPr>
              <w:shd w:val="clear" w:color="auto" w:fill="FFFFFF"/>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满足采购文件要求且价格最低的评标价为评标基准价</w:t>
            </w:r>
          </w:p>
          <w:p w14:paraId="17C73518">
            <w:pPr>
              <w:shd w:val="clear" w:color="auto" w:fill="FFFFFF"/>
              <w:adjustRightInd w:val="0"/>
              <w:snapToGrid w:val="0"/>
              <w:spacing w:line="360" w:lineRule="auto"/>
              <w:rPr>
                <w:rFonts w:hint="eastAsia" w:ascii="宋体" w:hAnsi="宋体" w:cs="宋体"/>
                <w:b/>
                <w:bCs/>
                <w:szCs w:val="21"/>
                <w:highlight w:val="none"/>
              </w:rPr>
            </w:pPr>
            <w:r>
              <w:rPr>
                <w:rFonts w:hint="eastAsia" w:ascii="宋体" w:hAnsi="宋体" w:cs="宋体"/>
                <w:b/>
                <w:bCs/>
                <w:szCs w:val="21"/>
                <w:highlight w:val="none"/>
              </w:rPr>
              <w:t>投标报价得分计算：</w:t>
            </w:r>
          </w:p>
          <w:p w14:paraId="504CA7DE">
            <w:pPr>
              <w:shd w:val="clear" w:color="auto" w:fill="FFFFFF"/>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投标报价等于评标基准价其价格分为30分。</w:t>
            </w:r>
          </w:p>
          <w:p w14:paraId="27D0DACC">
            <w:pPr>
              <w:shd w:val="clear" w:color="auto" w:fill="FFFFFF"/>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其他投标人的价格分统一按照下列公式计算：</w:t>
            </w:r>
          </w:p>
          <w:p w14:paraId="12669436">
            <w:pPr>
              <w:shd w:val="clear" w:color="auto" w:fill="FFFFFF"/>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报价得分=(评标基准价／</w:t>
            </w:r>
            <w:r>
              <w:rPr>
                <w:rFonts w:hint="eastAsia" w:ascii="宋体" w:hAnsi="宋体" w:cs="宋体"/>
                <w:szCs w:val="21"/>
                <w:highlight w:val="none"/>
                <w:lang w:eastAsia="zh-CN"/>
              </w:rPr>
              <w:t>评标</w:t>
            </w:r>
            <w:r>
              <w:rPr>
                <w:rFonts w:hint="eastAsia" w:ascii="宋体" w:hAnsi="宋体" w:cs="宋体"/>
                <w:szCs w:val="21"/>
                <w:highlight w:val="none"/>
              </w:rPr>
              <w:t>报价)×价格权值（30分）（四舍五入后保留小数点后两位）</w:t>
            </w:r>
          </w:p>
          <w:p w14:paraId="7C9A693B">
            <w:pPr>
              <w:pStyle w:val="25"/>
              <w:spacing w:line="360" w:lineRule="auto"/>
              <w:ind w:left="0" w:leftChars="0" w:firstLine="0" w:firstLineChars="0"/>
              <w:rPr>
                <w:rFonts w:hint="eastAsia"/>
                <w:highlight w:val="none"/>
              </w:rPr>
            </w:pPr>
            <w:r>
              <w:rPr>
                <w:rFonts w:hint="eastAsia"/>
                <w:b/>
                <w:bCs/>
                <w:color w:val="auto"/>
                <w:highlight w:val="none"/>
                <w:lang w:eastAsia="zh-CN"/>
              </w:rPr>
              <w:t>价格扣除：</w:t>
            </w:r>
            <w:r>
              <w:rPr>
                <w:rFonts w:hint="eastAsia"/>
                <w:color w:val="auto"/>
                <w:highlight w:val="none"/>
              </w:rPr>
              <w:t>对于小型、微型企业的具体评标价格扣除，均按财库〔2022〕19号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14:paraId="68844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14:paraId="228E31E2">
            <w:pPr>
              <w:widowControl/>
              <w:spacing w:line="360" w:lineRule="auto"/>
              <w:jc w:val="left"/>
              <w:rPr>
                <w:rFonts w:hint="eastAsia" w:ascii="宋体" w:hAnsi="宋体" w:cs="宋体"/>
                <w:szCs w:val="21"/>
                <w:highlight w:val="none"/>
              </w:rPr>
            </w:pPr>
          </w:p>
        </w:tc>
        <w:tc>
          <w:tcPr>
            <w:tcW w:w="1192" w:type="dxa"/>
            <w:vMerge w:val="restart"/>
            <w:tcBorders>
              <w:top w:val="single" w:color="auto" w:sz="4" w:space="0"/>
              <w:left w:val="single" w:color="auto" w:sz="4" w:space="0"/>
              <w:right w:val="single" w:color="auto" w:sz="4" w:space="0"/>
            </w:tcBorders>
            <w:vAlign w:val="center"/>
          </w:tcPr>
          <w:p w14:paraId="441C6EFD">
            <w:pPr>
              <w:widowControl/>
              <w:spacing w:line="360" w:lineRule="auto"/>
              <w:jc w:val="center"/>
              <w:rPr>
                <w:rFonts w:hint="eastAsia" w:ascii="宋体" w:hAnsi="宋体" w:cs="宋体"/>
                <w:szCs w:val="21"/>
                <w:highlight w:val="none"/>
              </w:rPr>
            </w:pPr>
            <w:r>
              <w:rPr>
                <w:rFonts w:hint="eastAsia" w:ascii="宋体" w:hAnsi="宋体" w:cs="宋体"/>
                <w:szCs w:val="21"/>
                <w:highlight w:val="none"/>
              </w:rPr>
              <w:t>2.2.2（2）技术标评分（64分）</w:t>
            </w:r>
          </w:p>
        </w:tc>
        <w:tc>
          <w:tcPr>
            <w:tcW w:w="1560" w:type="dxa"/>
            <w:tcBorders>
              <w:top w:val="single" w:color="auto" w:sz="4" w:space="0"/>
              <w:left w:val="single" w:color="auto" w:sz="4" w:space="0"/>
              <w:bottom w:val="single" w:color="auto" w:sz="4" w:space="0"/>
              <w:right w:val="single" w:color="auto" w:sz="4" w:space="0"/>
            </w:tcBorders>
            <w:vAlign w:val="center"/>
          </w:tcPr>
          <w:p w14:paraId="11DAA91E">
            <w:pPr>
              <w:spacing w:line="360" w:lineRule="auto"/>
              <w:jc w:val="center"/>
              <w:rPr>
                <w:rFonts w:hint="eastAsia" w:ascii="宋体" w:hAnsi="宋体" w:cs="宋体"/>
                <w:szCs w:val="21"/>
                <w:highlight w:val="none"/>
              </w:rPr>
            </w:pPr>
            <w:r>
              <w:rPr>
                <w:rFonts w:hint="eastAsia" w:ascii="宋体" w:hAnsi="宋体" w:cs="宋体"/>
                <w:color w:val="auto"/>
                <w:szCs w:val="21"/>
                <w:highlight w:val="none"/>
              </w:rPr>
              <w:t>技术参数（40分）</w:t>
            </w:r>
          </w:p>
        </w:tc>
        <w:tc>
          <w:tcPr>
            <w:tcW w:w="6270" w:type="dxa"/>
            <w:tcBorders>
              <w:top w:val="single" w:color="auto" w:sz="4" w:space="0"/>
              <w:left w:val="single" w:color="auto" w:sz="4" w:space="0"/>
              <w:bottom w:val="single" w:color="auto" w:sz="4" w:space="0"/>
              <w:right w:val="single" w:color="auto" w:sz="4" w:space="0"/>
            </w:tcBorders>
            <w:vAlign w:val="center"/>
          </w:tcPr>
          <w:p w14:paraId="0A4915E9">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响应</w:t>
            </w:r>
            <w:r>
              <w:rPr>
                <w:rFonts w:hint="eastAsia" w:ascii="宋体" w:hAnsi="宋体" w:cs="宋体"/>
                <w:szCs w:val="21"/>
                <w:highlight w:val="none"/>
              </w:rPr>
              <w:t>方案需针对技术参数要求进行响应，满足招标文件要求的全部技术指标</w:t>
            </w:r>
            <w:r>
              <w:rPr>
                <w:rFonts w:hint="eastAsia" w:ascii="宋体" w:hAnsi="宋体" w:cs="宋体"/>
                <w:szCs w:val="21"/>
                <w:highlight w:val="none"/>
                <w:lang w:eastAsia="zh-CN"/>
              </w:rPr>
              <w:t>（包含正偏离和无偏离）</w:t>
            </w:r>
            <w:r>
              <w:rPr>
                <w:rFonts w:hint="eastAsia" w:ascii="宋体" w:hAnsi="宋体" w:cs="宋体"/>
                <w:szCs w:val="21"/>
                <w:highlight w:val="none"/>
              </w:rPr>
              <w:t>得</w:t>
            </w:r>
            <w:r>
              <w:rPr>
                <w:rFonts w:hint="eastAsia" w:ascii="宋体" w:hAnsi="宋体" w:cs="宋体"/>
                <w:szCs w:val="21"/>
                <w:highlight w:val="none"/>
                <w:lang w:val="en-US" w:eastAsia="zh-CN"/>
              </w:rPr>
              <w:t>40</w:t>
            </w:r>
            <w:r>
              <w:rPr>
                <w:rFonts w:hint="eastAsia" w:ascii="宋体" w:hAnsi="宋体" w:cs="宋体"/>
                <w:szCs w:val="21"/>
                <w:highlight w:val="none"/>
              </w:rPr>
              <w:t>分，每有一项技术参数响应负偏离的扣</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，扣完为止。</w:t>
            </w:r>
          </w:p>
          <w:p w14:paraId="59872D1B">
            <w:pPr>
              <w:widowControl/>
              <w:spacing w:line="360" w:lineRule="auto"/>
              <w:rPr>
                <w:rFonts w:hint="eastAsia" w:ascii="宋体" w:hAnsi="宋体" w:cs="宋体"/>
                <w:szCs w:val="21"/>
                <w:highlight w:val="none"/>
              </w:rPr>
            </w:pPr>
            <w:r>
              <w:rPr>
                <w:rFonts w:hint="eastAsia"/>
                <w:highlight w:val="none"/>
              </w:rPr>
              <w:t>注：</w:t>
            </w:r>
            <w:r>
              <w:rPr>
                <w:rFonts w:hint="eastAsia"/>
                <w:highlight w:val="none"/>
                <w:lang w:eastAsia="zh-CN"/>
              </w:rPr>
              <w:t>需提供</w:t>
            </w:r>
            <w:r>
              <w:rPr>
                <w:rFonts w:hint="eastAsia"/>
                <w:highlight w:val="none"/>
              </w:rPr>
              <w:t>检测报告</w:t>
            </w:r>
            <w:r>
              <w:rPr>
                <w:rFonts w:hint="eastAsia"/>
                <w:highlight w:val="none"/>
                <w:lang w:eastAsia="zh-CN"/>
              </w:rPr>
              <w:t>的，</w:t>
            </w:r>
            <w:r>
              <w:rPr>
                <w:rFonts w:hint="eastAsia"/>
                <w:highlight w:val="none"/>
              </w:rPr>
              <w:t>要求提供制造商加盖公章的扫描件，否则不得分。</w:t>
            </w:r>
          </w:p>
        </w:tc>
      </w:tr>
      <w:tr w14:paraId="389C4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148" w:type="dxa"/>
            <w:vMerge w:val="continue"/>
            <w:tcBorders>
              <w:left w:val="single" w:color="auto" w:sz="4" w:space="0"/>
              <w:right w:val="single" w:color="auto" w:sz="4" w:space="0"/>
            </w:tcBorders>
            <w:vAlign w:val="center"/>
          </w:tcPr>
          <w:p w14:paraId="36D9B5E3">
            <w:pPr>
              <w:widowControl/>
              <w:spacing w:line="360" w:lineRule="auto"/>
              <w:jc w:val="left"/>
              <w:rPr>
                <w:rFonts w:hint="eastAsia" w:ascii="宋体" w:hAnsi="宋体" w:cs="宋体"/>
                <w:szCs w:val="21"/>
                <w:highlight w:val="none"/>
              </w:rPr>
            </w:pPr>
          </w:p>
        </w:tc>
        <w:tc>
          <w:tcPr>
            <w:tcW w:w="1192" w:type="dxa"/>
            <w:vMerge w:val="continue"/>
            <w:tcBorders>
              <w:left w:val="single" w:color="auto" w:sz="4" w:space="0"/>
              <w:right w:val="single" w:color="auto" w:sz="4" w:space="0"/>
            </w:tcBorders>
            <w:vAlign w:val="center"/>
          </w:tcPr>
          <w:p w14:paraId="59238B39">
            <w:pPr>
              <w:widowControl/>
              <w:spacing w:line="360" w:lineRule="auto"/>
              <w:jc w:val="center"/>
              <w:rPr>
                <w:rFonts w:hint="eastAsia" w:ascii="宋体" w:hAnsi="宋体" w:cs="宋体"/>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3A0E7AB">
            <w:pPr>
              <w:spacing w:line="360" w:lineRule="auto"/>
              <w:jc w:val="center"/>
              <w:rPr>
                <w:rFonts w:hint="eastAsia" w:ascii="宋体" w:hAnsi="宋体" w:cs="宋体"/>
                <w:szCs w:val="21"/>
                <w:highlight w:val="none"/>
              </w:rPr>
            </w:pPr>
            <w:r>
              <w:rPr>
                <w:rFonts w:hint="eastAsia" w:ascii="宋体" w:hAnsi="宋体" w:cs="宋体"/>
                <w:szCs w:val="21"/>
                <w:highlight w:val="none"/>
              </w:rPr>
              <w:t>供货及安装方案（8分）</w:t>
            </w:r>
          </w:p>
        </w:tc>
        <w:tc>
          <w:tcPr>
            <w:tcW w:w="6270" w:type="dxa"/>
            <w:tcBorders>
              <w:top w:val="single" w:color="auto" w:sz="4" w:space="0"/>
              <w:left w:val="single" w:color="auto" w:sz="4" w:space="0"/>
              <w:bottom w:val="single" w:color="auto" w:sz="4" w:space="0"/>
              <w:right w:val="single" w:color="auto" w:sz="4" w:space="0"/>
            </w:tcBorders>
            <w:vAlign w:val="center"/>
          </w:tcPr>
          <w:p w14:paraId="0EE45C6C">
            <w:pPr>
              <w:spacing w:line="360" w:lineRule="auto"/>
              <w:rPr>
                <w:rFonts w:hint="eastAsia" w:ascii="宋体" w:hAnsi="宋体" w:cs="宋体"/>
                <w:szCs w:val="21"/>
                <w:highlight w:val="none"/>
              </w:rPr>
            </w:pPr>
            <w:r>
              <w:rPr>
                <w:rFonts w:hint="eastAsia" w:ascii="宋体" w:hAnsi="宋体" w:cs="宋体"/>
                <w:szCs w:val="21"/>
                <w:highlight w:val="none"/>
              </w:rPr>
              <w:t>比较各供应商响应方提出的方案、思路的全面性、专业性、合理性等内容：</w:t>
            </w:r>
          </w:p>
          <w:p w14:paraId="69BA51C8">
            <w:pPr>
              <w:spacing w:line="360" w:lineRule="auto"/>
              <w:rPr>
                <w:rFonts w:hint="eastAsia" w:ascii="宋体" w:hAnsi="宋体" w:cs="宋体"/>
                <w:szCs w:val="21"/>
                <w:highlight w:val="none"/>
              </w:rPr>
            </w:pPr>
            <w:r>
              <w:rPr>
                <w:rFonts w:hint="eastAsia" w:ascii="宋体" w:hAnsi="宋体" w:cs="宋体"/>
                <w:szCs w:val="21"/>
                <w:highlight w:val="none"/>
              </w:rPr>
              <w:t>第一档，方案内容详细、合理，符合相关标准和规范，完全满足技术参数且优于其他档次供应商响应方，得8分；</w:t>
            </w:r>
          </w:p>
          <w:p w14:paraId="2BE0487D">
            <w:pPr>
              <w:spacing w:line="360" w:lineRule="auto"/>
              <w:rPr>
                <w:rFonts w:hint="eastAsia" w:ascii="宋体" w:hAnsi="宋体" w:cs="宋体"/>
                <w:szCs w:val="21"/>
                <w:highlight w:val="none"/>
              </w:rPr>
            </w:pPr>
            <w:r>
              <w:rPr>
                <w:rFonts w:hint="eastAsia" w:ascii="宋体" w:hAnsi="宋体" w:cs="宋体"/>
                <w:szCs w:val="21"/>
                <w:highlight w:val="none"/>
              </w:rPr>
              <w:t>第二档，方案内容较详细和合理，符合相关标准和规范，满足技术参数得4分；</w:t>
            </w:r>
          </w:p>
          <w:p w14:paraId="5649AD4A">
            <w:pPr>
              <w:spacing w:line="360" w:lineRule="auto"/>
              <w:rPr>
                <w:rFonts w:hint="eastAsia" w:ascii="宋体" w:hAnsi="宋体" w:cs="宋体"/>
                <w:szCs w:val="21"/>
                <w:highlight w:val="none"/>
              </w:rPr>
            </w:pPr>
            <w:r>
              <w:rPr>
                <w:rFonts w:hint="eastAsia" w:ascii="宋体" w:hAnsi="宋体" w:cs="宋体"/>
                <w:szCs w:val="21"/>
                <w:highlight w:val="none"/>
              </w:rPr>
              <w:t>第三档，方案内容基本响应，但欠完备、欠合理，得3分。</w:t>
            </w:r>
          </w:p>
          <w:p w14:paraId="6389CD77">
            <w:pPr>
              <w:spacing w:line="360" w:lineRule="auto"/>
              <w:rPr>
                <w:rFonts w:hint="eastAsia" w:ascii="宋体" w:hAnsi="宋体" w:cs="宋体"/>
                <w:szCs w:val="21"/>
                <w:highlight w:val="none"/>
              </w:rPr>
            </w:pPr>
            <w:r>
              <w:rPr>
                <w:rFonts w:hint="eastAsia" w:ascii="宋体" w:hAnsi="宋体" w:cs="宋体"/>
                <w:szCs w:val="21"/>
                <w:highlight w:val="none"/>
              </w:rPr>
              <w:t>不提供或缺项不得分。</w:t>
            </w:r>
          </w:p>
        </w:tc>
      </w:tr>
      <w:tr w14:paraId="4EEB3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48" w:type="dxa"/>
            <w:vMerge w:val="continue"/>
            <w:tcBorders>
              <w:left w:val="single" w:color="auto" w:sz="4" w:space="0"/>
              <w:right w:val="single" w:color="auto" w:sz="4" w:space="0"/>
            </w:tcBorders>
            <w:vAlign w:val="center"/>
          </w:tcPr>
          <w:p w14:paraId="5EB932A9">
            <w:pPr>
              <w:widowControl/>
              <w:spacing w:line="360" w:lineRule="auto"/>
              <w:jc w:val="left"/>
              <w:rPr>
                <w:rFonts w:hint="eastAsia" w:ascii="宋体" w:hAnsi="宋体" w:cs="宋体"/>
                <w:szCs w:val="21"/>
                <w:highlight w:val="none"/>
              </w:rPr>
            </w:pPr>
          </w:p>
        </w:tc>
        <w:tc>
          <w:tcPr>
            <w:tcW w:w="1192" w:type="dxa"/>
            <w:vMerge w:val="continue"/>
            <w:tcBorders>
              <w:left w:val="single" w:color="auto" w:sz="4" w:space="0"/>
              <w:right w:val="single" w:color="auto" w:sz="4" w:space="0"/>
            </w:tcBorders>
            <w:vAlign w:val="center"/>
          </w:tcPr>
          <w:p w14:paraId="01D95E5B">
            <w:pPr>
              <w:widowControl/>
              <w:spacing w:line="360" w:lineRule="auto"/>
              <w:jc w:val="center"/>
              <w:rPr>
                <w:rFonts w:hint="eastAsia" w:ascii="宋体" w:hAnsi="宋体" w:cs="宋体"/>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B057E30">
            <w:pPr>
              <w:spacing w:line="360" w:lineRule="auto"/>
              <w:jc w:val="center"/>
              <w:rPr>
                <w:highlight w:val="none"/>
              </w:rPr>
            </w:pPr>
            <w:r>
              <w:rPr>
                <w:rFonts w:hint="eastAsia"/>
                <w:szCs w:val="21"/>
                <w:highlight w:val="none"/>
              </w:rPr>
              <w:t>后期配合、服务工作部署</w:t>
            </w:r>
          </w:p>
          <w:p w14:paraId="6CC6A299">
            <w:pPr>
              <w:spacing w:line="360" w:lineRule="auto"/>
              <w:jc w:val="center"/>
              <w:rPr>
                <w:rFonts w:hint="eastAsia" w:ascii="宋体" w:hAnsi="宋体" w:cs="宋体"/>
                <w:szCs w:val="21"/>
                <w:highlight w:val="none"/>
              </w:rPr>
            </w:pPr>
            <w:r>
              <w:rPr>
                <w:rFonts w:hint="eastAsia"/>
                <w:highlight w:val="none"/>
              </w:rPr>
              <w:t>（8分）</w:t>
            </w:r>
          </w:p>
        </w:tc>
        <w:tc>
          <w:tcPr>
            <w:tcW w:w="6270" w:type="dxa"/>
            <w:tcBorders>
              <w:top w:val="single" w:color="auto" w:sz="4" w:space="0"/>
              <w:left w:val="single" w:color="auto" w:sz="4" w:space="0"/>
              <w:bottom w:val="single" w:color="auto" w:sz="4" w:space="0"/>
              <w:right w:val="single" w:color="auto" w:sz="4" w:space="0"/>
            </w:tcBorders>
            <w:vAlign w:val="center"/>
          </w:tcPr>
          <w:p w14:paraId="1B58AA08">
            <w:pPr>
              <w:spacing w:line="360" w:lineRule="auto"/>
              <w:rPr>
                <w:szCs w:val="21"/>
                <w:highlight w:val="none"/>
              </w:rPr>
            </w:pPr>
            <w:r>
              <w:rPr>
                <w:rFonts w:hint="eastAsia"/>
                <w:szCs w:val="21"/>
                <w:highlight w:val="none"/>
              </w:rPr>
              <w:t>根据供应商后期配合、服务保障措施与技术支持能力的优劣进行比较评价：</w:t>
            </w:r>
          </w:p>
          <w:p w14:paraId="337FB32C">
            <w:pPr>
              <w:spacing w:line="360" w:lineRule="auto"/>
              <w:rPr>
                <w:szCs w:val="21"/>
                <w:highlight w:val="none"/>
              </w:rPr>
            </w:pPr>
            <w:r>
              <w:rPr>
                <w:rFonts w:hint="eastAsia"/>
                <w:szCs w:val="21"/>
                <w:highlight w:val="none"/>
              </w:rPr>
              <w:t>第一档，服务保障体系及措施完善，技术支持8分；</w:t>
            </w:r>
          </w:p>
          <w:p w14:paraId="450976A7">
            <w:pPr>
              <w:spacing w:line="360" w:lineRule="auto"/>
              <w:rPr>
                <w:szCs w:val="21"/>
                <w:highlight w:val="none"/>
              </w:rPr>
            </w:pPr>
            <w:r>
              <w:rPr>
                <w:rFonts w:hint="eastAsia"/>
                <w:szCs w:val="21"/>
                <w:highlight w:val="none"/>
              </w:rPr>
              <w:t>第二档，服务保障体系及措施较好，技术支持能力较强，服务响应较快的4分；</w:t>
            </w:r>
          </w:p>
          <w:p w14:paraId="1719AC14">
            <w:pPr>
              <w:spacing w:line="360" w:lineRule="auto"/>
              <w:jc w:val="left"/>
              <w:rPr>
                <w:rFonts w:hint="eastAsia" w:ascii="宋体" w:hAnsi="宋体" w:cs="宋体"/>
                <w:szCs w:val="21"/>
                <w:highlight w:val="none"/>
              </w:rPr>
            </w:pPr>
            <w:r>
              <w:rPr>
                <w:rFonts w:hint="eastAsia"/>
                <w:szCs w:val="21"/>
                <w:highlight w:val="none"/>
              </w:rPr>
              <w:t>第三档，服务保障体系及措施一般或有缺陷的得3分。缺项不得分。</w:t>
            </w:r>
          </w:p>
        </w:tc>
      </w:tr>
      <w:tr w14:paraId="28E93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1148" w:type="dxa"/>
            <w:vMerge w:val="continue"/>
            <w:tcBorders>
              <w:left w:val="single" w:color="auto" w:sz="4" w:space="0"/>
              <w:right w:val="single" w:color="auto" w:sz="4" w:space="0"/>
            </w:tcBorders>
            <w:vAlign w:val="center"/>
          </w:tcPr>
          <w:p w14:paraId="300559D8">
            <w:pPr>
              <w:widowControl/>
              <w:spacing w:line="360" w:lineRule="auto"/>
              <w:jc w:val="left"/>
              <w:rPr>
                <w:rFonts w:hint="eastAsia" w:ascii="宋体" w:hAnsi="宋体" w:cs="宋体"/>
                <w:szCs w:val="21"/>
                <w:highlight w:val="none"/>
              </w:rPr>
            </w:pPr>
          </w:p>
        </w:tc>
        <w:tc>
          <w:tcPr>
            <w:tcW w:w="1192" w:type="dxa"/>
            <w:vMerge w:val="continue"/>
            <w:tcBorders>
              <w:left w:val="single" w:color="auto" w:sz="4" w:space="0"/>
              <w:right w:val="single" w:color="auto" w:sz="4" w:space="0"/>
            </w:tcBorders>
            <w:vAlign w:val="center"/>
          </w:tcPr>
          <w:p w14:paraId="58547242">
            <w:pPr>
              <w:widowControl/>
              <w:spacing w:line="360" w:lineRule="auto"/>
              <w:jc w:val="center"/>
              <w:rPr>
                <w:rFonts w:hint="eastAsia" w:ascii="宋体" w:hAnsi="宋体" w:cs="宋体"/>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AB0300F">
            <w:pPr>
              <w:spacing w:line="360" w:lineRule="auto"/>
              <w:jc w:val="left"/>
              <w:rPr>
                <w:rFonts w:hint="eastAsia" w:ascii="宋体" w:hAnsi="宋体" w:cs="宋体"/>
                <w:szCs w:val="21"/>
                <w:highlight w:val="none"/>
              </w:rPr>
            </w:pPr>
            <w:r>
              <w:rPr>
                <w:rFonts w:hint="eastAsia"/>
                <w:szCs w:val="21"/>
                <w:highlight w:val="none"/>
              </w:rPr>
              <w:t>质量保证承诺</w:t>
            </w:r>
            <w:r>
              <w:rPr>
                <w:highlight w:val="none"/>
              </w:rPr>
              <w:t>（</w:t>
            </w:r>
            <w:r>
              <w:rPr>
                <w:rFonts w:hint="eastAsia"/>
                <w:highlight w:val="none"/>
              </w:rPr>
              <w:t>4</w:t>
            </w:r>
            <w:r>
              <w:rPr>
                <w:highlight w:val="none"/>
              </w:rPr>
              <w:t>分）</w:t>
            </w:r>
          </w:p>
        </w:tc>
        <w:tc>
          <w:tcPr>
            <w:tcW w:w="6270" w:type="dxa"/>
            <w:tcBorders>
              <w:top w:val="single" w:color="auto" w:sz="4" w:space="0"/>
              <w:left w:val="single" w:color="auto" w:sz="4" w:space="0"/>
              <w:bottom w:val="single" w:color="auto" w:sz="4" w:space="0"/>
              <w:right w:val="single" w:color="auto" w:sz="4" w:space="0"/>
            </w:tcBorders>
            <w:vAlign w:val="center"/>
          </w:tcPr>
          <w:p w14:paraId="14308060">
            <w:pPr>
              <w:numPr>
                <w:ilvl w:val="0"/>
                <w:numId w:val="4"/>
              </w:numPr>
              <w:spacing w:line="360" w:lineRule="auto"/>
              <w:jc w:val="left"/>
              <w:rPr>
                <w:rFonts w:ascii="Times New Roman" w:hAnsi="Times New Roman"/>
                <w:highlight w:val="none"/>
              </w:rPr>
            </w:pPr>
            <w:r>
              <w:rPr>
                <w:rFonts w:hint="eastAsia" w:ascii="Times New Roman" w:hAnsi="Times New Roman"/>
                <w:highlight w:val="none"/>
              </w:rPr>
              <w:t>提供原厂标准的易损件、消耗材料价格清单及折扣率，保修期届满后维修的价格清单及折扣率</w:t>
            </w:r>
            <w:r>
              <w:rPr>
                <w:rFonts w:hint="eastAsia"/>
                <w:highlight w:val="none"/>
              </w:rPr>
              <w:t>；根据提供的详细程度进行打分。</w:t>
            </w:r>
          </w:p>
          <w:p w14:paraId="23B99CF2">
            <w:pPr>
              <w:spacing w:line="360" w:lineRule="auto"/>
              <w:jc w:val="left"/>
              <w:rPr>
                <w:highlight w:val="none"/>
              </w:rPr>
            </w:pPr>
            <w:r>
              <w:rPr>
                <w:rFonts w:hint="eastAsia"/>
                <w:highlight w:val="none"/>
              </w:rPr>
              <w:t>第一档，内容详细清晰明确得2分；</w:t>
            </w:r>
          </w:p>
          <w:p w14:paraId="22C6C0FD">
            <w:pPr>
              <w:spacing w:line="360" w:lineRule="auto"/>
              <w:jc w:val="left"/>
              <w:rPr>
                <w:highlight w:val="none"/>
              </w:rPr>
            </w:pPr>
            <w:r>
              <w:rPr>
                <w:rFonts w:hint="eastAsia"/>
                <w:highlight w:val="none"/>
              </w:rPr>
              <w:t>第二档，内容模糊不明确得1分；没有不得分。</w:t>
            </w:r>
          </w:p>
          <w:p w14:paraId="3DE671EB">
            <w:pPr>
              <w:numPr>
                <w:ilvl w:val="0"/>
                <w:numId w:val="4"/>
              </w:numPr>
              <w:spacing w:line="360" w:lineRule="auto"/>
              <w:jc w:val="left"/>
              <w:rPr>
                <w:rFonts w:ascii="Times New Roman" w:hAnsi="Times New Roman"/>
                <w:highlight w:val="none"/>
              </w:rPr>
            </w:pPr>
            <w:r>
              <w:rPr>
                <w:rFonts w:hint="eastAsia" w:ascii="Times New Roman" w:hAnsi="Times New Roman"/>
                <w:highlight w:val="none"/>
              </w:rPr>
              <w:t>投标人提供的其他实质性</w:t>
            </w:r>
            <w:r>
              <w:rPr>
                <w:rFonts w:hint="eastAsia"/>
                <w:highlight w:val="none"/>
              </w:rPr>
              <w:t>质保</w:t>
            </w:r>
            <w:r>
              <w:rPr>
                <w:rFonts w:hint="eastAsia" w:ascii="Times New Roman" w:hAnsi="Times New Roman"/>
                <w:highlight w:val="none"/>
              </w:rPr>
              <w:t>优惠条件</w:t>
            </w:r>
          </w:p>
          <w:p w14:paraId="4CAD0D33">
            <w:pPr>
              <w:spacing w:line="360" w:lineRule="auto"/>
              <w:jc w:val="left"/>
              <w:rPr>
                <w:highlight w:val="none"/>
              </w:rPr>
            </w:pPr>
            <w:r>
              <w:rPr>
                <w:rFonts w:hint="eastAsia"/>
                <w:highlight w:val="none"/>
              </w:rPr>
              <w:t>第一档，内容详细清晰明确得2分；</w:t>
            </w:r>
          </w:p>
          <w:p w14:paraId="25E04CA6">
            <w:pPr>
              <w:spacing w:line="360" w:lineRule="auto"/>
              <w:jc w:val="left"/>
              <w:rPr>
                <w:rFonts w:hint="eastAsia" w:ascii="宋体" w:hAnsi="宋体" w:cs="宋体"/>
                <w:szCs w:val="21"/>
                <w:highlight w:val="none"/>
              </w:rPr>
            </w:pPr>
            <w:r>
              <w:rPr>
                <w:rFonts w:hint="eastAsia"/>
                <w:highlight w:val="none"/>
              </w:rPr>
              <w:t>第二档，内容模糊不明确得1分；没有不得分</w:t>
            </w:r>
            <w:r>
              <w:rPr>
                <w:rFonts w:hint="eastAsia" w:ascii="Times New Roman" w:hAnsi="Times New Roman"/>
                <w:highlight w:val="none"/>
              </w:rPr>
              <w:t>。</w:t>
            </w:r>
          </w:p>
        </w:tc>
      </w:tr>
      <w:tr w14:paraId="717AD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148" w:type="dxa"/>
            <w:vMerge w:val="continue"/>
            <w:tcBorders>
              <w:left w:val="single" w:color="auto" w:sz="4" w:space="0"/>
              <w:right w:val="single" w:color="auto" w:sz="4" w:space="0"/>
            </w:tcBorders>
            <w:vAlign w:val="center"/>
          </w:tcPr>
          <w:p w14:paraId="16FFE4A1">
            <w:pPr>
              <w:spacing w:line="360" w:lineRule="auto"/>
              <w:rPr>
                <w:rFonts w:hint="eastAsia" w:ascii="宋体" w:hAnsi="宋体" w:cs="宋体"/>
                <w:szCs w:val="21"/>
                <w:highlight w:val="none"/>
              </w:rPr>
            </w:pPr>
          </w:p>
        </w:tc>
        <w:tc>
          <w:tcPr>
            <w:tcW w:w="1192" w:type="dxa"/>
            <w:vMerge w:val="continue"/>
            <w:tcBorders>
              <w:left w:val="single" w:color="auto" w:sz="4" w:space="0"/>
              <w:right w:val="single" w:color="auto" w:sz="4" w:space="0"/>
            </w:tcBorders>
            <w:vAlign w:val="center"/>
          </w:tcPr>
          <w:p w14:paraId="71F2BA05">
            <w:pPr>
              <w:spacing w:line="360" w:lineRule="auto"/>
              <w:rPr>
                <w:rFonts w:hint="eastAsia" w:ascii="宋体" w:hAnsi="宋体" w:cs="宋体"/>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7D7413D">
            <w:pPr>
              <w:spacing w:line="360" w:lineRule="auto"/>
              <w:jc w:val="left"/>
              <w:rPr>
                <w:rFonts w:hint="eastAsia" w:ascii="宋体" w:hAnsi="宋体" w:cs="宋体"/>
                <w:szCs w:val="21"/>
                <w:highlight w:val="none"/>
              </w:rPr>
            </w:pPr>
            <w:r>
              <w:rPr>
                <w:rFonts w:hint="eastAsia" w:ascii="宋体" w:hAnsi="宋体" w:cs="宋体"/>
                <w:szCs w:val="21"/>
                <w:highlight w:val="none"/>
              </w:rPr>
              <w:t>关键点、难点分析（4分）</w:t>
            </w:r>
          </w:p>
        </w:tc>
        <w:tc>
          <w:tcPr>
            <w:tcW w:w="6270" w:type="dxa"/>
            <w:tcBorders>
              <w:top w:val="single" w:color="auto" w:sz="4" w:space="0"/>
              <w:left w:val="single" w:color="auto" w:sz="4" w:space="0"/>
              <w:bottom w:val="single" w:color="auto" w:sz="4" w:space="0"/>
              <w:right w:val="single" w:color="auto" w:sz="4" w:space="0"/>
            </w:tcBorders>
            <w:vAlign w:val="center"/>
          </w:tcPr>
          <w:p w14:paraId="67EE7888">
            <w:pPr>
              <w:spacing w:line="360" w:lineRule="auto"/>
              <w:jc w:val="left"/>
              <w:rPr>
                <w:rFonts w:hint="eastAsia" w:ascii="宋体" w:hAnsi="宋体" w:cs="宋体"/>
                <w:szCs w:val="21"/>
                <w:highlight w:val="none"/>
              </w:rPr>
            </w:pPr>
            <w:r>
              <w:rPr>
                <w:rFonts w:hint="eastAsia" w:ascii="宋体" w:hAnsi="宋体" w:cs="宋体"/>
                <w:szCs w:val="21"/>
                <w:highlight w:val="none"/>
              </w:rPr>
              <w:t>对项目实施内容的关键点、难点的理解分析及对策</w:t>
            </w:r>
          </w:p>
          <w:p w14:paraId="4292DC29">
            <w:pPr>
              <w:spacing w:line="360" w:lineRule="auto"/>
              <w:jc w:val="left"/>
              <w:rPr>
                <w:rFonts w:hint="eastAsia" w:ascii="宋体" w:hAnsi="宋体" w:cs="宋体"/>
                <w:szCs w:val="21"/>
                <w:highlight w:val="none"/>
              </w:rPr>
            </w:pPr>
            <w:r>
              <w:rPr>
                <w:rFonts w:hint="eastAsia" w:ascii="宋体" w:hAnsi="宋体" w:cs="宋体"/>
                <w:szCs w:val="21"/>
                <w:highlight w:val="none"/>
              </w:rPr>
              <w:t>第一档，方案内容详细、合理，符合相关标准和规范得4分；</w:t>
            </w:r>
          </w:p>
          <w:p w14:paraId="1714FA2C">
            <w:pPr>
              <w:spacing w:line="360" w:lineRule="auto"/>
              <w:jc w:val="left"/>
              <w:rPr>
                <w:rFonts w:hint="eastAsia" w:ascii="宋体" w:hAnsi="宋体" w:cs="宋体"/>
                <w:szCs w:val="21"/>
                <w:highlight w:val="none"/>
              </w:rPr>
            </w:pPr>
            <w:r>
              <w:rPr>
                <w:rFonts w:hint="eastAsia" w:ascii="宋体" w:hAnsi="宋体" w:cs="宋体"/>
                <w:szCs w:val="21"/>
                <w:highlight w:val="none"/>
              </w:rPr>
              <w:t>第二档，方案内容较详细、合理，符合相关标准和规范得2分；</w:t>
            </w:r>
          </w:p>
          <w:p w14:paraId="1ACE2555">
            <w:pPr>
              <w:spacing w:line="360" w:lineRule="auto"/>
              <w:jc w:val="left"/>
              <w:rPr>
                <w:rFonts w:hint="eastAsia" w:ascii="宋体" w:hAnsi="宋体" w:cs="宋体"/>
                <w:szCs w:val="21"/>
                <w:highlight w:val="none"/>
              </w:rPr>
            </w:pPr>
            <w:r>
              <w:rPr>
                <w:rFonts w:hint="eastAsia" w:ascii="宋体" w:hAnsi="宋体" w:cs="宋体"/>
                <w:szCs w:val="21"/>
                <w:highlight w:val="none"/>
              </w:rPr>
              <w:t>第三档，方案内容基本合理，符合相关标准和规范得1分。</w:t>
            </w:r>
          </w:p>
        </w:tc>
      </w:tr>
      <w:tr w14:paraId="30EBB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8" w:type="dxa"/>
            <w:vMerge w:val="continue"/>
            <w:tcBorders>
              <w:left w:val="single" w:color="auto" w:sz="4" w:space="0"/>
              <w:right w:val="single" w:color="auto" w:sz="4" w:space="0"/>
            </w:tcBorders>
            <w:vAlign w:val="center"/>
          </w:tcPr>
          <w:p w14:paraId="11553B0C">
            <w:pPr>
              <w:spacing w:line="360" w:lineRule="auto"/>
              <w:jc w:val="left"/>
              <w:rPr>
                <w:rFonts w:hint="eastAsia" w:ascii="宋体" w:hAnsi="宋体" w:cs="宋体"/>
                <w:spacing w:val="1"/>
                <w:kern w:val="0"/>
                <w:szCs w:val="21"/>
                <w:highlight w:val="none"/>
              </w:rPr>
            </w:pPr>
          </w:p>
        </w:tc>
        <w:tc>
          <w:tcPr>
            <w:tcW w:w="1192" w:type="dxa"/>
            <w:vMerge w:val="restart"/>
            <w:tcBorders>
              <w:top w:val="single" w:color="auto" w:sz="4" w:space="0"/>
              <w:left w:val="single" w:color="auto" w:sz="4" w:space="0"/>
              <w:right w:val="single" w:color="auto" w:sz="4" w:space="0"/>
            </w:tcBorders>
            <w:vAlign w:val="center"/>
          </w:tcPr>
          <w:p w14:paraId="0DC6E459">
            <w:pPr>
              <w:spacing w:line="360" w:lineRule="auto"/>
              <w:jc w:val="left"/>
              <w:rPr>
                <w:rFonts w:hint="eastAsia" w:ascii="宋体" w:hAnsi="宋体" w:cs="宋体"/>
                <w:szCs w:val="21"/>
                <w:highlight w:val="none"/>
              </w:rPr>
            </w:pPr>
          </w:p>
          <w:p w14:paraId="2232EB86">
            <w:pPr>
              <w:spacing w:line="360" w:lineRule="auto"/>
              <w:jc w:val="left"/>
              <w:rPr>
                <w:rFonts w:hint="eastAsia" w:ascii="宋体" w:hAnsi="宋体" w:cs="宋体"/>
                <w:szCs w:val="21"/>
                <w:highlight w:val="none"/>
              </w:rPr>
            </w:pPr>
          </w:p>
          <w:p w14:paraId="16822835">
            <w:pPr>
              <w:spacing w:line="360" w:lineRule="auto"/>
              <w:jc w:val="left"/>
              <w:rPr>
                <w:rFonts w:hint="eastAsia" w:ascii="宋体" w:hAnsi="宋体" w:cs="宋体"/>
                <w:szCs w:val="21"/>
                <w:highlight w:val="none"/>
              </w:rPr>
            </w:pPr>
          </w:p>
          <w:p w14:paraId="1A4D3965">
            <w:pPr>
              <w:spacing w:line="360" w:lineRule="auto"/>
              <w:jc w:val="left"/>
              <w:rPr>
                <w:rFonts w:hint="eastAsia" w:ascii="宋体" w:hAnsi="宋体" w:cs="宋体"/>
                <w:szCs w:val="21"/>
                <w:highlight w:val="none"/>
              </w:rPr>
            </w:pPr>
            <w:r>
              <w:rPr>
                <w:rFonts w:hint="eastAsia" w:ascii="宋体" w:hAnsi="宋体" w:cs="宋体"/>
                <w:szCs w:val="21"/>
                <w:highlight w:val="none"/>
              </w:rPr>
              <w:t>2.2.2（3）综合标评分</w:t>
            </w:r>
            <w:r>
              <w:rPr>
                <w:rFonts w:hint="eastAsia" w:ascii="宋体" w:hAnsi="宋体" w:cs="宋体"/>
                <w:spacing w:val="1"/>
                <w:kern w:val="0"/>
                <w:szCs w:val="21"/>
                <w:highlight w:val="none"/>
              </w:rPr>
              <w:t>（6分）</w:t>
            </w:r>
          </w:p>
        </w:tc>
        <w:tc>
          <w:tcPr>
            <w:tcW w:w="1560" w:type="dxa"/>
            <w:tcBorders>
              <w:top w:val="single" w:color="auto" w:sz="4" w:space="0"/>
              <w:left w:val="single" w:color="auto" w:sz="4" w:space="0"/>
              <w:bottom w:val="single" w:color="auto" w:sz="4" w:space="0"/>
              <w:right w:val="single" w:color="auto" w:sz="4" w:space="0"/>
            </w:tcBorders>
            <w:vAlign w:val="center"/>
          </w:tcPr>
          <w:p w14:paraId="1F9F9DC0">
            <w:pPr>
              <w:widowControl/>
              <w:spacing w:before="156" w:line="360" w:lineRule="auto"/>
              <w:jc w:val="center"/>
              <w:rPr>
                <w:rFonts w:hint="eastAsia" w:ascii="宋体" w:hAnsi="宋体" w:cs="宋体"/>
                <w:kern w:val="0"/>
                <w:szCs w:val="21"/>
                <w:highlight w:val="none"/>
              </w:rPr>
            </w:pPr>
            <w:r>
              <w:rPr>
                <w:rFonts w:hint="eastAsia" w:ascii="宋体" w:hAnsi="宋体" w:cs="宋体"/>
                <w:kern w:val="0"/>
                <w:szCs w:val="21"/>
                <w:highlight w:val="none"/>
              </w:rPr>
              <w:t>售后服务保障</w:t>
            </w:r>
          </w:p>
          <w:p w14:paraId="4973A238">
            <w:pPr>
              <w:autoSpaceDE w:val="0"/>
              <w:autoSpaceDN w:val="0"/>
              <w:adjustRightInd w:val="0"/>
              <w:spacing w:line="360" w:lineRule="auto"/>
              <w:jc w:val="center"/>
              <w:rPr>
                <w:rFonts w:hint="eastAsia" w:ascii="宋体" w:hAnsi="宋体" w:cs="宋体"/>
                <w:szCs w:val="21"/>
                <w:highlight w:val="none"/>
              </w:rPr>
            </w:pPr>
            <w:r>
              <w:rPr>
                <w:rFonts w:hint="eastAsia" w:ascii="宋体" w:hAnsi="宋体" w:cs="宋体"/>
                <w:kern w:val="0"/>
                <w:szCs w:val="21"/>
                <w:highlight w:val="none"/>
              </w:rPr>
              <w:t>（4分）</w:t>
            </w:r>
          </w:p>
        </w:tc>
        <w:tc>
          <w:tcPr>
            <w:tcW w:w="6270" w:type="dxa"/>
            <w:tcBorders>
              <w:top w:val="single" w:color="auto" w:sz="4" w:space="0"/>
              <w:left w:val="single" w:color="auto" w:sz="4" w:space="0"/>
              <w:bottom w:val="single" w:color="auto" w:sz="4" w:space="0"/>
              <w:right w:val="single" w:color="auto" w:sz="4" w:space="0"/>
            </w:tcBorders>
            <w:vAlign w:val="center"/>
          </w:tcPr>
          <w:p w14:paraId="74232584">
            <w:pPr>
              <w:pStyle w:val="15"/>
              <w:spacing w:line="360" w:lineRule="auto"/>
              <w:ind w:left="0" w:leftChars="0"/>
              <w:rPr>
                <w:rFonts w:hint="eastAsia" w:ascii="宋体" w:hAnsi="宋体" w:cs="宋体"/>
                <w:highlight w:val="none"/>
              </w:rPr>
            </w:pPr>
            <w:r>
              <w:rPr>
                <w:rFonts w:hint="eastAsia" w:ascii="宋体" w:hAnsi="宋体" w:cs="宋体"/>
                <w:highlight w:val="none"/>
              </w:rPr>
              <w:t>根据采购人的实际需要，针对项目实际情况，对产品售后服务及人员配置，上门售后时间等所做出的的详细服务方案</w:t>
            </w:r>
          </w:p>
          <w:p w14:paraId="03633DBB">
            <w:pPr>
              <w:pStyle w:val="15"/>
              <w:spacing w:line="360" w:lineRule="auto"/>
              <w:ind w:left="0" w:leftChars="0"/>
              <w:rPr>
                <w:rFonts w:hint="eastAsia" w:ascii="宋体" w:hAnsi="宋体" w:cs="宋体"/>
                <w:highlight w:val="none"/>
              </w:rPr>
            </w:pPr>
            <w:r>
              <w:rPr>
                <w:rFonts w:hint="eastAsia" w:ascii="宋体" w:hAnsi="宋体" w:cs="宋体"/>
                <w:highlight w:val="none"/>
              </w:rPr>
              <w:t>第一档：内容非常全面完整、方案思路非常科学合理可靠，得4分</w:t>
            </w:r>
          </w:p>
          <w:p w14:paraId="1143DD51">
            <w:pPr>
              <w:pStyle w:val="15"/>
              <w:spacing w:line="360" w:lineRule="auto"/>
              <w:ind w:left="0" w:leftChars="0"/>
              <w:rPr>
                <w:rFonts w:hint="eastAsia" w:ascii="宋体" w:hAnsi="宋体" w:cs="宋体"/>
                <w:highlight w:val="none"/>
              </w:rPr>
            </w:pPr>
            <w:r>
              <w:rPr>
                <w:rFonts w:hint="eastAsia" w:ascii="宋体" w:hAnsi="宋体" w:cs="宋体"/>
                <w:highlight w:val="none"/>
              </w:rPr>
              <w:t>第二档：内容基本全面完整、方案思路基本科学合理可靠，得2分，</w:t>
            </w:r>
          </w:p>
          <w:p w14:paraId="738E309C">
            <w:pPr>
              <w:pStyle w:val="15"/>
              <w:spacing w:line="360" w:lineRule="auto"/>
              <w:ind w:left="0" w:leftChars="0"/>
              <w:rPr>
                <w:rFonts w:hint="eastAsia" w:ascii="宋体" w:hAnsi="宋体" w:cs="宋体"/>
                <w:szCs w:val="21"/>
                <w:highlight w:val="none"/>
              </w:rPr>
            </w:pPr>
            <w:r>
              <w:rPr>
                <w:rFonts w:hint="eastAsia" w:ascii="宋体" w:hAnsi="宋体" w:cs="宋体"/>
                <w:highlight w:val="none"/>
              </w:rPr>
              <w:t>第三档：内容、方案思路一般或不完善，得1分，没有不得分。</w:t>
            </w:r>
          </w:p>
        </w:tc>
      </w:tr>
      <w:tr w14:paraId="07B7C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8" w:type="dxa"/>
            <w:vMerge w:val="continue"/>
            <w:tcBorders>
              <w:left w:val="single" w:color="auto" w:sz="4" w:space="0"/>
              <w:right w:val="single" w:color="auto" w:sz="4" w:space="0"/>
            </w:tcBorders>
            <w:vAlign w:val="center"/>
          </w:tcPr>
          <w:p w14:paraId="5DA861F0">
            <w:pPr>
              <w:spacing w:line="360" w:lineRule="auto"/>
              <w:jc w:val="left"/>
              <w:rPr>
                <w:rFonts w:hint="eastAsia" w:ascii="宋体" w:hAnsi="宋体" w:cs="宋体"/>
                <w:spacing w:val="1"/>
                <w:kern w:val="0"/>
                <w:szCs w:val="21"/>
                <w:highlight w:val="none"/>
              </w:rPr>
            </w:pPr>
          </w:p>
        </w:tc>
        <w:tc>
          <w:tcPr>
            <w:tcW w:w="1192" w:type="dxa"/>
            <w:vMerge w:val="continue"/>
            <w:tcBorders>
              <w:left w:val="single" w:color="auto" w:sz="4" w:space="0"/>
              <w:right w:val="single" w:color="auto" w:sz="4" w:space="0"/>
            </w:tcBorders>
            <w:vAlign w:val="center"/>
          </w:tcPr>
          <w:p w14:paraId="1FC21034">
            <w:pPr>
              <w:spacing w:line="360" w:lineRule="auto"/>
              <w:jc w:val="left"/>
              <w:rPr>
                <w:rFonts w:hint="eastAsia" w:ascii="宋体" w:hAnsi="宋体" w:cs="宋体"/>
                <w:szCs w:val="21"/>
                <w:highlight w:val="none"/>
              </w:rPr>
            </w:pPr>
          </w:p>
        </w:tc>
        <w:tc>
          <w:tcPr>
            <w:tcW w:w="1560" w:type="dxa"/>
            <w:tcBorders>
              <w:left w:val="single" w:color="auto" w:sz="4" w:space="0"/>
              <w:bottom w:val="single" w:color="auto" w:sz="4" w:space="0"/>
              <w:right w:val="single" w:color="auto" w:sz="4" w:space="0"/>
            </w:tcBorders>
            <w:vAlign w:val="center"/>
          </w:tcPr>
          <w:p w14:paraId="72F45076">
            <w:pPr>
              <w:spacing w:line="360" w:lineRule="auto"/>
              <w:jc w:val="center"/>
              <w:rPr>
                <w:rFonts w:hint="eastAsia" w:ascii="宋体" w:hAnsi="宋体" w:cs="宋体"/>
                <w:szCs w:val="21"/>
                <w:highlight w:val="none"/>
              </w:rPr>
            </w:pPr>
          </w:p>
          <w:p w14:paraId="21BFBA34">
            <w:pPr>
              <w:spacing w:line="360" w:lineRule="auto"/>
              <w:jc w:val="center"/>
              <w:rPr>
                <w:rFonts w:hint="eastAsia" w:ascii="宋体" w:hAnsi="宋体" w:cs="宋体"/>
                <w:szCs w:val="21"/>
                <w:highlight w:val="none"/>
              </w:rPr>
            </w:pPr>
            <w:r>
              <w:rPr>
                <w:rFonts w:hint="eastAsia" w:ascii="宋体" w:hAnsi="宋体" w:cs="宋体"/>
                <w:szCs w:val="21"/>
                <w:highlight w:val="none"/>
              </w:rPr>
              <w:t>资信业绩</w:t>
            </w:r>
          </w:p>
          <w:p w14:paraId="53570FC4">
            <w:pPr>
              <w:pStyle w:val="24"/>
              <w:spacing w:line="36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（2分）</w:t>
            </w:r>
          </w:p>
          <w:p w14:paraId="4E04B8DB">
            <w:pPr>
              <w:pStyle w:val="24"/>
              <w:spacing w:line="360" w:lineRule="auto"/>
              <w:ind w:firstLine="0" w:firstLineChars="0"/>
              <w:jc w:val="center"/>
              <w:rPr>
                <w:rFonts w:hint="eastAsia" w:ascii="宋体" w:hAnsi="宋体" w:cs="宋体"/>
                <w:sz w:val="21"/>
                <w:szCs w:val="21"/>
                <w:highlight w:val="none"/>
              </w:rPr>
            </w:pPr>
          </w:p>
        </w:tc>
        <w:tc>
          <w:tcPr>
            <w:tcW w:w="6270" w:type="dxa"/>
            <w:tcBorders>
              <w:top w:val="single" w:color="auto" w:sz="4" w:space="0"/>
              <w:left w:val="single" w:color="auto" w:sz="4" w:space="0"/>
              <w:bottom w:val="single" w:color="auto" w:sz="4" w:space="0"/>
              <w:right w:val="single" w:color="auto" w:sz="4" w:space="0"/>
            </w:tcBorders>
            <w:vAlign w:val="center"/>
          </w:tcPr>
          <w:p w14:paraId="26347D8E">
            <w:pPr>
              <w:spacing w:line="360" w:lineRule="auto"/>
              <w:jc w:val="left"/>
              <w:rPr>
                <w:rFonts w:hint="eastAsia" w:ascii="宋体" w:hAnsi="宋体" w:cs="宋体"/>
                <w:spacing w:val="1"/>
                <w:kern w:val="0"/>
                <w:szCs w:val="21"/>
                <w:highlight w:val="none"/>
              </w:rPr>
            </w:pPr>
            <w:r>
              <w:rPr>
                <w:rFonts w:hint="eastAsia" w:ascii="宋体" w:hAnsi="宋体" w:cs="宋体"/>
                <w:szCs w:val="21"/>
                <w:highlight w:val="none"/>
              </w:rPr>
              <w:t>每提供一份自</w:t>
            </w:r>
            <w:r>
              <w:rPr>
                <w:rFonts w:hint="eastAsia" w:ascii="宋体" w:hAnsi="宋体" w:cs="宋体"/>
                <w:highlight w:val="none"/>
              </w:rPr>
              <w:t>202</w:t>
            </w:r>
            <w:r>
              <w:rPr>
                <w:rFonts w:hint="eastAsia" w:ascii="宋体" w:hAnsi="宋体" w:cs="宋体"/>
                <w:highlight w:val="none"/>
                <w:lang w:val="en-US" w:eastAsia="zh-CN"/>
              </w:rPr>
              <w:t>2</w:t>
            </w:r>
            <w:r>
              <w:rPr>
                <w:rFonts w:hint="eastAsia" w:ascii="宋体" w:hAnsi="宋体" w:cs="宋体"/>
                <w:highlight w:val="none"/>
              </w:rPr>
              <w:t>年1月1日</w:t>
            </w:r>
            <w:r>
              <w:rPr>
                <w:rFonts w:hint="eastAsia" w:ascii="宋体" w:hAnsi="宋体" w:cs="宋体"/>
                <w:szCs w:val="21"/>
                <w:highlight w:val="none"/>
              </w:rPr>
              <w:t>以来所</w:t>
            </w:r>
            <w:r>
              <w:rPr>
                <w:rFonts w:hint="eastAsia" w:ascii="宋体" w:hAnsi="宋体" w:cs="宋体"/>
                <w:b/>
                <w:bCs/>
                <w:szCs w:val="21"/>
                <w:highlight w:val="none"/>
              </w:rPr>
              <w:t>投</w:t>
            </w:r>
            <w:r>
              <w:rPr>
                <w:rFonts w:hint="eastAsia" w:ascii="宋体" w:hAnsi="宋体" w:cs="宋体"/>
                <w:b/>
                <w:bCs/>
                <w:szCs w:val="21"/>
                <w:highlight w:val="none"/>
                <w:lang w:eastAsia="zh-CN"/>
              </w:rPr>
              <w:t>核心</w:t>
            </w:r>
            <w:r>
              <w:rPr>
                <w:rFonts w:hint="eastAsia" w:ascii="宋体" w:hAnsi="宋体" w:cs="宋体"/>
                <w:b/>
                <w:bCs/>
                <w:szCs w:val="21"/>
                <w:highlight w:val="none"/>
              </w:rPr>
              <w:t>产品</w:t>
            </w:r>
            <w:r>
              <w:rPr>
                <w:rFonts w:hint="eastAsia" w:ascii="宋体" w:hAnsi="宋体" w:cs="宋体"/>
                <w:szCs w:val="21"/>
                <w:highlight w:val="none"/>
              </w:rPr>
              <w:t>的项目业绩</w:t>
            </w:r>
            <w:r>
              <w:rPr>
                <w:rFonts w:hint="eastAsia" w:ascii="宋体" w:hAnsi="宋体" w:cs="宋体"/>
                <w:highlight w:val="none"/>
              </w:rPr>
              <w:t>（以响应文件中所附类似业绩的中标通知书和合同原件的扫描件为准）</w:t>
            </w:r>
            <w:r>
              <w:rPr>
                <w:rFonts w:hint="eastAsia" w:ascii="宋体" w:hAnsi="宋体" w:cs="宋体"/>
                <w:bCs/>
                <w:szCs w:val="21"/>
                <w:highlight w:val="none"/>
              </w:rPr>
              <w:t>的</w:t>
            </w:r>
            <w:r>
              <w:rPr>
                <w:rFonts w:hint="eastAsia" w:ascii="宋体" w:hAnsi="宋体" w:cs="宋体"/>
                <w:szCs w:val="21"/>
                <w:highlight w:val="none"/>
              </w:rPr>
              <w:t>得1分，最多得2分。</w:t>
            </w:r>
          </w:p>
          <w:p w14:paraId="4D6F7795">
            <w:pPr>
              <w:pStyle w:val="24"/>
              <w:spacing w:line="360" w:lineRule="auto"/>
              <w:ind w:firstLine="0" w:firstLineChars="0"/>
              <w:rPr>
                <w:rFonts w:ascii="宋体" w:hAnsi="宋体" w:cs="宋体"/>
                <w:spacing w:val="1"/>
                <w:sz w:val="21"/>
                <w:szCs w:val="21"/>
                <w:highlight w:val="none"/>
              </w:rPr>
            </w:pPr>
            <w:r>
              <w:rPr>
                <w:rFonts w:hint="eastAsia" w:ascii="宋体" w:hAnsi="宋体" w:cs="宋体"/>
                <w:spacing w:val="1"/>
                <w:sz w:val="21"/>
                <w:szCs w:val="21"/>
                <w:highlight w:val="none"/>
              </w:rPr>
              <w:t>注：①需提供中标通知书和合同扫描件，不提供不得分。</w:t>
            </w:r>
          </w:p>
          <w:p w14:paraId="46C17BD0">
            <w:pPr>
              <w:pStyle w:val="25"/>
              <w:spacing w:line="360" w:lineRule="auto"/>
              <w:ind w:left="0" w:leftChars="0"/>
              <w:rPr>
                <w:rFonts w:hint="eastAsia"/>
                <w:highlight w:val="none"/>
              </w:rPr>
            </w:pPr>
            <w:r>
              <w:rPr>
                <w:rFonts w:hint="eastAsia"/>
                <w:color w:val="auto"/>
                <w:highlight w:val="none"/>
              </w:rPr>
              <w:t>②该业绩可为供应商的业绩或该产品生产厂家的业绩</w:t>
            </w:r>
          </w:p>
        </w:tc>
      </w:tr>
      <w:tr w14:paraId="72A41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340" w:type="dxa"/>
            <w:gridSpan w:val="2"/>
            <w:vMerge w:val="restart"/>
            <w:tcBorders>
              <w:top w:val="single" w:color="auto" w:sz="4" w:space="0"/>
              <w:left w:val="single" w:color="auto" w:sz="4" w:space="0"/>
              <w:right w:val="single" w:color="auto" w:sz="4" w:space="0"/>
            </w:tcBorders>
            <w:vAlign w:val="center"/>
          </w:tcPr>
          <w:p w14:paraId="2FAD0CC7">
            <w:pPr>
              <w:widowControl/>
              <w:spacing w:line="360" w:lineRule="auto"/>
              <w:jc w:val="center"/>
              <w:rPr>
                <w:rFonts w:hint="eastAsia" w:ascii="宋体" w:hAnsi="宋体" w:cs="宋体"/>
                <w:szCs w:val="21"/>
                <w:highlight w:val="none"/>
              </w:rPr>
            </w:pPr>
            <w:r>
              <w:rPr>
                <w:rFonts w:hint="eastAsia" w:ascii="宋体" w:hAnsi="宋体" w:cs="宋体"/>
                <w:spacing w:val="1"/>
                <w:kern w:val="0"/>
                <w:szCs w:val="21"/>
                <w:highlight w:val="none"/>
              </w:rPr>
              <w:t>废标条款</w:t>
            </w: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1CD00031">
            <w:pPr>
              <w:spacing w:line="360" w:lineRule="auto"/>
              <w:jc w:val="left"/>
              <w:rPr>
                <w:rFonts w:hint="eastAsia" w:ascii="宋体" w:hAnsi="宋体" w:cs="宋体"/>
                <w:spacing w:val="1"/>
                <w:kern w:val="0"/>
                <w:szCs w:val="21"/>
                <w:highlight w:val="none"/>
              </w:rPr>
            </w:pPr>
            <w:r>
              <w:rPr>
                <w:rFonts w:hint="eastAsia" w:ascii="宋体" w:hAnsi="宋体" w:cs="宋体"/>
                <w:szCs w:val="21"/>
                <w:highlight w:val="none"/>
              </w:rPr>
              <w:t>投标截止时间止，投标人少于3个的。</w:t>
            </w:r>
          </w:p>
        </w:tc>
      </w:tr>
      <w:tr w14:paraId="601A5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40" w:type="dxa"/>
            <w:gridSpan w:val="2"/>
            <w:vMerge w:val="continue"/>
            <w:tcBorders>
              <w:left w:val="single" w:color="auto" w:sz="4" w:space="0"/>
              <w:right w:val="single" w:color="auto" w:sz="4" w:space="0"/>
            </w:tcBorders>
            <w:vAlign w:val="center"/>
          </w:tcPr>
          <w:p w14:paraId="1D623129">
            <w:pPr>
              <w:widowControl/>
              <w:spacing w:line="360" w:lineRule="auto"/>
              <w:jc w:val="center"/>
              <w:rPr>
                <w:rFonts w:hint="eastAsia" w:ascii="宋体" w:hAnsi="宋体" w:cs="宋体"/>
                <w:szCs w:val="21"/>
                <w:highlight w:val="none"/>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5B04BED8">
            <w:pPr>
              <w:spacing w:line="360" w:lineRule="auto"/>
              <w:jc w:val="left"/>
              <w:rPr>
                <w:rFonts w:hint="eastAsia" w:ascii="宋体" w:hAnsi="宋体" w:cs="宋体"/>
                <w:spacing w:val="1"/>
                <w:kern w:val="0"/>
                <w:szCs w:val="21"/>
                <w:highlight w:val="none"/>
              </w:rPr>
            </w:pPr>
            <w:r>
              <w:rPr>
                <w:rFonts w:hint="eastAsia" w:ascii="宋体" w:hAnsi="宋体" w:cs="宋体"/>
                <w:bCs/>
                <w:szCs w:val="21"/>
                <w:highlight w:val="none"/>
              </w:rPr>
              <w:t>投标人的投标报价高于最高投标限价。</w:t>
            </w:r>
          </w:p>
        </w:tc>
      </w:tr>
      <w:tr w14:paraId="5EA69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40" w:type="dxa"/>
            <w:gridSpan w:val="2"/>
            <w:vMerge w:val="continue"/>
            <w:tcBorders>
              <w:left w:val="single" w:color="auto" w:sz="4" w:space="0"/>
              <w:right w:val="single" w:color="auto" w:sz="4" w:space="0"/>
            </w:tcBorders>
            <w:vAlign w:val="center"/>
          </w:tcPr>
          <w:p w14:paraId="6CF72A49">
            <w:pPr>
              <w:widowControl/>
              <w:spacing w:line="360" w:lineRule="auto"/>
              <w:jc w:val="center"/>
              <w:rPr>
                <w:rFonts w:hint="eastAsia" w:ascii="宋体" w:hAnsi="宋体" w:cs="宋体"/>
                <w:szCs w:val="21"/>
                <w:highlight w:val="none"/>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611E3365">
            <w:pPr>
              <w:spacing w:line="360" w:lineRule="auto"/>
              <w:jc w:val="left"/>
              <w:rPr>
                <w:rFonts w:hint="eastAsia" w:ascii="宋体" w:hAnsi="宋体" w:cs="宋体"/>
                <w:bCs/>
                <w:szCs w:val="21"/>
                <w:highlight w:val="none"/>
              </w:rPr>
            </w:pPr>
            <w:r>
              <w:rPr>
                <w:rFonts w:hint="eastAsia" w:ascii="宋体" w:hAnsi="宋体" w:cs="宋体"/>
                <w:bCs/>
                <w:szCs w:val="21"/>
                <w:highlight w:val="none"/>
              </w:rPr>
              <w:t>投标人投标文件制作机器码一致的。</w:t>
            </w:r>
          </w:p>
        </w:tc>
      </w:tr>
      <w:tr w14:paraId="57ABB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40" w:type="dxa"/>
            <w:gridSpan w:val="2"/>
            <w:vMerge w:val="continue"/>
            <w:tcBorders>
              <w:left w:val="single" w:color="auto" w:sz="4" w:space="0"/>
              <w:right w:val="single" w:color="auto" w:sz="4" w:space="0"/>
            </w:tcBorders>
            <w:vAlign w:val="center"/>
          </w:tcPr>
          <w:p w14:paraId="377DAE25">
            <w:pPr>
              <w:widowControl/>
              <w:spacing w:line="360" w:lineRule="auto"/>
              <w:jc w:val="center"/>
              <w:rPr>
                <w:rFonts w:hint="eastAsia" w:ascii="宋体" w:hAnsi="宋体" w:cs="宋体"/>
                <w:szCs w:val="21"/>
                <w:highlight w:val="none"/>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6B8E9309">
            <w:pPr>
              <w:spacing w:line="360" w:lineRule="auto"/>
              <w:jc w:val="left"/>
              <w:rPr>
                <w:rFonts w:hint="eastAsia" w:ascii="宋体" w:hAnsi="宋体" w:cs="宋体"/>
                <w:bCs/>
                <w:szCs w:val="21"/>
                <w:highlight w:val="none"/>
              </w:rPr>
            </w:pPr>
            <w:r>
              <w:rPr>
                <w:rFonts w:hint="eastAsia" w:ascii="宋体" w:hAnsi="宋体" w:cs="宋体"/>
                <w:spacing w:val="1"/>
                <w:kern w:val="0"/>
                <w:szCs w:val="21"/>
                <w:highlight w:val="none"/>
              </w:rPr>
              <w:t>法律法规规定的其他内容。</w:t>
            </w:r>
          </w:p>
        </w:tc>
      </w:tr>
    </w:tbl>
    <w:p w14:paraId="71E7206E">
      <w:pPr>
        <w:spacing w:line="360" w:lineRule="auto"/>
        <w:outlineLvl w:val="1"/>
        <w:rPr>
          <w:rFonts w:hint="eastAsia" w:ascii="宋体" w:hAnsi="宋体" w:cs="宋体"/>
          <w:b/>
          <w:highlight w:val="none"/>
        </w:rPr>
      </w:pPr>
      <w:bookmarkStart w:id="95" w:name="_Toc20666"/>
      <w:r>
        <w:rPr>
          <w:rFonts w:hint="eastAsia" w:ascii="宋体" w:hAnsi="宋体" w:cs="宋体"/>
          <w:b/>
          <w:highlight w:val="none"/>
        </w:rPr>
        <w:t>注：1.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bookmarkEnd w:id="95"/>
    </w:p>
    <w:p w14:paraId="6C63F2EB">
      <w:pPr>
        <w:spacing w:line="360" w:lineRule="auto"/>
        <w:ind w:firstLine="632" w:firstLineChars="300"/>
        <w:outlineLvl w:val="1"/>
        <w:rPr>
          <w:rFonts w:hint="eastAsia" w:ascii="宋体" w:hAnsi="宋体" w:cs="宋体"/>
          <w:b/>
          <w:highlight w:val="none"/>
        </w:rPr>
      </w:pPr>
      <w:r>
        <w:rPr>
          <w:rFonts w:hint="eastAsia" w:ascii="宋体" w:hAnsi="宋体" w:cs="宋体"/>
          <w:b/>
          <w:highlight w:val="none"/>
        </w:rPr>
        <w:t>非单一产品采购项目，采购人应当根据采购项目技术构成、产品价格比重等合理确定核心产品，并在招标文件中载明。多家投标人提供的核心产品品牌相同的，按前两款规定处理。</w:t>
      </w:r>
    </w:p>
    <w:p w14:paraId="1D0D6675">
      <w:pPr>
        <w:pStyle w:val="25"/>
        <w:rPr>
          <w:rFonts w:hint="default" w:eastAsia="宋体"/>
          <w:color w:val="auto"/>
          <w:highlight w:val="none"/>
          <w:lang w:val="en-US" w:eastAsia="zh-CN"/>
        </w:rPr>
      </w:pPr>
      <w:r>
        <w:rPr>
          <w:rFonts w:hint="eastAsia" w:ascii="宋体" w:hAnsi="宋体" w:cs="宋体"/>
          <w:b/>
          <w:color w:val="auto"/>
          <w:highlight w:val="none"/>
          <w:lang w:val="en-US" w:eastAsia="zh-CN"/>
        </w:rPr>
        <w:t>2.本标段核心产品为：体外冲击波治疗仪</w:t>
      </w:r>
    </w:p>
    <w:bookmarkEnd w:id="91"/>
    <w:bookmarkEnd w:id="92"/>
    <w:p w14:paraId="4AD40DB4">
      <w:pPr>
        <w:pStyle w:val="4"/>
        <w:spacing w:line="460" w:lineRule="exact"/>
        <w:ind w:firstLine="211" w:firstLineChars="100"/>
        <w:jc w:val="left"/>
        <w:rPr>
          <w:rFonts w:hint="eastAsia" w:ascii="宋体" w:hAnsi="宋体" w:cs="宋体"/>
          <w:bCs w:val="0"/>
          <w:sz w:val="21"/>
          <w:szCs w:val="21"/>
          <w:highlight w:val="none"/>
        </w:rPr>
      </w:pPr>
      <w:bookmarkStart w:id="96" w:name="_Toc2654"/>
      <w:bookmarkStart w:id="97" w:name="_Toc25442"/>
      <w:r>
        <w:rPr>
          <w:rFonts w:hint="eastAsia" w:ascii="宋体" w:hAnsi="宋体" w:cs="宋体"/>
          <w:bCs w:val="0"/>
          <w:sz w:val="21"/>
          <w:szCs w:val="21"/>
          <w:highlight w:val="none"/>
        </w:rPr>
        <w:t>磋商</w:t>
      </w:r>
    </w:p>
    <w:p w14:paraId="441E820A">
      <w:pPr>
        <w:pStyle w:val="4"/>
        <w:spacing w:line="460" w:lineRule="exact"/>
        <w:jc w:val="left"/>
        <w:rPr>
          <w:rFonts w:hint="eastAsia" w:ascii="宋体" w:hAnsi="宋体" w:cs="宋体"/>
          <w:bCs w:val="0"/>
          <w:sz w:val="21"/>
          <w:szCs w:val="21"/>
          <w:highlight w:val="none"/>
        </w:rPr>
      </w:pPr>
      <w:r>
        <w:rPr>
          <w:rFonts w:hint="eastAsia" w:ascii="宋体" w:hAnsi="宋体" w:cs="宋体"/>
          <w:bCs w:val="0"/>
          <w:sz w:val="21"/>
          <w:szCs w:val="21"/>
          <w:highlight w:val="none"/>
        </w:rPr>
        <w:t>1.磋商程序及方法</w:t>
      </w:r>
      <w:bookmarkEnd w:id="93"/>
      <w:bookmarkEnd w:id="94"/>
      <w:bookmarkEnd w:id="96"/>
      <w:bookmarkEnd w:id="97"/>
    </w:p>
    <w:p w14:paraId="616F96B1">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1.1初步评审；</w:t>
      </w:r>
    </w:p>
    <w:p w14:paraId="10F4F51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1.2磋商；</w:t>
      </w:r>
    </w:p>
    <w:p w14:paraId="206A752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1.3 综合评分。</w:t>
      </w:r>
    </w:p>
    <w:p w14:paraId="2F1E1DAF">
      <w:pPr>
        <w:pStyle w:val="4"/>
        <w:spacing w:line="460" w:lineRule="exact"/>
        <w:jc w:val="left"/>
        <w:rPr>
          <w:rFonts w:hint="eastAsia" w:ascii="宋体" w:hAnsi="宋体" w:cs="宋体"/>
          <w:bCs w:val="0"/>
          <w:sz w:val="21"/>
          <w:szCs w:val="21"/>
          <w:highlight w:val="none"/>
        </w:rPr>
      </w:pPr>
      <w:bookmarkStart w:id="98" w:name="_Toc27667"/>
      <w:bookmarkStart w:id="99" w:name="_Toc5269854"/>
      <w:bookmarkStart w:id="100" w:name="_Toc20027"/>
      <w:bookmarkStart w:id="101" w:name="_Toc14560"/>
      <w:r>
        <w:rPr>
          <w:rFonts w:hint="eastAsia" w:ascii="宋体" w:hAnsi="宋体" w:cs="宋体"/>
          <w:bCs w:val="0"/>
          <w:sz w:val="21"/>
          <w:szCs w:val="21"/>
          <w:highlight w:val="none"/>
        </w:rPr>
        <w:t>2.确定成交供应商原则</w:t>
      </w:r>
      <w:bookmarkEnd w:id="98"/>
      <w:bookmarkEnd w:id="99"/>
      <w:bookmarkEnd w:id="100"/>
      <w:bookmarkEnd w:id="101"/>
    </w:p>
    <w:p w14:paraId="3165905A">
      <w:pPr>
        <w:tabs>
          <w:tab w:val="left" w:pos="720"/>
          <w:tab w:val="left" w:pos="1980"/>
        </w:tabs>
        <w:spacing w:line="460" w:lineRule="exact"/>
        <w:ind w:firstLine="422" w:firstLineChars="200"/>
        <w:rPr>
          <w:rFonts w:hint="eastAsia" w:ascii="宋体" w:hAnsi="宋体" w:cs="宋体"/>
          <w:b/>
          <w:szCs w:val="21"/>
          <w:highlight w:val="none"/>
        </w:rPr>
      </w:pPr>
      <w:bookmarkStart w:id="102" w:name="_Toc152042378"/>
      <w:bookmarkStart w:id="103" w:name="_Toc144974568"/>
      <w:bookmarkStart w:id="104" w:name="_Toc152045601"/>
      <w:bookmarkStart w:id="105" w:name="_Toc409023137"/>
      <w:bookmarkStart w:id="106" w:name="_Toc179632619"/>
      <w:r>
        <w:rPr>
          <w:rFonts w:hint="eastAsia" w:ascii="宋体" w:hAnsi="宋体" w:cs="宋体"/>
          <w:b/>
          <w:szCs w:val="21"/>
          <w:highlight w:val="none"/>
        </w:rPr>
        <w:t>响应文件满足磋商文件全部实质性要求且按评审因素的量化指标评审得分最高的供应商为成交供应商。</w:t>
      </w:r>
    </w:p>
    <w:bookmarkEnd w:id="102"/>
    <w:bookmarkEnd w:id="103"/>
    <w:bookmarkEnd w:id="104"/>
    <w:bookmarkEnd w:id="105"/>
    <w:bookmarkEnd w:id="106"/>
    <w:p w14:paraId="205F9501">
      <w:pPr>
        <w:pStyle w:val="4"/>
        <w:spacing w:line="460" w:lineRule="exact"/>
        <w:jc w:val="left"/>
        <w:rPr>
          <w:rFonts w:hint="eastAsia" w:ascii="宋体" w:hAnsi="宋体" w:cs="宋体"/>
          <w:bCs w:val="0"/>
          <w:sz w:val="21"/>
          <w:szCs w:val="21"/>
          <w:highlight w:val="none"/>
        </w:rPr>
      </w:pPr>
      <w:bookmarkStart w:id="107" w:name="_Toc10826"/>
      <w:bookmarkStart w:id="108" w:name="_Toc19301"/>
      <w:bookmarkStart w:id="109" w:name="_Toc5269855"/>
      <w:bookmarkStart w:id="110" w:name="_Toc32254"/>
      <w:bookmarkStart w:id="111" w:name="_Toc144974569"/>
      <w:bookmarkStart w:id="112" w:name="_Toc152042379"/>
      <w:bookmarkStart w:id="113" w:name="_Toc179632620"/>
      <w:bookmarkStart w:id="114" w:name="_Toc152045602"/>
      <w:r>
        <w:rPr>
          <w:rFonts w:hint="eastAsia" w:ascii="宋体" w:hAnsi="宋体" w:cs="宋体"/>
          <w:bCs w:val="0"/>
          <w:sz w:val="21"/>
          <w:szCs w:val="21"/>
          <w:highlight w:val="none"/>
        </w:rPr>
        <w:t>3.初步评审</w:t>
      </w:r>
      <w:bookmarkEnd w:id="107"/>
      <w:bookmarkEnd w:id="108"/>
      <w:bookmarkEnd w:id="109"/>
      <w:bookmarkEnd w:id="110"/>
    </w:p>
    <w:p w14:paraId="0DE405B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3.1初步评审标准</w:t>
      </w:r>
      <w:bookmarkEnd w:id="111"/>
      <w:bookmarkEnd w:id="112"/>
      <w:bookmarkEnd w:id="113"/>
      <w:bookmarkEnd w:id="114"/>
    </w:p>
    <w:p w14:paraId="7FBBA90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3.1.1资格评审标准：见磋商程序及办法前附表。</w:t>
      </w:r>
    </w:p>
    <w:p w14:paraId="5D5034D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3.1.2 符合性评审标准：见磋商程序及办法前附表。</w:t>
      </w:r>
    </w:p>
    <w:p w14:paraId="6907875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 磋商小组依据本章第2款规定的标准对磋商响应文件进行初步评审。</w:t>
      </w:r>
    </w:p>
    <w:p w14:paraId="60E0557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 供应商有以下情形之一的，其磋商响应文件作废标处理：</w:t>
      </w:r>
    </w:p>
    <w:p w14:paraId="193BCB4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（1）串通投标或弄虚作假或有其他违法行为的；</w:t>
      </w:r>
    </w:p>
    <w:p w14:paraId="25F1AE0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（2）不按磋商小组要求澄清、说明或补正的；</w:t>
      </w:r>
    </w:p>
    <w:p w14:paraId="43AEBAA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（3）响应文件中载明的标准和方法等不符合采购文件的要求；</w:t>
      </w:r>
    </w:p>
    <w:p w14:paraId="213A9C24">
      <w:pPr>
        <w:pStyle w:val="10"/>
        <w:spacing w:line="360" w:lineRule="auto"/>
        <w:ind w:firstLine="420" w:firstLineChars="200"/>
        <w:rPr>
          <w:rFonts w:hint="eastAsia" w:ascii="宋体" w:eastAsia="宋体" w:cs="宋体"/>
          <w:b w:val="0"/>
          <w:bCs w:val="0"/>
          <w:spacing w:val="0"/>
          <w:sz w:val="21"/>
          <w:szCs w:val="21"/>
          <w:highlight w:val="none"/>
        </w:rPr>
      </w:pPr>
      <w:r>
        <w:rPr>
          <w:rFonts w:hint="eastAsia" w:ascii="宋体" w:eastAsia="宋体" w:cs="宋体"/>
          <w:b w:val="0"/>
          <w:bCs w:val="0"/>
          <w:spacing w:val="0"/>
          <w:sz w:val="21"/>
          <w:szCs w:val="21"/>
          <w:highlight w:val="none"/>
        </w:rPr>
        <w:t>（4）不符合供应商须知前附表“供应商资格要求”的</w:t>
      </w:r>
    </w:p>
    <w:p w14:paraId="6084C8E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（5）不符合法律、法规和采购文件中规定的其他实质性要求和无效情形的。</w:t>
      </w:r>
    </w:p>
    <w:p w14:paraId="611C05C1">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（6）响应文件制作机器码一致的。</w:t>
      </w:r>
    </w:p>
    <w:p w14:paraId="0B15B40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3.4 磋商小组在对响应文件的有效性、完整性和响应程度进行审查时，可以要求供应商对响应文件中含义不明确、同类问题表述不一致或者有明显文件和计算错误的内容等做出必要的澄清、说明或者更正。供应商的澄清、说明或者更正不得超出响应文件的范围或者该表响应文件的实质性内容。</w:t>
      </w:r>
    </w:p>
    <w:p w14:paraId="5AA82E2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磋商小组要求供应商澄清、说明或者更正响应文件应在磋商规定的时间内提出盖单位章或电子签章。</w:t>
      </w:r>
    </w:p>
    <w:p w14:paraId="00FEB409">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3.5 磋商报价有算术错误的，磋商小组按以下原则对磋商报价进行修正，修正的价格经供应商盖单位章或电子签章确认后具有约束力。供应商不接受修正价格的，其磋商响应文件作废标处理。</w:t>
      </w:r>
      <w:bookmarkStart w:id="115" w:name="_Toc152042383"/>
    </w:p>
    <w:p w14:paraId="464D5D0A">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（1）磋商响应文件中的大写金额与小写金额不一致的，以大写金额为准；</w:t>
      </w:r>
      <w:bookmarkEnd w:id="115"/>
    </w:p>
    <w:p w14:paraId="20F72313">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（2）总价金额与依据单价计算出的结果不一致的，以单价金额为准修正总价，但单价金额小数点有明显错误的除外。</w:t>
      </w:r>
    </w:p>
    <w:p w14:paraId="4409580F">
      <w:pPr>
        <w:pStyle w:val="4"/>
        <w:spacing w:line="460" w:lineRule="exact"/>
        <w:jc w:val="left"/>
        <w:rPr>
          <w:rFonts w:hint="eastAsia" w:ascii="宋体" w:hAnsi="宋体" w:cs="宋体"/>
          <w:bCs w:val="0"/>
          <w:sz w:val="21"/>
          <w:szCs w:val="21"/>
          <w:highlight w:val="none"/>
        </w:rPr>
      </w:pPr>
      <w:bookmarkStart w:id="116" w:name="_Toc152045606"/>
      <w:bookmarkStart w:id="117" w:name="_Toc179632624"/>
      <w:bookmarkStart w:id="118" w:name="_Toc152042384"/>
      <w:bookmarkStart w:id="119" w:name="_Toc144974573"/>
      <w:bookmarkStart w:id="120" w:name="_Toc24256"/>
      <w:bookmarkStart w:id="121" w:name="_Toc5269856"/>
      <w:bookmarkStart w:id="122" w:name="_Toc24174"/>
      <w:bookmarkStart w:id="123" w:name="_Toc4653"/>
      <w:r>
        <w:rPr>
          <w:rFonts w:hint="eastAsia" w:ascii="宋体" w:hAnsi="宋体" w:cs="宋体"/>
          <w:bCs w:val="0"/>
          <w:sz w:val="21"/>
          <w:szCs w:val="21"/>
          <w:highlight w:val="none"/>
        </w:rPr>
        <w:t>4.</w:t>
      </w:r>
      <w:bookmarkEnd w:id="116"/>
      <w:bookmarkEnd w:id="117"/>
      <w:bookmarkEnd w:id="118"/>
      <w:bookmarkEnd w:id="119"/>
      <w:r>
        <w:rPr>
          <w:rFonts w:hint="eastAsia" w:ascii="宋体" w:hAnsi="宋体" w:cs="宋体"/>
          <w:bCs w:val="0"/>
          <w:sz w:val="21"/>
          <w:szCs w:val="21"/>
          <w:highlight w:val="none"/>
        </w:rPr>
        <w:t>磋商</w:t>
      </w:r>
      <w:bookmarkEnd w:id="120"/>
      <w:bookmarkEnd w:id="121"/>
      <w:bookmarkEnd w:id="122"/>
      <w:bookmarkEnd w:id="123"/>
    </w:p>
    <w:p w14:paraId="35840E3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4.1磋商小组所有成员应当集中与通过初步评审的单一供应商分别进行磋商，并给与所有参加磋商的供应商平等的磋商机会。</w:t>
      </w:r>
    </w:p>
    <w:p w14:paraId="26223AD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4.2磋商结束后，磋商小组要求所有实质性响应的供应商在规定时间内提交最后报价，最后报价必须在磋商小组要求的时间内提交，最后报价是供应商响应文件的有效组成部分。</w:t>
      </w:r>
      <w:bookmarkStart w:id="124" w:name="_Toc1923"/>
      <w:bookmarkStart w:id="125" w:name="_Toc5269857"/>
      <w:bookmarkStart w:id="126" w:name="_Toc152042386"/>
      <w:bookmarkStart w:id="127" w:name="_Toc144974576"/>
      <w:bookmarkStart w:id="128" w:name="_Toc152045608"/>
      <w:bookmarkStart w:id="129" w:name="_Toc179632626"/>
    </w:p>
    <w:p w14:paraId="0A38CC76">
      <w:pPr>
        <w:pStyle w:val="4"/>
        <w:spacing w:line="460" w:lineRule="exact"/>
        <w:jc w:val="left"/>
        <w:rPr>
          <w:rFonts w:hint="eastAsia" w:ascii="宋体" w:hAnsi="宋体" w:cs="宋体"/>
          <w:bCs w:val="0"/>
          <w:sz w:val="21"/>
          <w:szCs w:val="21"/>
          <w:highlight w:val="none"/>
        </w:rPr>
      </w:pPr>
      <w:bookmarkStart w:id="130" w:name="_Toc19795"/>
      <w:bookmarkStart w:id="131" w:name="_Toc31429"/>
      <w:r>
        <w:rPr>
          <w:rFonts w:hint="eastAsia" w:ascii="宋体" w:hAnsi="宋体" w:cs="宋体"/>
          <w:bCs w:val="0"/>
          <w:sz w:val="21"/>
          <w:szCs w:val="21"/>
          <w:highlight w:val="none"/>
        </w:rPr>
        <w:t>5.综合评分</w:t>
      </w:r>
      <w:bookmarkEnd w:id="124"/>
      <w:bookmarkEnd w:id="125"/>
      <w:bookmarkEnd w:id="130"/>
      <w:bookmarkEnd w:id="131"/>
    </w:p>
    <w:p w14:paraId="400889B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经磋商确定提交最后报价的供应商后，由磋商小组采用综合评分法对提交最后报价的供应商的响应文件和最后报价进行综合评分。综合评分办法见磋商程序及办法前附表。</w:t>
      </w:r>
    </w:p>
    <w:p w14:paraId="2298B3F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5.1分值构成</w:t>
      </w:r>
    </w:p>
    <w:p w14:paraId="573D9759">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分值构成：见磋商程序及办法前附表。</w:t>
      </w:r>
    </w:p>
    <w:p w14:paraId="70E41223">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5.2 磋商基准价</w:t>
      </w:r>
    </w:p>
    <w:p w14:paraId="104EA8FE">
      <w:pPr>
        <w:spacing w:line="460" w:lineRule="exact"/>
        <w:ind w:firstLine="420" w:firstLineChars="200"/>
        <w:rPr>
          <w:rFonts w:hint="eastAsia" w:ascii="宋体" w:hAnsi="宋体"/>
          <w:szCs w:val="21"/>
          <w:highlight w:val="none"/>
        </w:rPr>
      </w:pPr>
      <w:r>
        <w:rPr>
          <w:rFonts w:hint="eastAsia"/>
          <w:szCs w:val="21"/>
          <w:highlight w:val="none"/>
          <w:lang w:val="en-US" w:eastAsia="zh-CN"/>
        </w:rPr>
        <w:t>5.2.1</w:t>
      </w:r>
      <w:r>
        <w:rPr>
          <w:rFonts w:hint="eastAsia"/>
          <w:szCs w:val="21"/>
          <w:highlight w:val="none"/>
        </w:rPr>
        <w:t>磋商基准价</w:t>
      </w:r>
      <w:r>
        <w:rPr>
          <w:rFonts w:hint="eastAsia" w:ascii="宋体" w:hAnsi="宋体"/>
          <w:szCs w:val="21"/>
          <w:highlight w:val="none"/>
        </w:rPr>
        <w:t>：见磋商程序及办法前附表。</w:t>
      </w:r>
    </w:p>
    <w:p w14:paraId="182BF7AA">
      <w:pPr>
        <w:spacing w:line="460" w:lineRule="exact"/>
        <w:ind w:firstLine="420" w:firstLineChars="200"/>
        <w:rPr>
          <w:rFonts w:hint="eastAsia" w:ascii="宋体" w:hAnsi="宋体" w:cs="宋体"/>
          <w:szCs w:val="21"/>
          <w:highlight w:val="none"/>
        </w:rPr>
      </w:pPr>
      <w:r>
        <w:rPr>
          <w:rFonts w:hint="eastAsia" w:ascii="宋体" w:hAnsi="宋体"/>
          <w:szCs w:val="21"/>
          <w:highlight w:val="none"/>
          <w:lang w:val="en-US" w:eastAsia="zh-CN"/>
        </w:rPr>
        <w:t>5.2.2</w:t>
      </w:r>
      <w:r>
        <w:rPr>
          <w:rFonts w:hint="eastAsia" w:ascii="宋体" w:hAnsi="宋体"/>
          <w:szCs w:val="21"/>
          <w:highlight w:val="none"/>
          <w:lang w:eastAsia="zh-CN"/>
        </w:rPr>
        <w:t>磋商小组</w:t>
      </w:r>
      <w:r>
        <w:rPr>
          <w:rFonts w:hint="eastAsia" w:ascii="宋体" w:hAnsi="宋体"/>
          <w:szCs w:val="21"/>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w:t>
      </w:r>
      <w:r>
        <w:rPr>
          <w:rFonts w:hint="eastAsia" w:ascii="宋体" w:hAnsi="宋体"/>
          <w:szCs w:val="21"/>
          <w:highlight w:val="none"/>
          <w:lang w:eastAsia="zh-CN"/>
        </w:rPr>
        <w:t>磋商小组</w:t>
      </w:r>
      <w:r>
        <w:rPr>
          <w:rFonts w:hint="eastAsia" w:ascii="宋体" w:hAnsi="宋体"/>
          <w:szCs w:val="21"/>
          <w:highlight w:val="none"/>
        </w:rPr>
        <w:t>应当认定该投标人以低于成本报价竞标，否决其投标。</w:t>
      </w:r>
    </w:p>
    <w:p w14:paraId="1689465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5.3 评分标准</w:t>
      </w:r>
    </w:p>
    <w:p w14:paraId="2B5BD64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评分标准：见磋商程序及办法前附表。</w:t>
      </w:r>
    </w:p>
    <w:p w14:paraId="7D37A8B2">
      <w:pPr>
        <w:pStyle w:val="4"/>
        <w:spacing w:line="460" w:lineRule="exact"/>
        <w:jc w:val="left"/>
        <w:rPr>
          <w:rFonts w:hint="eastAsia" w:ascii="宋体" w:hAnsi="宋体" w:cs="宋体"/>
          <w:bCs w:val="0"/>
          <w:sz w:val="21"/>
          <w:szCs w:val="21"/>
          <w:highlight w:val="none"/>
        </w:rPr>
      </w:pPr>
      <w:bookmarkStart w:id="132" w:name="_Toc5269858"/>
      <w:bookmarkStart w:id="133" w:name="_Toc3554"/>
      <w:bookmarkStart w:id="134" w:name="_Toc6801"/>
      <w:bookmarkStart w:id="135" w:name="_Toc11290"/>
      <w:r>
        <w:rPr>
          <w:rFonts w:hint="eastAsia" w:ascii="宋体" w:hAnsi="宋体" w:cs="宋体"/>
          <w:bCs w:val="0"/>
          <w:sz w:val="21"/>
          <w:szCs w:val="21"/>
          <w:highlight w:val="none"/>
        </w:rPr>
        <w:t>6.磋商结果</w:t>
      </w:r>
      <w:bookmarkEnd w:id="132"/>
      <w:bookmarkEnd w:id="133"/>
      <w:bookmarkEnd w:id="134"/>
      <w:bookmarkEnd w:id="135"/>
    </w:p>
    <w:bookmarkEnd w:id="126"/>
    <w:bookmarkEnd w:id="127"/>
    <w:bookmarkEnd w:id="128"/>
    <w:bookmarkEnd w:id="129"/>
    <w:p w14:paraId="5B4FA521">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磋商结束后，磋商小组编写评审报告，根据综合评分情况，按照评审得分由高到低的顺序推荐3名成交候选人。原则上，得分最高者为本项目的成交供应商。评审得分相同的，按照最后报价由低到高的顺序确定。评审得分且最后报价相同的，按照技术指标优劣顺序确定。</w:t>
      </w:r>
    </w:p>
    <w:p w14:paraId="197ED58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8F04AC">
      <w:pPr>
        <w:pStyle w:val="42"/>
        <w:rPr>
          <w:rFonts w:hint="eastAsia" w:hAnsi="宋体"/>
          <w:szCs w:val="21"/>
          <w:highlight w:val="none"/>
        </w:rPr>
        <w:sectPr>
          <w:headerReference r:id="rId6" w:type="default"/>
          <w:footerReference r:id="rId7" w:type="default"/>
          <w:pgSz w:w="11911" w:h="16838"/>
          <w:pgMar w:top="1134" w:right="1689" w:bottom="1440" w:left="1689" w:header="720" w:footer="720" w:gutter="0"/>
          <w:cols w:space="720" w:num="1"/>
        </w:sectPr>
      </w:pPr>
    </w:p>
    <w:p w14:paraId="18AFD340">
      <w:pPr>
        <w:pStyle w:val="2"/>
        <w:rPr>
          <w:rStyle w:val="61"/>
          <w:rFonts w:hint="eastAsia" w:ascii="宋体" w:hAnsi="宋体" w:cs="宋体"/>
          <w:b/>
          <w:bCs/>
          <w:szCs w:val="22"/>
          <w:highlight w:val="none"/>
        </w:rPr>
      </w:pPr>
      <w:bookmarkStart w:id="136" w:name="_Toc11800"/>
      <w:bookmarkStart w:id="137" w:name="_Toc12540"/>
      <w:r>
        <w:rPr>
          <w:rStyle w:val="61"/>
          <w:rFonts w:hint="eastAsia" w:ascii="宋体" w:hAnsi="宋体" w:cs="宋体"/>
          <w:b/>
          <w:bCs/>
          <w:highlight w:val="none"/>
        </w:rPr>
        <w:t>第四章 技术参数及要求</w:t>
      </w:r>
    </w:p>
    <w:tbl>
      <w:tblPr>
        <w:tblStyle w:val="26"/>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548"/>
        <w:gridCol w:w="1080"/>
        <w:gridCol w:w="5350"/>
        <w:gridCol w:w="1067"/>
      </w:tblGrid>
      <w:tr w14:paraId="1ED9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390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472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品名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6CC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F17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BC8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14:paraId="7C6F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E1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27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便携式吸痰器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D5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9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特征分类：高负压/高流量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电源：~220V(-15%,+10%), 50Hz±2%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额定电源：~220V, 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输入功率≥120VA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最大负压值：85kPa±10kPa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负压调节范围 (应不窄于)：20kPa～最大负压值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自由空气流量：≥20L/min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熔丝管：F1.6AL250V,φ5×20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储液瓶(倾斜角度≤10°仍适用)：1000mL,一只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工作噪声：≤65dB(A)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净重：≤3.9kg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外形尺寸(mm)：≤480×165×285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按在与空气混合的易燃麻醉气或与氧或氧化亚氮混合的易燃麻醉气情况下使用时的安全程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度分类：非AP/非APG型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使用期限：≥5年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三：工作条件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环境温度：5℃~40℃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相对湿度：30%~80%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大气压力：86kPa~106kPa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FE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CCE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90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DD6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输液泵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ED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522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1.输液模式：容积模式、时间总量模式、微量模式、新生儿模式、药物体重模式共≥5种模式;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2.输液器规格：专用或标准一次性输液器（20和60滴/毫升,管径3.4～4.5mm）;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3.流速设定范围：0.1～1500ml/h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4.新生儿模式流速设定范围：0.1～50ml/h，最高速度不能超过50ml/h；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5.流速增量：0.1ml/h;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6.输液流速精度：≤±5%（标准输液器经校准后）;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7.预置量设定范围：0.1～99999.9ml；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8.新生儿模式预置量设备范围：0.1～100ml;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9.累计量显示范围：0～99999.9ml;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10.时间设置：00h01min～99h59min或＞99h59min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11.快排速度：20d/ml输液器:900ml/h；60d/ml输液器:150ml/h，显示已快排量；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12.KVO流速：0.1ml/h～5ml/h，可调;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13.不停机修改参数功能：在运行状态下，可修改输液参数;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14.双气泡检测功能：有上端、下端两个超声波气泡传感器;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15.累计气泡报警功能：15分钟内累计气泡达到500μ1时应触发气泡报警;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16.气泡检测：可测≥25μl的气泡，25μl～300μl的气泡灵敏度分10档可调;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17.双压力检测功能：有上端、下端两个压力传感器;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18.启用上压力检测：上端压力传感器可选择打开或关闭；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19.阻塞压力检测：下端压力检测范围：40KPa～130KPa，灵敏度10档可调，动态显示压力值变化情况；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20.报警提示：气泡、开门、下管路阻塞、上管路阻塞、输液完成、电机错误、电池脱落、泵错误、暂停超时、电池电量低、电池电量耗尽、交流电断开、输液参数错误、输液器未校准、输液将尽、通讯错误；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21.音量：按键音量和报警音量10档可调；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24.按键功能：非触摸屏的全数字按键；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25.输液日志查询功能：具有输液日志查询功能；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28.交流电源：100-240V～，50Hz/60Hz，最大功耗：30VA；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29.内置电池：充电锂电电池，DC10.8V，2600mAh；速度不大于25ml/h时，电池连续工作时间：≥7小时，实时检测电池电量并显示；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30.使用环境条件：+5℃～＋40℃,相对湿度：20%～90%，大气压：70～106kPa；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31.运输和贮存条件：-20℃～＋55℃,相对湿度：10%～90%，大气压：70～106kPa；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32.安全类别：电气Ⅰ类带功能接地，CF型，IP33设备；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33.设备使用年限：≥6年；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D6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4D6F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1491">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B25B7">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1E2E">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348F">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6E3B">
            <w:pPr>
              <w:jc w:val="center"/>
              <w:rPr>
                <w:rFonts w:hint="eastAsia" w:ascii="宋体" w:hAnsi="宋体" w:eastAsia="宋体" w:cs="宋体"/>
                <w:i w:val="0"/>
                <w:iCs w:val="0"/>
                <w:color w:val="000000"/>
                <w:sz w:val="22"/>
                <w:szCs w:val="22"/>
                <w:highlight w:val="none"/>
                <w:u w:val="none"/>
              </w:rPr>
            </w:pPr>
          </w:p>
        </w:tc>
      </w:tr>
      <w:tr w14:paraId="03FA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7BC4">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6A12">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6DBD">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4F42">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69A7">
            <w:pPr>
              <w:jc w:val="center"/>
              <w:rPr>
                <w:rFonts w:hint="eastAsia" w:ascii="宋体" w:hAnsi="宋体" w:eastAsia="宋体" w:cs="宋体"/>
                <w:i w:val="0"/>
                <w:iCs w:val="0"/>
                <w:color w:val="000000"/>
                <w:sz w:val="22"/>
                <w:szCs w:val="22"/>
                <w:highlight w:val="none"/>
                <w:u w:val="none"/>
              </w:rPr>
            </w:pPr>
          </w:p>
        </w:tc>
      </w:tr>
      <w:tr w14:paraId="29F9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5C91">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1060E">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1DF7">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AE5B3">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EEE5">
            <w:pPr>
              <w:jc w:val="center"/>
              <w:rPr>
                <w:rFonts w:hint="eastAsia" w:ascii="宋体" w:hAnsi="宋体" w:eastAsia="宋体" w:cs="宋体"/>
                <w:i w:val="0"/>
                <w:iCs w:val="0"/>
                <w:color w:val="000000"/>
                <w:sz w:val="22"/>
                <w:szCs w:val="22"/>
                <w:highlight w:val="none"/>
                <w:u w:val="none"/>
              </w:rPr>
            </w:pPr>
          </w:p>
        </w:tc>
      </w:tr>
      <w:tr w14:paraId="7CB2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CE15">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A7E5">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D917">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687B9">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EE07">
            <w:pPr>
              <w:jc w:val="center"/>
              <w:rPr>
                <w:rFonts w:hint="eastAsia" w:ascii="宋体" w:hAnsi="宋体" w:eastAsia="宋体" w:cs="宋体"/>
                <w:i w:val="0"/>
                <w:iCs w:val="0"/>
                <w:color w:val="000000"/>
                <w:sz w:val="22"/>
                <w:szCs w:val="22"/>
                <w:highlight w:val="none"/>
                <w:u w:val="none"/>
              </w:rPr>
            </w:pPr>
          </w:p>
        </w:tc>
      </w:tr>
      <w:tr w14:paraId="73B8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0A0F">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F5E7">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2E23">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FD712">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5756">
            <w:pPr>
              <w:jc w:val="center"/>
              <w:rPr>
                <w:rFonts w:hint="eastAsia" w:ascii="宋体" w:hAnsi="宋体" w:eastAsia="宋体" w:cs="宋体"/>
                <w:i w:val="0"/>
                <w:iCs w:val="0"/>
                <w:color w:val="000000"/>
                <w:sz w:val="22"/>
                <w:szCs w:val="22"/>
                <w:highlight w:val="none"/>
                <w:u w:val="none"/>
              </w:rPr>
            </w:pPr>
          </w:p>
        </w:tc>
      </w:tr>
      <w:tr w14:paraId="4D6B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71FE0B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60" w:type="dxa"/>
            <w:vMerge w:val="restart"/>
            <w:tcBorders>
              <w:top w:val="single" w:color="000000" w:sz="4" w:space="0"/>
              <w:left w:val="single" w:color="000000" w:sz="4" w:space="0"/>
              <w:bottom w:val="nil"/>
              <w:right w:val="single" w:color="000000" w:sz="4" w:space="0"/>
            </w:tcBorders>
            <w:shd w:val="clear" w:color="auto" w:fill="auto"/>
            <w:vAlign w:val="center"/>
          </w:tcPr>
          <w:p w14:paraId="765C81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注射泵</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37419F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vMerge w:val="restart"/>
            <w:tcBorders>
              <w:top w:val="single" w:color="000000" w:sz="4" w:space="0"/>
              <w:left w:val="single" w:color="000000" w:sz="4" w:space="0"/>
              <w:bottom w:val="nil"/>
              <w:right w:val="single" w:color="000000" w:sz="4" w:space="0"/>
            </w:tcBorders>
            <w:shd w:val="clear" w:color="auto" w:fill="auto"/>
            <w:vAlign w:val="center"/>
          </w:tcPr>
          <w:p w14:paraId="697561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1.注射模式：恒速、时间/总量、药物体重、微量、可编程五种注射模式；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2.注射器规格：5ml、10ml、20ml、30ml、50ml，自动识别；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3.注射速度设定范围：5ml注射器：0.10ml/h～60.00ml/h；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10ml注射器：0.10ml/h～300.00ml/h；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20ml注射器：0.10ml/h～400.00ml/h；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30ml注射器：0.10ml/h～600.00ml/h；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50ml注射器：0.10ml/h～1200.00ml/h；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4.速度增量：0.01ml/h；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5.时间设置：5秒～99小时；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6.注射过程参数修改：支持在运行过程中修改预置量、速度；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7.注射流速精度：≤±2%（包括注射泵的机械精度±1%）；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8.预置量设定范围：0.10-9999.99ml及推空；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9.累计量显示范围：0.00-9999.99ml；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10.快排速度：5ml注射器：30～60ml/h；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20ml注射器：200～400ml/h；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30ml注射器：300～600ml/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50ml注射器：600～1200ml/h；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11.Bolus速度范围：5ml注射器：0.10ml/h～60.00ml/h 10ml注射器：150～300ml/h；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10ml注射器：0.10ml/h～300.00ml/h；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20ml注射器：0.10ml/h～400.00ml/h；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30ml注射器：0.10ml/h～600.00ml/h；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50ml注射器：0.10ml/h～1200.00ml/h；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12.KVO：0.10 ～5.00ml/h可调；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13.阻塞压力检测：专用压力传感器，20Kpa～130Kpa，灵敏度8档可调，动态显示压力值；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14.报警：注射完成、接近完成、注射将空、注射器已排空、阻塞、注射器脱落、 遗忘操作、参数错误、注射器错误、电池电量低、电池耗尽、网电源脱落、注射异常、启动注射失败、通讯错误、注射完成！KVO；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15.注射器管理：已内置15种以上品牌注射器，可自行添加注射器品牌，经校准后可适应所有品牌 注射器；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16.显示：5.0英寸TFT彩色显示屏，显示屏亮度8档可调；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17.压力自动释放：具有阻塞后压力自动释放功能；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18.交流电源：交流：100V～240V，50/60Hz，最大输出功耗50VA；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19.内置电池：锂聚合物电池，11.1V，3000mA，工作时间：≥5小时（5ml/h）；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20.语音提示：具备静音功能，报警音量8档可调；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21.历史记录：具备8000条历史记录功能；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22.贮运环境：-20℃～+55℃，相对湿度：10%～95%；大气压：50～106 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23.使用环境：+5℃～ +40℃，相对湿度：20%～90%；大气压：70～106 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24.安全类别：Ⅰ类，CF型；IPX4设备；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25.重    量：净重：≤3.5kg；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25.其它功能：双CPU设计、密码功能、中英文语言切换、具有压力自动释放功能、固定夹可90度旋转、键盘锁功能、数字按键录入、通道休眠功能；</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9E426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65C3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C306CD4">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31B6767F">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1A745AA">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13EC8EFC">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A1DB994">
            <w:pPr>
              <w:jc w:val="center"/>
              <w:rPr>
                <w:rFonts w:hint="eastAsia" w:ascii="宋体" w:hAnsi="宋体" w:eastAsia="宋体" w:cs="宋体"/>
                <w:i w:val="0"/>
                <w:iCs w:val="0"/>
                <w:color w:val="000000"/>
                <w:sz w:val="22"/>
                <w:szCs w:val="22"/>
                <w:highlight w:val="none"/>
                <w:u w:val="none"/>
              </w:rPr>
            </w:pPr>
          </w:p>
        </w:tc>
      </w:tr>
      <w:tr w14:paraId="04AB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2D3C9B1">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477CB400">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BCAF938">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443B1D0E">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DD7F91C">
            <w:pPr>
              <w:jc w:val="center"/>
              <w:rPr>
                <w:rFonts w:hint="eastAsia" w:ascii="宋体" w:hAnsi="宋体" w:eastAsia="宋体" w:cs="宋体"/>
                <w:i w:val="0"/>
                <w:iCs w:val="0"/>
                <w:color w:val="000000"/>
                <w:sz w:val="22"/>
                <w:szCs w:val="22"/>
                <w:highlight w:val="none"/>
                <w:u w:val="none"/>
              </w:rPr>
            </w:pPr>
          </w:p>
        </w:tc>
      </w:tr>
      <w:tr w14:paraId="0036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5CE074A">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21F4BD50">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ED01E6C">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712D9B2E">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D93CB73">
            <w:pPr>
              <w:jc w:val="center"/>
              <w:rPr>
                <w:rFonts w:hint="eastAsia" w:ascii="宋体" w:hAnsi="宋体" w:eastAsia="宋体" w:cs="宋体"/>
                <w:i w:val="0"/>
                <w:iCs w:val="0"/>
                <w:color w:val="000000"/>
                <w:sz w:val="22"/>
                <w:szCs w:val="22"/>
                <w:highlight w:val="none"/>
                <w:u w:val="none"/>
              </w:rPr>
            </w:pPr>
          </w:p>
        </w:tc>
      </w:tr>
      <w:tr w14:paraId="0D7B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1B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94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简易呼吸器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17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D8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使用人群：成人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安全阀压力设定：当压力值大于60cmH2O自动开启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储气袋容量：2000±200ml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复苏器容量：1500ml±200ml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产品尺寸：≥212mm* 131mm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呼吸球病人阀接头：ISO 5356-1: φ22/15mm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输送容量&gt;600ml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整套死腔量&lt;65ml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进气阻抗&lt;5cmH2O (at 50l/min)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呼气阻抗  50l/min &lt;60cmH2O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操作条件：-18℃～+50℃， 15%r.h.～95%r.h.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储存：-40℃～+60℃, 40%r.h.～95%r.h.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DE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0FD5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E218E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60" w:type="dxa"/>
            <w:vMerge w:val="restart"/>
            <w:tcBorders>
              <w:top w:val="single" w:color="000000" w:sz="4" w:space="0"/>
              <w:left w:val="single" w:color="000000" w:sz="4" w:space="0"/>
              <w:bottom w:val="nil"/>
              <w:right w:val="single" w:color="000000" w:sz="4" w:space="0"/>
            </w:tcBorders>
            <w:shd w:val="clear" w:color="auto" w:fill="auto"/>
            <w:vAlign w:val="center"/>
          </w:tcPr>
          <w:p w14:paraId="02AF0F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心电监护仪</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07443B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vMerge w:val="restart"/>
            <w:tcBorders>
              <w:top w:val="single" w:color="000000" w:sz="4" w:space="0"/>
              <w:left w:val="single" w:color="000000" w:sz="4" w:space="0"/>
              <w:bottom w:val="nil"/>
              <w:right w:val="single" w:color="000000" w:sz="4" w:space="0"/>
            </w:tcBorders>
            <w:shd w:val="clear" w:color="auto" w:fill="auto"/>
            <w:vAlign w:val="center"/>
          </w:tcPr>
          <w:p w14:paraId="212297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一、应用范围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1.1、可用于监护成人、儿童、新生儿患者，适用于术后观察室、ICU/CCU病房、急诊室等。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二、显示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2.1、屏幕尺寸：不小于12英寸彩色LED屏，分辨率≥800*600，9通道波形显示。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2.2、界面选择：具备至少7种显示界面，包括常规界面、大字体界面、呼吸氧合界面、NIBP回顾界面、ECG全屏7导界面、ECG半屏7导界面、动态短趋势界面等。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3.1、测量参数：心电、呼吸、无创血压、脉搏氧饱和度、脉率、体温。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3.2、心率范围：成人15bpm-300bpm，儿童/新生儿15bpm-350bpm。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3.3、心率测量精度：不大于±1bpm或±1%，取大者。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3.4、共模抑制比不小于105dB。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3.5、5导联/3导联模式都能实现多导同步分析，提高心率准确度。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3.6、心电波形增益：1.25mm/mV，2.5mm/mV，5.0mm/mV，10mm/mV，20mm/mV，自动。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3.7、呼吸率测量范围：成人0-120rpm，儿童/新生儿0-150rpm，在8-150rpm范围内，测量误差为±2rpm或±2%，取大者。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3.8、血压测量范围：收缩压：40-255 mmHg；舒张压：10-195 mmHg；具有手动/自动间隔/连续测量模式。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3.9、脉搏氧饱和度测量范围：30%-100%，70%-100%范围内精度不大于±2%。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四、系统功能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4.1、支持3通道记录仪，记录波形可选择。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4.2、具有待机功能，暂时停止所有监护操作，节省功耗。退出该状态，就可立即进行监护；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4.3、具有演示模式和夜间模式。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4.4、数据管理：具备掉电存储功能；支持120小时趋势图表、200个报警事件、2000组NIBP测量数据、120分钟动态短趋势、48小时全息波形存储与浏览。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4.5、具有高/中/低三种级别的生理报警及技术报警，并提供提示信息。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4.6、具备报警功能，报警参数可调。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4.7、具有护士呼叫、日志导出等功能。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4.8、具有有线联网、无线联网和无需布线的电力联网功能，可实现同科室所有床位联网，信号稳定可靠。支持救护车和远程中央监护功能。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4.9、支持与第三方集成平台数据对接及监测信息实时显示功能。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4.10、附件采用高档材质设计，导联线统一采用TPU材质，心电电极镀金设计，血氧探头采用进口器件。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4.11、整机无风扇设计，降低环境噪音干扰。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4.12、支持免拆机即可实现系统软件升级功能。</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8B7FD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3E56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6BC2D34">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6C1A0418">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E802F1B">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58B75DE7">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2158164">
            <w:pPr>
              <w:jc w:val="center"/>
              <w:rPr>
                <w:rFonts w:hint="eastAsia" w:ascii="宋体" w:hAnsi="宋体" w:eastAsia="宋体" w:cs="宋体"/>
                <w:i w:val="0"/>
                <w:iCs w:val="0"/>
                <w:color w:val="000000"/>
                <w:sz w:val="22"/>
                <w:szCs w:val="22"/>
                <w:highlight w:val="none"/>
                <w:u w:val="none"/>
              </w:rPr>
            </w:pPr>
          </w:p>
        </w:tc>
      </w:tr>
      <w:tr w14:paraId="06C8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48A9E74">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088AD106">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49AB05B">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51E45D40">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06E3565">
            <w:pPr>
              <w:jc w:val="center"/>
              <w:rPr>
                <w:rFonts w:hint="eastAsia" w:ascii="宋体" w:hAnsi="宋体" w:eastAsia="宋体" w:cs="宋体"/>
                <w:i w:val="0"/>
                <w:iCs w:val="0"/>
                <w:color w:val="000000"/>
                <w:sz w:val="22"/>
                <w:szCs w:val="22"/>
                <w:highlight w:val="none"/>
                <w:u w:val="none"/>
              </w:rPr>
            </w:pPr>
          </w:p>
        </w:tc>
      </w:tr>
      <w:tr w14:paraId="7868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29725A5">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243437AD">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5F0B33F">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3EFE4241">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9AD6ED7">
            <w:pPr>
              <w:jc w:val="center"/>
              <w:rPr>
                <w:rFonts w:hint="eastAsia" w:ascii="宋体" w:hAnsi="宋体" w:eastAsia="宋体" w:cs="宋体"/>
                <w:i w:val="0"/>
                <w:iCs w:val="0"/>
                <w:color w:val="000000"/>
                <w:sz w:val="22"/>
                <w:szCs w:val="22"/>
                <w:highlight w:val="none"/>
                <w:u w:val="none"/>
              </w:rPr>
            </w:pPr>
          </w:p>
        </w:tc>
      </w:tr>
      <w:tr w14:paraId="338C2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BD36B23">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172770C0">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3737547">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57C1C911">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16F6E2E">
            <w:pPr>
              <w:jc w:val="center"/>
              <w:rPr>
                <w:rFonts w:hint="eastAsia" w:ascii="宋体" w:hAnsi="宋体" w:eastAsia="宋体" w:cs="宋体"/>
                <w:i w:val="0"/>
                <w:iCs w:val="0"/>
                <w:color w:val="000000"/>
                <w:sz w:val="22"/>
                <w:szCs w:val="22"/>
                <w:highlight w:val="none"/>
                <w:u w:val="none"/>
              </w:rPr>
            </w:pPr>
          </w:p>
        </w:tc>
      </w:tr>
      <w:tr w14:paraId="362B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84CF55C">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6CE8AB88">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7A8F756">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6883E8CE">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DDF7AC4">
            <w:pPr>
              <w:jc w:val="center"/>
              <w:rPr>
                <w:rFonts w:hint="eastAsia" w:ascii="宋体" w:hAnsi="宋体" w:eastAsia="宋体" w:cs="宋体"/>
                <w:i w:val="0"/>
                <w:iCs w:val="0"/>
                <w:color w:val="000000"/>
                <w:sz w:val="22"/>
                <w:szCs w:val="22"/>
                <w:highlight w:val="none"/>
                <w:u w:val="none"/>
              </w:rPr>
            </w:pPr>
          </w:p>
        </w:tc>
      </w:tr>
      <w:tr w14:paraId="62B7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3A08D4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60" w:type="dxa"/>
            <w:vMerge w:val="restart"/>
            <w:tcBorders>
              <w:top w:val="single" w:color="000000" w:sz="4" w:space="0"/>
              <w:left w:val="single" w:color="000000" w:sz="4" w:space="0"/>
              <w:bottom w:val="nil"/>
              <w:right w:val="single" w:color="000000" w:sz="4" w:space="0"/>
            </w:tcBorders>
            <w:shd w:val="clear" w:color="auto" w:fill="auto"/>
            <w:vAlign w:val="center"/>
          </w:tcPr>
          <w:p w14:paraId="63C30C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手动病床（双摇）</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8293C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5350" w:type="dxa"/>
            <w:vMerge w:val="restart"/>
            <w:tcBorders>
              <w:top w:val="single" w:color="000000" w:sz="4" w:space="0"/>
              <w:left w:val="single" w:color="000000" w:sz="4" w:space="0"/>
              <w:bottom w:val="nil"/>
              <w:right w:val="single" w:color="000000" w:sz="4" w:space="0"/>
            </w:tcBorders>
            <w:shd w:val="clear" w:color="auto" w:fill="auto"/>
            <w:vAlign w:val="center"/>
          </w:tcPr>
          <w:p w14:paraId="3D4916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1、总长：2165±10mm。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2、总宽：1000±10mm。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3、床面长：1950±10mm。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4、床面宽：900±5mm。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5、床面离地高度：500±5mm。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6、摇杆系统实现背板角度：0-70°±3°；摇杆系统实现腿部角度：0-30°±3°。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7、床体最大安全工作负荷：≥220kg。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8、床板：床面板采用一次冲压钢板床板，自带透气孔，床板厚度≥1.0mm。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9、床板两侧到床板压点的距离需＞100mm，防止病人侧躺手握床板时夹手。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10、床体采用“静电粉末喷涂”工艺，防止金属管生锈，保持床体美观耐用。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11、床架采用优质碳钢焊接而成，床架规格：≥60*40*1.2mm。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12、脚轮：5寸静音脚轮，每个脚轮可单独制动，脚轮具有防缠绕功能。有ROHS报告（或脚轮厂商同类产品的ROHS报告）。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13、手摇螺杆：折叠收缩式手摇柄，有过摇保护装置。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14、床头床尾板：①abs床头床尾板。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②两侧有防撞板。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③两侧设计有便于扶握的椭形孔。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④具有自锁卡扣。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⑤床尾外侧配病例卡槽。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15、多用功能：在床体四角设计有4个多功能（输液架）插孔；床体中间下侧有两个多功能挂钩（每侧各一个）。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16、护栏：①六档铝合金护栏。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②Φ19不锈钢双平面圆管立柱，钢制折弯U型关节厚度≥2.0mm，采用销钉铆接。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③底座采用≥30*30*1.0mm的钢制管材。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④护栏开关带防夹手功能，并带有防夹手提示。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⑤护栏升起后高于床面300mm。护栏整体长度≥1400mm。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⑥护栏收合后略低于床垫。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17、杂物架：在床头或尾底部设有简易杂物架，便于患者放置杂物和各种收纳。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三、床垫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1、尺寸：规格：60mm厚（20mm绵垫+40mm棕垫），长宽与床相匹配。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2、外套：采用机械强度好；强韧和耐老化好的牛津布制作而成。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3、内芯：内置2公分高弹重质海绵，舒适耐用，不变形。4公分天然椰丝，卫生环保。内芯无臭虫及蜱等虫类及虫卵等害虫。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4、床垫具有抗菌防霉功效。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5、床垫面料具有阻燃性（第三方检测报告）。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6、床垫面料具有透气防水性。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四、床头柜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1、整体采用ABS工程塑料制成，易清洁。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2、可拉出式桌板和抽屉，在可拉出式桌板设有放置茶杯和体温计的凹槽。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3、伸缩式抽屉设计，两侧均有可收藏式毛巾架。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4、可以将热水瓶放在柜体内，柜内配有一层隔板。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5、尺寸：≥410*440*720mm。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6、柜子重≤12KG。</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F178C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r>
      <w:tr w14:paraId="4AE2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011DE75">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6E259E5F">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9A4D630">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1942B123">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D3CCEF4">
            <w:pPr>
              <w:jc w:val="center"/>
              <w:rPr>
                <w:rFonts w:hint="eastAsia" w:ascii="宋体" w:hAnsi="宋体" w:eastAsia="宋体" w:cs="宋体"/>
                <w:i w:val="0"/>
                <w:iCs w:val="0"/>
                <w:color w:val="000000"/>
                <w:sz w:val="22"/>
                <w:szCs w:val="22"/>
                <w:highlight w:val="none"/>
                <w:u w:val="none"/>
              </w:rPr>
            </w:pPr>
          </w:p>
        </w:tc>
      </w:tr>
      <w:tr w14:paraId="6F90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6EC04C2">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304EC237">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58437A2">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666635CB">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61B055D">
            <w:pPr>
              <w:jc w:val="center"/>
              <w:rPr>
                <w:rFonts w:hint="eastAsia" w:ascii="宋体" w:hAnsi="宋体" w:eastAsia="宋体" w:cs="宋体"/>
                <w:i w:val="0"/>
                <w:iCs w:val="0"/>
                <w:color w:val="000000"/>
                <w:sz w:val="22"/>
                <w:szCs w:val="22"/>
                <w:highlight w:val="none"/>
                <w:u w:val="none"/>
              </w:rPr>
            </w:pPr>
          </w:p>
        </w:tc>
      </w:tr>
      <w:tr w14:paraId="284C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25A3157">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4F2C8102">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5DC796E">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1AC6FF0B">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42B1689">
            <w:pPr>
              <w:jc w:val="center"/>
              <w:rPr>
                <w:rFonts w:hint="eastAsia" w:ascii="宋体" w:hAnsi="宋体" w:eastAsia="宋体" w:cs="宋体"/>
                <w:i w:val="0"/>
                <w:iCs w:val="0"/>
                <w:color w:val="000000"/>
                <w:sz w:val="22"/>
                <w:szCs w:val="22"/>
                <w:highlight w:val="none"/>
                <w:u w:val="none"/>
              </w:rPr>
            </w:pPr>
          </w:p>
        </w:tc>
      </w:tr>
      <w:tr w14:paraId="1819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E14DAE0">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5FCB0B09">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4DC70EB">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52DB5DD6">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0D58593">
            <w:pPr>
              <w:jc w:val="center"/>
              <w:rPr>
                <w:rFonts w:hint="eastAsia" w:ascii="宋体" w:hAnsi="宋体" w:eastAsia="宋体" w:cs="宋体"/>
                <w:i w:val="0"/>
                <w:iCs w:val="0"/>
                <w:color w:val="000000"/>
                <w:sz w:val="22"/>
                <w:szCs w:val="22"/>
                <w:highlight w:val="none"/>
                <w:u w:val="none"/>
              </w:rPr>
            </w:pPr>
          </w:p>
        </w:tc>
      </w:tr>
      <w:tr w14:paraId="1F30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8E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5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ABS抢救车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FE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43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1、总长：≥700mm。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2、总宽：≥450mm。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3、离地高度：≥900mm。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4、车体材质：abs塑料。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5、工作台面：abs塑料一体成型台面，易清洁，耐腐蚀。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6、铝合金支撑立柱，强度高。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7、车体正面共有5层超大容量抽屉，每层抽屉外配有标签卡槽。内部均配有分割片，可根据需求自由分割。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8、车体左侧上部配有伸缩式副工作台，使用灵活方便，不占空间。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9、车体左侧下部配有侧翻式物料盒，收纳方便，不占空间。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10、车体右侧下部配有两个污物筒。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11、车体背面上部配有电源线和插座。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12、车体背面下部配有除颤板。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13、车体背面下部配有氧气瓶支架。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08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5489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3A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5F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药品抢救车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B1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907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（1）产品尺寸：≥620×410×860mm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（2）材质：非组装车，冲压成型，加厚不锈钢板，结实耐用，推车台面底部都加装承重管，保证推车使用寿命长，更耐用，加大承受力。一体焊接，无需安装。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两个抽屉，输液架一支，轮子对角刹车，双柜门空间大，方便药品存放。                                （4）上盖配有安全锁一把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（5）侧面配工作台推拉方便，上盖可以掀开配有器械药兜，方便器械取放。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75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5C5F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B7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5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ABS治疗车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D5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E9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车体尺寸：≥625*480*930mm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1.适用于医护人员对病人急救护理换药等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2.主体用铝.钢.ABS全新料工程结构组成，四柱承重,塑钢立柱，内有铝管，承重力强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优质的ABS工程塑料设计双层底面注塑工艺成型台面，凹陷设计可防止物品滑落，不锈钢三面围栏，台面上配透明软玻璃，4.正面：三折静音轨道，设计两层抽屉，为两个中抽.（抽屉面高度是12公分，）.抽屉内有长宽各3*3的分格片，可自由分隔大小空间16个药盒，ABS抽屉拉手，封口插槽式标识牌，防止液体及灰尘进入，标签式面积根据人体工程学原理设计，插槽式向上倾斜便于观望，拉手内层磨具加厚手感更加踏实，</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4.右侧：两只ABS污物桶，置物篮一个，2L锐器盒2个，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5.置物篮一个，底部可旋转式污物桶2只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豪华万向轮插入式静音脚轮四只，（二只带刹车功能，二只不带刹），可在任意情况下使用刹车功能，脚轮材料为高强度聚氨酯，防卷发缠绕，防静电，移动灵活方便。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9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r>
      <w:tr w14:paraId="2DD2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47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BB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组合软垫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58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8F8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规格：≥1800×1200×50mm。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用途：各种垫上运动，包括关节活动度、坐位平衡、卧位医疗体操及卧位肌力训练。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材质：帆布、海绵。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27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0129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64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4E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肋木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28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01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肋木杠直径：φ25mm。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肋木杠间距离：≥150mm。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额定载荷：135kg。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用途：借助肋木杠进行上下肢体关节活动范围和肌力训练、坐站立训练、平衡训练及躯干的牵伸训练。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94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00D4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7E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1D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矫正镜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F2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7D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规格：≥900×650×1840mm。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镜面玻璃厚度：≥5mm。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用途：各种姿势矫正训练。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73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0E92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59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09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楔形垫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79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8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规格≥500×600×150mm，倾斜角≥15°。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用途：卧位功能、综合基本功能、关节活动度、肌肉松弛训练者。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3F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894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57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52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体操棒与抛接球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EC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A9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体操棒规格：≥φ29×1000mm。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体操棒数量：≥4个。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抛接球直径：不小于φ250mm。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抛接球数量：≥4个。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用途：通过带棒做操和抛接球活动，改善上肢活动范围，提高肢体协调控制能力及平衡能力。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13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9B3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95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89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系列沙袋（绑式）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D2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69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沙袋规格数量：0.5kg，0.75kg，1.0kg，1.5kg，2kg，2.5kg各两件。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规格：≥640×380×710mm。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用途：肌力训练、关节活动度训练、关节屈伸训练。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24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06FF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ED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C0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系列哑铃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88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D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规格：≥500×500×1080mm。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哑铃：1磅2件、2磅4件、3磅4件、4磅4件、5磅4件。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用途：进行肌力和医疗体操训练。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材质：型材、橡胶。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结构形式：底座、脚轮、哑铃。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A9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0AB8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E3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FF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复式墙拉力器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E7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77A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拉力器套数：2。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行程范围：0～126cm。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配重块数量：≥10块。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绳索额定载荷：720N。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手柄额定载荷：480N。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规格：≥630×190×1800mm。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用途：进行四肢抗阻力运动，训练肌肉力量。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62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34A7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54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EA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前臂康复训练器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62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F6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规格（mm)：≥470×400×990。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手柄至转动轴距离的调节范围（mm）：≥0～630。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前臂垫前后调节范围(mm)：≥0～350。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用途：对关节功能障碍患者进行康复训练。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75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548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F1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C6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滑轮吊环训练器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5B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E6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规格：≥500×420×1000mm。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升降支架调节范围：0～200mm。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额定载荷：≥15kg。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用途：用于肩关节活动范围训练，关节牵引，肌力训练。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用途：训练上肢稳定性、协调性功能。提高上肢的日常活动能力。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5B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C6E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49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5F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直立床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1E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EE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1、电源：AC220V±22V。50Hz±1Hz。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2、功率≥250VA。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3、控制方式：手柄控制。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4、床面尺寸（长宽）：1780×620mm，允差±50mm。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5、床面离地高度：550mm，允差±50mm。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6、外形尺寸（长宽高）：2050×780×840mm，允差±50mm。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7、桌面尺寸（长宽）：700mm×500mm,允差±20mm。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8、起立角度：0°～90°连续可调，允差±5°。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9、脚踏板调整角度：背屈最大为20°，跖屈最大为30°，允差±3°。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10、活动脚轮：4个脚轮通过脚踏四联动装置锁定，压下脚踏四联动装置，床架上升，4个脚轮着地，升起脚踏四联动装置，床架下降，4个脚轮升起锁止。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11、电机最大升降推力≥8000N。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12、承重≥175kg。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08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923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28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8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下肢功率车（骑式）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D2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1E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1、显示窗口：时间、路程、总程、速度、热量、心率等。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2、静音双向皮带传动。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3、最大使用者承重力：≥100kg。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4、座垫额定载荷：135kg以内。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5、用途：用于下肢关节活动、肌力及协调功能训练。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7D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80E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39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7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悬吊训练系统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86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A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1、床面高度（mm）：≥480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2、床面宽度（mm）：≥1100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3、水平网架额定载荷：≥80.0kg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4、绳索、吊带额定载荷：≥50kg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5、床面额定载荷：≥130.0kg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6、用途：肌力、关节活动度、放松调整训练，可进行牵引治疗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5B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0D4A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80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70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巴氏球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06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4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规格：≥φ85cm。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质量：2.1kg。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材质：pvc材质。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用途：用于脑瘫患儿的平衡感觉、反射调节、缓解肌痉挛。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19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28E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53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45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踏步训练器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C9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BB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1、扶手宽度：≥450mm。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2、扶手高度：600～800mm。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3、油缸力值调节档数：≥10档。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4、额定荷载：80kg以内。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5、电子表可显示踏步次数和时间等数据。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ED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14:paraId="43B5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A0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FC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11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A8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1、可折叠，折叠后尺寸：≤530*90*760mm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2、车体材质：主车架管材需采用≥φ22*0.6mm的不锈钢管材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3、重量：≤2.6kg。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4、高度调节：6档高度调节，调节最大高度≥100mm。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5、安全工作载荷：最大承重需达200kg，安全工作载荷不小于100kg。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6、需带有助行轮，脚轮直径≥60mm。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AB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3D56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2C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99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平衡板（带扶手）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E5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F2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规格（mm）：≥900×700×170。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面板摆动角度：-17°～+17°。</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最大承载质量为：≥135kg。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用途：偏瘫、脑瘫等运动失调患者进行平衡协调训练。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结构形式：平衡板、扶手。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E7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1908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14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D8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手动轮椅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94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4A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车架：铁制焊合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工字：铁制双支撑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扶手：固定手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扶手垫：长直 PVC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护板：塑料护板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踏板：塑料踏板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前叉：塑料前叉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前轮≤七寸轮 SPP+PVC材质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后轮：橡胶实心轮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手轮：手轮圈 7支耳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安全带：两段式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连刹：塑料 直径≥20mm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承重≥100KG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内尺寸≥91*29*75cm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B1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14:paraId="2464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F8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41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电子座椅秤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A2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83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液晶显示：≥20mm 字高液晶，附白色 LED 背光；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体重测量方式：单精密平衡压力传感器称重；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体重量程：≥280kg 分度值：100g；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测重传感器：高精度、高灵敏、高性能精密平衡梁式压力传感器；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防动测量功能：重置、测量数值保留、自动关机、除皮等功能；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外观设计：符合人体坐立姿势，舒适,安全，可靠；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扶手设计：可旋转的扶手设计，便于人从床上移动到座椅秤，扶手使用橡胶材料舒适安全；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脚轮设计：四个带刹车运输轮胎，轮子锁定功能确保任何时刻坐立都很安全；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脚踏板设计：可折叠调节的脚踏提高了操作的便捷性；折叠使踏板离地面更近；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工作温度-10℃～40℃；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工作湿度＜85%RH；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内置可充电电池：（7.2V/2000mAh）不带电池可直接插电使用。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8F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02A6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50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18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四肢被动康复训练器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95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33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绳索、拉环额定负载：≥50kg。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滑轮额定负载：≥100kg。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拉环最大行程：不小于350mm。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用途：用于帮助病肢进行被动训练，改善下肢关节活动范围和协调功能。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85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54A2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1F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3C5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电动移位机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5A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F9A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一、产品规格: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吊臂升降高度：980-1900mm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底座开合尺寸：550-1070mm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底座高度：≤130mm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底座离地间隙：≤70mm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二、产品材料: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底座、立柱采用≥40*60*3.0mm优质矩形钢管，底座横梁采用≥60*80*4.0mm优质矩形钢管，吊臂采用30*50*2.5mm优质矩形钢管，整体焊接制成，焊接牢靠，焊接处平整光滑，坚固耐用，表面烤漆处理，无刮痕，无毛刺，无棱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2.安全载荷:120kg。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三、功能配置：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1.电机数量：两组电机推杆，，额定电源：AC100-220V/50HZ，额定功率：≤120VA，通过遥控手柄分别控制吊臂升降，腿部开合，控制器也可以控制吊臂升降。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蓄电池：控制器有内置蓄电池组，蓄电池充满一次电大约需要6.5小时左右，可以使用40(80kg)-60(40kg)次的吊装工作，一定要根据病人的体重确定好使用次数，不要放电过多，影响电池的寿命，预计用电量还剩20%-30%就可以进行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3.急停功能：为防止用户因操作不当而产生的特殊情况，控制器特设有急停按键，如发送特殊情况，可按下“红色急停”功能键，各个功能立刻停止，等意外解除后，向右旋动“红色急停”，继续操作。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4.专用网格布吊带，多个层次的不同颜色吊带方便调整呗护理者姿态。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5.吊臂吊环可做360°旋转，可轻松转移被护理者体位方向。吊拖式升降: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电动升降，可从使用专用吊带将被护理者移位到其他位置，底座可分腿打开，使用更多场景空间，后轮带有刹车制动功能，防止吊起病人时，移位机移动而造成护理人员或病人无故受伤。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B2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r>
      <w:tr w14:paraId="5D80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8263">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553D4">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3928">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7851">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78BB">
            <w:pPr>
              <w:jc w:val="center"/>
              <w:rPr>
                <w:rFonts w:hint="eastAsia" w:ascii="宋体" w:hAnsi="宋体" w:eastAsia="宋体" w:cs="宋体"/>
                <w:i w:val="0"/>
                <w:iCs w:val="0"/>
                <w:color w:val="000000"/>
                <w:sz w:val="22"/>
                <w:szCs w:val="22"/>
                <w:highlight w:val="none"/>
                <w:u w:val="none"/>
              </w:rPr>
            </w:pPr>
          </w:p>
        </w:tc>
      </w:tr>
      <w:tr w14:paraId="0CF6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D4D2">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B90E4">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79A0">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F6155">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ECCE">
            <w:pPr>
              <w:jc w:val="center"/>
              <w:rPr>
                <w:rFonts w:hint="eastAsia" w:ascii="宋体" w:hAnsi="宋体" w:eastAsia="宋体" w:cs="宋体"/>
                <w:i w:val="0"/>
                <w:iCs w:val="0"/>
                <w:color w:val="000000"/>
                <w:sz w:val="22"/>
                <w:szCs w:val="22"/>
                <w:highlight w:val="none"/>
                <w:u w:val="none"/>
              </w:rPr>
            </w:pPr>
          </w:p>
        </w:tc>
      </w:tr>
      <w:tr w14:paraId="7C85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A2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B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神经肌肉低频电刺激仪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FA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57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1、触控操作，数码显示，便携台式，可选配台车。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2、输出通道：≥3组6路。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3、单个脉冲能量：≤300mJ。</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4、治疗模式：应包含完全失神经、部分失神经两种。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5、完全失神经：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5.1、输出脉冲频率：500Hz，调制波频率0.5Hz～10Hz，步进为0.5Hz。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5.2、脉冲宽度：由5个1ms组成，调制波宽度10ms。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6、部分失神经：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6.1、输出脉冲频率：0.5Hz～10Hz，步进为0.5Hz。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6.2、脉冲宽度：10ms。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7、输出幅度：刺激仪在500Ω的负载电阻下，幅值≤50V。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8、治疗时间：0～99min可调，治疗时间结束有蜂鸣器提示声，输出停止。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EA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D50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7C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9E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中频药物导入治疗仪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4D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23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性能特点：内置治疗处方10个，双路输出，同步治疗，加热功能，差频理疗。技术参数：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环境温度：+10℃~+40℃    环境湿度：30%～75%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大气压力：700hPa～1060hPa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供电电源：220V±22V/50Hz±1Hz输入功率：≥30VA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中频频率：2.5(1±10%)KHz～7.5(1±10%)KHz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脉冲宽度：66(1±10%)μs～200(1±10%)μs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调制波频率：0～440Hz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调幅度：0～100%之间允差：±10%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输出电压：中频方式：VOPP≥90V导入方式：VOPP≥80V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输出模式：①中频(低频调制中频双向)②药物导入(低频调制中频单向)③热疗④常温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输出波形：①基 波：脉冲方波②调制波：指数波、前斜/后斜锯齿波、方波、尖波、三角波、正弦波、阶梯波、等幅波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加热功能：在加热状态下电极板的温度不应超过60℃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连续运行工作时间：不低于4小时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输出电流：输出电流不超过100mA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96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9E4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E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B5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淋浴椅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3B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90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1、椅宽：≥510mm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2、椅深：≥400mm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3、座高：可调节，6档，调节高度：360-480（中间最低处）。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4、材质：主框架需采用≥φ22*1.0铝合金。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5、重量：≥2.6kg。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6、承重：≥200kg。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BF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r>
      <w:tr w14:paraId="7B17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DB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D45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SOS呼叫系统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E1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899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1、护士站接收主机1台，多功能显示：主机可显示万年历，护理等级，呼叫床号、序号等。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1.1多级护理设置：可根据病员病情任意设置高、低级护理床位，并在主机上有不同颜色的灯显示。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1.2高级优先：高级病员的呼叫可以中断低级病员的通话。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1.3话筒统播：可通过主话机作下通知、找人等统播。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1.4宣教广播：可接入录音机等信号源作宣传教育广播。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1.5无中断呼叫：无论在通话、广播等状态只要有呼叫均能呼入并给出显示。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1.6呼叫存储：分机呼叫而主机无人接时主机将该分机号存储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1.7故障自检报警：当系统出现故障时主机显示窗口及显示屏均能给出数字显示，并伴有声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报警提示。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1.8布线方式：二芯线设计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1.9规格：≥410mm*345mm*35mm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1.10语音报号：主机、分机及电话机都可振铃语音报号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1.11语音播报：分机呼叫，可语音播报“XXX号房 XX号床 呼叫”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1.12音量调节：可单独设置白天、夜晚分机的呼叫音量、通话音量。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2、床头对讲分机≥20个 通信距离最大600米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双向呼叫对讲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带呼叫键与取消键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带呼叫拉绳手柄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语音响亮清晰，失真度低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2芯线连接主机,不分正负极性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规格：≥124×76×16（mm）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3、卫生间防水按钮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防潮防水设计，具有指示灯和紧急呼叫功能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86盒设计，防水性能更好</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92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FDE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2E25">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23D70">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1716">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E6993">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5DCC">
            <w:pPr>
              <w:jc w:val="center"/>
              <w:rPr>
                <w:rFonts w:hint="eastAsia" w:ascii="宋体" w:hAnsi="宋体" w:eastAsia="宋体" w:cs="宋体"/>
                <w:i w:val="0"/>
                <w:iCs w:val="0"/>
                <w:color w:val="000000"/>
                <w:sz w:val="22"/>
                <w:szCs w:val="22"/>
                <w:highlight w:val="none"/>
                <w:u w:val="none"/>
              </w:rPr>
            </w:pPr>
          </w:p>
        </w:tc>
      </w:tr>
      <w:tr w14:paraId="22C5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33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CA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评估区设备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B1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41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1、起居评估区，测试老人包括穿衣、修饰、取物、床上自理等日常生活评估辅具：≥6种。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2、饮食评估区，测试老人日常进食的生活能力的辅具：≥7种。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3、洗漱评估区，测试老人洗澡、洗漱、如厕、大小便控制等日常生活洗漱类评估辅具：≥6种。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4、认知功能评估区，测试老人精神状态、感知觉与沟通及社会参与的评估辅具：≥5种。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5、步行测量贴纸一套，自带背胶，撕开即贴，刻度清晰，防水、防晒。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10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9CA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618E3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560" w:type="dxa"/>
            <w:vMerge w:val="restart"/>
            <w:tcBorders>
              <w:top w:val="single" w:color="000000" w:sz="4" w:space="0"/>
              <w:left w:val="single" w:color="000000" w:sz="4" w:space="0"/>
              <w:bottom w:val="nil"/>
              <w:right w:val="single" w:color="000000" w:sz="4" w:space="0"/>
            </w:tcBorders>
            <w:shd w:val="clear" w:color="auto" w:fill="auto"/>
            <w:vAlign w:val="center"/>
          </w:tcPr>
          <w:p w14:paraId="04FAD6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除颤仪</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AA620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vMerge w:val="restart"/>
            <w:tcBorders>
              <w:top w:val="single" w:color="000000" w:sz="4" w:space="0"/>
              <w:left w:val="single" w:color="000000" w:sz="4" w:space="0"/>
              <w:bottom w:val="nil"/>
              <w:right w:val="single" w:color="000000" w:sz="4" w:space="0"/>
            </w:tcBorders>
            <w:shd w:val="clear" w:color="auto" w:fill="auto"/>
            <w:vAlign w:val="center"/>
          </w:tcPr>
          <w:p w14:paraId="0A7B4F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一、项目用途：用于重症病人的心电监护及除颤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二、技术参数：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1工作环境：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工作和存储最高海拔高度≥15000英尺（4500米）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 工作温度0到45℃，存储温度-20到70℃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 环境湿度：15%到95%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性能要求：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2.1低能量智能双相截顶波，根据病人阻抗调整除颤波形，保持最有效的经心电流。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2.2显示屏≥7寸高分辨率彩色TFT显示屏。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2.3除颤能量的最高能量≤200J</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2.4每次充电到除颤仪标识的最高能量时间≤ 6秒，在AED成人模式下，固定能量的选择≤160J（重要参数）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 手动除颤能量最小是1J</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  AED功能具备一键切换成人及婴幼儿儿童模式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2.7成人、儿童一体化除颤电极板，具备胸壁阻抗接触指示灯。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2.8除颤能量调节采用旋钮选择方式，而非按键选择能量，方便快捷节约抢救时间。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2.9标配手动除颤、AED和同步电复律功能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2.10具有快速电击技术，启动AED模式到通电完成时间≤ 8秒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2.11 主机≥3道波形显示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2.12 可进行持续心电监护，可识别≥9种常见的心率/心律失常报警，有心率过快/过慢、停搏、室颤/室速、室性过速、极度过速、极度过缓、PVC速率、起搏无法捕获、起搏器未起搏。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2.13 标配三导心电监护功能，可升级到五导心电监护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2.14频率响应：诊断性0.05-150Hz  监护0.15-40Hz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2.15具备事件标记功能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2.16具备生命体征趋势回顾功能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2.17具备旋钮式的智能菜单导航按钮，方便快速功能定位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 电池上具备电量容量状态指示灯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 设备所有功能全开时电池使用时间≥2.5小时，保证病人转运途中全程持续供电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 可重复充电锂电池，≥100 次最高能量充电/电击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3.4  提示电池电量低时主机还可进行≥10分钟监护时间和≥6次最大能量放电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3.5 电池具有快速充电技术，≤2小时可充电到80%，≤3小时充电到100%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安全性：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4.1主机具备智能关机自检功能，无论设备是在工作状态还是关机状态，都具备每小时、每天、每周定期自检，而非手动设定检测时间，方便医护人员随时查看设备健康状态。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4.2在关机状态下，无需接上交流电源，主机仍可进行自动检测。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4.3每小时定期自检内容包括：检测电池、内部电源和内存等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4.4每日定期自检内容包括：检测电池、内部电源供应、内存、内部电池时钟，除颤功能、心电图、和打印机。除颤功能检测包括低能量内部放电。当连接了心电图电缆和AED电极片时，则也会对电缆和电极片进行检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4.5每周定期自检内容必需包括：执行以上所述的“每日自检”，并且发送一次高能量内部放电，从而进一步检测除颤电路。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4.6主机实现打印最近≥1次每小时自检，最近≥5次每日自检，最近≥50次每周自检的报告结果。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4.7主机具备自检待机状态灯指示功能，使仪器健康状态一目了然。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数据存储: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 内部事件总结可在每份事件总结中存储≥ 8 小时的2 条持续 ECG波形，1 个Pleth波、1个二氧化碳描记图波、研究波（仅限AED模式）事件和趋势数据。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5.2 最多可存储≥50个时长约30分钟的事件概要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5.3 存储内容包括：事件总结、生命体征趋势、配置、状态记录和设备信息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打印机：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6.1≥50mm热阵列打印机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6.2连续ECG条图：实时或延迟10秒打印主要ECG 导联，附带事件注释和测量结果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6.3自动打印：记录仪可配置为自动打印标记的事件、充电、电击和报警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6.4报告：事件总结、生命体征趋势、操作检验、配置、状态记录和设备信息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6.5走纸速度25mm/秒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7其它要求：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7.1 整机重量≤6.2KG（包括主机、电极板和电池）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7.2 防水/防固体渗入等级≥IP54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7.3 可满足医院以后扩展监护功能的使用，可升级SPO2、NIBP、EtCO2等功能</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3DE704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6481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926C814">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6A3704B8">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FDEDD2F">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70D8CE53">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4F1AABA">
            <w:pPr>
              <w:jc w:val="center"/>
              <w:rPr>
                <w:rFonts w:hint="eastAsia" w:ascii="宋体" w:hAnsi="宋体" w:eastAsia="宋体" w:cs="宋体"/>
                <w:i w:val="0"/>
                <w:iCs w:val="0"/>
                <w:color w:val="000000"/>
                <w:sz w:val="22"/>
                <w:szCs w:val="22"/>
                <w:highlight w:val="none"/>
                <w:u w:val="none"/>
              </w:rPr>
            </w:pPr>
          </w:p>
        </w:tc>
      </w:tr>
      <w:tr w14:paraId="58B8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E87427D">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1A3F33C8">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F300838">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3A3ECD0B">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EE74FB9">
            <w:pPr>
              <w:jc w:val="center"/>
              <w:rPr>
                <w:rFonts w:hint="eastAsia" w:ascii="宋体" w:hAnsi="宋体" w:eastAsia="宋体" w:cs="宋体"/>
                <w:i w:val="0"/>
                <w:iCs w:val="0"/>
                <w:color w:val="000000"/>
                <w:sz w:val="22"/>
                <w:szCs w:val="22"/>
                <w:highlight w:val="none"/>
                <w:u w:val="none"/>
              </w:rPr>
            </w:pPr>
          </w:p>
        </w:tc>
      </w:tr>
      <w:tr w14:paraId="7C13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7FCFF89">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71A7482F">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80A39B3">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01FD434D">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4B78AE2">
            <w:pPr>
              <w:jc w:val="center"/>
              <w:rPr>
                <w:rFonts w:hint="eastAsia" w:ascii="宋体" w:hAnsi="宋体" w:eastAsia="宋体" w:cs="宋体"/>
                <w:i w:val="0"/>
                <w:iCs w:val="0"/>
                <w:color w:val="000000"/>
                <w:sz w:val="22"/>
                <w:szCs w:val="22"/>
                <w:highlight w:val="none"/>
                <w:u w:val="none"/>
              </w:rPr>
            </w:pPr>
          </w:p>
        </w:tc>
      </w:tr>
      <w:tr w14:paraId="6FEE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323521D">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4750F286">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143B89E">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1727E3DE">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74C835C">
            <w:pPr>
              <w:jc w:val="center"/>
              <w:rPr>
                <w:rFonts w:hint="eastAsia" w:ascii="宋体" w:hAnsi="宋体" w:eastAsia="宋体" w:cs="宋体"/>
                <w:i w:val="0"/>
                <w:iCs w:val="0"/>
                <w:color w:val="000000"/>
                <w:sz w:val="22"/>
                <w:szCs w:val="22"/>
                <w:highlight w:val="none"/>
                <w:u w:val="none"/>
              </w:rPr>
            </w:pPr>
          </w:p>
        </w:tc>
      </w:tr>
      <w:tr w14:paraId="5E41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E64C1AA">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0407F3CD">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031A5D6">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58F2FE56">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D376096">
            <w:pPr>
              <w:jc w:val="center"/>
              <w:rPr>
                <w:rFonts w:hint="eastAsia" w:ascii="宋体" w:hAnsi="宋体" w:eastAsia="宋体" w:cs="宋体"/>
                <w:i w:val="0"/>
                <w:iCs w:val="0"/>
                <w:color w:val="000000"/>
                <w:sz w:val="22"/>
                <w:szCs w:val="22"/>
                <w:highlight w:val="none"/>
                <w:u w:val="none"/>
              </w:rPr>
            </w:pPr>
          </w:p>
        </w:tc>
      </w:tr>
      <w:tr w14:paraId="473A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05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46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输液架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E4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0B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材质：底座生铁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静音滑轮5个，不锈钢外管直径φ25，不锈钢内管φ19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升降方式：旋钮式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高度：1.1m-2.1m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气压缓冲装置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产品特性及优点：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1、不锈钢挂钩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采用高强度不锈钢制成，关观不易变型。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2、可调节高度旋钮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使用原包ABS材料、丝扣全螺纹，清所、连按牢固，人性化可调节高度设计，满足您的不同需求。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10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249B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329269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560" w:type="dxa"/>
            <w:tcBorders>
              <w:top w:val="single" w:color="000000" w:sz="4" w:space="0"/>
              <w:left w:val="single" w:color="000000" w:sz="4" w:space="0"/>
              <w:bottom w:val="nil"/>
              <w:right w:val="single" w:color="000000" w:sz="4" w:space="0"/>
            </w:tcBorders>
            <w:shd w:val="clear" w:color="auto" w:fill="auto"/>
            <w:vAlign w:val="center"/>
          </w:tcPr>
          <w:p w14:paraId="684043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电脑中频治疗仪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4317B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nil"/>
              <w:right w:val="single" w:color="000000" w:sz="4" w:space="0"/>
            </w:tcBorders>
            <w:shd w:val="clear" w:color="auto" w:fill="auto"/>
            <w:vAlign w:val="center"/>
          </w:tcPr>
          <w:p w14:paraId="0FC60E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1、显示方式：数码触摸显示。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2、输出通道：≥8通道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3、中频频率为1kHz～10kHz，单一频率允差±10%。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4、低频调制频率为0～150Hz，单一频率允差±10%或±1Hz取大值。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5、中频载波波形：双向方波，脉宽50us～500us，允差±10%。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6、调制波形≥7种。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7、调制方式≥6种。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8、中频调幅度：0%、25%、50%、75%、100%，允差±5%。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9、具备干扰电性能：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工作频率：4kHz，允差±10%。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调制频率：0.125Hz，允差±10%。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差频频率范围：0～112Hz，允差±10%或±1Hz取较大值。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调幅度：0%、100%，允差±5%。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差频变化周期：5.5s、32s，允差±10%。动态节律参数8S，允差±10%。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10、处方数量：≥60种。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11、中频输出电流：在500Ω的负载下，每路输出电流≤100mA。输出强度分0～99级可调。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12、输出电流稳定度：不同负载下的输出电流变化率应≤10%。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13、电极板温度：38℃～55℃，分6档可调，允差±3℃。加热功能可单独开启及关闭。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14、具有离子导入功能。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15、该产品具有过载保护。</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B2224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158A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66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3D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防褥疮充气床垫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25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8D6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1.充气泵最大出气压力：≥17KPa。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2.充气泵最大流量≥6L/min。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3.最大承受重量≥135KG。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4.由充气床垫、电动充气泵组成，充气泵和床垫连接采用橡胶软管，条形床垫。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5.床垫材质： 医用PVC布料，柔软舒适，吸湿透气性良好。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6.电源：电压220V±22V，频率50HZ±1HZ。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7.最大噪声：≤45dB（A）。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FB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r>
      <w:tr w14:paraId="4E04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38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71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经颅磁治疗仪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82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A9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1、工作环境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环境温度：5℃-40℃；相对湿度：不大于80％；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大气压力：700～1060hPa；使用电源：AC 220V±22V,50Hz±1Hz。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额定输入功率：60VA。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2、治疗帽：由1个大号治疗头和8个小号治疗头组成；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3、颈椎治疗带：由7个治疗块组成。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4、双路通道输出。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5、输出磁场强度 弱档：7mT±2mT； 强档：14mT±4mT。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6、输出磁场波形：正弦波。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7、输出模式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1种定频模式：50Hz,允差±1Hz；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1种变频模式：5Hz、10Hz、20Hz、30Hz、40Hz、50Hz连续循环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8、振动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幅度：1mm(p-p)，允差±0.2mm；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频率：50Hz，允差±1Hz；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输出模式：振动1sS,间歇2s，循环重复以上过程，允差±0.1s。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9、治疗时间：分20min和30min两档可调，允差±30s，治疗时间倒计时结束后，停止输出，并有声音提示。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10、配置超静音脚轮，移动方便，无噪音。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11,显示方式：数码管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10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399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AE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0C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训练用阶梯（三向）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FF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4A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规格：≥3350×1400×1350～1550mm。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扶手杠调节范围：0～200mm。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扶手杠侧向额定载荷：≥65kg。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阶梯额定载荷：≥130kg。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用途：用于患者恢复日常上下楼功能。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阶梯台高度：100mm、120mm、240mm。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中间台高度：600mm。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材质：型材、多层板、地板革。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结构形式：阶梯、扶手。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98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484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CC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6D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极超短波治疗机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59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1D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1、辐射器规格：Φ80×95mm，允差±5mm。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2、辐射面积≥50cm²。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3、配有可旋转支臂。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4、治疗时间：0～30min，连续可调，级差1min。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5、输出方式：连续式和脉冲式。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6、显示方式：数码显示。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7、辐射器驻波比≤2。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8、外形尺寸：420×357×245mm，允差±10%。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9、工作频率：2450MHz±50MHz。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10、输出功率：为0～50W连续可调，级差5W。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11、磁控管：采用优质磁控管。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12、外壳泄漏：＜0.2mW/cm²。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13、无用辐射：＜0.2mW/cm²。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1F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01E9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32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9F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股四头肌训练椅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B4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A1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1、规格：≥1060×1050×1160mm。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2、座垫高度：≥650mm。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3、扶手内侧宽度：≥600mm。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4、升降支架调节范围：0～130mm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5、小腿垫调节范围：0～470mm。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6、助力手柄调节范围：0～280mm。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7、小腿支架摆动角度：不小于120°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8、座位额定载荷：≥135kg。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9、座位垫水平放置时额定载荷：≥55kg。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10、配重块数量：≥4块。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11、用途：膝关节运动受限患者进行股四头肌抗阻力主动运动，也可进行膝关节牵引。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1B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4EDB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05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A0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四肢联动康复训练仪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E6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5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1、外形尺寸（长宽高）：1655×750×1200mm，允差±5%。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2、供电方式：内部、外部电源供电两种可自由转换。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3、承重≥200kg。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4、操作显示≥7英寸液晶触摸显示屏。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5、操作屏幕显示内容：时间、功率、步频、新陈代谢率、步数、卡路里、阻力等级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6、步频范围：0～250步/分，功率范围：0～800瓦特，累积计步：9999步，路里消耗：0～999卡。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7、阻力调节：≥10级阻力。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8、座椅由前向后调节范围：0～325mm，允差±5%；向后移动时，座椅高度会自动向上升高：0～40mm，允差±5%。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9、把手长度调节范围：0～400mm，允差±5%。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10、座椅可向左右旋转90°，旋转至90°时自动锁定，允差±2°。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11、座椅靠背调节角度：0～31°。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86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BAA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0B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1A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电针治疗仪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AE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D2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1、输出通道：≥5路输出，独立可调。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2、输出波形：≥3种（连续波、断续波、疏密波）。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3、连续波：频率1Hz～100Hz连续可调,允差±15%；脉冲宽度0.35ms±0.1ms。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4、断续波：断续周期2.3s～6s可调，允差±10%。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5、疏密波：疏、密波变换周期2.3s～6s可调，允差±10%。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6、每路输出脉冲强度：0～12V（负载电阻250Ω）。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C5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3EE8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25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94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磁振热治疗仪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B8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EF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1、磁场强度范围：≤38mT。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2、振动频率为≤50Hz。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3、振动幅度为2mm～5mm。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4、治疗模式：≥6种。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5、开机默认为常温工作模式，可选择温控工作模式，分40℃～55℃分四档可调。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6、治疗定时时间为1min～60min可调，步进为1min。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7、输出通道：2通道（可同时连接2个导子，可独立工作）。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8、应配置标准温热导子，颈肩温热导子。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9、应具有超温保护功能。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A6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404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FE489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560" w:type="dxa"/>
            <w:vMerge w:val="restart"/>
            <w:tcBorders>
              <w:top w:val="single" w:color="000000" w:sz="4" w:space="0"/>
              <w:left w:val="single" w:color="000000" w:sz="4" w:space="0"/>
              <w:bottom w:val="nil"/>
              <w:right w:val="single" w:color="000000" w:sz="4" w:space="0"/>
            </w:tcBorders>
            <w:shd w:val="clear" w:color="auto" w:fill="auto"/>
            <w:vAlign w:val="center"/>
          </w:tcPr>
          <w:p w14:paraId="49D2D0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体外冲击波治疗仪</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C51A4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vMerge w:val="restart"/>
            <w:tcBorders>
              <w:top w:val="single" w:color="000000" w:sz="4" w:space="0"/>
              <w:left w:val="single" w:color="000000" w:sz="4" w:space="0"/>
              <w:bottom w:val="nil"/>
              <w:right w:val="single" w:color="000000" w:sz="4" w:space="0"/>
            </w:tcBorders>
            <w:shd w:val="clear" w:color="auto" w:fill="auto"/>
            <w:vAlign w:val="center"/>
          </w:tcPr>
          <w:p w14:paraId="395883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1、电源：AC220V±10%  50Hz±1Hz;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额定输入功率：500VA;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3、工作压力：0~500kPa可调，连续可调，输出最大工作压强： 500KPa±10%;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4、8英寸触摸屏，治疗参数实时显示；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、能量密度：输出的能量密度为0.1-9mJ/mm²(带入单位为dm);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6、输出频率：3～15Hz可调；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能量稳定性优于±20%;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一次治疗输出总次数：500～4000次(步进500);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9、有开机密码保护功能，专机专人专用，避免误操作风险；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10、7种治疗头，对应不同的治疗程序，满足不同的临床需求；准直式治疗头规格：10mm、 15mm 、15mm高能量；发散式治疗头规格：20mm 、20mm高能量、25mm 、30mm;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三级防滑减震手柄，减少震颤引起医护人员手疲劳；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 冲击波产生方式：  气压弹道式；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 冲击波输出方式：单次、连续；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 具备精密压力控制技术，实时调整满足个性化治疗所需压力值、频率值、冲击次数；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 计数功能：具有计数、显示功能，便于记录治疗过程；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16、自定义模式下系统自动记忆用户上次使用时的设置，再次开机不用进行重复设置。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17、进口核心部件：原装进口空气压缩机，动力强，静音设计；进口电磁阀，输出稳定性高；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18、有双重过压安全装置，防止空气压缩机在正常和单一故障状态下发生压力突然增大；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18、操作系统：内置6部位，31处方；</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139D2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9E2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82B6AD1">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0A125C38">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0F55818">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7890D4D4">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7049047">
            <w:pPr>
              <w:jc w:val="center"/>
              <w:rPr>
                <w:rFonts w:hint="eastAsia" w:ascii="宋体" w:hAnsi="宋体" w:eastAsia="宋体" w:cs="宋体"/>
                <w:i w:val="0"/>
                <w:iCs w:val="0"/>
                <w:color w:val="000000"/>
                <w:sz w:val="22"/>
                <w:szCs w:val="22"/>
                <w:highlight w:val="none"/>
                <w:u w:val="none"/>
              </w:rPr>
            </w:pPr>
          </w:p>
        </w:tc>
      </w:tr>
      <w:tr w14:paraId="1E7A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B1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5A9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电脑恒温电蜡疗仪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37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21DA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1、蜡饼数：共计12层，最多可出大中小蜡饼18块。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2、设备最大功率：2700VA±10%。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3、温度设定范围：浸蜡温度1～57℃可调，熔蜡温度58～99℃可调，级差±1℃。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4、恒温箱（制饼箱）温度范围：46～80℃可调，级差±1℃。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5、外形尺寸（长宽高）：1322×700×1157mm，允差±10%。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6、具有双重软件温度保护功能，并有声音提示，配备独立的硬件温度保护装置。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7、熔蜡箱140L，允差±10%。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8、出蜡系统：三组独立出蜡系统。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9、制饼时间：最短1～2小时。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10、断电记忆：恒温功能、制饼时化蜡状态可记忆。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11、制蜡工作程序：自动、手动。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自动工作程序：根据外界温度，自动选择外界温度较高模式和外界温度较低模式。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手动工作程序：可自行选择外界温度较高模式和外界温度较低模式。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12、“一键”即可自动完成制饼并保持蜡饼恒温储存。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13、平台式外观：设备自带操作平台，方便医护人员进行蜡饼操作。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14、蜡液过滤装置：无水化蜡，双重侧滤。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15、饼厚度：三级可调（8mm、13mm、18mm）。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16、制蜡工作模式：正常制蜡、预约制蜡、快速制蜡。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17、具有双重自动消毒模式（紫外线+高温）。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18、操作显示：8英寸液晶触摸屏，支持一键锁屏，具有语音播报功能。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19、恒温箱内设有照明，并设有观察窗，可方便观察蜡饼情况。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20、提示功能：故障自检报警功能，并附有错误代码提示。完成工作会有声光报警功能。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21、一键恢复出厂设置、准确控制蜡饼厚度、智能防堵设计。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22、蜡盘尺寸（长宽高）：470×390×21mm，允差±5%。可制作多尺寸蜡饼（大*8、中*6、小*4）。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23、具有薄膜切割功能，便于进行蜡饼及时包裹锁温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C4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542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027C">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47AAD">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D7F8">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30FE4">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4D31">
            <w:pPr>
              <w:jc w:val="center"/>
              <w:rPr>
                <w:rFonts w:hint="eastAsia" w:ascii="宋体" w:hAnsi="宋体" w:eastAsia="宋体" w:cs="宋体"/>
                <w:i w:val="0"/>
                <w:iCs w:val="0"/>
                <w:color w:val="000000"/>
                <w:sz w:val="22"/>
                <w:szCs w:val="22"/>
                <w:highlight w:val="none"/>
                <w:u w:val="none"/>
              </w:rPr>
            </w:pPr>
          </w:p>
        </w:tc>
      </w:tr>
      <w:tr w14:paraId="0242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0"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579849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560" w:type="dxa"/>
            <w:vMerge w:val="restart"/>
            <w:tcBorders>
              <w:top w:val="single" w:color="000000" w:sz="4" w:space="0"/>
              <w:left w:val="single" w:color="000000" w:sz="4" w:space="0"/>
              <w:bottom w:val="nil"/>
              <w:right w:val="single" w:color="000000" w:sz="4" w:space="0"/>
            </w:tcBorders>
            <w:shd w:val="clear" w:color="auto" w:fill="auto"/>
            <w:vAlign w:val="center"/>
          </w:tcPr>
          <w:p w14:paraId="756FA5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医用等离子体空气消毒器</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319C7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vMerge w:val="restart"/>
            <w:tcBorders>
              <w:top w:val="single" w:color="000000" w:sz="4" w:space="0"/>
              <w:left w:val="single" w:color="000000" w:sz="4" w:space="0"/>
              <w:bottom w:val="nil"/>
              <w:right w:val="single" w:color="000000" w:sz="4" w:space="0"/>
            </w:tcBorders>
            <w:shd w:val="clear" w:color="auto" w:fill="auto"/>
            <w:vAlign w:val="center"/>
          </w:tcPr>
          <w:p w14:paraId="34DA33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一、技术参数要求：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1、采用等离子体＋静电吸附消毒灭菌，杀菌广谱、彻底；内含活性炭分子过滤器、初效过滤器，可有效除去空气中的挥发性气体、各种异味以及过滤毛发、粉尘等大尘埃颗粒；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2、医用等离子体空气消毒器壳体采用优质医用级ABS制成，结构强度高，清洁效果好；表面光洁，防尘效果好、使用寿命长、安全系数高；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3、外观尺寸≤500×308×985（mm3），采用移动式安装方式，配备医用静音脚轮，移动灵活方便；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4、人机共存，可在有人状态下进行连续动态消毒，对人及物品没有任何伤害；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5、整机重量≤30kg，额定循环风量≥600m³/h，可适用于60m³体积及以下的场所；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6、额定功率≤75W±7.5W；电源AC220V 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7、等离子体发生器电场强度≥8500V；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8、等离子体发生器集尘区电场强度≥4100V；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9、等离子体发生器产生的等离子体密度可达5.6×1018 _1.25×1019m-3；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10、等离子体发生器使用寿命≥50000h，高压电源使用寿命≥50000h；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11、配备负离子发生器，所产生负离子密度≥4.82×107个/cm3。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二、、净化消毒效果要求：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1、净化消毒效果要求：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1）对白色葡萄球菌的杀灭率≥99.90%；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2）设备持续工作30min，PM2.5去除率≥99.92%；设备持续工作1h，PM2.5去除率&gt;99.99%；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3）对60m³房间≥0.5um颗粒物的净化效率≥93%；净化后室内空气≥0.5um颗粒物≤2700000个/m³，达到十万级洁净度;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4）对体积为60 m3室内空气中的自然菌消亡率均≥90%；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5）甲醛的净化效率≥96.1%、氨的净化效率≥95.2%、苯的净化效率≥96.1%、TVOC净化效率≥98.0%；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6）气雾室肺炎克雷伯氏菌、金黄色葡萄球菌、黑曲霉菌、龟分枝杆菌的杀灭率＞99.9%；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五、功能及技术先进性要求：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1、远程红外线遥控，可实时显示北京时间，故障报警，可查询显示累计时间等；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2、高、中、低三挡可调风速供用户选择；手控、遥控多种控制方式供用户选择；手动、定时、临时多种工作模式方便用户操作；遥控器上设有一键锁定功能，防止误操作；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3、程控数量（定时消毒）6组，具备工作时间自动累计功能，满足临床需求；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4、采用V型分子过滤器，可有效去除有机气体和医院的各种异味；采用新型多功能两段式等离子体模块，杀菌效率高，集尘效果好，方便维护保养；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5、产品具有报警功能，等离子体杀菌净化模块故障报警、过滤器清洗维护报警、风机故障报警；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6、产品通过ISO9001和ISO13485双认证，中国驰名商标，具有质量保证；（提供以上双管理体系认证证书）</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31EB8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4139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0BC3C31">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407BBA67">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E8C1549">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4CA90663">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5FA8825">
            <w:pPr>
              <w:jc w:val="center"/>
              <w:rPr>
                <w:rFonts w:hint="eastAsia" w:ascii="宋体" w:hAnsi="宋体" w:eastAsia="宋体" w:cs="宋体"/>
                <w:i w:val="0"/>
                <w:iCs w:val="0"/>
                <w:color w:val="000000"/>
                <w:sz w:val="22"/>
                <w:szCs w:val="22"/>
                <w:highlight w:val="none"/>
                <w:u w:val="none"/>
              </w:rPr>
            </w:pPr>
          </w:p>
        </w:tc>
      </w:tr>
      <w:tr w14:paraId="43CF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E3745AE">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nil"/>
              <w:right w:val="single" w:color="000000" w:sz="4" w:space="0"/>
            </w:tcBorders>
            <w:shd w:val="clear" w:color="auto" w:fill="auto"/>
            <w:vAlign w:val="center"/>
          </w:tcPr>
          <w:p w14:paraId="5B68C286">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A559366">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nil"/>
              <w:right w:val="single" w:color="000000" w:sz="4" w:space="0"/>
            </w:tcBorders>
            <w:shd w:val="clear" w:color="auto" w:fill="auto"/>
            <w:vAlign w:val="center"/>
          </w:tcPr>
          <w:p w14:paraId="2A0EDF20">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53B9E59">
            <w:pPr>
              <w:jc w:val="center"/>
              <w:rPr>
                <w:rFonts w:hint="eastAsia" w:ascii="宋体" w:hAnsi="宋体" w:eastAsia="宋体" w:cs="宋体"/>
                <w:i w:val="0"/>
                <w:iCs w:val="0"/>
                <w:color w:val="000000"/>
                <w:sz w:val="22"/>
                <w:szCs w:val="22"/>
                <w:highlight w:val="none"/>
                <w:u w:val="none"/>
              </w:rPr>
            </w:pPr>
          </w:p>
        </w:tc>
      </w:tr>
      <w:tr w14:paraId="3ECA0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B9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42A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制氧机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58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A98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1、氧流量≥5L/min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2、出口标称压力为0kPa和7kPa时的流量范围：0.5L/min~5L/min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3、在最大推荐流量时，施加7kPa的背压，流量变化：±10%以内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4、出口标称压力为零时的氧浓度(在初始开机15min内，达到规定的浓度水平):最大推荐氧流量5L/min时，氧浓度≥90%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5、最大限定压力：0.12MPa(出氧口)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6、在STPD(101.3kPa,操作温度20℃,干燥)和说明书规定的额定工作条件下，出口标称压力为零时，氧浓度与氧流量的函数值：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氧流量氧浓度1L/min≥90%；2L/min≥90%；3L/min≥90%；4L/min≥90%；5L/min≥90%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7、压缩机安全阀释放压力：250kPa±50kPa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8、噪声：距离1米，氧流量3L/min和氧流量5L/min时，声压级≤60dB(A),声功率级≤68dB(A)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9、雾化率：≥0.1mL/min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10、额定电源：～220V,50Hz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11、输入功率≥500VA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12、净重≤16.5kg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13、外形尺寸≤39×24.5×50(cm)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14、安全系统：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电流过载或连线松脱，报警停机；压力故障，报警停机；压缩机故障，报警停机；系统过热，报警停机；低氧流量，报警停机；低氧浓度报警。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15、最短工作时间：不得低于15分钟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16、按运行模式分类：连续运行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17、正常工作环境(含氧浓度状态指示器):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环境温度范围：5℃~40℃;相对湿度范围：15%~90%,且无冷凝现象；大气压力范围：86kPa~106kPa。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18、输出氧气口温度：≤46℃，应用部分温度(鼻氧管、雾化组件):≤41℃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AE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r>
      <w:tr w14:paraId="1712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4349">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EDB56">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15F0">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9FE51">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0AD9">
            <w:pPr>
              <w:jc w:val="center"/>
              <w:rPr>
                <w:rFonts w:hint="eastAsia" w:ascii="宋体" w:hAnsi="宋体" w:eastAsia="宋体" w:cs="宋体"/>
                <w:i w:val="0"/>
                <w:iCs w:val="0"/>
                <w:color w:val="000000"/>
                <w:sz w:val="22"/>
                <w:szCs w:val="22"/>
                <w:highlight w:val="none"/>
                <w:u w:val="none"/>
              </w:rPr>
            </w:pPr>
          </w:p>
        </w:tc>
      </w:tr>
      <w:tr w14:paraId="1F50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61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72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转运担架车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B9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B7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（1）规格：≥1900*600*780mm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（2）主体框架采用优质不锈钢管焊接成型,整体使用氩弧焊工艺，焊缝均匀，经过加细抛光处理，表面光滑，平整、无毛刺，易清洁消毒；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（3）配置：两大轮，两个带刹车万向轮。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（4）输液架一只，置物架，床垫。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（5）床面≥3cm皮革外套海绵垫，可拆分独立为担架使用。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77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7D6A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B9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55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换药车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E4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1A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（1）规格：≥660×440×860mm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（2）材质：主体框架采用优质不锈钢圆管焊接成型，台面采用优质不锈钢板焊接成型，二层平台设计，有三面围栏；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有一个不锈钢处置盘，及托盘架并有紧锁升降功能，配有一个抽屉，配有2个污物桶，整体配有高档万向脚轮，移动方便，整体使用氩弧焊工艺，焊缝均匀，经过加细抛光处理，表面光滑，平整、无毛刺，易清洁消毒，有效防止细菌滋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BC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5EC8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F0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26C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医用冰箱</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79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138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1、产品符合GSP认证标准；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2、容积：≥228L；产品外观尺寸(mm):≥540*530*1695(宽*深*高）；额定电压/频率：220V/50HZ，耗电量1.15KW.h/24h,气候类型：N，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3、制冷方式：风冷循环式，无霜，解决除霜烦恼；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4、温湿度监控方式：微电脑控制，箱内温度、湿度数字双屏显示；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5、温湿度数据导出方式：自带USB数据记录模块，参数自动记录，多种格式保存，USB端口输出；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6、冷藏温区：2-8度；阴凉温区：8-20度；湿度范围：35%-75%；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7、冷藏温区和阴凉温区可据需相互切换；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8、门玻璃：双层中空玻璃，有效阻隔柜内外温度的相互影响，起到节能效果；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9、保温层材质：异氰酸酯、组合聚醚，环保材料；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10、压缩机位置：柜体下部，扩大产品存储空间，便于蒸发冷凝水；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11、制冷剂：R600a，节能环保；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12、测试孔：冷藏柜右侧设有测试孔，方便客户后期单独配置温湿度记录仪：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13、蒸发器：翅片蒸发器；快速制冷，并保持箱内温湿度均匀；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14、外箱及内胆材质：外箱喷塑冷轧钢板，耐磨经用；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15、置药架：5层，可据需调整搁架间隔；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16、额定电压：187～242V宽电压设计，适合电压不稳定的区域使用；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17、报警设置：多重故障报警，可实现高低温报警、传感器故障报警、灯光闪烁报警方式；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18、带标签条的搁架，存取方便；门体上配置安全门锁，安全性能高；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19、箱底部配备脚轮，能自由移动；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20、整机保修壹年；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21、生产企业具备医疗器械生产许可资质和医疗器械注册证。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22、配有风机开关，开门柜内风机停机，关门风机开启，有效避免因开门时热气进入柜内。</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F32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6AC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AA8B">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7889">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FD49">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0112">
            <w:pPr>
              <w:jc w:val="left"/>
              <w:rPr>
                <w:rFonts w:hint="eastAsia" w:ascii="宋体" w:hAnsi="宋体" w:eastAsia="宋体" w:cs="宋体"/>
                <w:i w:val="0"/>
                <w:iCs w:val="0"/>
                <w:color w:val="000000"/>
                <w:sz w:val="22"/>
                <w:szCs w:val="22"/>
                <w:highlight w:val="none"/>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6DA49">
            <w:pPr>
              <w:jc w:val="center"/>
              <w:rPr>
                <w:rFonts w:hint="eastAsia" w:ascii="宋体" w:hAnsi="宋体" w:eastAsia="宋体" w:cs="宋体"/>
                <w:i w:val="0"/>
                <w:iCs w:val="0"/>
                <w:color w:val="000000"/>
                <w:sz w:val="22"/>
                <w:szCs w:val="22"/>
                <w:highlight w:val="none"/>
                <w:u w:val="none"/>
              </w:rPr>
            </w:pPr>
          </w:p>
        </w:tc>
      </w:tr>
      <w:tr w14:paraId="3C75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F2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75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坐便椅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EF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DC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1、椅宽：≥530mm。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2、椅深：≥430mm。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3、总高：750-850mm。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4、座高：可调节，调节高度：440-540mm。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5、材质：主框架采用≥φ22*0.6mm不锈钢管。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6、重量：≤4.5kg。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7、承重：≥180kg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2C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r>
      <w:tr w14:paraId="431E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9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2B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角度尺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04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29F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铝箱规格：≥350×170×50mm。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用途：测量肘、手指等关节活动范围及脊柱弯曲程度。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37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5C71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73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86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肌力训练弹力带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51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A6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规格：≥29×120×700mm。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用途：全身各主要肌肉力量训练训练者可以跟据患者肌力的实际状况选择合适的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弹力带进行练习。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弹力绳：≥3种。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8A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3161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F4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A2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AB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8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材质：皮木结合，三人位一个，尺寸≥180*80*80cm，两个单人位，尺寸≥85*85*80cm。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2C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r>
      <w:tr w14:paraId="7027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84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D5D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手摇式病床（洗澡床）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A8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3115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一、床头尺寸要求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外形尺寸：≥长2100*宽*870*高720-950mm（含护栏）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内径尺寸：≥长1950*宽630*高440-670mm（不含护栏）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二、材料工艺: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床架采用≥30*60*1.2mm优质矩形钢管，连接件采用≥3mm厚冲压钢件，焊接牢靠，焊接处平整光滑，坚固耐用，表面烤漆处理，无刮痕，无毛刺，无棱角，活动支架，背部床板采用双“V”型双支撑卸力结构，结构卸力均匀、分散，很大程度上提高了病床的安全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2.床体喷涂工艺: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床体表面经钢丸喷沙除锈后，静电喷涂而成，床体涂覆为抗静电粉体，抗酸碱腐蚀，耐褪色。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三、功能配置：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两组摇把：摇手采用不锈钢把手，丝杆采用45#钢, 丝杆壁厚为≥3.0mm，升降丝杆外表光滑耐用，摇杆采用万向联轴节结构，使用双向极限保护装置，安全可靠，使用轻松无噪音；并有防护装置不积尘，摇柄可折叠收放。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2.调节范围：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床面整体升降范围：440-670mm（不含护栏）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背部倾斜角度：0-15°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3.护栏：双侧设有折叠式不锈钢全包围式护栏，带有锁定结构件，护栏可180°旋转放下，床头床尾为卡簧式插拔不锈钢护栏，使用安全、牢固、方便上下床,减少二次伤害。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4.床垫：采用高韧性环保皮划艇料制成，材料通过ROSH/EN71等标准;垫内夹高密度EVA；柔软舒适，耐高温、严寒，不易变形，不易老化，可拆下清洁消毒。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5.静音轮：采用≥5寸高档双面静音脚轮，内置全封闭自润滑轴承（延长使用寿命），不需加油护理，防异物卷入，独立刹车；轮面采用TPR高分子耐磨材料，耐磨，无噪音，移动起来轻便平稳快捷。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6.床体可承载重量≥200kg。</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7D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C44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7936">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31842">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B8F7">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AB404">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F986">
            <w:pPr>
              <w:jc w:val="center"/>
              <w:rPr>
                <w:rFonts w:hint="eastAsia" w:ascii="宋体" w:hAnsi="宋体" w:eastAsia="宋体" w:cs="宋体"/>
                <w:i w:val="0"/>
                <w:iCs w:val="0"/>
                <w:color w:val="000000"/>
                <w:sz w:val="22"/>
                <w:szCs w:val="22"/>
                <w:highlight w:val="none"/>
                <w:u w:val="none"/>
              </w:rPr>
            </w:pPr>
          </w:p>
        </w:tc>
      </w:tr>
      <w:tr w14:paraId="3F64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EB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A0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床单被褥（六件套）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22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C8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1、床单、被罩、枕套、被子、褥子、枕芯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2、床单、被罩、枕套成分：涤棉65/35，纱织42/2*42，密度133/76，被子：可洗棉≥4斤重，褥子≥3斤，枕芯≥1.2斤可洗棉。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DB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r>
      <w:tr w14:paraId="31FE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1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6D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老年人体检折叠桌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A1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D13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桌子可折叠，规格尺寸：≥160×80×70mm，桌架材质：铁质，桌面：木质，整体结实耐用。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05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r>
      <w:tr w14:paraId="6F6C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3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5A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处置室医疗设备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DE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BF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不锈钢麻醉柜≥2个，普通喉镜≥2套，剪子大、中、小≥2组，镊子大、中、小≥6组，钳子大、中、小≥8组，普通立式无影灯≥2台。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04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E49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72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3F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老年人心理疏导室设备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86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F0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心理评估系统、电脑、打印机一套，智能反馈型音乐放松椅一个，智能音乐放松系统一套，心理沙盘≥2000件套装一套，座椅、档案柜、象棋、跳棋以及制度版面≥1套。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54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C34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BD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E0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室外适老化桌椅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44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C7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桌椅一套：包含一张桌子，配四把椅子。桌子尺寸≥80×80×70mm，桌椅材质是铁塑木结合，适合在室外使用。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53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E77F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5D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82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手指康复训练器具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00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48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规格尺寸：≥225×225×75mm。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用途：用于防止和矫正手指屈肌痉挛或挛缩畸形。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材质：实木、多层板。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结构形式：分指板、弹力带、脚轮。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5B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E1A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8A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14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平衡双杠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77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BC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规格：≥335×112×78～122cm,高度调节范围78～122cm,宽度调节范围34～64cm，杠杆直径≥￠38mm，杠杆静载荷不小于135kg，矫正板坡度15°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用途：借助上肢帮助进行步态训练，矫正行走中的足外翻、髋外展，增加行走的稳定性。适合于骨关节、神经系统疾病患者及老年人的步态训练。练习中杠的高度和宽度可根据每个患者情况进行调节。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材质：不锈钢、型钢静电喷塑、实木、复合板、地毯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E7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A8F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BC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66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适老化椅子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F8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8E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尺寸：≥525*580*860mm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1、实木框架：采用进口橡胶木，木质细腻、具有较良好的总体强度性能，良好的抗震力，顶部有扶手孔，方便老人走路时借力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2、扶手：S型设计，拼接边角处采用倒圆工艺。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3、靠背坐垫：布艺：优质国产面料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海绵：软硬适中，防止引起臀尖疼痛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油漆：巴德士净味油漆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50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r>
      <w:tr w14:paraId="006C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104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1ED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手动病床（单摇）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5E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832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1、总长：2165±10mm。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2、总宽：1000±10mm。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3、床面长：1950±10mm。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4、床面宽：900±5mm。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5、床面离地高度：500±5mm。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6、摇杆系统实现背板角度：0-70°±3°。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7、床体最大安全工作负荷：≥220kg。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8、床板：床面板采用一次冲压钢板床板，自带透气孔，床板厚度≥1.0mm。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9、床板两侧到床板压点的距离需＞100mm，防止病人侧躺手握床板时夹手。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10、床体采用“静电粉末喷涂”工艺，防止金属管生锈，保持床体美观耐用。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11、床架采用优质碳钢焊接而成，床架规格：≥60*40*1.2mm。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12、脚轮：5寸静音脚轮每个脚轮可单独制动，脚轮具有防缠绕功能。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13、手摇螺杆：折叠收缩式手摇柄，有过摇保护装置。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14、床头床尾板：①abs床头床尾板。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②两侧有防撞板。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③两侧设计有便于扶握的椭形孔。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④具有自锁卡扣。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⑤床尾外侧配病例卡槽。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15、多用功能：在床体四角设计有4个多功能（输液架）插孔；床体中间下侧有两个多功能挂钩（每侧各一个）。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16、护栏：①六档铝合金护栏。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②Φ19不锈钢双平面圆管立柱，钢制折弯U型关节厚度≥2.0mm，采用销钉铆接。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③底座采用≥30*30*1.0mm的钢制管材。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17、杂物架：在床头或尾底部设有简易杂物架，便于患者放置杂物和各种收纳。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三、床垫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1、尺寸：规格：≥60mm厚，长宽与床相匹配。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2、外套：采用机械强度好；强韧和耐老化好的牛津布制作而成。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3、内芯：内置2公分高弹重质海绵，舒适耐用，不变形。4公分天然椰丝，卫生环保。内芯无臭虫及蜱等虫类及虫卵等害虫。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4、床垫面料具有阻燃性（第三方检测报告）。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四、床头柜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1、整体采用ABS工程塑料制成，易清洁。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2、可拉出式桌板和抽屉，在可拉出式桌板设有放置茶杯和体温计的凹槽。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3、伸缩式抽屉设计，两侧均有可收藏式毛巾架。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4、可以将热水瓶放在柜体内，柜内配有一层隔板。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5、尺寸：≥410*440*720mm。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6、柜子重≤12KG。</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AC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r>
      <w:tr w14:paraId="4FE2F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84C10">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64B1B">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B451">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8FBBD">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C036">
            <w:pPr>
              <w:jc w:val="center"/>
              <w:rPr>
                <w:rFonts w:hint="eastAsia" w:ascii="宋体" w:hAnsi="宋体" w:eastAsia="宋体" w:cs="宋体"/>
                <w:i w:val="0"/>
                <w:iCs w:val="0"/>
                <w:color w:val="000000"/>
                <w:sz w:val="22"/>
                <w:szCs w:val="22"/>
                <w:highlight w:val="none"/>
                <w:u w:val="none"/>
              </w:rPr>
            </w:pPr>
          </w:p>
        </w:tc>
      </w:tr>
      <w:tr w14:paraId="114B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5EDAA">
            <w:pPr>
              <w:jc w:val="center"/>
              <w:rPr>
                <w:rFonts w:hint="eastAsia" w:ascii="宋体" w:hAnsi="宋体" w:eastAsia="宋体" w:cs="宋体"/>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CD6D">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535F">
            <w:pPr>
              <w:jc w:val="center"/>
              <w:rPr>
                <w:rFonts w:hint="eastAsia" w:ascii="宋体" w:hAnsi="宋体" w:eastAsia="宋体" w:cs="宋体"/>
                <w:i w:val="0"/>
                <w:iCs w:val="0"/>
                <w:color w:val="000000"/>
                <w:sz w:val="22"/>
                <w:szCs w:val="22"/>
                <w:highlight w:val="none"/>
                <w:u w:val="none"/>
              </w:rPr>
            </w:pP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48668">
            <w:pPr>
              <w:jc w:val="left"/>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6838">
            <w:pPr>
              <w:jc w:val="center"/>
              <w:rPr>
                <w:rFonts w:hint="eastAsia" w:ascii="宋体" w:hAnsi="宋体" w:eastAsia="宋体" w:cs="宋体"/>
                <w:i w:val="0"/>
                <w:iCs w:val="0"/>
                <w:color w:val="000000"/>
                <w:sz w:val="22"/>
                <w:szCs w:val="22"/>
                <w:highlight w:val="none"/>
                <w:u w:val="none"/>
              </w:rPr>
            </w:pPr>
          </w:p>
        </w:tc>
      </w:tr>
      <w:tr w14:paraId="22FA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F3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00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养老自理床（适老化木床）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E9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ED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1、床身外径尺寸≥2000*1200*500mm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床头尾高度≥950/700mm 侧板宽度400 整体免漆实木颗粒板 床尾设有实木木方扶手 含软包及颗粒板床面，床垫8公分柔软舒适安心。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2、床头柜规格尺寸参考：≥400*400*600mm。整体采用优质颗粒压缩板材料，产品无异味，美观大方，不易变形，长期使用不会出现掉漆，起皮等现象。床头柜由柜体、面盖、柜门、抽屉等组成。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3E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14:paraId="053D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15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8C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坐式移位机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24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F47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一、产品规格: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产品外形尺寸：≥长800*宽530*高960-1150mm（含扶手）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座面内径尺寸：≥长440*宽400mm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座面升降高度：480-670mm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底座高度：≤130mm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底座离地间隙：≤70mm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二、产品材料: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底座采用≥40*60*3.0mm优质矩形钢管；升降立柱外管直径为≥40mm，内管直径为≥30mm，厚度为≥3.0mm，座椅框架为直径≥25mm圆管，整体焊接制成，焊接牢靠，焊接处平整光滑，坚固耐用，表面烤漆处理，无刮痕，无毛刺，无棱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2.靠背采用一次成型PE塑料垫，座板采用两块一次成型ABS座垫，耐褪色，耐老化，耐腐蚀易清洁。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三、功能配置：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1.高度调节为液压升降，可适配不同床型高度；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2.座椅可手动左右分别展开60°，成开放式，方便被护理人乘坐。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3.座便功能，座下设置可拆卸便盆支架及便盆，也可取下便盆支架移位马桶如厕。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4.扶手两侧分别设计输液架插座。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5.配置≥4个3寸万向静音脚轮，后轮为带刹车脚轮。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AA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bl>
    <w:p w14:paraId="538FD105">
      <w:pPr>
        <w:pStyle w:val="44"/>
        <w:ind w:firstLine="241"/>
        <w:rPr>
          <w:rFonts w:hint="eastAsia" w:ascii="宋体" w:hAnsi="宋体" w:eastAsia="宋体" w:cs="宋体"/>
          <w:b/>
          <w:bCs/>
          <w:sz w:val="24"/>
          <w:szCs w:val="24"/>
          <w:highlight w:val="none"/>
        </w:rPr>
      </w:pPr>
    </w:p>
    <w:p w14:paraId="24A096B9">
      <w:pPr>
        <w:pStyle w:val="44"/>
        <w:ind w:firstLine="24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注：1、</w:t>
      </w:r>
      <w:r>
        <w:rPr>
          <w:rFonts w:hint="eastAsia" w:ascii="宋体" w:hAnsi="宋体" w:eastAsia="宋体" w:cs="宋体"/>
          <w:b/>
          <w:bCs/>
          <w:sz w:val="24"/>
          <w:szCs w:val="24"/>
          <w:highlight w:val="none"/>
          <w:lang w:eastAsia="zh-CN"/>
        </w:rPr>
        <w:t>如有跟本产品有关的其他配置，需配套供应，直至设备能正常使用为准。</w:t>
      </w:r>
    </w:p>
    <w:p w14:paraId="6229AD40">
      <w:pPr>
        <w:pStyle w:val="44"/>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未尽事宜，执行国家、省相关政策文件。</w:t>
      </w:r>
    </w:p>
    <w:p w14:paraId="0AF01233">
      <w:pPr>
        <w:pStyle w:val="44"/>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、跟本项目相关的其他要求，成交供应商按采购人实际规定为准。</w:t>
      </w:r>
    </w:p>
    <w:p w14:paraId="12AF13B8">
      <w:pPr>
        <w:rPr>
          <w:rStyle w:val="61"/>
          <w:rFonts w:hint="eastAsia" w:ascii="宋体" w:hAnsi="宋体" w:cs="宋体"/>
          <w:highlight w:val="none"/>
        </w:rPr>
        <w:sectPr>
          <w:pgSz w:w="11911" w:h="16838"/>
          <w:pgMar w:top="1134" w:right="1689" w:bottom="1440" w:left="1689" w:header="720" w:footer="720" w:gutter="0"/>
          <w:cols w:space="720" w:num="1"/>
        </w:sectPr>
      </w:pPr>
    </w:p>
    <w:bookmarkEnd w:id="136"/>
    <w:bookmarkEnd w:id="137"/>
    <w:p w14:paraId="3B820CEB">
      <w:pPr>
        <w:pStyle w:val="2"/>
        <w:numPr>
          <w:ilvl w:val="0"/>
          <w:numId w:val="5"/>
        </w:numPr>
        <w:rPr>
          <w:rStyle w:val="61"/>
          <w:rFonts w:hint="eastAsia" w:ascii="宋体" w:hAnsi="宋体" w:cs="宋体"/>
          <w:b/>
          <w:bCs/>
          <w:highlight w:val="none"/>
        </w:rPr>
      </w:pPr>
      <w:bookmarkStart w:id="138" w:name="_Toc28515"/>
      <w:bookmarkStart w:id="139" w:name="_Toc5092"/>
      <w:r>
        <w:rPr>
          <w:rStyle w:val="61"/>
          <w:rFonts w:hint="eastAsia" w:ascii="宋体" w:hAnsi="宋体" w:cs="宋体"/>
          <w:b/>
          <w:bCs/>
          <w:highlight w:val="none"/>
        </w:rPr>
        <w:t>合同条款</w:t>
      </w:r>
      <w:bookmarkEnd w:id="138"/>
    </w:p>
    <w:p w14:paraId="07367348">
      <w:pPr>
        <w:pStyle w:val="2"/>
        <w:numPr>
          <w:ilvl w:val="0"/>
          <w:numId w:val="0"/>
        </w:numPr>
        <w:rPr>
          <w:rStyle w:val="61"/>
          <w:rFonts w:hint="eastAsia" w:ascii="宋体" w:hAnsi="宋体" w:cs="宋体"/>
          <w:highlight w:val="none"/>
        </w:rPr>
      </w:pPr>
      <w:r>
        <w:rPr>
          <w:rStyle w:val="61"/>
          <w:rFonts w:hint="eastAsia" w:ascii="宋体" w:hAnsi="宋体" w:cs="宋体"/>
          <w:highlight w:val="none"/>
        </w:rPr>
        <w:t>（格式仅供参考，</w:t>
      </w:r>
      <w:r>
        <w:rPr>
          <w:rFonts w:hint="eastAsia" w:ascii="宋体" w:hAnsi="宋体" w:cs="宋体"/>
          <w:highlight w:val="none"/>
        </w:rPr>
        <w:t>以实际签订为准，不做评审依据</w:t>
      </w:r>
      <w:r>
        <w:rPr>
          <w:rStyle w:val="61"/>
          <w:rFonts w:hint="eastAsia" w:ascii="宋体" w:hAnsi="宋体" w:cs="宋体"/>
          <w:highlight w:val="none"/>
        </w:rPr>
        <w:t>）</w:t>
      </w:r>
      <w:bookmarkEnd w:id="139"/>
    </w:p>
    <w:p w14:paraId="4EF157D0">
      <w:pPr>
        <w:ind w:right="26"/>
        <w:rPr>
          <w:rFonts w:hint="eastAsia" w:ascii="宋体" w:hAnsi="宋体" w:cs="宋体"/>
          <w:szCs w:val="21"/>
          <w:highlight w:val="none"/>
        </w:rPr>
      </w:pPr>
      <w:bookmarkStart w:id="140" w:name="_Toc22163"/>
      <w:bookmarkStart w:id="141" w:name="_Toc21006"/>
    </w:p>
    <w:p w14:paraId="1BC2AB6B">
      <w:pPr>
        <w:spacing w:line="420" w:lineRule="auto"/>
        <w:rPr>
          <w:rFonts w:hint="eastAsia" w:ascii="宋体" w:hAnsi="宋体" w:cs="宋体"/>
          <w:szCs w:val="21"/>
          <w:highlight w:val="none"/>
        </w:rPr>
      </w:pPr>
      <w:r>
        <w:rPr>
          <w:rFonts w:hint="eastAsia" w:ascii="宋体" w:hAnsi="宋体" w:cs="宋体"/>
          <w:szCs w:val="21"/>
          <w:highlight w:val="none"/>
        </w:rPr>
        <w:t>合同编号：</w:t>
      </w:r>
    </w:p>
    <w:p w14:paraId="1636EE15">
      <w:pPr>
        <w:spacing w:line="420" w:lineRule="auto"/>
        <w:rPr>
          <w:rFonts w:hint="eastAsia" w:ascii="宋体" w:hAnsi="宋体" w:cs="宋体"/>
          <w:szCs w:val="21"/>
          <w:highlight w:val="none"/>
        </w:rPr>
      </w:pPr>
      <w:r>
        <w:rPr>
          <w:rFonts w:hint="eastAsia" w:ascii="宋体" w:hAnsi="宋体" w:cs="宋体"/>
          <w:szCs w:val="21"/>
          <w:highlight w:val="none"/>
        </w:rPr>
        <w:t>签订地点：</w:t>
      </w:r>
    </w:p>
    <w:p w14:paraId="545856AC">
      <w:pPr>
        <w:spacing w:line="420" w:lineRule="auto"/>
        <w:rPr>
          <w:rFonts w:hint="eastAsia" w:ascii="宋体" w:hAnsi="宋体" w:cs="宋体"/>
          <w:szCs w:val="21"/>
          <w:highlight w:val="none"/>
        </w:rPr>
      </w:pPr>
      <w:r>
        <w:rPr>
          <w:rFonts w:hint="eastAsia" w:ascii="宋体" w:hAnsi="宋体" w:cs="宋体"/>
          <w:szCs w:val="21"/>
          <w:highlight w:val="none"/>
        </w:rPr>
        <w:t>签订时间：</w:t>
      </w:r>
    </w:p>
    <w:p w14:paraId="5C01E36B">
      <w:pPr>
        <w:spacing w:line="420" w:lineRule="auto"/>
        <w:rPr>
          <w:rFonts w:hint="eastAsia" w:ascii="宋体" w:hAnsi="宋体" w:cs="宋体"/>
          <w:szCs w:val="21"/>
          <w:highlight w:val="none"/>
        </w:rPr>
      </w:pPr>
      <w:r>
        <w:rPr>
          <w:rFonts w:hint="eastAsia" w:ascii="宋体" w:hAnsi="宋体" w:cs="宋体"/>
          <w:szCs w:val="21"/>
          <w:highlight w:val="none"/>
        </w:rPr>
        <w:t>采购人（甲方）：</w:t>
      </w:r>
    </w:p>
    <w:p w14:paraId="4F7E5F08">
      <w:pPr>
        <w:spacing w:line="420" w:lineRule="auto"/>
        <w:rPr>
          <w:rFonts w:hint="eastAsia" w:ascii="宋体" w:hAnsi="宋体" w:cs="宋体"/>
          <w:szCs w:val="21"/>
          <w:highlight w:val="none"/>
        </w:rPr>
      </w:pPr>
      <w:r>
        <w:rPr>
          <w:rFonts w:hint="eastAsia" w:ascii="宋体" w:hAnsi="宋体" w:cs="宋体"/>
          <w:szCs w:val="21"/>
          <w:highlight w:val="none"/>
        </w:rPr>
        <w:t>供应商（乙方）：</w:t>
      </w:r>
    </w:p>
    <w:p w14:paraId="3E10839B">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中华人民共和国民法典》及《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1A95B903">
      <w:pPr>
        <w:numPr>
          <w:ilvl w:val="0"/>
          <w:numId w:val="6"/>
        </w:numPr>
        <w:spacing w:line="420" w:lineRule="auto"/>
        <w:rPr>
          <w:rFonts w:hint="eastAsia" w:ascii="宋体" w:hAnsi="宋体" w:cs="宋体"/>
          <w:b/>
          <w:szCs w:val="21"/>
          <w:highlight w:val="none"/>
        </w:rPr>
      </w:pPr>
      <w:r>
        <w:rPr>
          <w:rFonts w:hint="eastAsia" w:ascii="宋体" w:hAnsi="宋体" w:cs="宋体"/>
          <w:b/>
          <w:szCs w:val="21"/>
          <w:highlight w:val="none"/>
        </w:rPr>
        <w:t>合同货物</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821"/>
        <w:gridCol w:w="738"/>
        <w:gridCol w:w="1276"/>
        <w:gridCol w:w="1134"/>
        <w:gridCol w:w="1134"/>
        <w:gridCol w:w="1523"/>
      </w:tblGrid>
      <w:tr w14:paraId="0877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1526" w:type="dxa"/>
            <w:vAlign w:val="center"/>
          </w:tcPr>
          <w:p w14:paraId="7CE76A8C">
            <w:pPr>
              <w:spacing w:line="420" w:lineRule="auto"/>
              <w:jc w:val="center"/>
              <w:rPr>
                <w:rFonts w:hint="eastAsia" w:ascii="宋体" w:hAnsi="宋体" w:cs="宋体"/>
                <w:szCs w:val="21"/>
                <w:highlight w:val="none"/>
              </w:rPr>
            </w:pPr>
            <w:r>
              <w:rPr>
                <w:rFonts w:hint="eastAsia" w:ascii="宋体" w:hAnsi="宋体" w:cs="宋体"/>
                <w:szCs w:val="21"/>
                <w:highlight w:val="none"/>
              </w:rPr>
              <w:t>货物品名</w:t>
            </w:r>
          </w:p>
        </w:tc>
        <w:tc>
          <w:tcPr>
            <w:tcW w:w="1134" w:type="dxa"/>
            <w:vAlign w:val="center"/>
          </w:tcPr>
          <w:p w14:paraId="54EF817B">
            <w:pPr>
              <w:spacing w:line="420" w:lineRule="auto"/>
              <w:jc w:val="center"/>
              <w:rPr>
                <w:rFonts w:hint="eastAsia" w:ascii="宋体" w:hAnsi="宋体" w:cs="宋体"/>
                <w:szCs w:val="21"/>
                <w:highlight w:val="none"/>
              </w:rPr>
            </w:pPr>
            <w:r>
              <w:rPr>
                <w:rFonts w:hint="eastAsia" w:ascii="宋体" w:hAnsi="宋体" w:cs="宋体"/>
                <w:szCs w:val="21"/>
                <w:highlight w:val="none"/>
              </w:rPr>
              <w:t>规格型号</w:t>
            </w:r>
          </w:p>
        </w:tc>
        <w:tc>
          <w:tcPr>
            <w:tcW w:w="821" w:type="dxa"/>
            <w:vAlign w:val="center"/>
          </w:tcPr>
          <w:p w14:paraId="03473902">
            <w:pPr>
              <w:spacing w:line="420" w:lineRule="auto"/>
              <w:jc w:val="center"/>
              <w:rPr>
                <w:rFonts w:hint="eastAsia" w:ascii="宋体" w:hAnsi="宋体" w:cs="宋体"/>
                <w:szCs w:val="21"/>
                <w:highlight w:val="none"/>
              </w:rPr>
            </w:pPr>
            <w:r>
              <w:rPr>
                <w:rFonts w:hint="eastAsia" w:ascii="宋体" w:hAnsi="宋体" w:cs="宋体"/>
                <w:szCs w:val="21"/>
                <w:highlight w:val="none"/>
              </w:rPr>
              <w:t>单位</w:t>
            </w:r>
          </w:p>
        </w:tc>
        <w:tc>
          <w:tcPr>
            <w:tcW w:w="738" w:type="dxa"/>
            <w:vAlign w:val="center"/>
          </w:tcPr>
          <w:p w14:paraId="5E62B5BA">
            <w:pPr>
              <w:spacing w:line="420" w:lineRule="auto"/>
              <w:jc w:val="center"/>
              <w:rPr>
                <w:rFonts w:hint="eastAsia" w:ascii="宋体" w:hAnsi="宋体" w:cs="宋体"/>
                <w:szCs w:val="21"/>
                <w:highlight w:val="none"/>
              </w:rPr>
            </w:pPr>
            <w:r>
              <w:rPr>
                <w:rFonts w:hint="eastAsia" w:ascii="宋体" w:hAnsi="宋体" w:cs="宋体"/>
                <w:szCs w:val="21"/>
                <w:highlight w:val="none"/>
              </w:rPr>
              <w:t>数量</w:t>
            </w:r>
          </w:p>
        </w:tc>
        <w:tc>
          <w:tcPr>
            <w:tcW w:w="1276" w:type="dxa"/>
            <w:vAlign w:val="center"/>
          </w:tcPr>
          <w:p w14:paraId="0BE27CAA">
            <w:pPr>
              <w:spacing w:line="420" w:lineRule="auto"/>
              <w:jc w:val="center"/>
              <w:rPr>
                <w:rFonts w:hint="eastAsia" w:ascii="宋体" w:hAnsi="宋体" w:cs="宋体"/>
                <w:szCs w:val="21"/>
                <w:highlight w:val="none"/>
              </w:rPr>
            </w:pPr>
            <w:r>
              <w:rPr>
                <w:rFonts w:hint="eastAsia" w:ascii="宋体" w:hAnsi="宋体" w:cs="宋体"/>
                <w:szCs w:val="21"/>
                <w:highlight w:val="none"/>
              </w:rPr>
              <w:t>单价       （万元）</w:t>
            </w:r>
          </w:p>
        </w:tc>
        <w:tc>
          <w:tcPr>
            <w:tcW w:w="1134" w:type="dxa"/>
            <w:vAlign w:val="center"/>
          </w:tcPr>
          <w:p w14:paraId="0AD532F1">
            <w:pPr>
              <w:spacing w:line="420" w:lineRule="auto"/>
              <w:jc w:val="center"/>
              <w:rPr>
                <w:rFonts w:hint="eastAsia" w:ascii="宋体" w:hAnsi="宋体" w:cs="宋体"/>
                <w:szCs w:val="21"/>
                <w:highlight w:val="none"/>
              </w:rPr>
            </w:pPr>
            <w:r>
              <w:rPr>
                <w:rFonts w:hint="eastAsia" w:ascii="宋体" w:hAnsi="宋体" w:cs="宋体"/>
                <w:szCs w:val="21"/>
                <w:highlight w:val="none"/>
              </w:rPr>
              <w:t>总价         （万元）</w:t>
            </w:r>
          </w:p>
        </w:tc>
        <w:tc>
          <w:tcPr>
            <w:tcW w:w="1134" w:type="dxa"/>
            <w:vAlign w:val="center"/>
          </w:tcPr>
          <w:p w14:paraId="30100F55">
            <w:pPr>
              <w:spacing w:line="420" w:lineRule="auto"/>
              <w:jc w:val="center"/>
              <w:rPr>
                <w:rFonts w:hint="eastAsia" w:ascii="宋体" w:hAnsi="宋体" w:cs="宋体"/>
                <w:szCs w:val="21"/>
                <w:highlight w:val="none"/>
              </w:rPr>
            </w:pPr>
            <w:r>
              <w:rPr>
                <w:rFonts w:hint="eastAsia" w:ascii="宋体" w:hAnsi="宋体" w:cs="宋体"/>
                <w:szCs w:val="21"/>
                <w:highlight w:val="none"/>
              </w:rPr>
              <w:t>随机配件</w:t>
            </w:r>
          </w:p>
        </w:tc>
        <w:tc>
          <w:tcPr>
            <w:tcW w:w="1523" w:type="dxa"/>
            <w:vAlign w:val="center"/>
          </w:tcPr>
          <w:p w14:paraId="73290A2A">
            <w:pPr>
              <w:spacing w:line="420" w:lineRule="auto"/>
              <w:jc w:val="center"/>
              <w:rPr>
                <w:rFonts w:hint="eastAsia" w:ascii="宋体" w:hAnsi="宋体" w:cs="宋体"/>
                <w:szCs w:val="21"/>
                <w:highlight w:val="none"/>
              </w:rPr>
            </w:pPr>
            <w:r>
              <w:rPr>
                <w:rFonts w:hint="eastAsia" w:ascii="宋体" w:hAnsi="宋体" w:cs="宋体"/>
                <w:szCs w:val="21"/>
                <w:highlight w:val="none"/>
              </w:rPr>
              <w:t>供货及安装周期</w:t>
            </w:r>
          </w:p>
        </w:tc>
      </w:tr>
      <w:tr w14:paraId="3B4F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1526" w:type="dxa"/>
            <w:vAlign w:val="center"/>
          </w:tcPr>
          <w:p w14:paraId="7B2881AF">
            <w:pPr>
              <w:spacing w:line="420" w:lineRule="auto"/>
              <w:jc w:val="center"/>
              <w:rPr>
                <w:rFonts w:hint="eastAsia" w:ascii="宋体" w:hAnsi="宋体" w:cs="宋体"/>
                <w:szCs w:val="21"/>
                <w:highlight w:val="none"/>
              </w:rPr>
            </w:pPr>
          </w:p>
        </w:tc>
        <w:tc>
          <w:tcPr>
            <w:tcW w:w="1134" w:type="dxa"/>
            <w:vAlign w:val="center"/>
          </w:tcPr>
          <w:p w14:paraId="5C040D69">
            <w:pPr>
              <w:spacing w:line="420" w:lineRule="auto"/>
              <w:jc w:val="center"/>
              <w:rPr>
                <w:rFonts w:hint="eastAsia" w:ascii="宋体" w:hAnsi="宋体" w:cs="宋体"/>
                <w:szCs w:val="21"/>
                <w:highlight w:val="none"/>
              </w:rPr>
            </w:pPr>
          </w:p>
        </w:tc>
        <w:tc>
          <w:tcPr>
            <w:tcW w:w="821" w:type="dxa"/>
            <w:vAlign w:val="center"/>
          </w:tcPr>
          <w:p w14:paraId="22835248">
            <w:pPr>
              <w:spacing w:line="420" w:lineRule="auto"/>
              <w:jc w:val="center"/>
              <w:rPr>
                <w:rFonts w:hint="eastAsia" w:ascii="宋体" w:hAnsi="宋体" w:cs="宋体"/>
                <w:szCs w:val="21"/>
                <w:highlight w:val="none"/>
              </w:rPr>
            </w:pPr>
          </w:p>
        </w:tc>
        <w:tc>
          <w:tcPr>
            <w:tcW w:w="738" w:type="dxa"/>
            <w:vAlign w:val="center"/>
          </w:tcPr>
          <w:p w14:paraId="22F86588">
            <w:pPr>
              <w:spacing w:line="420" w:lineRule="auto"/>
              <w:jc w:val="center"/>
              <w:rPr>
                <w:rFonts w:hint="eastAsia" w:ascii="宋体" w:hAnsi="宋体" w:cs="宋体"/>
                <w:szCs w:val="21"/>
                <w:highlight w:val="none"/>
              </w:rPr>
            </w:pPr>
          </w:p>
        </w:tc>
        <w:tc>
          <w:tcPr>
            <w:tcW w:w="1276" w:type="dxa"/>
            <w:vAlign w:val="center"/>
          </w:tcPr>
          <w:p w14:paraId="2E5BCFEC">
            <w:pPr>
              <w:spacing w:line="420" w:lineRule="auto"/>
              <w:jc w:val="center"/>
              <w:rPr>
                <w:rFonts w:hint="eastAsia" w:ascii="宋体" w:hAnsi="宋体" w:cs="宋体"/>
                <w:szCs w:val="21"/>
                <w:highlight w:val="none"/>
              </w:rPr>
            </w:pPr>
          </w:p>
        </w:tc>
        <w:tc>
          <w:tcPr>
            <w:tcW w:w="1134" w:type="dxa"/>
            <w:vAlign w:val="center"/>
          </w:tcPr>
          <w:p w14:paraId="13446F72">
            <w:pPr>
              <w:spacing w:line="420" w:lineRule="auto"/>
              <w:jc w:val="center"/>
              <w:rPr>
                <w:rFonts w:hint="eastAsia" w:ascii="宋体" w:hAnsi="宋体" w:cs="宋体"/>
                <w:szCs w:val="21"/>
                <w:highlight w:val="none"/>
              </w:rPr>
            </w:pPr>
          </w:p>
        </w:tc>
        <w:tc>
          <w:tcPr>
            <w:tcW w:w="1134" w:type="dxa"/>
            <w:vAlign w:val="center"/>
          </w:tcPr>
          <w:p w14:paraId="437432AB">
            <w:pPr>
              <w:spacing w:line="420" w:lineRule="auto"/>
              <w:jc w:val="center"/>
              <w:rPr>
                <w:rFonts w:hint="eastAsia" w:ascii="宋体" w:hAnsi="宋体" w:cs="宋体"/>
                <w:szCs w:val="21"/>
                <w:highlight w:val="none"/>
              </w:rPr>
            </w:pPr>
          </w:p>
        </w:tc>
        <w:tc>
          <w:tcPr>
            <w:tcW w:w="1523" w:type="dxa"/>
            <w:vAlign w:val="center"/>
          </w:tcPr>
          <w:p w14:paraId="5BC8A42F">
            <w:pPr>
              <w:spacing w:line="420" w:lineRule="auto"/>
              <w:jc w:val="center"/>
              <w:rPr>
                <w:rFonts w:hint="eastAsia" w:ascii="宋体" w:hAnsi="宋体" w:cs="宋体"/>
                <w:szCs w:val="21"/>
                <w:highlight w:val="none"/>
              </w:rPr>
            </w:pPr>
          </w:p>
        </w:tc>
      </w:tr>
      <w:tr w14:paraId="1D9C2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526" w:type="dxa"/>
            <w:vAlign w:val="center"/>
          </w:tcPr>
          <w:p w14:paraId="74C724B1">
            <w:pPr>
              <w:spacing w:line="420" w:lineRule="auto"/>
              <w:jc w:val="center"/>
              <w:rPr>
                <w:rFonts w:hint="eastAsia" w:ascii="宋体" w:hAnsi="宋体" w:cs="宋体"/>
                <w:szCs w:val="21"/>
                <w:highlight w:val="none"/>
              </w:rPr>
            </w:pPr>
          </w:p>
        </w:tc>
        <w:tc>
          <w:tcPr>
            <w:tcW w:w="1134" w:type="dxa"/>
            <w:vAlign w:val="center"/>
          </w:tcPr>
          <w:p w14:paraId="16D79004">
            <w:pPr>
              <w:spacing w:line="420" w:lineRule="auto"/>
              <w:jc w:val="center"/>
              <w:rPr>
                <w:rFonts w:hint="eastAsia" w:ascii="宋体" w:hAnsi="宋体" w:cs="宋体"/>
                <w:szCs w:val="21"/>
                <w:highlight w:val="none"/>
              </w:rPr>
            </w:pPr>
          </w:p>
        </w:tc>
        <w:tc>
          <w:tcPr>
            <w:tcW w:w="821" w:type="dxa"/>
            <w:vAlign w:val="center"/>
          </w:tcPr>
          <w:p w14:paraId="66BCAAB7">
            <w:pPr>
              <w:spacing w:line="420" w:lineRule="auto"/>
              <w:jc w:val="center"/>
              <w:rPr>
                <w:rFonts w:hint="eastAsia" w:ascii="宋体" w:hAnsi="宋体" w:cs="宋体"/>
                <w:szCs w:val="21"/>
                <w:highlight w:val="none"/>
              </w:rPr>
            </w:pPr>
          </w:p>
        </w:tc>
        <w:tc>
          <w:tcPr>
            <w:tcW w:w="738" w:type="dxa"/>
            <w:vAlign w:val="center"/>
          </w:tcPr>
          <w:p w14:paraId="6EEE1056">
            <w:pPr>
              <w:spacing w:line="420" w:lineRule="auto"/>
              <w:jc w:val="center"/>
              <w:rPr>
                <w:rFonts w:hint="eastAsia" w:ascii="宋体" w:hAnsi="宋体" w:cs="宋体"/>
                <w:szCs w:val="21"/>
                <w:highlight w:val="none"/>
              </w:rPr>
            </w:pPr>
          </w:p>
        </w:tc>
        <w:tc>
          <w:tcPr>
            <w:tcW w:w="1276" w:type="dxa"/>
            <w:vAlign w:val="center"/>
          </w:tcPr>
          <w:p w14:paraId="3DF595A0">
            <w:pPr>
              <w:spacing w:line="420" w:lineRule="auto"/>
              <w:jc w:val="center"/>
              <w:rPr>
                <w:rFonts w:hint="eastAsia" w:ascii="宋体" w:hAnsi="宋体" w:cs="宋体"/>
                <w:szCs w:val="21"/>
                <w:highlight w:val="none"/>
              </w:rPr>
            </w:pPr>
          </w:p>
        </w:tc>
        <w:tc>
          <w:tcPr>
            <w:tcW w:w="1134" w:type="dxa"/>
            <w:vAlign w:val="center"/>
          </w:tcPr>
          <w:p w14:paraId="1179E1A3">
            <w:pPr>
              <w:spacing w:line="420" w:lineRule="auto"/>
              <w:jc w:val="center"/>
              <w:rPr>
                <w:rFonts w:hint="eastAsia" w:ascii="宋体" w:hAnsi="宋体" w:cs="宋体"/>
                <w:szCs w:val="21"/>
                <w:highlight w:val="none"/>
              </w:rPr>
            </w:pPr>
          </w:p>
        </w:tc>
        <w:tc>
          <w:tcPr>
            <w:tcW w:w="1134" w:type="dxa"/>
            <w:vAlign w:val="center"/>
          </w:tcPr>
          <w:p w14:paraId="0BD1DAC6">
            <w:pPr>
              <w:spacing w:line="420" w:lineRule="auto"/>
              <w:jc w:val="center"/>
              <w:rPr>
                <w:rFonts w:hint="eastAsia" w:ascii="宋体" w:hAnsi="宋体" w:cs="宋体"/>
                <w:szCs w:val="21"/>
                <w:highlight w:val="none"/>
              </w:rPr>
            </w:pPr>
          </w:p>
        </w:tc>
        <w:tc>
          <w:tcPr>
            <w:tcW w:w="1523" w:type="dxa"/>
            <w:vAlign w:val="center"/>
          </w:tcPr>
          <w:p w14:paraId="0CC28605">
            <w:pPr>
              <w:spacing w:line="420" w:lineRule="auto"/>
              <w:jc w:val="center"/>
              <w:rPr>
                <w:rFonts w:hint="eastAsia" w:ascii="宋体" w:hAnsi="宋体" w:cs="宋体"/>
                <w:szCs w:val="21"/>
                <w:highlight w:val="none"/>
              </w:rPr>
            </w:pPr>
          </w:p>
        </w:tc>
      </w:tr>
    </w:tbl>
    <w:p w14:paraId="0ABBA027">
      <w:pPr>
        <w:numPr>
          <w:ilvl w:val="0"/>
          <w:numId w:val="6"/>
        </w:numPr>
        <w:spacing w:line="420" w:lineRule="auto"/>
        <w:rPr>
          <w:rFonts w:hint="eastAsia" w:ascii="宋体" w:hAnsi="宋体" w:cs="宋体"/>
          <w:b/>
          <w:szCs w:val="21"/>
          <w:highlight w:val="none"/>
        </w:rPr>
      </w:pPr>
      <w:r>
        <w:rPr>
          <w:rFonts w:hint="eastAsia" w:ascii="宋体" w:hAnsi="宋体" w:cs="宋体"/>
          <w:b/>
          <w:szCs w:val="21"/>
          <w:highlight w:val="none"/>
        </w:rPr>
        <w:t>合同总价</w:t>
      </w:r>
    </w:p>
    <w:p w14:paraId="5AFBB3CF">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合同总价为人民币大写：</w:t>
      </w:r>
      <w:r>
        <w:rPr>
          <w:rFonts w:hint="eastAsia" w:ascii="宋体" w:hAnsi="宋体" w:cs="宋体"/>
          <w:szCs w:val="21"/>
          <w:highlight w:val="none"/>
          <w:u w:val="single"/>
        </w:rPr>
        <w:t xml:space="preserve">                </w:t>
      </w:r>
      <w:r>
        <w:rPr>
          <w:rFonts w:hint="eastAsia" w:ascii="宋体" w:hAnsi="宋体" w:cs="宋体"/>
          <w:szCs w:val="21"/>
          <w:highlight w:val="none"/>
        </w:rPr>
        <w:t>元 ， 即 RMB￥</w:t>
      </w:r>
      <w:r>
        <w:rPr>
          <w:rFonts w:hint="eastAsia" w:ascii="宋体" w:hAnsi="宋体" w:cs="宋体"/>
          <w:szCs w:val="21"/>
          <w:highlight w:val="none"/>
          <w:u w:val="single"/>
        </w:rPr>
        <w:t xml:space="preserve">            </w:t>
      </w:r>
      <w:r>
        <w:rPr>
          <w:rFonts w:hint="eastAsia" w:ascii="宋体" w:hAnsi="宋体" w:cs="宋体"/>
          <w:szCs w:val="21"/>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52DFC85">
      <w:pPr>
        <w:rPr>
          <w:rFonts w:hint="eastAsia" w:ascii="宋体" w:hAnsi="宋体" w:cs="宋体"/>
          <w:szCs w:val="21"/>
          <w:highlight w:val="none"/>
        </w:rPr>
      </w:pPr>
    </w:p>
    <w:p w14:paraId="503D3882">
      <w:pPr>
        <w:numPr>
          <w:ilvl w:val="0"/>
          <w:numId w:val="6"/>
        </w:numPr>
        <w:spacing w:line="420" w:lineRule="auto"/>
        <w:rPr>
          <w:rFonts w:hint="eastAsia" w:ascii="宋体" w:hAnsi="宋体" w:cs="宋体"/>
          <w:b/>
          <w:szCs w:val="21"/>
          <w:highlight w:val="none"/>
        </w:rPr>
      </w:pPr>
      <w:r>
        <w:rPr>
          <w:rFonts w:hint="eastAsia" w:ascii="宋体" w:hAnsi="宋体" w:cs="宋体"/>
          <w:b/>
          <w:szCs w:val="21"/>
          <w:highlight w:val="none"/>
        </w:rPr>
        <w:t>质量要求</w:t>
      </w:r>
    </w:p>
    <w:p w14:paraId="57ADA3EC">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1、乙方须提供全新的货物（含零部件、配件等），表面无划伤、无碰撞痕迹，且权属清楚，不得侵害他人的知识产权。</w:t>
      </w:r>
    </w:p>
    <w:p w14:paraId="3B7686A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2、货物必须符合或优于国家（行业）标准，以及本项目采购文件的质量要求和技术指标与出厂标准。</w:t>
      </w:r>
    </w:p>
    <w:p w14:paraId="4D17858F">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1A6BAC33">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4、货物制造质量出现问题，乙方应负责三包（包修、包换、包退），费用由乙方负担，甲方有权到乙方生产场地检查货物质量和生产进度。</w:t>
      </w:r>
    </w:p>
    <w:p w14:paraId="2FB9CD9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5、货到现场后由于甲方保管不当造成的质量问题，乙方亦应负责修理，但费用由甲方负担。</w:t>
      </w:r>
    </w:p>
    <w:p w14:paraId="060FC729">
      <w:pPr>
        <w:numPr>
          <w:ilvl w:val="0"/>
          <w:numId w:val="6"/>
        </w:numPr>
        <w:spacing w:line="420" w:lineRule="auto"/>
        <w:rPr>
          <w:rFonts w:hint="eastAsia" w:ascii="宋体" w:hAnsi="宋体" w:cs="宋体"/>
          <w:b/>
          <w:szCs w:val="21"/>
          <w:highlight w:val="none"/>
        </w:rPr>
      </w:pPr>
      <w:r>
        <w:rPr>
          <w:rFonts w:hint="eastAsia" w:ascii="宋体" w:hAnsi="宋体" w:cs="宋体"/>
          <w:b/>
          <w:szCs w:val="21"/>
          <w:highlight w:val="none"/>
        </w:rPr>
        <w:t>交货及验收</w:t>
      </w:r>
    </w:p>
    <w:p w14:paraId="26582C1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1、乙方供货及安装周期限为合同签订生效后的</w:t>
      </w:r>
      <w:r>
        <w:rPr>
          <w:rFonts w:hint="eastAsia" w:ascii="宋体" w:hAnsi="宋体" w:cs="宋体"/>
          <w:szCs w:val="21"/>
          <w:highlight w:val="none"/>
          <w:u w:val="single"/>
        </w:rPr>
        <w:t xml:space="preserve">    </w:t>
      </w:r>
      <w:r>
        <w:rPr>
          <w:rFonts w:hint="eastAsia" w:ascii="宋体" w:hAnsi="宋体" w:cs="宋体"/>
          <w:szCs w:val="21"/>
          <w:highlight w:val="none"/>
        </w:rPr>
        <w:t>日内，在合同签订生效之日起</w:t>
      </w:r>
      <w:r>
        <w:rPr>
          <w:rFonts w:hint="eastAsia" w:ascii="宋体" w:hAnsi="宋体" w:cs="宋体"/>
          <w:i/>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天内交货到甲方指定地点，随即在</w:t>
      </w:r>
      <w:r>
        <w:rPr>
          <w:rFonts w:hint="eastAsia" w:ascii="宋体" w:hAnsi="宋体" w:cs="宋体"/>
          <w:szCs w:val="21"/>
          <w:highlight w:val="none"/>
          <w:u w:val="single"/>
        </w:rPr>
        <w:t xml:space="preserve">     </w:t>
      </w:r>
      <w:r>
        <w:rPr>
          <w:rFonts w:hint="eastAsia" w:ascii="宋体" w:hAnsi="宋体" w:cs="宋体"/>
          <w:szCs w:val="21"/>
          <w:highlight w:val="none"/>
        </w:rPr>
        <w:t>日内全部完成安装调试验收合格交付使用，并且最迟应在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前全部完成安装调试验收合格交付使用(如由于采购人的原因造成合同延迟签订或验收的，时间顺延)。交货验收时须提供产品质检部门从同类产品中抽样检查合格的检测报告,并持有上级部门出具的无缝对接书面证明材料。</w:t>
      </w:r>
    </w:p>
    <w:p w14:paraId="1F9F362F">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2、验收由甲方组织，乙方配合进行：</w:t>
      </w:r>
    </w:p>
    <w:p w14:paraId="39EE70C8">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 货物在乙方通知安装调试完毕后日内初步验收。初步验收合格后，进入试用期；试用期间发生重大质量问题，修复后试用相应顺延；试用期结束后日内完成最终验收；</w:t>
      </w:r>
    </w:p>
    <w:p w14:paraId="0B697BFB">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 验收标准：按国家有关规定以及甲方采购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8C5FF0F">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ED6C91B">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(4) 如质量验收合格，双方签署质量验收报告。</w:t>
      </w:r>
    </w:p>
    <w:p w14:paraId="60EDBE7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3、货物安装完成后</w:t>
      </w:r>
      <w:r>
        <w:rPr>
          <w:rFonts w:hint="eastAsia" w:ascii="宋体" w:hAnsi="宋体" w:cs="宋体"/>
          <w:szCs w:val="21"/>
          <w:highlight w:val="none"/>
          <w:u w:val="single"/>
        </w:rPr>
        <w:t xml:space="preserve">    </w:t>
      </w:r>
      <w:r>
        <w:rPr>
          <w:rFonts w:hint="eastAsia" w:ascii="宋体" w:hAnsi="宋体" w:cs="宋体"/>
          <w:szCs w:val="21"/>
          <w:highlight w:val="none"/>
        </w:rPr>
        <w:t>日内，甲方无故不进行验收工作并已使用货物的，视同已安装调试完成并验收合格。</w:t>
      </w:r>
    </w:p>
    <w:p w14:paraId="1BAFC048">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4、乙方应将所提供货物的装箱清单、配件、随机工具、用户使用手册、原厂保修卡等资料交付给甲方；乙方不能完整交付货物及本款规定的单证和工具的，必须负责补齐，否则视为未按合同约定交货。</w:t>
      </w:r>
    </w:p>
    <w:p w14:paraId="40704BB8">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5、如货物经乙方次维修仍不能达到合同约定的质量标准，甲方有权退货，并视作乙方不能交付货物而须支付违约赔偿金给甲方，甲方还可依法追究乙方的违约责任。</w:t>
      </w:r>
    </w:p>
    <w:p w14:paraId="2F15A936">
      <w:pPr>
        <w:numPr>
          <w:ilvl w:val="0"/>
          <w:numId w:val="6"/>
        </w:numPr>
        <w:spacing w:line="420" w:lineRule="auto"/>
        <w:rPr>
          <w:rFonts w:hint="eastAsia" w:ascii="宋体" w:hAnsi="宋体" w:cs="宋体"/>
          <w:b/>
          <w:szCs w:val="21"/>
          <w:highlight w:val="none"/>
        </w:rPr>
      </w:pPr>
      <w:r>
        <w:rPr>
          <w:rFonts w:hint="eastAsia" w:ascii="宋体" w:hAnsi="宋体" w:cs="宋体"/>
          <w:b/>
          <w:szCs w:val="21"/>
          <w:highlight w:val="none"/>
        </w:rPr>
        <w:t>付款方式</w:t>
      </w:r>
    </w:p>
    <w:p w14:paraId="6D094E83">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1、按采购文件规定的付款方式付款。</w:t>
      </w:r>
    </w:p>
    <w:p w14:paraId="1915E5E3">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2、乙方须向甲方出具合法有效完整的完税发票及凭证资料进行支付结算。</w:t>
      </w:r>
    </w:p>
    <w:p w14:paraId="7820F753">
      <w:pPr>
        <w:numPr>
          <w:ilvl w:val="0"/>
          <w:numId w:val="6"/>
        </w:numPr>
        <w:spacing w:line="420" w:lineRule="auto"/>
        <w:rPr>
          <w:rFonts w:hint="eastAsia" w:ascii="宋体" w:hAnsi="宋体" w:cs="宋体"/>
          <w:b/>
          <w:szCs w:val="21"/>
          <w:highlight w:val="none"/>
        </w:rPr>
      </w:pPr>
      <w:r>
        <w:rPr>
          <w:rFonts w:hint="eastAsia" w:ascii="宋体" w:hAnsi="宋体" w:cs="宋体"/>
          <w:b/>
          <w:szCs w:val="21"/>
          <w:highlight w:val="none"/>
        </w:rPr>
        <w:t>售后服务</w:t>
      </w:r>
    </w:p>
    <w:p w14:paraId="23BD1E65">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1、产品质保期为</w:t>
      </w:r>
      <w:r>
        <w:rPr>
          <w:rFonts w:hint="eastAsia" w:ascii="宋体" w:hAnsi="宋体" w:cs="宋体"/>
          <w:szCs w:val="21"/>
          <w:highlight w:val="none"/>
          <w:u w:val="single"/>
        </w:rPr>
        <w:t xml:space="preserve">        </w:t>
      </w:r>
      <w:r>
        <w:rPr>
          <w:rFonts w:hint="eastAsia" w:ascii="宋体" w:hAnsi="宋体" w:cs="宋体"/>
          <w:szCs w:val="21"/>
          <w:highlight w:val="none"/>
        </w:rPr>
        <w:t>，质保期内出现质量问题，乙方在接到通知后 8 小时内响应到场，24 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14:paraId="2943CA41">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2、乙方须指派专人负责与甲方联系售后服务事宜。</w:t>
      </w:r>
    </w:p>
    <w:p w14:paraId="28B2F6FB">
      <w:pPr>
        <w:numPr>
          <w:ilvl w:val="0"/>
          <w:numId w:val="6"/>
        </w:numPr>
        <w:spacing w:line="420" w:lineRule="auto"/>
        <w:rPr>
          <w:rFonts w:hint="eastAsia" w:ascii="宋体" w:hAnsi="宋体" w:cs="宋体"/>
          <w:b/>
          <w:szCs w:val="21"/>
          <w:highlight w:val="none"/>
        </w:rPr>
      </w:pPr>
      <w:r>
        <w:rPr>
          <w:rFonts w:hint="eastAsia" w:ascii="宋体" w:hAnsi="宋体" w:cs="宋体"/>
          <w:b/>
          <w:szCs w:val="21"/>
          <w:highlight w:val="none"/>
        </w:rPr>
        <w:t>违约责任</w:t>
      </w:r>
    </w:p>
    <w:p w14:paraId="74B9CD14">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1、甲方违约责任</w:t>
      </w:r>
    </w:p>
    <w:p w14:paraId="16FD669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（1）甲方无正当理由拒收货物的，甲方应偿付合同总价百分之</w:t>
      </w:r>
      <w:r>
        <w:rPr>
          <w:rFonts w:hint="eastAsia" w:ascii="宋体" w:hAnsi="宋体" w:cs="宋体"/>
          <w:szCs w:val="21"/>
          <w:highlight w:val="none"/>
          <w:u w:val="single"/>
        </w:rPr>
        <w:t xml:space="preserve">    </w:t>
      </w:r>
      <w:r>
        <w:rPr>
          <w:rFonts w:hint="eastAsia" w:ascii="宋体" w:hAnsi="宋体" w:cs="宋体"/>
          <w:szCs w:val="21"/>
          <w:highlight w:val="none"/>
        </w:rPr>
        <w:t>的违约金；</w:t>
      </w:r>
    </w:p>
    <w:p w14:paraId="1254642D">
      <w:pPr>
        <w:spacing w:line="420" w:lineRule="auto"/>
        <w:ind w:left="120" w:leftChars="57" w:firstLine="315" w:firstLineChars="150"/>
        <w:rPr>
          <w:rFonts w:hint="eastAsia" w:ascii="宋体" w:hAnsi="宋体" w:cs="宋体"/>
          <w:szCs w:val="21"/>
          <w:highlight w:val="none"/>
        </w:rPr>
      </w:pPr>
      <w:r>
        <w:rPr>
          <w:rFonts w:hint="eastAsia" w:ascii="宋体" w:hAnsi="宋体" w:cs="宋体"/>
          <w:szCs w:val="21"/>
          <w:highlight w:val="none"/>
        </w:rPr>
        <w:t>（2）甲方逾期支付货款的，除应及时付足货款外，应向乙方偿付欠款总额万分之</w:t>
      </w:r>
      <w:r>
        <w:rPr>
          <w:rFonts w:hint="eastAsia" w:ascii="宋体" w:hAnsi="宋体" w:cs="宋体"/>
          <w:szCs w:val="21"/>
          <w:highlight w:val="none"/>
          <w:u w:val="single"/>
        </w:rPr>
        <w:t xml:space="preserve">   </w:t>
      </w:r>
      <w:r>
        <w:rPr>
          <w:rFonts w:hint="eastAsia" w:ascii="宋体" w:hAnsi="宋体" w:cs="宋体"/>
          <w:szCs w:val="21"/>
          <w:highlight w:val="none"/>
        </w:rPr>
        <w:t>/天的违约金；逾期付款超过</w:t>
      </w:r>
      <w:r>
        <w:rPr>
          <w:rFonts w:hint="eastAsia" w:ascii="宋体" w:hAnsi="宋体" w:cs="宋体"/>
          <w:szCs w:val="21"/>
          <w:highlight w:val="none"/>
          <w:u w:val="single"/>
        </w:rPr>
        <w:t xml:space="preserve">    </w:t>
      </w:r>
      <w:r>
        <w:rPr>
          <w:rFonts w:hint="eastAsia" w:ascii="宋体" w:hAnsi="宋体" w:cs="宋体"/>
          <w:szCs w:val="21"/>
          <w:highlight w:val="none"/>
        </w:rPr>
        <w:t>天的，乙方有权终止合同；</w:t>
      </w:r>
    </w:p>
    <w:p w14:paraId="4A93DF39">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（3）甲方偿付的违约金不足以弥补乙方损失的，还应按乙方损失尚未弥补的部分，支付赔偿金给乙方。</w:t>
      </w:r>
    </w:p>
    <w:p w14:paraId="25E7757C">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2、乙方违约责任</w:t>
      </w:r>
    </w:p>
    <w:p w14:paraId="3B92DF7A">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（1）乙方交付的货物质量不符合合同规定的，乙方应向甲方支付合同总价的百分之</w:t>
      </w:r>
      <w:r>
        <w:rPr>
          <w:rFonts w:hint="eastAsia" w:ascii="宋体" w:hAnsi="宋体" w:cs="宋体"/>
          <w:szCs w:val="21"/>
          <w:highlight w:val="none"/>
          <w:u w:val="single"/>
        </w:rPr>
        <w:t xml:space="preserve">    </w:t>
      </w:r>
      <w:r>
        <w:rPr>
          <w:rFonts w:hint="eastAsia" w:ascii="宋体" w:hAnsi="宋体" w:cs="宋体"/>
          <w:szCs w:val="21"/>
          <w:highlight w:val="none"/>
        </w:rPr>
        <w:t>的违约金，并须在合同规定的交货时间内更换合格的货物给甲方，否则，视作乙方不能交付货物而违约，按本条本款下述第“（2）”项规定由乙方偿付违约赔偿金给甲方。</w:t>
      </w:r>
    </w:p>
    <w:p w14:paraId="0C942576">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（2）乙方不能交付货物或逾期交付货物而违约的，除应及时交足货物外，应向甲方偿付逾期交货部分货款总额的万分之</w:t>
      </w:r>
      <w:r>
        <w:rPr>
          <w:rFonts w:hint="eastAsia" w:ascii="宋体" w:hAnsi="宋体" w:cs="宋体"/>
          <w:szCs w:val="21"/>
          <w:highlight w:val="none"/>
          <w:u w:val="single"/>
        </w:rPr>
        <w:t xml:space="preserve">    </w:t>
      </w:r>
      <w:r>
        <w:rPr>
          <w:rFonts w:hint="eastAsia" w:ascii="宋体" w:hAnsi="宋体" w:cs="宋体"/>
          <w:szCs w:val="21"/>
          <w:highlight w:val="none"/>
        </w:rPr>
        <w:t>/天的违约金；逾期交货超过</w:t>
      </w:r>
      <w:r>
        <w:rPr>
          <w:rFonts w:hint="eastAsia" w:ascii="宋体" w:hAnsi="宋体" w:cs="宋体"/>
          <w:szCs w:val="21"/>
          <w:highlight w:val="none"/>
          <w:u w:val="single"/>
        </w:rPr>
        <w:t xml:space="preserve">    </w:t>
      </w:r>
      <w:r>
        <w:rPr>
          <w:rFonts w:hint="eastAsia" w:ascii="宋体" w:hAnsi="宋体" w:cs="宋体"/>
          <w:szCs w:val="21"/>
          <w:highlight w:val="none"/>
        </w:rPr>
        <w:t>天，甲方有权终止合同，乙方则应按合同总价的百分之的款额向甲方偿付赔偿金，并须全额退还甲方已经付给乙方的货款及其利息。</w:t>
      </w:r>
    </w:p>
    <w:p w14:paraId="2A6DE70D">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s="宋体"/>
          <w:szCs w:val="21"/>
          <w:highlight w:val="none"/>
          <w:u w:val="single"/>
        </w:rPr>
        <w:t xml:space="preserve">     </w:t>
      </w:r>
      <w:r>
        <w:rPr>
          <w:rFonts w:hint="eastAsia" w:ascii="宋体" w:hAnsi="宋体" w:cs="宋体"/>
          <w:szCs w:val="21"/>
          <w:highlight w:val="none"/>
        </w:rPr>
        <w:t>天内无条件更换合格的货物，如逾期不能更换合格的货物，甲方有权终止本合同，乙方应另付合同总价的百分之</w:t>
      </w:r>
      <w:r>
        <w:rPr>
          <w:rFonts w:hint="eastAsia" w:ascii="宋体" w:hAnsi="宋体" w:cs="宋体"/>
          <w:szCs w:val="21"/>
          <w:highlight w:val="none"/>
          <w:u w:val="single"/>
        </w:rPr>
        <w:t xml:space="preserve">    </w:t>
      </w:r>
      <w:r>
        <w:rPr>
          <w:rFonts w:hint="eastAsia" w:ascii="宋体" w:hAnsi="宋体" w:cs="宋体"/>
          <w:szCs w:val="21"/>
          <w:highlight w:val="none"/>
        </w:rPr>
        <w:t>的赔偿金给甲方。</w:t>
      </w:r>
    </w:p>
    <w:p w14:paraId="5545A6A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cs="宋体"/>
          <w:szCs w:val="21"/>
          <w:highlight w:val="none"/>
          <w:u w:val="single"/>
        </w:rPr>
        <w:t xml:space="preserve">    </w:t>
      </w:r>
      <w:r>
        <w:rPr>
          <w:rFonts w:hint="eastAsia" w:ascii="宋体" w:hAnsi="宋体" w:cs="宋体"/>
          <w:szCs w:val="21"/>
          <w:highlight w:val="none"/>
        </w:rPr>
        <w:t>向甲方支付违约金并赔偿因此给甲方造成的一切损失。</w:t>
      </w:r>
    </w:p>
    <w:p w14:paraId="6C163E36">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（5）乙方偿付的违约金不足以弥补甲方损失的，还应按甲方损失尚未弥补的部分，支付赔偿金给甲方。</w:t>
      </w:r>
    </w:p>
    <w:p w14:paraId="2C5D81A6">
      <w:pPr>
        <w:pStyle w:val="47"/>
        <w:rPr>
          <w:rFonts w:hint="eastAsia" w:ascii="宋体" w:hAnsi="宋体" w:cs="宋体"/>
          <w:szCs w:val="21"/>
          <w:highlight w:val="none"/>
        </w:rPr>
      </w:pPr>
    </w:p>
    <w:p w14:paraId="1A4383AA">
      <w:pPr>
        <w:numPr>
          <w:ilvl w:val="0"/>
          <w:numId w:val="6"/>
        </w:numPr>
        <w:spacing w:line="420" w:lineRule="auto"/>
        <w:rPr>
          <w:rFonts w:hint="eastAsia" w:ascii="宋体" w:hAnsi="宋体" w:cs="宋体"/>
          <w:b/>
          <w:szCs w:val="21"/>
          <w:highlight w:val="none"/>
        </w:rPr>
      </w:pPr>
      <w:r>
        <w:rPr>
          <w:rFonts w:hint="eastAsia" w:ascii="宋体" w:hAnsi="宋体" w:cs="宋体"/>
          <w:b/>
          <w:szCs w:val="21"/>
          <w:highlight w:val="none"/>
        </w:rPr>
        <w:t>争议解决办法</w:t>
      </w:r>
    </w:p>
    <w:p w14:paraId="2B1ED9BD">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1、因货物的质量问题发生争议，由质量技术监督部门或其指定的质量鉴定机构进行质量鉴定。货物符合标准的，鉴定费由甲方承担；货物不符合质量标准的，鉴定费由乙方承担。</w:t>
      </w:r>
    </w:p>
    <w:p w14:paraId="5993FE5A">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2、合同履行期间,若双方发生争议，可协商或由有关部门调解解决，协商或调解不成的，由当事人依法维护其合法权益。</w:t>
      </w:r>
    </w:p>
    <w:p w14:paraId="1D91A29B">
      <w:pPr>
        <w:numPr>
          <w:ilvl w:val="0"/>
          <w:numId w:val="6"/>
        </w:numPr>
        <w:spacing w:line="420" w:lineRule="auto"/>
        <w:rPr>
          <w:rFonts w:hint="eastAsia" w:ascii="宋体" w:hAnsi="宋体" w:cs="宋体"/>
          <w:b/>
          <w:szCs w:val="21"/>
          <w:highlight w:val="none"/>
        </w:rPr>
      </w:pPr>
      <w:r>
        <w:rPr>
          <w:rFonts w:hint="eastAsia" w:ascii="宋体" w:hAnsi="宋体" w:cs="宋体"/>
          <w:b/>
          <w:szCs w:val="21"/>
          <w:highlight w:val="none"/>
        </w:rPr>
        <w:t>其他</w:t>
      </w:r>
    </w:p>
    <w:p w14:paraId="7717DAF7">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1、如有未尽事宜，由双方依法订立补充合同。</w:t>
      </w:r>
    </w:p>
    <w:p w14:paraId="69381A95">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2、合同正本 2 份，副本 4 份；甲方 1 正 2 副，乙方 1 正 2 副 </w:t>
      </w:r>
    </w:p>
    <w:p w14:paraId="2860B2DA">
      <w:pPr>
        <w:spacing w:line="420" w:lineRule="auto"/>
        <w:ind w:firstLine="420" w:firstLineChars="200"/>
        <w:rPr>
          <w:rFonts w:hint="eastAsia" w:ascii="宋体" w:hAnsi="宋体" w:cs="宋体"/>
          <w:szCs w:val="21"/>
          <w:highlight w:val="none"/>
        </w:rPr>
      </w:pPr>
    </w:p>
    <w:p w14:paraId="20BA1E2D">
      <w:pPr>
        <w:spacing w:line="420" w:lineRule="auto"/>
        <w:ind w:firstLine="420" w:firstLineChars="200"/>
        <w:rPr>
          <w:rFonts w:hint="eastAsia" w:ascii="宋体" w:hAnsi="宋体" w:cs="宋体"/>
          <w:szCs w:val="21"/>
          <w:highlight w:val="none"/>
        </w:rPr>
      </w:pPr>
    </w:p>
    <w:p w14:paraId="1F247B0B">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甲方： （盖章）                         乙方：（盖章）</w:t>
      </w:r>
    </w:p>
    <w:p w14:paraId="55910E8A">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法定代表人（授权代表）：                法定代表人（授权代表）：</w:t>
      </w:r>
    </w:p>
    <w:p w14:paraId="38E7B127">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地址：                                  地址：</w:t>
      </w:r>
    </w:p>
    <w:p w14:paraId="2B840A06">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开户银行：                              开户银行：</w:t>
      </w:r>
    </w:p>
    <w:p w14:paraId="03814E64">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账号：                                  账号：</w:t>
      </w:r>
    </w:p>
    <w:p w14:paraId="12A90D6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电话：                                  电话：</w:t>
      </w:r>
    </w:p>
    <w:p w14:paraId="7A72D471">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传真：                                  传真：</w:t>
      </w:r>
    </w:p>
    <w:p w14:paraId="224CF893">
      <w:pPr>
        <w:ind w:right="26"/>
        <w:rPr>
          <w:rFonts w:hint="eastAsia" w:ascii="宋体" w:hAnsi="宋体" w:cs="宋体"/>
          <w:sz w:val="24"/>
          <w:highlight w:val="none"/>
        </w:rPr>
      </w:pPr>
      <w:r>
        <w:rPr>
          <w:rFonts w:hint="eastAsia" w:ascii="宋体" w:hAnsi="宋体" w:cs="宋体"/>
          <w:szCs w:val="21"/>
          <w:highlight w:val="none"/>
        </w:rPr>
        <w:t>签约日期： 年 月 日                     签约日期： 年 月 日</w:t>
      </w:r>
    </w:p>
    <w:p w14:paraId="7DE8ED40">
      <w:pPr>
        <w:pStyle w:val="44"/>
        <w:ind w:firstLine="0" w:firstLineChars="0"/>
        <w:rPr>
          <w:rFonts w:hint="eastAsia" w:ascii="宋体" w:hAnsi="宋体" w:eastAsia="宋体" w:cs="宋体"/>
          <w:sz w:val="21"/>
          <w:highlight w:val="none"/>
        </w:rPr>
      </w:pPr>
    </w:p>
    <w:p w14:paraId="6BE2A5E3">
      <w:pPr>
        <w:pStyle w:val="2"/>
        <w:numPr>
          <w:ilvl w:val="0"/>
          <w:numId w:val="0"/>
        </w:numPr>
        <w:ind w:firstLine="640" w:firstLineChars="200"/>
        <w:jc w:val="left"/>
        <w:rPr>
          <w:rFonts w:hint="eastAsia" w:ascii="宋体" w:hAnsi="宋体" w:cs="宋体"/>
          <w:highlight w:val="none"/>
        </w:rPr>
      </w:pPr>
    </w:p>
    <w:p w14:paraId="7102D632">
      <w:pPr>
        <w:rPr>
          <w:rFonts w:hint="eastAsia" w:ascii="宋体" w:hAnsi="宋体" w:cs="宋体"/>
          <w:highlight w:val="none"/>
        </w:rPr>
      </w:pPr>
    </w:p>
    <w:p w14:paraId="14E02930">
      <w:pPr>
        <w:pStyle w:val="47"/>
        <w:rPr>
          <w:rFonts w:hint="eastAsia" w:ascii="宋体" w:hAnsi="宋体" w:cs="宋体"/>
          <w:highlight w:val="none"/>
        </w:rPr>
      </w:pPr>
    </w:p>
    <w:p w14:paraId="7698D500">
      <w:pPr>
        <w:pStyle w:val="47"/>
        <w:rPr>
          <w:rFonts w:hint="eastAsia" w:ascii="宋体" w:hAnsi="宋体" w:cs="宋体"/>
          <w:highlight w:val="none"/>
        </w:rPr>
      </w:pPr>
    </w:p>
    <w:p w14:paraId="6030548A">
      <w:pPr>
        <w:pStyle w:val="47"/>
        <w:rPr>
          <w:rFonts w:hint="eastAsia" w:ascii="宋体" w:hAnsi="宋体" w:cs="宋体"/>
          <w:highlight w:val="none"/>
        </w:rPr>
      </w:pPr>
    </w:p>
    <w:p w14:paraId="39280F92">
      <w:pPr>
        <w:pStyle w:val="47"/>
        <w:rPr>
          <w:rFonts w:hint="eastAsia" w:ascii="宋体" w:hAnsi="宋体" w:cs="宋体"/>
          <w:highlight w:val="none"/>
        </w:rPr>
      </w:pPr>
    </w:p>
    <w:bookmarkEnd w:id="140"/>
    <w:bookmarkEnd w:id="141"/>
    <w:p w14:paraId="50EA1AEC">
      <w:pPr>
        <w:pStyle w:val="2"/>
        <w:numPr>
          <w:ilvl w:val="0"/>
          <w:numId w:val="0"/>
        </w:numPr>
        <w:rPr>
          <w:rFonts w:hint="eastAsia" w:ascii="宋体" w:hAnsi="宋体" w:cs="宋体"/>
          <w:b/>
          <w:bCs/>
          <w:highlight w:val="none"/>
        </w:rPr>
      </w:pPr>
      <w:bookmarkStart w:id="142" w:name="_Toc8695"/>
      <w:r>
        <w:rPr>
          <w:rFonts w:hint="eastAsia" w:ascii="宋体" w:hAnsi="宋体" w:cs="宋体"/>
          <w:b/>
          <w:bCs/>
          <w:highlight w:val="none"/>
        </w:rPr>
        <w:t>第六章</w:t>
      </w:r>
      <w:r>
        <w:rPr>
          <w:rFonts w:hint="eastAsia" w:ascii="宋体" w:hAnsi="宋体" w:cs="宋体"/>
          <w:b/>
          <w:bCs/>
          <w:highlight w:val="none"/>
        </w:rPr>
        <w:tab/>
      </w:r>
      <w:r>
        <w:rPr>
          <w:rFonts w:hint="eastAsia" w:ascii="宋体" w:hAnsi="宋体" w:cs="宋体"/>
          <w:b/>
          <w:bCs/>
          <w:highlight w:val="none"/>
        </w:rPr>
        <w:t>竞争性磋商响应文件格式</w:t>
      </w:r>
      <w:bookmarkEnd w:id="142"/>
    </w:p>
    <w:p w14:paraId="4017A321">
      <w:pPr>
        <w:pStyle w:val="10"/>
        <w:kinsoku w:val="0"/>
        <w:overflowPunct w:val="0"/>
        <w:spacing w:line="240" w:lineRule="auto"/>
        <w:jc w:val="center"/>
        <w:rPr>
          <w:rFonts w:hint="eastAsia" w:ascii="宋体" w:eastAsia="宋体" w:cs="宋体"/>
          <w:b w:val="0"/>
          <w:bCs w:val="0"/>
          <w:spacing w:val="0"/>
          <w:sz w:val="44"/>
          <w:szCs w:val="44"/>
          <w:highlight w:val="none"/>
          <w:u w:val="single"/>
        </w:rPr>
      </w:pPr>
    </w:p>
    <w:p w14:paraId="65DA0932">
      <w:pPr>
        <w:pStyle w:val="10"/>
        <w:kinsoku w:val="0"/>
        <w:overflowPunct w:val="0"/>
        <w:spacing w:line="240" w:lineRule="auto"/>
        <w:jc w:val="center"/>
        <w:rPr>
          <w:rFonts w:hint="eastAsia" w:ascii="宋体" w:eastAsia="宋体" w:cs="宋体"/>
          <w:b w:val="0"/>
          <w:bCs w:val="0"/>
          <w:spacing w:val="0"/>
          <w:sz w:val="44"/>
          <w:szCs w:val="44"/>
          <w:highlight w:val="none"/>
          <w:u w:val="single"/>
        </w:rPr>
      </w:pPr>
    </w:p>
    <w:p w14:paraId="789FA5B1">
      <w:pPr>
        <w:pStyle w:val="10"/>
        <w:kinsoku w:val="0"/>
        <w:overflowPunct w:val="0"/>
        <w:spacing w:line="240" w:lineRule="auto"/>
        <w:jc w:val="center"/>
        <w:rPr>
          <w:rFonts w:hint="eastAsia" w:ascii="宋体" w:eastAsia="宋体" w:cs="宋体"/>
          <w:b w:val="0"/>
          <w:bCs w:val="0"/>
          <w:spacing w:val="0"/>
          <w:sz w:val="44"/>
          <w:szCs w:val="44"/>
          <w:highlight w:val="none"/>
          <w:u w:val="single"/>
        </w:rPr>
      </w:pPr>
    </w:p>
    <w:p w14:paraId="1FA47209">
      <w:pPr>
        <w:pStyle w:val="10"/>
        <w:kinsoku w:val="0"/>
        <w:overflowPunct w:val="0"/>
        <w:spacing w:line="240" w:lineRule="auto"/>
        <w:jc w:val="center"/>
        <w:rPr>
          <w:rFonts w:hint="eastAsia" w:ascii="宋体" w:eastAsia="宋体" w:cs="宋体"/>
          <w:b w:val="0"/>
          <w:bCs w:val="0"/>
          <w:spacing w:val="0"/>
          <w:sz w:val="44"/>
          <w:szCs w:val="44"/>
          <w:highlight w:val="none"/>
          <w:u w:val="single"/>
        </w:rPr>
      </w:pPr>
      <w:r>
        <w:rPr>
          <w:rFonts w:hint="eastAsia" w:ascii="宋体" w:eastAsia="宋体" w:cs="宋体"/>
          <w:b w:val="0"/>
          <w:bCs w:val="0"/>
          <w:spacing w:val="0"/>
          <w:sz w:val="44"/>
          <w:szCs w:val="44"/>
          <w:highlight w:val="none"/>
          <w:u w:val="single"/>
        </w:rPr>
        <w:t>荥阳市卫生健康委员会彩票公益金支持的医养结合建设项目（“郑州华卓医院（荥阳市东元颐养公寓）项目”和“荥阳市王村卫生院医养结合项目”）项目（设备购置）项目</w:t>
      </w:r>
      <w:r>
        <w:rPr>
          <w:rFonts w:hint="eastAsia" w:ascii="宋体" w:eastAsia="宋体" w:cs="宋体"/>
          <w:b w:val="0"/>
          <w:bCs w:val="0"/>
          <w:spacing w:val="0"/>
          <w:sz w:val="44"/>
          <w:szCs w:val="44"/>
          <w:highlight w:val="none"/>
        </w:rPr>
        <w:t>（项目名称）</w:t>
      </w:r>
    </w:p>
    <w:p w14:paraId="02B78B21">
      <w:pPr>
        <w:pStyle w:val="10"/>
        <w:kinsoku w:val="0"/>
        <w:overflowPunct w:val="0"/>
        <w:rPr>
          <w:rFonts w:hint="eastAsia" w:ascii="宋体" w:eastAsia="宋体" w:cs="宋体"/>
          <w:sz w:val="48"/>
          <w:highlight w:val="none"/>
        </w:rPr>
      </w:pPr>
    </w:p>
    <w:p w14:paraId="56612BE2">
      <w:pPr>
        <w:pStyle w:val="10"/>
        <w:kinsoku w:val="0"/>
        <w:overflowPunct w:val="0"/>
        <w:rPr>
          <w:rFonts w:hint="eastAsia" w:ascii="宋体" w:eastAsia="宋体" w:cs="宋体"/>
          <w:sz w:val="48"/>
          <w:highlight w:val="none"/>
        </w:rPr>
      </w:pPr>
    </w:p>
    <w:p w14:paraId="68DD4E19">
      <w:pPr>
        <w:pStyle w:val="10"/>
        <w:kinsoku w:val="0"/>
        <w:overflowPunct w:val="0"/>
        <w:rPr>
          <w:rFonts w:hint="eastAsia" w:ascii="宋体" w:eastAsia="宋体" w:cs="宋体"/>
          <w:sz w:val="48"/>
          <w:highlight w:val="none"/>
        </w:rPr>
      </w:pPr>
    </w:p>
    <w:p w14:paraId="0D0A137D">
      <w:pPr>
        <w:pStyle w:val="10"/>
        <w:kinsoku w:val="0"/>
        <w:overflowPunct w:val="0"/>
        <w:rPr>
          <w:rFonts w:hint="eastAsia" w:ascii="宋体" w:eastAsia="宋体" w:cs="宋体"/>
          <w:sz w:val="48"/>
          <w:highlight w:val="none"/>
        </w:rPr>
      </w:pPr>
    </w:p>
    <w:p w14:paraId="569A664B">
      <w:pPr>
        <w:pStyle w:val="10"/>
        <w:kinsoku w:val="0"/>
        <w:overflowPunct w:val="0"/>
        <w:rPr>
          <w:rFonts w:hint="eastAsia" w:ascii="宋体" w:eastAsia="宋体" w:cs="宋体"/>
          <w:sz w:val="48"/>
          <w:highlight w:val="none"/>
        </w:rPr>
      </w:pPr>
    </w:p>
    <w:p w14:paraId="7C533AD0">
      <w:pPr>
        <w:pStyle w:val="10"/>
        <w:kinsoku w:val="0"/>
        <w:overflowPunct w:val="0"/>
        <w:rPr>
          <w:rFonts w:hint="eastAsia" w:ascii="宋体" w:eastAsia="宋体" w:cs="宋体"/>
          <w:sz w:val="48"/>
          <w:highlight w:val="none"/>
        </w:rPr>
      </w:pPr>
    </w:p>
    <w:p w14:paraId="20042929">
      <w:pPr>
        <w:pStyle w:val="10"/>
        <w:kinsoku w:val="0"/>
        <w:overflowPunct w:val="0"/>
        <w:rPr>
          <w:rFonts w:hint="eastAsia" w:ascii="宋体" w:eastAsia="宋体" w:cs="宋体"/>
          <w:sz w:val="63"/>
          <w:highlight w:val="none"/>
        </w:rPr>
      </w:pPr>
    </w:p>
    <w:p w14:paraId="5AABDD70">
      <w:pPr>
        <w:jc w:val="center"/>
        <w:rPr>
          <w:rFonts w:hint="eastAsia" w:ascii="宋体" w:hAnsi="宋体" w:cs="宋体"/>
          <w:sz w:val="48"/>
          <w:szCs w:val="56"/>
          <w:highlight w:val="none"/>
        </w:rPr>
      </w:pPr>
      <w:r>
        <w:rPr>
          <w:rFonts w:hint="eastAsia" w:ascii="宋体" w:hAnsi="宋体" w:cs="宋体"/>
          <w:sz w:val="44"/>
          <w:szCs w:val="44"/>
          <w:highlight w:val="none"/>
        </w:rPr>
        <w:t>竞争性磋商响应文件</w:t>
      </w:r>
    </w:p>
    <w:p w14:paraId="0E5AFFD6">
      <w:pPr>
        <w:jc w:val="center"/>
        <w:rPr>
          <w:rFonts w:hint="eastAsia" w:ascii="宋体" w:hAnsi="宋体" w:cs="宋体"/>
          <w:sz w:val="36"/>
          <w:szCs w:val="44"/>
          <w:highlight w:val="none"/>
        </w:rPr>
      </w:pPr>
    </w:p>
    <w:p w14:paraId="541568AB">
      <w:pPr>
        <w:pStyle w:val="24"/>
        <w:ind w:firstLine="240"/>
        <w:rPr>
          <w:rFonts w:hint="eastAsia" w:ascii="宋体" w:hAnsi="宋体" w:cs="宋体"/>
          <w:highlight w:val="none"/>
        </w:rPr>
      </w:pPr>
    </w:p>
    <w:p w14:paraId="545D3D3D">
      <w:pPr>
        <w:ind w:firstLine="2730" w:firstLineChars="1300"/>
        <w:rPr>
          <w:rFonts w:hint="eastAsia" w:ascii="宋体" w:hAnsi="宋体" w:cs="宋体"/>
          <w:highlight w:val="none"/>
        </w:rPr>
      </w:pPr>
      <w:r>
        <w:rPr>
          <w:rFonts w:hint="eastAsia" w:ascii="宋体" w:hAnsi="宋体" w:cs="宋体"/>
          <w:highlight w:val="none"/>
        </w:rPr>
        <w:t>采购项目编号：</w:t>
      </w:r>
    </w:p>
    <w:p w14:paraId="3107525D">
      <w:pPr>
        <w:pStyle w:val="25"/>
        <w:ind w:firstLine="2310" w:firstLineChars="1100"/>
        <w:rPr>
          <w:rFonts w:hint="eastAsia" w:eastAsia="宋体"/>
          <w:color w:val="auto"/>
          <w:highlight w:val="none"/>
          <w:lang w:eastAsia="zh-CN"/>
        </w:rPr>
      </w:pPr>
      <w:r>
        <w:rPr>
          <w:rFonts w:hint="eastAsia" w:ascii="宋体" w:hAnsi="宋体" w:cs="宋体"/>
          <w:color w:val="auto"/>
          <w:highlight w:val="none"/>
          <w:lang w:eastAsia="zh-CN"/>
        </w:rPr>
        <w:t>标</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段：</w:t>
      </w:r>
    </w:p>
    <w:p w14:paraId="18033430">
      <w:pPr>
        <w:rPr>
          <w:rFonts w:hint="eastAsia" w:ascii="宋体" w:hAnsi="宋体" w:cs="宋体"/>
          <w:highlight w:val="none"/>
        </w:rPr>
      </w:pPr>
    </w:p>
    <w:p w14:paraId="4DF5E5E9">
      <w:pPr>
        <w:pStyle w:val="10"/>
        <w:tabs>
          <w:tab w:val="left" w:pos="4938"/>
          <w:tab w:val="left" w:pos="5418"/>
        </w:tabs>
        <w:kinsoku w:val="0"/>
        <w:overflowPunct w:val="0"/>
        <w:spacing w:line="240" w:lineRule="auto"/>
        <w:rPr>
          <w:rFonts w:hint="eastAsia" w:ascii="宋体" w:eastAsia="宋体" w:cs="宋体"/>
          <w:spacing w:val="-1"/>
          <w:highlight w:val="none"/>
        </w:rPr>
      </w:pPr>
    </w:p>
    <w:p w14:paraId="6D81F8A1">
      <w:pPr>
        <w:pStyle w:val="10"/>
        <w:tabs>
          <w:tab w:val="left" w:pos="4938"/>
          <w:tab w:val="left" w:pos="5418"/>
        </w:tabs>
        <w:kinsoku w:val="0"/>
        <w:overflowPunct w:val="0"/>
        <w:spacing w:line="240" w:lineRule="auto"/>
        <w:rPr>
          <w:rFonts w:hint="eastAsia" w:ascii="宋体" w:eastAsia="宋体" w:cs="宋体"/>
          <w:spacing w:val="-1"/>
          <w:highlight w:val="none"/>
        </w:rPr>
      </w:pPr>
    </w:p>
    <w:p w14:paraId="2E2C224A">
      <w:pPr>
        <w:pStyle w:val="10"/>
        <w:tabs>
          <w:tab w:val="left" w:pos="4938"/>
          <w:tab w:val="left" w:pos="5418"/>
        </w:tabs>
        <w:kinsoku w:val="0"/>
        <w:overflowPunct w:val="0"/>
        <w:spacing w:line="240" w:lineRule="auto"/>
        <w:rPr>
          <w:rFonts w:hint="eastAsia" w:ascii="宋体" w:eastAsia="宋体" w:cs="宋体"/>
          <w:spacing w:val="-1"/>
          <w:highlight w:val="none"/>
        </w:rPr>
      </w:pPr>
    </w:p>
    <w:p w14:paraId="6608029D">
      <w:pPr>
        <w:pStyle w:val="10"/>
        <w:tabs>
          <w:tab w:val="left" w:pos="4938"/>
          <w:tab w:val="left" w:pos="5418"/>
        </w:tabs>
        <w:kinsoku w:val="0"/>
        <w:overflowPunct w:val="0"/>
        <w:spacing w:line="240" w:lineRule="auto"/>
        <w:rPr>
          <w:rFonts w:hint="eastAsia" w:ascii="宋体" w:eastAsia="宋体" w:cs="宋体"/>
          <w:spacing w:val="-1"/>
          <w:highlight w:val="none"/>
        </w:rPr>
      </w:pPr>
    </w:p>
    <w:p w14:paraId="5C591BC6">
      <w:pPr>
        <w:pStyle w:val="10"/>
        <w:tabs>
          <w:tab w:val="left" w:pos="4938"/>
          <w:tab w:val="left" w:pos="5418"/>
        </w:tabs>
        <w:kinsoku w:val="0"/>
        <w:overflowPunct w:val="0"/>
        <w:spacing w:line="240" w:lineRule="auto"/>
        <w:rPr>
          <w:rFonts w:hint="eastAsia" w:ascii="宋体" w:eastAsia="宋体" w:cs="宋体"/>
          <w:spacing w:val="-1"/>
          <w:highlight w:val="none"/>
        </w:rPr>
      </w:pPr>
    </w:p>
    <w:p w14:paraId="618B537E">
      <w:pPr>
        <w:pStyle w:val="10"/>
        <w:tabs>
          <w:tab w:val="left" w:pos="4938"/>
          <w:tab w:val="left" w:pos="5418"/>
        </w:tabs>
        <w:kinsoku w:val="0"/>
        <w:overflowPunct w:val="0"/>
        <w:spacing w:line="240" w:lineRule="auto"/>
        <w:rPr>
          <w:rFonts w:hint="eastAsia" w:ascii="宋体" w:eastAsia="宋体" w:cs="宋体"/>
          <w:spacing w:val="-1"/>
          <w:highlight w:val="none"/>
        </w:rPr>
      </w:pPr>
    </w:p>
    <w:p w14:paraId="390EFD70">
      <w:pPr>
        <w:pStyle w:val="10"/>
        <w:tabs>
          <w:tab w:val="left" w:pos="4938"/>
          <w:tab w:val="left" w:pos="5418"/>
        </w:tabs>
        <w:kinsoku w:val="0"/>
        <w:overflowPunct w:val="0"/>
        <w:spacing w:line="240" w:lineRule="auto"/>
        <w:rPr>
          <w:rFonts w:hint="eastAsia" w:ascii="宋体" w:eastAsia="宋体" w:cs="宋体"/>
          <w:highlight w:val="none"/>
        </w:rPr>
      </w:pPr>
      <w:r>
        <w:rPr>
          <w:rFonts w:hint="eastAsia" w:ascii="宋体" w:eastAsia="宋体" w:cs="宋体"/>
          <w:spacing w:val="-1"/>
          <w:highlight w:val="none"/>
        </w:rPr>
        <w:t>供应商：</w:t>
      </w:r>
      <w:r>
        <w:rPr>
          <w:rFonts w:hint="eastAsia" w:ascii="宋体" w:eastAsia="宋体" w:cs="宋体"/>
          <w:spacing w:val="-1"/>
          <w:highlight w:val="none"/>
          <w:u w:val="single"/>
        </w:rPr>
        <w:tab/>
      </w:r>
      <w:r>
        <w:rPr>
          <w:rFonts w:hint="eastAsia" w:ascii="宋体" w:eastAsia="宋体" w:cs="宋体"/>
          <w:highlight w:val="none"/>
        </w:rPr>
        <w:t xml:space="preserve">（盖单位章或电子签章） </w:t>
      </w:r>
    </w:p>
    <w:p w14:paraId="0F1D8469">
      <w:pPr>
        <w:pStyle w:val="10"/>
        <w:tabs>
          <w:tab w:val="left" w:pos="4938"/>
          <w:tab w:val="left" w:pos="5418"/>
        </w:tabs>
        <w:kinsoku w:val="0"/>
        <w:overflowPunct w:val="0"/>
        <w:spacing w:line="240" w:lineRule="auto"/>
        <w:rPr>
          <w:rFonts w:hint="eastAsia" w:ascii="宋体" w:eastAsia="宋体" w:cs="宋体"/>
          <w:highlight w:val="none"/>
        </w:rPr>
      </w:pPr>
    </w:p>
    <w:p w14:paraId="7A6D77FF">
      <w:pPr>
        <w:pStyle w:val="10"/>
        <w:tabs>
          <w:tab w:val="left" w:pos="4938"/>
          <w:tab w:val="left" w:pos="5418"/>
        </w:tabs>
        <w:kinsoku w:val="0"/>
        <w:overflowPunct w:val="0"/>
        <w:spacing w:line="240" w:lineRule="auto"/>
        <w:rPr>
          <w:rFonts w:hint="eastAsia" w:ascii="宋体" w:eastAsia="宋体" w:cs="宋体"/>
          <w:highlight w:val="none"/>
        </w:rPr>
      </w:pPr>
      <w:r>
        <w:rPr>
          <w:rFonts w:hint="eastAsia" w:ascii="宋体" w:eastAsia="宋体" w:cs="宋体"/>
          <w:spacing w:val="-1"/>
          <w:highlight w:val="none"/>
        </w:rPr>
        <w:t>供应商法定代表人：</w:t>
      </w:r>
      <w:r>
        <w:rPr>
          <w:rFonts w:hint="eastAsia" w:ascii="宋体" w:eastAsia="宋体" w:cs="宋体"/>
          <w:spacing w:val="-1"/>
          <w:highlight w:val="none"/>
          <w:u w:val="single"/>
        </w:rPr>
        <w:tab/>
      </w:r>
      <w:r>
        <w:rPr>
          <w:rFonts w:hint="eastAsia" w:ascii="宋体" w:eastAsia="宋体" w:cs="宋体"/>
          <w:highlight w:val="none"/>
        </w:rPr>
        <w:t>（签字或盖章或电子签章）</w:t>
      </w:r>
    </w:p>
    <w:p w14:paraId="54A17942">
      <w:pPr>
        <w:pStyle w:val="10"/>
        <w:tabs>
          <w:tab w:val="left" w:pos="733"/>
          <w:tab w:val="left" w:pos="1693"/>
          <w:tab w:val="left" w:pos="2653"/>
        </w:tabs>
        <w:kinsoku w:val="0"/>
        <w:overflowPunct w:val="0"/>
        <w:ind w:left="12"/>
        <w:jc w:val="center"/>
        <w:rPr>
          <w:rFonts w:hint="eastAsia" w:ascii="宋体" w:eastAsia="宋体" w:cs="宋体"/>
          <w:highlight w:val="none"/>
        </w:rPr>
      </w:pPr>
      <w:bookmarkStart w:id="143" w:name="______年______月______日"/>
      <w:bookmarkEnd w:id="143"/>
      <w:r>
        <w:rPr>
          <w:rFonts w:hint="eastAsia" w:ascii="宋体" w:eastAsia="宋体" w:cs="宋体"/>
          <w:highlight w:val="none"/>
          <w:u w:val="single"/>
        </w:rPr>
        <w:t xml:space="preserve"> </w:t>
      </w:r>
      <w:r>
        <w:rPr>
          <w:rFonts w:hint="eastAsia" w:ascii="宋体" w:eastAsia="宋体" w:cs="宋体"/>
          <w:highlight w:val="none"/>
          <w:u w:val="single"/>
        </w:rPr>
        <w:tab/>
      </w:r>
      <w:r>
        <w:rPr>
          <w:rFonts w:hint="eastAsia" w:ascii="宋体" w:eastAsia="宋体" w:cs="宋体"/>
          <w:spacing w:val="-1"/>
          <w:highlight w:val="none"/>
        </w:rPr>
        <w:t>年</w:t>
      </w:r>
      <w:r>
        <w:rPr>
          <w:rFonts w:hint="eastAsia" w:ascii="宋体" w:eastAsia="宋体" w:cs="宋体"/>
          <w:spacing w:val="-1"/>
          <w:highlight w:val="none"/>
          <w:u w:val="single"/>
        </w:rPr>
        <w:tab/>
      </w:r>
      <w:r>
        <w:rPr>
          <w:rFonts w:hint="eastAsia" w:ascii="宋体" w:eastAsia="宋体" w:cs="宋体"/>
          <w:spacing w:val="-1"/>
          <w:highlight w:val="none"/>
        </w:rPr>
        <w:t>月</w:t>
      </w:r>
      <w:r>
        <w:rPr>
          <w:rFonts w:hint="eastAsia" w:ascii="宋体" w:eastAsia="宋体" w:cs="宋体"/>
          <w:spacing w:val="-1"/>
          <w:highlight w:val="none"/>
          <w:u w:val="single"/>
        </w:rPr>
        <w:tab/>
      </w:r>
      <w:r>
        <w:rPr>
          <w:rFonts w:hint="eastAsia" w:ascii="宋体" w:eastAsia="宋体" w:cs="宋体"/>
          <w:highlight w:val="none"/>
        </w:rPr>
        <w:t>日</w:t>
      </w:r>
    </w:p>
    <w:p w14:paraId="51B5AA20">
      <w:pPr>
        <w:pStyle w:val="10"/>
        <w:tabs>
          <w:tab w:val="left" w:pos="733"/>
          <w:tab w:val="left" w:pos="1693"/>
          <w:tab w:val="left" w:pos="2653"/>
        </w:tabs>
        <w:kinsoku w:val="0"/>
        <w:overflowPunct w:val="0"/>
        <w:ind w:left="12"/>
        <w:jc w:val="center"/>
        <w:rPr>
          <w:rFonts w:hint="eastAsia" w:ascii="宋体" w:eastAsia="宋体" w:cs="宋体"/>
          <w:highlight w:val="none"/>
        </w:rPr>
      </w:pPr>
    </w:p>
    <w:p w14:paraId="414C5C9A">
      <w:pPr>
        <w:jc w:val="center"/>
        <w:rPr>
          <w:rFonts w:hint="eastAsia" w:ascii="宋体" w:hAnsi="宋体" w:cs="宋体"/>
          <w:b/>
          <w:w w:val="95"/>
          <w:sz w:val="36"/>
          <w:highlight w:val="none"/>
        </w:rPr>
      </w:pPr>
    </w:p>
    <w:p w14:paraId="298944A8">
      <w:pPr>
        <w:jc w:val="center"/>
        <w:rPr>
          <w:rFonts w:hint="eastAsia" w:ascii="宋体" w:hAnsi="宋体" w:cs="宋体"/>
          <w:b/>
          <w:w w:val="95"/>
          <w:sz w:val="36"/>
          <w:highlight w:val="none"/>
        </w:rPr>
      </w:pPr>
    </w:p>
    <w:p w14:paraId="121BAA2A">
      <w:pPr>
        <w:jc w:val="center"/>
        <w:rPr>
          <w:rFonts w:hint="eastAsia" w:ascii="宋体" w:hAnsi="宋体" w:cs="宋体"/>
          <w:b/>
          <w:sz w:val="36"/>
          <w:highlight w:val="none"/>
        </w:rPr>
      </w:pPr>
      <w:r>
        <w:rPr>
          <w:rFonts w:hint="eastAsia" w:ascii="宋体" w:hAnsi="宋体" w:cs="宋体"/>
          <w:b/>
          <w:w w:val="95"/>
          <w:sz w:val="36"/>
          <w:highlight w:val="none"/>
        </w:rPr>
        <w:t>目</w:t>
      </w:r>
      <w:r>
        <w:rPr>
          <w:rFonts w:hint="eastAsia" w:ascii="宋体" w:hAnsi="宋体" w:cs="宋体"/>
          <w:b/>
          <w:w w:val="95"/>
          <w:sz w:val="36"/>
          <w:highlight w:val="none"/>
        </w:rPr>
        <w:tab/>
      </w:r>
      <w:r>
        <w:rPr>
          <w:rFonts w:hint="eastAsia" w:ascii="宋体" w:hAnsi="宋体" w:cs="宋体"/>
          <w:b/>
          <w:w w:val="95"/>
          <w:sz w:val="36"/>
          <w:highlight w:val="none"/>
        </w:rPr>
        <w:t xml:space="preserve">  </w:t>
      </w:r>
      <w:r>
        <w:rPr>
          <w:rFonts w:hint="eastAsia" w:ascii="宋体" w:hAnsi="宋体" w:cs="宋体"/>
          <w:b/>
          <w:sz w:val="36"/>
          <w:highlight w:val="none"/>
        </w:rPr>
        <w:t>录</w:t>
      </w:r>
    </w:p>
    <w:p w14:paraId="4A5BCB86">
      <w:pPr>
        <w:jc w:val="center"/>
        <w:rPr>
          <w:rFonts w:hint="eastAsia" w:ascii="宋体" w:hAnsi="宋体" w:cs="宋体"/>
          <w:b/>
          <w:sz w:val="36"/>
          <w:highlight w:val="none"/>
        </w:rPr>
      </w:pPr>
    </w:p>
    <w:p w14:paraId="3E9BAB59">
      <w:pPr>
        <w:pStyle w:val="47"/>
        <w:rPr>
          <w:rFonts w:hint="eastAsia" w:ascii="宋体" w:hAnsi="宋体" w:cs="宋体"/>
          <w:highlight w:val="none"/>
        </w:rPr>
      </w:pPr>
    </w:p>
    <w:p w14:paraId="75093CBC">
      <w:pPr>
        <w:pStyle w:val="47"/>
        <w:spacing w:line="360" w:lineRule="auto"/>
        <w:rPr>
          <w:rFonts w:hint="eastAsia" w:ascii="宋体" w:hAnsi="宋体" w:cs="宋体"/>
          <w:szCs w:val="21"/>
          <w:highlight w:val="none"/>
        </w:rPr>
      </w:pPr>
    </w:p>
    <w:p w14:paraId="7E6BFC78">
      <w:pPr>
        <w:spacing w:line="360" w:lineRule="auto"/>
        <w:rPr>
          <w:rFonts w:hint="eastAsia" w:ascii="宋体" w:hAnsi="宋体" w:cs="宋体"/>
          <w:szCs w:val="21"/>
          <w:highlight w:val="none"/>
        </w:rPr>
      </w:pPr>
      <w:bookmarkStart w:id="144" w:name="_Toc24895"/>
      <w:bookmarkStart w:id="145" w:name="_Toc9480"/>
      <w:bookmarkStart w:id="146" w:name="_Toc509411862"/>
      <w:bookmarkStart w:id="147" w:name="_Toc16726"/>
      <w:bookmarkStart w:id="148" w:name="_Toc19724"/>
      <w:bookmarkStart w:id="149" w:name="_Toc24162"/>
      <w:bookmarkStart w:id="150" w:name="_Toc2043"/>
      <w:bookmarkStart w:id="151" w:name="_Toc10890"/>
      <w:bookmarkStart w:id="152" w:name="_Toc16028"/>
      <w:bookmarkStart w:id="153" w:name="_Toc10197"/>
      <w:r>
        <w:rPr>
          <w:rFonts w:hint="eastAsia" w:ascii="宋体" w:hAnsi="宋体" w:cs="宋体"/>
          <w:szCs w:val="21"/>
          <w:highlight w:val="none"/>
        </w:rPr>
        <w:t>1.</w:t>
      </w:r>
      <w:bookmarkEnd w:id="144"/>
      <w:bookmarkEnd w:id="145"/>
      <w:bookmarkEnd w:id="146"/>
      <w:bookmarkEnd w:id="147"/>
      <w:bookmarkEnd w:id="148"/>
      <w:bookmarkEnd w:id="149"/>
      <w:bookmarkEnd w:id="150"/>
      <w:bookmarkEnd w:id="151"/>
      <w:r>
        <w:rPr>
          <w:rFonts w:hint="eastAsia" w:ascii="宋体" w:hAnsi="宋体" w:cs="宋体"/>
          <w:szCs w:val="21"/>
          <w:highlight w:val="none"/>
        </w:rPr>
        <w:t>磋商响应承诺书</w:t>
      </w:r>
    </w:p>
    <w:p w14:paraId="0FC17152">
      <w:pPr>
        <w:spacing w:line="360" w:lineRule="auto"/>
        <w:rPr>
          <w:rFonts w:hint="eastAsia" w:ascii="宋体" w:hAnsi="宋体" w:cs="宋体"/>
          <w:szCs w:val="21"/>
          <w:highlight w:val="none"/>
        </w:rPr>
      </w:pPr>
      <w:bookmarkStart w:id="154" w:name="_Toc22482"/>
      <w:bookmarkStart w:id="155" w:name="_Toc11285"/>
      <w:bookmarkStart w:id="156" w:name="_Toc509411863"/>
      <w:bookmarkStart w:id="157" w:name="_Toc6781"/>
      <w:bookmarkStart w:id="158" w:name="_Toc21545"/>
      <w:bookmarkStart w:id="159" w:name="_Toc23990"/>
      <w:bookmarkStart w:id="160" w:name="_Toc21365"/>
      <w:bookmarkStart w:id="161" w:name="_Toc22456"/>
      <w:r>
        <w:rPr>
          <w:rFonts w:hint="eastAsia" w:ascii="宋体" w:hAnsi="宋体" w:cs="宋体"/>
          <w:szCs w:val="21"/>
          <w:highlight w:val="none"/>
        </w:rPr>
        <w:t>2.</w:t>
      </w:r>
      <w:bookmarkEnd w:id="154"/>
      <w:bookmarkEnd w:id="155"/>
      <w:bookmarkEnd w:id="156"/>
      <w:bookmarkEnd w:id="157"/>
      <w:bookmarkEnd w:id="158"/>
      <w:bookmarkEnd w:id="159"/>
      <w:bookmarkEnd w:id="160"/>
      <w:bookmarkEnd w:id="161"/>
      <w:bookmarkStart w:id="162" w:name="_Toc31275"/>
      <w:bookmarkStart w:id="163" w:name="_Toc16045"/>
      <w:bookmarkStart w:id="164" w:name="_Toc21091"/>
      <w:bookmarkStart w:id="165" w:name="_Toc26192"/>
      <w:bookmarkStart w:id="166" w:name="_Toc22629"/>
      <w:bookmarkStart w:id="167" w:name="_Toc28847"/>
      <w:bookmarkStart w:id="168" w:name="_Toc509411864"/>
      <w:bookmarkStart w:id="169" w:name="_Toc8614"/>
      <w:r>
        <w:rPr>
          <w:rFonts w:hint="eastAsia" w:ascii="宋体" w:hAnsi="宋体" w:cs="宋体"/>
          <w:szCs w:val="21"/>
          <w:highlight w:val="none"/>
        </w:rPr>
        <w:t>磋商响应函附录（第一轮报价）</w:t>
      </w:r>
    </w:p>
    <w:p w14:paraId="0B2515A8">
      <w:pPr>
        <w:spacing w:line="360" w:lineRule="auto"/>
        <w:rPr>
          <w:rFonts w:hint="eastAsia" w:ascii="宋体" w:hAnsi="宋体" w:cs="宋体"/>
          <w:szCs w:val="21"/>
          <w:highlight w:val="none"/>
        </w:rPr>
      </w:pPr>
      <w:r>
        <w:rPr>
          <w:rFonts w:hint="eastAsia" w:ascii="宋体" w:hAnsi="宋体" w:cs="宋体"/>
          <w:szCs w:val="21"/>
          <w:highlight w:val="none"/>
        </w:rPr>
        <w:t>3.报价明细表</w:t>
      </w:r>
      <w:bookmarkEnd w:id="162"/>
      <w:bookmarkEnd w:id="163"/>
      <w:bookmarkEnd w:id="164"/>
      <w:bookmarkEnd w:id="165"/>
      <w:bookmarkEnd w:id="166"/>
      <w:bookmarkEnd w:id="167"/>
      <w:bookmarkEnd w:id="168"/>
      <w:bookmarkEnd w:id="169"/>
    </w:p>
    <w:p w14:paraId="28BC90B8">
      <w:pPr>
        <w:spacing w:line="360" w:lineRule="auto"/>
        <w:rPr>
          <w:rFonts w:hint="eastAsia" w:ascii="宋体" w:hAnsi="宋体" w:cs="宋体"/>
          <w:szCs w:val="21"/>
          <w:highlight w:val="none"/>
        </w:rPr>
      </w:pPr>
      <w:bookmarkStart w:id="170" w:name="_Toc16575"/>
      <w:bookmarkStart w:id="171" w:name="_Toc509411866"/>
      <w:bookmarkStart w:id="172" w:name="_Toc19514"/>
      <w:bookmarkStart w:id="173" w:name="_Toc26854"/>
      <w:bookmarkStart w:id="174" w:name="_Toc10251"/>
      <w:bookmarkStart w:id="175" w:name="_Toc9106"/>
      <w:bookmarkStart w:id="176" w:name="_Toc23186"/>
      <w:bookmarkStart w:id="177" w:name="_Toc2381"/>
      <w:r>
        <w:rPr>
          <w:rFonts w:hint="eastAsia" w:ascii="宋体" w:hAnsi="宋体" w:cs="宋体"/>
          <w:szCs w:val="21"/>
          <w:highlight w:val="none"/>
        </w:rPr>
        <w:t>4.</w:t>
      </w:r>
      <w:bookmarkEnd w:id="170"/>
      <w:bookmarkEnd w:id="171"/>
      <w:bookmarkEnd w:id="172"/>
      <w:bookmarkEnd w:id="173"/>
      <w:bookmarkEnd w:id="174"/>
      <w:bookmarkEnd w:id="175"/>
      <w:bookmarkEnd w:id="176"/>
      <w:bookmarkEnd w:id="177"/>
      <w:r>
        <w:rPr>
          <w:rFonts w:hint="eastAsia" w:ascii="宋体" w:hAnsi="宋体" w:cs="宋体"/>
          <w:szCs w:val="21"/>
          <w:highlight w:val="none"/>
        </w:rPr>
        <w:t>中小企业声明函</w:t>
      </w:r>
    </w:p>
    <w:p w14:paraId="6508AFA5">
      <w:pPr>
        <w:spacing w:line="360" w:lineRule="auto"/>
        <w:rPr>
          <w:rFonts w:hint="eastAsia" w:ascii="宋体" w:hAnsi="宋体" w:cs="宋体"/>
          <w:szCs w:val="21"/>
          <w:highlight w:val="none"/>
        </w:rPr>
      </w:pPr>
      <w:bookmarkStart w:id="178" w:name="_Toc509411869"/>
      <w:bookmarkStart w:id="179" w:name="_Toc21302"/>
      <w:bookmarkStart w:id="180" w:name="_Toc5331"/>
      <w:bookmarkStart w:id="181" w:name="_Toc15804"/>
      <w:bookmarkStart w:id="182" w:name="_Toc11592"/>
      <w:bookmarkStart w:id="183" w:name="_Toc8572"/>
      <w:bookmarkStart w:id="184" w:name="_Toc25923"/>
      <w:bookmarkStart w:id="185" w:name="_Toc30257"/>
      <w:r>
        <w:rPr>
          <w:rFonts w:hint="eastAsia" w:ascii="宋体" w:hAnsi="宋体" w:cs="宋体"/>
          <w:szCs w:val="21"/>
          <w:highlight w:val="none"/>
        </w:rPr>
        <w:t>5.</w:t>
      </w:r>
      <w:bookmarkEnd w:id="178"/>
      <w:bookmarkEnd w:id="179"/>
      <w:bookmarkEnd w:id="180"/>
      <w:bookmarkEnd w:id="181"/>
      <w:bookmarkEnd w:id="182"/>
      <w:bookmarkEnd w:id="183"/>
      <w:bookmarkEnd w:id="184"/>
      <w:bookmarkEnd w:id="185"/>
      <w:bookmarkStart w:id="186" w:name="_Toc509411870"/>
      <w:bookmarkStart w:id="187" w:name="_Toc22983"/>
      <w:bookmarkStart w:id="188" w:name="_Toc16613"/>
      <w:bookmarkStart w:id="189" w:name="_Toc12321"/>
      <w:bookmarkStart w:id="190" w:name="_Toc8414"/>
      <w:bookmarkStart w:id="191" w:name="_Toc12476"/>
      <w:bookmarkStart w:id="192" w:name="_Toc14056"/>
      <w:bookmarkStart w:id="193" w:name="_Toc24692"/>
      <w:r>
        <w:rPr>
          <w:rFonts w:hint="eastAsia" w:ascii="宋体" w:hAnsi="宋体" w:cs="宋体"/>
          <w:szCs w:val="21"/>
          <w:highlight w:val="none"/>
        </w:rPr>
        <w:t>商务条款偏差表</w:t>
      </w:r>
    </w:p>
    <w:p w14:paraId="19472DC0">
      <w:pPr>
        <w:pStyle w:val="12"/>
        <w:spacing w:line="360" w:lineRule="auto"/>
        <w:ind w:left="0" w:leftChars="0" w:firstLine="0" w:firstLineChars="0"/>
        <w:rPr>
          <w:rFonts w:hint="eastAsia" w:ascii="宋体" w:hAnsi="宋体" w:cs="宋体"/>
          <w:highlight w:val="none"/>
        </w:rPr>
      </w:pPr>
      <w:r>
        <w:rPr>
          <w:rFonts w:hint="eastAsia" w:ascii="宋体" w:hAnsi="宋体" w:cs="宋体"/>
          <w:highlight w:val="none"/>
        </w:rPr>
        <w:t>6.技术要求响应与偏差表</w:t>
      </w:r>
    </w:p>
    <w:p w14:paraId="5AB2EC4D">
      <w:pPr>
        <w:spacing w:line="360" w:lineRule="auto"/>
        <w:rPr>
          <w:rFonts w:hint="eastAsia" w:ascii="宋体" w:hAnsi="宋体" w:cs="宋体"/>
          <w:szCs w:val="21"/>
          <w:highlight w:val="none"/>
        </w:rPr>
      </w:pPr>
      <w:r>
        <w:rPr>
          <w:rFonts w:hint="eastAsia" w:ascii="宋体" w:hAnsi="宋体" w:cs="宋体"/>
          <w:szCs w:val="21"/>
          <w:highlight w:val="none"/>
        </w:rPr>
        <w:t>7.售后服务承诺</w:t>
      </w:r>
      <w:bookmarkEnd w:id="186"/>
      <w:bookmarkEnd w:id="187"/>
      <w:bookmarkEnd w:id="188"/>
      <w:bookmarkEnd w:id="189"/>
      <w:bookmarkEnd w:id="190"/>
      <w:bookmarkEnd w:id="191"/>
      <w:bookmarkEnd w:id="192"/>
      <w:bookmarkEnd w:id="193"/>
    </w:p>
    <w:p w14:paraId="1D201FBD">
      <w:pPr>
        <w:spacing w:line="360" w:lineRule="auto"/>
        <w:rPr>
          <w:rFonts w:hint="eastAsia" w:ascii="宋体" w:hAnsi="宋体" w:cs="宋体"/>
          <w:szCs w:val="21"/>
          <w:highlight w:val="none"/>
        </w:rPr>
      </w:pPr>
      <w:bookmarkStart w:id="194" w:name="_Toc26548"/>
      <w:bookmarkStart w:id="195" w:name="_Toc20444"/>
      <w:bookmarkStart w:id="196" w:name="_Toc509411871"/>
      <w:bookmarkStart w:id="197" w:name="_Toc22673"/>
      <w:bookmarkStart w:id="198" w:name="_Toc10060"/>
      <w:bookmarkStart w:id="199" w:name="_Toc5087"/>
      <w:bookmarkStart w:id="200" w:name="_Toc27305"/>
      <w:bookmarkStart w:id="201" w:name="_Toc27802"/>
      <w:r>
        <w:rPr>
          <w:rFonts w:hint="eastAsia" w:ascii="宋体" w:hAnsi="宋体" w:cs="宋体"/>
          <w:szCs w:val="21"/>
          <w:highlight w:val="none"/>
        </w:rPr>
        <w:t>8.资格证明材料</w:t>
      </w:r>
      <w:bookmarkEnd w:id="194"/>
      <w:bookmarkEnd w:id="195"/>
      <w:bookmarkEnd w:id="196"/>
      <w:bookmarkEnd w:id="197"/>
      <w:bookmarkEnd w:id="198"/>
      <w:bookmarkEnd w:id="199"/>
      <w:bookmarkEnd w:id="200"/>
      <w:bookmarkEnd w:id="201"/>
    </w:p>
    <w:p w14:paraId="746E605C">
      <w:pPr>
        <w:spacing w:line="360" w:lineRule="auto"/>
        <w:rPr>
          <w:rFonts w:hint="eastAsia" w:ascii="宋体" w:hAnsi="宋体" w:cs="宋体"/>
          <w:szCs w:val="21"/>
          <w:highlight w:val="none"/>
        </w:rPr>
      </w:pPr>
      <w:bookmarkStart w:id="202" w:name="_Toc19702"/>
      <w:bookmarkStart w:id="203" w:name="_Toc509411872"/>
      <w:bookmarkStart w:id="204" w:name="_Toc17026"/>
      <w:bookmarkStart w:id="205" w:name="_Toc6412"/>
      <w:bookmarkStart w:id="206" w:name="_Toc27361"/>
      <w:bookmarkStart w:id="207" w:name="_Toc5299"/>
      <w:bookmarkStart w:id="208" w:name="_Toc17534"/>
      <w:bookmarkStart w:id="209" w:name="_Toc5818"/>
      <w:r>
        <w:rPr>
          <w:rFonts w:hint="eastAsia" w:ascii="宋体" w:hAnsi="宋体" w:cs="宋体"/>
          <w:szCs w:val="21"/>
          <w:highlight w:val="none"/>
        </w:rPr>
        <w:t>9.法定代表人授权书</w:t>
      </w:r>
      <w:bookmarkEnd w:id="202"/>
      <w:bookmarkEnd w:id="203"/>
      <w:bookmarkEnd w:id="204"/>
      <w:bookmarkEnd w:id="205"/>
      <w:bookmarkEnd w:id="206"/>
      <w:bookmarkEnd w:id="207"/>
      <w:bookmarkEnd w:id="208"/>
      <w:bookmarkEnd w:id="209"/>
    </w:p>
    <w:p w14:paraId="4973AD4C">
      <w:pPr>
        <w:spacing w:line="360" w:lineRule="auto"/>
        <w:rPr>
          <w:rFonts w:hint="eastAsia" w:ascii="宋体" w:hAnsi="宋体" w:cs="宋体"/>
          <w:szCs w:val="21"/>
          <w:highlight w:val="none"/>
        </w:rPr>
      </w:pPr>
      <w:bookmarkStart w:id="210" w:name="_Toc7668"/>
      <w:bookmarkStart w:id="211" w:name="_Toc24793"/>
      <w:bookmarkStart w:id="212" w:name="_Toc20624"/>
      <w:bookmarkStart w:id="213" w:name="_Toc509411873"/>
      <w:bookmarkStart w:id="214" w:name="_Toc31584"/>
      <w:bookmarkStart w:id="215" w:name="_Toc31389"/>
      <w:bookmarkStart w:id="216" w:name="_Toc12791"/>
      <w:bookmarkStart w:id="217" w:name="_Toc11792"/>
      <w:r>
        <w:rPr>
          <w:rFonts w:hint="eastAsia" w:ascii="宋体" w:hAnsi="宋体" w:cs="宋体"/>
          <w:szCs w:val="21"/>
          <w:highlight w:val="none"/>
        </w:rPr>
        <w:t>10.供应商基本情况</w:t>
      </w:r>
      <w:bookmarkEnd w:id="210"/>
      <w:bookmarkEnd w:id="211"/>
      <w:bookmarkEnd w:id="212"/>
      <w:bookmarkEnd w:id="213"/>
      <w:bookmarkEnd w:id="214"/>
      <w:bookmarkEnd w:id="215"/>
      <w:bookmarkEnd w:id="216"/>
      <w:bookmarkEnd w:id="217"/>
    </w:p>
    <w:p w14:paraId="75CC0A75">
      <w:pPr>
        <w:spacing w:line="360" w:lineRule="auto"/>
        <w:rPr>
          <w:rFonts w:hint="eastAsia" w:ascii="宋体" w:hAnsi="宋体" w:cs="宋体"/>
          <w:szCs w:val="21"/>
          <w:highlight w:val="none"/>
        </w:rPr>
      </w:pPr>
      <w:bookmarkStart w:id="218" w:name="_Toc509411874"/>
      <w:bookmarkStart w:id="219" w:name="_Toc23157"/>
      <w:bookmarkStart w:id="220" w:name="_Toc24676"/>
      <w:bookmarkStart w:id="221" w:name="_Toc23438"/>
      <w:bookmarkStart w:id="222" w:name="_Toc15803"/>
      <w:r>
        <w:rPr>
          <w:rFonts w:hint="eastAsia" w:ascii="宋体" w:hAnsi="宋体" w:cs="宋体"/>
          <w:szCs w:val="21"/>
          <w:highlight w:val="none"/>
        </w:rPr>
        <w:t>11.类似项目业绩情况表</w:t>
      </w:r>
      <w:bookmarkEnd w:id="218"/>
      <w:bookmarkEnd w:id="219"/>
      <w:bookmarkEnd w:id="220"/>
      <w:bookmarkEnd w:id="221"/>
      <w:bookmarkEnd w:id="222"/>
    </w:p>
    <w:p w14:paraId="2FBA2025">
      <w:pPr>
        <w:spacing w:line="360" w:lineRule="auto"/>
        <w:rPr>
          <w:rFonts w:hint="eastAsia" w:ascii="宋体" w:hAnsi="宋体" w:cs="宋体"/>
          <w:szCs w:val="21"/>
          <w:highlight w:val="none"/>
        </w:rPr>
      </w:pPr>
      <w:r>
        <w:rPr>
          <w:rFonts w:hint="eastAsia" w:ascii="宋体" w:hAnsi="宋体" w:cs="宋体"/>
          <w:szCs w:val="21"/>
          <w:highlight w:val="none"/>
        </w:rPr>
        <w:t>12.安装方案</w:t>
      </w:r>
    </w:p>
    <w:p w14:paraId="126FE5D0">
      <w:pPr>
        <w:spacing w:line="360" w:lineRule="auto"/>
        <w:rPr>
          <w:rFonts w:hint="eastAsia" w:ascii="宋体" w:hAnsi="宋体" w:cs="宋体"/>
          <w:szCs w:val="21"/>
          <w:highlight w:val="none"/>
        </w:rPr>
      </w:pPr>
      <w:r>
        <w:rPr>
          <w:rFonts w:hint="eastAsia" w:ascii="宋体" w:hAnsi="宋体" w:cs="宋体"/>
          <w:szCs w:val="21"/>
          <w:highlight w:val="none"/>
        </w:rPr>
        <w:t>13.供应商认为必要的其它材料</w:t>
      </w:r>
    </w:p>
    <w:p w14:paraId="69D02325">
      <w:pPr>
        <w:pStyle w:val="42"/>
        <w:spacing w:line="360" w:lineRule="auto"/>
        <w:rPr>
          <w:rFonts w:hint="eastAsia" w:hAnsi="宋体"/>
          <w:sz w:val="21"/>
          <w:szCs w:val="21"/>
          <w:highlight w:val="none"/>
        </w:rPr>
      </w:pPr>
      <w:r>
        <w:rPr>
          <w:rFonts w:hint="eastAsia" w:hAnsi="宋体"/>
          <w:sz w:val="21"/>
          <w:szCs w:val="21"/>
          <w:highlight w:val="none"/>
        </w:rPr>
        <w:t>14.磋商报价（第二轮）</w:t>
      </w:r>
    </w:p>
    <w:p w14:paraId="70E12053">
      <w:pPr>
        <w:spacing w:line="360" w:lineRule="auto"/>
        <w:rPr>
          <w:rFonts w:hint="eastAsia" w:ascii="宋体" w:hAnsi="宋体" w:cs="宋体"/>
          <w:szCs w:val="21"/>
          <w:highlight w:val="none"/>
        </w:rPr>
      </w:pPr>
      <w:bookmarkStart w:id="223" w:name="_Toc509411875"/>
      <w:bookmarkStart w:id="224" w:name="_Toc21805"/>
      <w:bookmarkStart w:id="225" w:name="_Toc3649"/>
      <w:r>
        <w:rPr>
          <w:rFonts w:hint="eastAsia" w:ascii="宋体" w:hAnsi="宋体" w:cs="宋体"/>
          <w:szCs w:val="21"/>
          <w:highlight w:val="none"/>
        </w:rPr>
        <w:t>注：</w:t>
      </w:r>
      <w:bookmarkEnd w:id="223"/>
      <w:bookmarkEnd w:id="224"/>
      <w:bookmarkEnd w:id="225"/>
    </w:p>
    <w:p w14:paraId="07A200D9">
      <w:pPr>
        <w:spacing w:line="360" w:lineRule="auto"/>
        <w:rPr>
          <w:rFonts w:hint="eastAsia" w:ascii="宋体" w:hAnsi="宋体" w:cs="宋体"/>
          <w:szCs w:val="21"/>
          <w:highlight w:val="none"/>
        </w:rPr>
      </w:pPr>
      <w:bookmarkStart w:id="226" w:name="_Toc509411876"/>
      <w:bookmarkStart w:id="227" w:name="_Toc31371"/>
      <w:bookmarkStart w:id="228" w:name="_Toc22621"/>
      <w:r>
        <w:rPr>
          <w:rFonts w:hint="eastAsia" w:ascii="宋体" w:hAnsi="宋体" w:cs="宋体"/>
          <w:szCs w:val="21"/>
          <w:highlight w:val="none"/>
        </w:rPr>
        <w:t>请供应商根据采购文件的要求，结合自己的投标情况编制磋商响应文件，磋商响应文件内容不限于以上目录所列内容，文件中复印件或扫描件均需加盖供应商公章。请供应商编制目录及页码，便于评标委员会查阅和评审磋商响应文件。</w:t>
      </w:r>
      <w:bookmarkEnd w:id="226"/>
      <w:bookmarkEnd w:id="227"/>
      <w:bookmarkEnd w:id="228"/>
    </w:p>
    <w:p w14:paraId="6D073F80">
      <w:pPr>
        <w:jc w:val="center"/>
        <w:rPr>
          <w:rFonts w:hint="eastAsia" w:ascii="宋体" w:hAnsi="宋体" w:cs="宋体"/>
          <w:sz w:val="28"/>
          <w:szCs w:val="28"/>
          <w:highlight w:val="none"/>
        </w:rPr>
      </w:pPr>
      <w:r>
        <w:rPr>
          <w:rFonts w:hint="eastAsia" w:ascii="宋体" w:hAnsi="宋体" w:cs="宋体"/>
          <w:highlight w:val="none"/>
        </w:rPr>
        <w:br w:type="page"/>
      </w:r>
      <w:bookmarkEnd w:id="152"/>
      <w:bookmarkEnd w:id="153"/>
      <w:r>
        <w:rPr>
          <w:rFonts w:hint="eastAsia" w:ascii="宋体" w:hAnsi="宋体" w:cs="宋体"/>
          <w:sz w:val="28"/>
          <w:szCs w:val="28"/>
          <w:highlight w:val="none"/>
        </w:rPr>
        <w:t>1、磋商响应承诺书</w:t>
      </w:r>
    </w:p>
    <w:p w14:paraId="4A1BF3F5">
      <w:pPr>
        <w:rPr>
          <w:rFonts w:hint="eastAsia" w:ascii="宋体" w:hAnsi="宋体" w:cs="宋体"/>
          <w:sz w:val="28"/>
          <w:szCs w:val="28"/>
          <w:highlight w:val="none"/>
        </w:rPr>
      </w:pPr>
    </w:p>
    <w:p w14:paraId="2D6ACB8E">
      <w:pPr>
        <w:pStyle w:val="10"/>
        <w:tabs>
          <w:tab w:val="left" w:pos="742"/>
        </w:tabs>
        <w:kinsoku w:val="0"/>
        <w:overflowPunct w:val="0"/>
        <w:spacing w:line="360" w:lineRule="auto"/>
        <w:ind w:right="145"/>
        <w:jc w:val="left"/>
        <w:rPr>
          <w:rFonts w:hint="eastAsia" w:ascii="宋体" w:eastAsia="宋体" w:cs="宋体"/>
          <w:b w:val="0"/>
          <w:bCs w:val="0"/>
          <w:sz w:val="21"/>
          <w:szCs w:val="21"/>
          <w:highlight w:val="none"/>
          <w:u w:val="single"/>
        </w:rPr>
      </w:pPr>
      <w:r>
        <w:rPr>
          <w:rFonts w:hint="eastAsia" w:ascii="宋体" w:eastAsia="宋体" w:cs="宋体"/>
          <w:b w:val="0"/>
          <w:bCs w:val="0"/>
          <w:sz w:val="21"/>
          <w:szCs w:val="21"/>
          <w:highlight w:val="none"/>
        </w:rPr>
        <w:t>致：</w:t>
      </w:r>
      <w:r>
        <w:rPr>
          <w:rFonts w:hint="eastAsia" w:ascii="宋体" w:eastAsia="宋体" w:cs="宋体"/>
          <w:b w:val="0"/>
          <w:bCs w:val="0"/>
          <w:sz w:val="21"/>
          <w:szCs w:val="21"/>
          <w:highlight w:val="none"/>
          <w:u w:val="single"/>
        </w:rPr>
        <w:t xml:space="preserve">     （采购人） </w:t>
      </w:r>
    </w:p>
    <w:p w14:paraId="750FE059">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根据贵单位</w:t>
      </w:r>
      <w:r>
        <w:rPr>
          <w:rFonts w:hint="eastAsia" w:ascii="宋体" w:eastAsia="宋体" w:cs="宋体"/>
          <w:b w:val="0"/>
          <w:bCs w:val="0"/>
          <w:sz w:val="21"/>
          <w:szCs w:val="21"/>
          <w:highlight w:val="none"/>
          <w:u w:val="single"/>
        </w:rPr>
        <w:t xml:space="preserve">              （采购项目编号：     ）</w:t>
      </w:r>
      <w:r>
        <w:rPr>
          <w:rFonts w:hint="eastAsia" w:ascii="宋体" w:eastAsia="宋体" w:cs="宋体"/>
          <w:b w:val="0"/>
          <w:bCs w:val="0"/>
          <w:sz w:val="21"/>
          <w:szCs w:val="21"/>
          <w:highlight w:val="none"/>
        </w:rPr>
        <w:t>竞争性磋商公告的要求，我们决定参加贵单位组织的</w:t>
      </w: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u w:val="none"/>
        </w:rPr>
        <w:t>（项目名称）</w:t>
      </w:r>
      <w:r>
        <w:rPr>
          <w:rFonts w:hint="eastAsia" w:ascii="宋体" w:eastAsia="宋体" w:cs="宋体"/>
          <w:b w:val="0"/>
          <w:bCs w:val="0"/>
          <w:sz w:val="21"/>
          <w:szCs w:val="21"/>
          <w:highlight w:val="none"/>
          <w:u w:val="single"/>
          <w:lang w:val="en-US" w:eastAsia="zh-CN"/>
        </w:rPr>
        <w:t xml:space="preserve">   </w:t>
      </w:r>
      <w:r>
        <w:rPr>
          <w:rFonts w:hint="eastAsia" w:ascii="宋体" w:eastAsia="宋体" w:cs="宋体"/>
          <w:b w:val="0"/>
          <w:bCs w:val="0"/>
          <w:sz w:val="21"/>
          <w:szCs w:val="21"/>
          <w:highlight w:val="none"/>
          <w:u w:val="none"/>
          <w:lang w:val="en-US" w:eastAsia="zh-CN"/>
        </w:rPr>
        <w:t>标段</w:t>
      </w:r>
      <w:r>
        <w:rPr>
          <w:rFonts w:hint="eastAsia" w:ascii="宋体" w:eastAsia="宋体" w:cs="宋体"/>
          <w:b w:val="0"/>
          <w:bCs w:val="0"/>
          <w:sz w:val="21"/>
          <w:szCs w:val="21"/>
          <w:highlight w:val="none"/>
        </w:rPr>
        <w:t>的竞争性磋商采购活动。我方授权</w:t>
      </w: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rPr>
        <w:t xml:space="preserve"> (姓名和职务)代表我方</w:t>
      </w: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rPr>
        <w:t>（供应商的名称）全权处理本项目磋商的有关事宜。据此函，签字代表宣布同意如下：</w:t>
      </w:r>
    </w:p>
    <w:p w14:paraId="7D1EA765">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1.依法依规、诚实守信、公平竞争参加本次磋商活动。</w:t>
      </w:r>
    </w:p>
    <w:p w14:paraId="1C08D1A5">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2.我方保证响应文件中的所有资料均为真实、准确、完整、有效的，且不具有任 何误导性，并无条件接受采购人或采购代理机构对其中任何资料进行核实（核对）的要 求。核对发现有虚假、不一致或我方无正当理由不按要求提供的，我方承诺响应文件无效并自愿承担一切法律责任。</w:t>
      </w:r>
    </w:p>
    <w:p w14:paraId="195F5579">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3.我方愿意按照竞争性磋商文件规定的各项要求，向采购人提供所需的服务项目，首次总报价为人民币</w:t>
      </w:r>
      <w:r>
        <w:rPr>
          <w:rFonts w:hint="eastAsia" w:ascii="宋体" w:eastAsia="宋体" w:cs="宋体"/>
          <w:b w:val="0"/>
          <w:bCs w:val="0"/>
          <w:sz w:val="21"/>
          <w:szCs w:val="21"/>
          <w:highlight w:val="none"/>
          <w:u w:val="single"/>
        </w:rPr>
        <w:t xml:space="preserve">（大写）          （小写）  </w:t>
      </w:r>
      <w:r>
        <w:rPr>
          <w:rFonts w:hint="eastAsia" w:ascii="宋体" w:eastAsia="宋体" w:cs="宋体"/>
          <w:b w:val="0"/>
          <w:bCs w:val="0"/>
          <w:sz w:val="21"/>
          <w:szCs w:val="21"/>
          <w:highlight w:val="none"/>
        </w:rPr>
        <w:t>。</w:t>
      </w:r>
    </w:p>
    <w:p w14:paraId="795ED513">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4.如果我方的响应文件被接受，我们将履行磋商文件中规定的每一项要求，按期、按质、按量履行合同。</w:t>
      </w:r>
    </w:p>
    <w:p w14:paraId="46213D1A">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5.我方愿遵守《中华人民共和国政府采购法》及相关的政府采购法律法规，按《中华人民共和国</w:t>
      </w:r>
      <w:r>
        <w:rPr>
          <w:rFonts w:hint="eastAsia" w:ascii="宋体" w:eastAsia="宋体" w:cs="宋体"/>
          <w:b w:val="0"/>
          <w:bCs w:val="0"/>
          <w:sz w:val="21"/>
          <w:szCs w:val="21"/>
          <w:highlight w:val="none"/>
          <w:lang w:eastAsia="zh-CN"/>
        </w:rPr>
        <w:t>民法典</w:t>
      </w:r>
      <w:r>
        <w:rPr>
          <w:rFonts w:hint="eastAsia" w:ascii="宋体" w:eastAsia="宋体" w:cs="宋体"/>
          <w:b w:val="0"/>
          <w:bCs w:val="0"/>
          <w:sz w:val="21"/>
          <w:szCs w:val="21"/>
          <w:highlight w:val="none"/>
        </w:rPr>
        <w:t>》履行我方的全部责任。</w:t>
      </w:r>
    </w:p>
    <w:p w14:paraId="0431EA63">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6.我方已认真仔细研究磋商文件全部内容，包括修改文件以及全部参考资料和有关附件。我们完全理解并同意放弃对这方面有不明及误解的权力。</w:t>
      </w:r>
    </w:p>
    <w:p w14:paraId="09F98693">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7.本次磋商有效期自响应文件递交截止之日起60日历天。</w:t>
      </w:r>
    </w:p>
    <w:p w14:paraId="44AC6821">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8.我方同意按照贵方的要求提供与磋商有关的一切数据或资料，理解贵方不一定接受最低报价的磋商。</w:t>
      </w:r>
    </w:p>
    <w:p w14:paraId="252392B5">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9.我方声明参加本次政府采购活动前3年内在经营活动中，我方没有重大违法记录（重大违法记录，是指供应商因违法经营受到刑事处罚或者责令停产停业、吊销许可证或者执照、较大数额罚款等行政处罚）。</w:t>
      </w:r>
    </w:p>
    <w:p w14:paraId="60BFDFA0">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 xml:space="preserve">10.我们同意提供本项目磋商文件要求的有关本次竞争性磋商的所有资料，并声明所提交的资料是准确的和真实的。 </w:t>
      </w:r>
    </w:p>
    <w:p w14:paraId="3BF2EDF8">
      <w:pPr>
        <w:pStyle w:val="10"/>
        <w:tabs>
          <w:tab w:val="left" w:pos="3337"/>
        </w:tabs>
        <w:kinsoku w:val="0"/>
        <w:overflowPunct w:val="0"/>
        <w:ind w:left="817" w:right="2105"/>
        <w:rPr>
          <w:rFonts w:hint="eastAsia" w:ascii="宋体" w:eastAsia="宋体" w:cs="宋体"/>
          <w:b w:val="0"/>
          <w:bCs w:val="0"/>
          <w:sz w:val="21"/>
          <w:szCs w:val="16"/>
          <w:highlight w:val="none"/>
        </w:rPr>
      </w:pPr>
      <w:r>
        <w:rPr>
          <w:rFonts w:hint="eastAsia" w:ascii="宋体" w:eastAsia="宋体" w:cs="宋体"/>
          <w:b w:val="0"/>
          <w:bCs w:val="0"/>
          <w:sz w:val="21"/>
          <w:szCs w:val="16"/>
          <w:highlight w:val="none"/>
        </w:rPr>
        <w:t>详细地址：</w:t>
      </w:r>
      <w:r>
        <w:rPr>
          <w:rFonts w:hint="eastAsia" w:ascii="宋体" w:eastAsia="宋体" w:cs="宋体"/>
          <w:b w:val="0"/>
          <w:bCs w:val="0"/>
          <w:sz w:val="21"/>
          <w:szCs w:val="16"/>
          <w:highlight w:val="none"/>
        </w:rPr>
        <w:tab/>
      </w:r>
      <w:r>
        <w:rPr>
          <w:rFonts w:hint="eastAsia" w:ascii="宋体" w:eastAsia="宋体" w:cs="宋体"/>
          <w:b w:val="0"/>
          <w:bCs w:val="0"/>
          <w:sz w:val="21"/>
          <w:szCs w:val="16"/>
          <w:highlight w:val="none"/>
        </w:rPr>
        <w:t>邮政编码：</w:t>
      </w:r>
    </w:p>
    <w:p w14:paraId="71A00BB2">
      <w:pPr>
        <w:pStyle w:val="10"/>
        <w:tabs>
          <w:tab w:val="left" w:pos="3337"/>
        </w:tabs>
        <w:kinsoku w:val="0"/>
        <w:overflowPunct w:val="0"/>
        <w:ind w:left="817" w:right="2105"/>
        <w:rPr>
          <w:rFonts w:hint="eastAsia" w:ascii="宋体" w:eastAsia="宋体" w:cs="宋体"/>
          <w:b w:val="0"/>
          <w:bCs w:val="0"/>
          <w:sz w:val="21"/>
          <w:szCs w:val="16"/>
          <w:highlight w:val="none"/>
        </w:rPr>
      </w:pPr>
      <w:r>
        <w:rPr>
          <w:rFonts w:hint="eastAsia" w:ascii="宋体" w:eastAsia="宋体" w:cs="宋体"/>
          <w:b w:val="0"/>
          <w:bCs w:val="0"/>
          <w:sz w:val="21"/>
          <w:szCs w:val="16"/>
          <w:highlight w:val="none"/>
        </w:rPr>
        <w:t>电话：</w:t>
      </w:r>
      <w:r>
        <w:rPr>
          <w:rFonts w:hint="eastAsia" w:ascii="宋体" w:eastAsia="宋体" w:cs="宋体"/>
          <w:b w:val="0"/>
          <w:bCs w:val="0"/>
          <w:sz w:val="21"/>
          <w:szCs w:val="16"/>
          <w:highlight w:val="none"/>
        </w:rPr>
        <w:tab/>
      </w:r>
      <w:r>
        <w:rPr>
          <w:rFonts w:hint="eastAsia" w:ascii="宋体" w:eastAsia="宋体" w:cs="宋体"/>
          <w:b w:val="0"/>
          <w:bCs w:val="0"/>
          <w:sz w:val="21"/>
          <w:szCs w:val="16"/>
          <w:highlight w:val="none"/>
        </w:rPr>
        <w:t>传真：</w:t>
      </w:r>
    </w:p>
    <w:p w14:paraId="23EDAC3E">
      <w:pPr>
        <w:pStyle w:val="10"/>
        <w:tabs>
          <w:tab w:val="left" w:pos="5137"/>
        </w:tabs>
        <w:kinsoku w:val="0"/>
        <w:overflowPunct w:val="0"/>
        <w:spacing w:line="360" w:lineRule="auto"/>
        <w:ind w:right="2105"/>
        <w:rPr>
          <w:rFonts w:hint="eastAsia" w:ascii="宋体" w:eastAsia="宋体" w:cs="宋体"/>
          <w:b w:val="0"/>
          <w:bCs w:val="0"/>
          <w:sz w:val="21"/>
          <w:szCs w:val="16"/>
          <w:highlight w:val="none"/>
        </w:rPr>
      </w:pPr>
      <w:r>
        <w:rPr>
          <w:rFonts w:hint="eastAsia" w:ascii="宋体" w:eastAsia="宋体" w:cs="宋体"/>
          <w:b w:val="0"/>
          <w:bCs w:val="0"/>
          <w:sz w:val="21"/>
          <w:szCs w:val="16"/>
          <w:highlight w:val="none"/>
        </w:rPr>
        <w:t>供应商 ：</w:t>
      </w:r>
      <w:r>
        <w:rPr>
          <w:rFonts w:hint="eastAsia" w:ascii="宋体" w:eastAsia="宋体" w:cs="宋体"/>
          <w:b w:val="0"/>
          <w:bCs w:val="0"/>
          <w:sz w:val="21"/>
          <w:szCs w:val="16"/>
          <w:highlight w:val="none"/>
          <w:u w:val="single"/>
        </w:rPr>
        <w:t xml:space="preserve">        </w:t>
      </w:r>
      <w:r>
        <w:rPr>
          <w:rFonts w:hint="eastAsia" w:ascii="宋体" w:eastAsia="宋体" w:cs="宋体"/>
          <w:b w:val="0"/>
          <w:bCs w:val="0"/>
          <w:sz w:val="21"/>
          <w:szCs w:val="16"/>
          <w:highlight w:val="none"/>
        </w:rPr>
        <w:t>（盖单位章或电子签章）：</w:t>
      </w:r>
    </w:p>
    <w:p w14:paraId="6FF594AC">
      <w:pPr>
        <w:pStyle w:val="10"/>
        <w:tabs>
          <w:tab w:val="left" w:pos="4218"/>
        </w:tabs>
        <w:kinsoku w:val="0"/>
        <w:overflowPunct w:val="0"/>
        <w:spacing w:line="360" w:lineRule="auto"/>
        <w:rPr>
          <w:rFonts w:hint="eastAsia" w:ascii="宋体" w:eastAsia="宋体" w:cs="宋体"/>
          <w:b w:val="0"/>
          <w:bCs w:val="0"/>
          <w:sz w:val="21"/>
          <w:szCs w:val="16"/>
          <w:highlight w:val="none"/>
        </w:rPr>
      </w:pPr>
      <w:r>
        <w:rPr>
          <w:rFonts w:hint="eastAsia" w:ascii="宋体" w:eastAsia="宋体" w:cs="宋体"/>
          <w:b w:val="0"/>
          <w:bCs w:val="0"/>
          <w:spacing w:val="-1"/>
          <w:sz w:val="21"/>
          <w:szCs w:val="16"/>
          <w:highlight w:val="none"/>
        </w:rPr>
        <w:t>供应商法定代表人：</w:t>
      </w:r>
      <w:r>
        <w:rPr>
          <w:rFonts w:hint="eastAsia" w:ascii="宋体" w:eastAsia="宋体" w:cs="宋体"/>
          <w:b w:val="0"/>
          <w:bCs w:val="0"/>
          <w:spacing w:val="-1"/>
          <w:sz w:val="21"/>
          <w:szCs w:val="16"/>
          <w:highlight w:val="none"/>
          <w:u w:val="single"/>
        </w:rPr>
        <w:tab/>
      </w:r>
      <w:r>
        <w:rPr>
          <w:rFonts w:hint="eastAsia" w:ascii="宋体" w:eastAsia="宋体" w:cs="宋体"/>
          <w:b w:val="0"/>
          <w:bCs w:val="0"/>
          <w:sz w:val="21"/>
          <w:szCs w:val="16"/>
          <w:highlight w:val="none"/>
        </w:rPr>
        <w:t>（签字或盖章或电子签章）</w:t>
      </w:r>
      <w:r>
        <w:rPr>
          <w:rFonts w:hint="eastAsia" w:ascii="宋体" w:eastAsia="宋体" w:cs="宋体"/>
          <w:b w:val="0"/>
          <w:bCs w:val="0"/>
          <w:sz w:val="21"/>
          <w:szCs w:val="16"/>
          <w:highlight w:val="none"/>
        </w:rPr>
        <w:tab/>
      </w:r>
    </w:p>
    <w:p w14:paraId="3D052673">
      <w:pPr>
        <w:pStyle w:val="10"/>
        <w:tabs>
          <w:tab w:val="left" w:pos="1200"/>
          <w:tab w:val="left" w:pos="2400"/>
          <w:tab w:val="left" w:pos="3360"/>
        </w:tabs>
        <w:kinsoku w:val="0"/>
        <w:overflowPunct w:val="0"/>
        <w:spacing w:line="240" w:lineRule="auto"/>
        <w:ind w:right="123"/>
        <w:jc w:val="left"/>
        <w:rPr>
          <w:rFonts w:hint="eastAsia" w:ascii="宋体" w:eastAsia="宋体" w:cs="宋体"/>
          <w:b w:val="0"/>
          <w:bCs w:val="0"/>
          <w:sz w:val="21"/>
          <w:szCs w:val="16"/>
          <w:highlight w:val="none"/>
        </w:rPr>
        <w:sectPr>
          <w:pgSz w:w="11911" w:h="16838"/>
          <w:pgMar w:top="1134" w:right="1689" w:bottom="1440" w:left="1689" w:header="720" w:footer="720" w:gutter="0"/>
          <w:cols w:space="720" w:num="1"/>
        </w:sectPr>
      </w:pPr>
      <w:r>
        <w:rPr>
          <w:rFonts w:hint="eastAsia" w:ascii="宋体" w:eastAsia="宋体" w:cs="宋体"/>
          <w:b w:val="0"/>
          <w:bCs w:val="0"/>
          <w:sz w:val="21"/>
          <w:szCs w:val="16"/>
          <w:highlight w:val="none"/>
          <w:u w:val="single"/>
        </w:rPr>
        <w:t xml:space="preserve"> </w:t>
      </w:r>
      <w:r>
        <w:rPr>
          <w:rFonts w:hint="eastAsia" w:ascii="宋体" w:eastAsia="宋体" w:cs="宋体"/>
          <w:b w:val="0"/>
          <w:bCs w:val="0"/>
          <w:sz w:val="21"/>
          <w:szCs w:val="16"/>
          <w:highlight w:val="none"/>
          <w:u w:val="single"/>
        </w:rPr>
        <w:tab/>
      </w:r>
      <w:r>
        <w:rPr>
          <w:rFonts w:hint="eastAsia" w:ascii="宋体" w:eastAsia="宋体" w:cs="宋体"/>
          <w:b w:val="0"/>
          <w:bCs w:val="0"/>
          <w:spacing w:val="-1"/>
          <w:sz w:val="21"/>
          <w:szCs w:val="16"/>
          <w:highlight w:val="none"/>
        </w:rPr>
        <w:t>年</w:t>
      </w:r>
      <w:r>
        <w:rPr>
          <w:rFonts w:hint="eastAsia" w:ascii="宋体" w:eastAsia="宋体" w:cs="宋体"/>
          <w:b w:val="0"/>
          <w:bCs w:val="0"/>
          <w:spacing w:val="-1"/>
          <w:sz w:val="21"/>
          <w:szCs w:val="16"/>
          <w:highlight w:val="none"/>
          <w:u w:val="single"/>
        </w:rPr>
        <w:tab/>
      </w:r>
      <w:r>
        <w:rPr>
          <w:rFonts w:hint="eastAsia" w:ascii="宋体" w:eastAsia="宋体" w:cs="宋体"/>
          <w:b w:val="0"/>
          <w:bCs w:val="0"/>
          <w:spacing w:val="-1"/>
          <w:sz w:val="21"/>
          <w:szCs w:val="16"/>
          <w:highlight w:val="none"/>
        </w:rPr>
        <w:t>月</w:t>
      </w:r>
      <w:r>
        <w:rPr>
          <w:rFonts w:hint="eastAsia" w:ascii="宋体" w:eastAsia="宋体" w:cs="宋体"/>
          <w:b w:val="0"/>
          <w:bCs w:val="0"/>
          <w:spacing w:val="-1"/>
          <w:sz w:val="21"/>
          <w:szCs w:val="16"/>
          <w:highlight w:val="none"/>
          <w:u w:val="single"/>
        </w:rPr>
        <w:tab/>
      </w:r>
      <w:r>
        <w:rPr>
          <w:rFonts w:hint="eastAsia" w:ascii="宋体" w:eastAsia="宋体" w:cs="宋体"/>
          <w:b w:val="0"/>
          <w:bCs w:val="0"/>
          <w:spacing w:val="-1"/>
          <w:sz w:val="21"/>
          <w:szCs w:val="16"/>
          <w:highlight w:val="none"/>
        </w:rPr>
        <w:t>日</w:t>
      </w:r>
    </w:p>
    <w:p w14:paraId="588E9819">
      <w:pPr>
        <w:jc w:val="center"/>
        <w:rPr>
          <w:rFonts w:hint="eastAsia" w:ascii="宋体" w:hAnsi="宋体" w:cs="宋体"/>
          <w:sz w:val="28"/>
          <w:szCs w:val="28"/>
          <w:highlight w:val="none"/>
        </w:rPr>
      </w:pPr>
      <w:r>
        <w:rPr>
          <w:rFonts w:hint="eastAsia" w:ascii="宋体" w:hAnsi="宋体" w:cs="宋体"/>
          <w:sz w:val="28"/>
          <w:szCs w:val="28"/>
          <w:highlight w:val="none"/>
        </w:rPr>
        <w:t>2.磋商响应函附录（第一轮报价）</w:t>
      </w:r>
    </w:p>
    <w:tbl>
      <w:tblPr>
        <w:tblStyle w:val="26"/>
        <w:tblW w:w="8486" w:type="dxa"/>
        <w:jc w:val="center"/>
        <w:tblLayout w:type="fixed"/>
        <w:tblCellMar>
          <w:top w:w="0" w:type="dxa"/>
          <w:left w:w="108" w:type="dxa"/>
          <w:bottom w:w="0" w:type="dxa"/>
          <w:right w:w="108" w:type="dxa"/>
        </w:tblCellMar>
      </w:tblPr>
      <w:tblGrid>
        <w:gridCol w:w="2366"/>
        <w:gridCol w:w="6120"/>
      </w:tblGrid>
      <w:tr w14:paraId="6A03922D">
        <w:tblPrEx>
          <w:tblCellMar>
            <w:top w:w="0" w:type="dxa"/>
            <w:left w:w="108" w:type="dxa"/>
            <w:bottom w:w="0" w:type="dxa"/>
            <w:right w:w="108" w:type="dxa"/>
          </w:tblCellMar>
        </w:tblPrEx>
        <w:trPr>
          <w:trHeight w:val="605"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16DE586">
            <w:pPr>
              <w:jc w:val="center"/>
              <w:rPr>
                <w:rFonts w:hint="eastAsia" w:ascii="宋体" w:hAnsi="宋体" w:cs="宋体"/>
                <w:szCs w:val="21"/>
                <w:highlight w:val="none"/>
              </w:rPr>
            </w:pPr>
            <w:r>
              <w:rPr>
                <w:rFonts w:hint="eastAsia" w:ascii="宋体" w:hAnsi="宋体" w:cs="宋体"/>
                <w:szCs w:val="21"/>
                <w:highlight w:val="none"/>
              </w:rPr>
              <w:t>项目名称</w:t>
            </w:r>
          </w:p>
        </w:tc>
        <w:tc>
          <w:tcPr>
            <w:tcW w:w="6120" w:type="dxa"/>
            <w:tcBorders>
              <w:top w:val="single" w:color="auto" w:sz="4" w:space="0"/>
              <w:left w:val="single" w:color="auto" w:sz="4" w:space="0"/>
              <w:bottom w:val="single" w:color="auto" w:sz="4" w:space="0"/>
              <w:right w:val="single" w:color="auto" w:sz="4" w:space="0"/>
            </w:tcBorders>
            <w:vAlign w:val="center"/>
          </w:tcPr>
          <w:p w14:paraId="200B3BD8">
            <w:pPr>
              <w:jc w:val="center"/>
              <w:rPr>
                <w:rFonts w:hint="eastAsia" w:ascii="宋体" w:hAnsi="宋体" w:cs="宋体"/>
                <w:szCs w:val="21"/>
                <w:highlight w:val="none"/>
              </w:rPr>
            </w:pPr>
          </w:p>
        </w:tc>
      </w:tr>
      <w:tr w14:paraId="3B01DEF7">
        <w:tblPrEx>
          <w:tblCellMar>
            <w:top w:w="0" w:type="dxa"/>
            <w:left w:w="108" w:type="dxa"/>
            <w:bottom w:w="0" w:type="dxa"/>
            <w:right w:w="108" w:type="dxa"/>
          </w:tblCellMar>
        </w:tblPrEx>
        <w:trPr>
          <w:cantSplit/>
          <w:trHeight w:val="613" w:hRule="atLeast"/>
          <w:jc w:val="center"/>
        </w:trPr>
        <w:tc>
          <w:tcPr>
            <w:tcW w:w="2366" w:type="dxa"/>
            <w:tcBorders>
              <w:left w:val="single" w:color="auto" w:sz="4" w:space="0"/>
              <w:right w:val="single" w:color="auto" w:sz="4" w:space="0"/>
            </w:tcBorders>
            <w:vAlign w:val="center"/>
          </w:tcPr>
          <w:p w14:paraId="260BB7D8">
            <w:pPr>
              <w:jc w:val="center"/>
              <w:rPr>
                <w:rFonts w:hint="eastAsia" w:ascii="宋体" w:hAnsi="宋体" w:cs="宋体"/>
                <w:szCs w:val="21"/>
                <w:highlight w:val="none"/>
              </w:rPr>
            </w:pPr>
            <w:r>
              <w:rPr>
                <w:rFonts w:hint="eastAsia" w:ascii="宋体" w:hAnsi="宋体" w:cs="宋体"/>
                <w:szCs w:val="21"/>
                <w:highlight w:val="none"/>
              </w:rPr>
              <w:t>采购项目编号</w:t>
            </w:r>
          </w:p>
        </w:tc>
        <w:tc>
          <w:tcPr>
            <w:tcW w:w="6120" w:type="dxa"/>
            <w:tcBorders>
              <w:left w:val="single" w:color="auto" w:sz="4" w:space="0"/>
              <w:right w:val="single" w:color="auto" w:sz="4" w:space="0"/>
            </w:tcBorders>
            <w:vAlign w:val="center"/>
          </w:tcPr>
          <w:p w14:paraId="2A9897BC">
            <w:pPr>
              <w:ind w:left="108"/>
              <w:jc w:val="center"/>
              <w:rPr>
                <w:rFonts w:hint="eastAsia" w:ascii="宋体" w:hAnsi="宋体" w:cs="宋体"/>
                <w:szCs w:val="21"/>
                <w:highlight w:val="none"/>
              </w:rPr>
            </w:pPr>
          </w:p>
        </w:tc>
      </w:tr>
      <w:tr w14:paraId="494DE367">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1D37123">
            <w:pPr>
              <w:jc w:val="center"/>
              <w:rPr>
                <w:rFonts w:hint="eastAsia" w:ascii="宋体" w:hAnsi="宋体" w:cs="宋体"/>
                <w:szCs w:val="21"/>
                <w:highlight w:val="none"/>
              </w:rPr>
            </w:pPr>
            <w:r>
              <w:rPr>
                <w:rFonts w:hint="eastAsia" w:ascii="宋体" w:hAnsi="宋体" w:cs="宋体"/>
                <w:szCs w:val="21"/>
                <w:highlight w:val="none"/>
              </w:rPr>
              <w:t>供应商名称</w:t>
            </w:r>
          </w:p>
        </w:tc>
        <w:tc>
          <w:tcPr>
            <w:tcW w:w="6120" w:type="dxa"/>
            <w:tcBorders>
              <w:top w:val="single" w:color="auto" w:sz="4" w:space="0"/>
              <w:left w:val="single" w:color="auto" w:sz="4" w:space="0"/>
              <w:bottom w:val="single" w:color="auto" w:sz="4" w:space="0"/>
              <w:right w:val="single" w:color="auto" w:sz="4" w:space="0"/>
            </w:tcBorders>
            <w:vAlign w:val="center"/>
          </w:tcPr>
          <w:p w14:paraId="37A82987">
            <w:pPr>
              <w:jc w:val="center"/>
              <w:rPr>
                <w:rFonts w:hint="eastAsia" w:ascii="宋体" w:hAnsi="宋体" w:cs="宋体"/>
                <w:szCs w:val="21"/>
                <w:highlight w:val="none"/>
              </w:rPr>
            </w:pPr>
          </w:p>
        </w:tc>
      </w:tr>
      <w:tr w14:paraId="1A530BD9">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8B7E687">
            <w:pPr>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标段</w:t>
            </w:r>
          </w:p>
        </w:tc>
        <w:tc>
          <w:tcPr>
            <w:tcW w:w="6120" w:type="dxa"/>
            <w:tcBorders>
              <w:top w:val="single" w:color="auto" w:sz="4" w:space="0"/>
              <w:left w:val="single" w:color="auto" w:sz="4" w:space="0"/>
              <w:bottom w:val="single" w:color="auto" w:sz="4" w:space="0"/>
              <w:right w:val="single" w:color="auto" w:sz="4" w:space="0"/>
            </w:tcBorders>
            <w:vAlign w:val="center"/>
          </w:tcPr>
          <w:p w14:paraId="110E10D4">
            <w:pPr>
              <w:jc w:val="center"/>
              <w:rPr>
                <w:rFonts w:hint="eastAsia" w:ascii="宋体" w:hAnsi="宋体" w:cs="宋体"/>
                <w:szCs w:val="21"/>
                <w:highlight w:val="none"/>
              </w:rPr>
            </w:pPr>
          </w:p>
        </w:tc>
      </w:tr>
      <w:tr w14:paraId="5FC3B02F">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4C19CB92">
            <w:pPr>
              <w:jc w:val="center"/>
              <w:rPr>
                <w:rFonts w:hint="eastAsia" w:ascii="宋体" w:hAnsi="宋体" w:cs="宋体"/>
                <w:szCs w:val="21"/>
                <w:highlight w:val="none"/>
              </w:rPr>
            </w:pPr>
            <w:r>
              <w:rPr>
                <w:rFonts w:hint="eastAsia" w:ascii="宋体" w:hAnsi="宋体" w:cs="宋体"/>
                <w:szCs w:val="21"/>
                <w:highlight w:val="none"/>
              </w:rPr>
              <w:t>联系人及电话</w:t>
            </w:r>
          </w:p>
        </w:tc>
        <w:tc>
          <w:tcPr>
            <w:tcW w:w="6120" w:type="dxa"/>
            <w:tcBorders>
              <w:top w:val="single" w:color="auto" w:sz="4" w:space="0"/>
              <w:left w:val="single" w:color="auto" w:sz="4" w:space="0"/>
              <w:bottom w:val="single" w:color="auto" w:sz="4" w:space="0"/>
              <w:right w:val="single" w:color="auto" w:sz="4" w:space="0"/>
            </w:tcBorders>
            <w:vAlign w:val="center"/>
          </w:tcPr>
          <w:p w14:paraId="14A38220">
            <w:pPr>
              <w:jc w:val="center"/>
              <w:rPr>
                <w:rFonts w:hint="eastAsia" w:ascii="宋体" w:hAnsi="宋体" w:cs="宋体"/>
                <w:szCs w:val="21"/>
                <w:highlight w:val="none"/>
              </w:rPr>
            </w:pPr>
          </w:p>
        </w:tc>
      </w:tr>
      <w:tr w14:paraId="602D23FD">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14ADB81">
            <w:pPr>
              <w:jc w:val="center"/>
              <w:rPr>
                <w:rFonts w:hint="eastAsia" w:ascii="宋体" w:hAnsi="宋体" w:cs="宋体"/>
                <w:szCs w:val="21"/>
                <w:highlight w:val="none"/>
              </w:rPr>
            </w:pPr>
            <w:r>
              <w:rPr>
                <w:rFonts w:hint="eastAsia" w:ascii="宋体" w:hAnsi="宋体" w:cs="宋体"/>
                <w:szCs w:val="21"/>
                <w:highlight w:val="none"/>
              </w:rPr>
              <w:t>磋商首次报价（元）</w:t>
            </w:r>
          </w:p>
        </w:tc>
        <w:tc>
          <w:tcPr>
            <w:tcW w:w="6120" w:type="dxa"/>
            <w:tcBorders>
              <w:top w:val="single" w:color="auto" w:sz="4" w:space="0"/>
              <w:left w:val="single" w:color="auto" w:sz="4" w:space="0"/>
              <w:bottom w:val="single" w:color="auto" w:sz="4" w:space="0"/>
              <w:right w:val="single" w:color="auto" w:sz="4" w:space="0"/>
            </w:tcBorders>
            <w:vAlign w:val="center"/>
          </w:tcPr>
          <w:p w14:paraId="5FD3DB4C">
            <w:pPr>
              <w:pStyle w:val="50"/>
              <w:tabs>
                <w:tab w:val="left" w:pos="3463"/>
              </w:tabs>
              <w:kinsoku w:val="0"/>
              <w:overflowPunct w:val="0"/>
              <w:spacing w:line="360" w:lineRule="auto"/>
              <w:ind w:left="103"/>
              <w:rPr>
                <w:rFonts w:hint="eastAsia" w:ascii="宋体" w:hAnsi="宋体" w:cs="宋体"/>
                <w:spacing w:val="-1"/>
                <w:sz w:val="21"/>
                <w:szCs w:val="21"/>
                <w:highlight w:val="none"/>
                <w:u w:val="single"/>
              </w:rPr>
            </w:pPr>
            <w:r>
              <w:rPr>
                <w:rFonts w:hint="eastAsia" w:ascii="宋体" w:hAnsi="宋体" w:cs="宋体"/>
                <w:spacing w:val="-1"/>
                <w:sz w:val="21"/>
                <w:szCs w:val="21"/>
                <w:highlight w:val="none"/>
              </w:rPr>
              <w:t>（大写）</w:t>
            </w:r>
            <w:r>
              <w:rPr>
                <w:rFonts w:hint="eastAsia" w:ascii="宋体" w:hAnsi="宋体" w:cs="宋体"/>
                <w:spacing w:val="-1"/>
                <w:sz w:val="21"/>
                <w:szCs w:val="21"/>
                <w:highlight w:val="none"/>
                <w:u w:val="single"/>
              </w:rPr>
              <w:tab/>
            </w:r>
          </w:p>
          <w:p w14:paraId="5D90E121">
            <w:pPr>
              <w:pStyle w:val="50"/>
              <w:tabs>
                <w:tab w:val="left" w:pos="3463"/>
              </w:tabs>
              <w:kinsoku w:val="0"/>
              <w:overflowPunct w:val="0"/>
              <w:spacing w:line="360" w:lineRule="auto"/>
              <w:ind w:left="103"/>
              <w:rPr>
                <w:rFonts w:hint="eastAsia" w:ascii="宋体" w:hAnsi="宋体" w:cs="宋体"/>
                <w:sz w:val="21"/>
                <w:szCs w:val="21"/>
                <w:highlight w:val="none"/>
                <w:u w:val="single"/>
              </w:rPr>
            </w:pPr>
            <w:r>
              <w:rPr>
                <w:rFonts w:hint="eastAsia" w:ascii="宋体" w:hAnsi="宋体" w:cs="宋体"/>
                <w:sz w:val="21"/>
                <w:szCs w:val="21"/>
                <w:highlight w:val="none"/>
              </w:rPr>
              <w:t>（小写）</w:t>
            </w:r>
            <w:r>
              <w:rPr>
                <w:rFonts w:hint="eastAsia" w:ascii="宋体" w:hAnsi="宋体" w:cs="宋体"/>
                <w:sz w:val="21"/>
                <w:szCs w:val="21"/>
                <w:highlight w:val="none"/>
                <w:u w:val="single"/>
              </w:rPr>
              <w:t xml:space="preserve">                        </w:t>
            </w:r>
          </w:p>
          <w:p w14:paraId="1A1985C2">
            <w:pPr>
              <w:ind w:left="1265" w:hanging="1265" w:hangingChars="600"/>
              <w:rPr>
                <w:rFonts w:hint="eastAsia" w:ascii="宋体" w:hAnsi="宋体" w:cs="宋体"/>
                <w:szCs w:val="21"/>
                <w:highlight w:val="none"/>
              </w:rPr>
            </w:pPr>
            <w:r>
              <w:rPr>
                <w:rFonts w:hint="eastAsia" w:ascii="宋体" w:hAnsi="宋体" w:cs="宋体"/>
                <w:b/>
                <w:bCs/>
                <w:color w:val="000000"/>
                <w:szCs w:val="21"/>
                <w:highlight w:val="none"/>
              </w:rPr>
              <w:t>（供应商应在此填列第一次报价，但以供应商最后一次的磋商报价为成交价）</w:t>
            </w:r>
          </w:p>
        </w:tc>
      </w:tr>
      <w:tr w14:paraId="09F7D1A7">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ECA89CF">
            <w:pPr>
              <w:jc w:val="center"/>
              <w:rPr>
                <w:rFonts w:hint="eastAsia" w:ascii="宋体" w:hAnsi="宋体" w:cs="宋体"/>
                <w:szCs w:val="21"/>
                <w:highlight w:val="none"/>
              </w:rPr>
            </w:pPr>
            <w:r>
              <w:rPr>
                <w:rFonts w:hint="eastAsia" w:ascii="宋体" w:hAnsi="宋体" w:cs="宋体"/>
                <w:szCs w:val="21"/>
                <w:highlight w:val="none"/>
              </w:rPr>
              <w:t>合同履行期限</w:t>
            </w:r>
          </w:p>
        </w:tc>
        <w:tc>
          <w:tcPr>
            <w:tcW w:w="6120" w:type="dxa"/>
            <w:tcBorders>
              <w:top w:val="single" w:color="auto" w:sz="4" w:space="0"/>
              <w:left w:val="single" w:color="auto" w:sz="4" w:space="0"/>
              <w:bottom w:val="single" w:color="auto" w:sz="4" w:space="0"/>
              <w:right w:val="single" w:color="auto" w:sz="4" w:space="0"/>
            </w:tcBorders>
            <w:vAlign w:val="center"/>
          </w:tcPr>
          <w:p w14:paraId="7B15AF6D">
            <w:pPr>
              <w:ind w:left="1260" w:hanging="1260" w:hangingChars="600"/>
              <w:jc w:val="center"/>
              <w:rPr>
                <w:rFonts w:hint="eastAsia" w:ascii="宋体" w:hAnsi="宋体" w:cs="宋体"/>
                <w:color w:val="FF0000"/>
                <w:szCs w:val="21"/>
                <w:highlight w:val="none"/>
              </w:rPr>
            </w:pPr>
          </w:p>
        </w:tc>
      </w:tr>
      <w:tr w14:paraId="144BF4BC">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03329A43">
            <w:pPr>
              <w:jc w:val="center"/>
              <w:rPr>
                <w:rFonts w:hint="eastAsia" w:ascii="宋体" w:hAnsi="宋体" w:cs="宋体"/>
                <w:szCs w:val="21"/>
                <w:highlight w:val="none"/>
              </w:rPr>
            </w:pPr>
            <w:r>
              <w:rPr>
                <w:rFonts w:hint="eastAsia" w:ascii="宋体" w:hAnsi="宋体" w:cs="宋体"/>
                <w:szCs w:val="21"/>
                <w:highlight w:val="none"/>
              </w:rPr>
              <w:t>质保期</w:t>
            </w:r>
          </w:p>
        </w:tc>
        <w:tc>
          <w:tcPr>
            <w:tcW w:w="6120" w:type="dxa"/>
            <w:tcBorders>
              <w:top w:val="single" w:color="auto" w:sz="4" w:space="0"/>
              <w:left w:val="single" w:color="auto" w:sz="4" w:space="0"/>
              <w:bottom w:val="single" w:color="auto" w:sz="4" w:space="0"/>
              <w:right w:val="single" w:color="auto" w:sz="4" w:space="0"/>
            </w:tcBorders>
            <w:vAlign w:val="center"/>
          </w:tcPr>
          <w:p w14:paraId="47549E5B">
            <w:pPr>
              <w:ind w:left="1260" w:hanging="1260" w:hangingChars="600"/>
              <w:rPr>
                <w:rFonts w:hint="eastAsia" w:ascii="宋体" w:hAnsi="宋体" w:cs="宋体"/>
                <w:color w:val="FF0000"/>
                <w:szCs w:val="21"/>
                <w:highlight w:val="none"/>
              </w:rPr>
            </w:pPr>
          </w:p>
        </w:tc>
      </w:tr>
      <w:tr w14:paraId="1FE1E6C9">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40F89B73">
            <w:pPr>
              <w:jc w:val="center"/>
              <w:rPr>
                <w:rFonts w:hint="eastAsia" w:ascii="宋体" w:hAnsi="宋体" w:cs="宋体"/>
                <w:szCs w:val="21"/>
                <w:highlight w:val="none"/>
              </w:rPr>
            </w:pPr>
            <w:r>
              <w:rPr>
                <w:rFonts w:hint="eastAsia" w:ascii="宋体" w:hAnsi="宋体" w:cs="宋体"/>
                <w:szCs w:val="21"/>
                <w:highlight w:val="none"/>
              </w:rPr>
              <w:t>质量要求</w:t>
            </w:r>
          </w:p>
        </w:tc>
        <w:tc>
          <w:tcPr>
            <w:tcW w:w="6120" w:type="dxa"/>
            <w:tcBorders>
              <w:top w:val="single" w:color="auto" w:sz="4" w:space="0"/>
              <w:left w:val="single" w:color="auto" w:sz="4" w:space="0"/>
              <w:bottom w:val="single" w:color="auto" w:sz="4" w:space="0"/>
              <w:right w:val="single" w:color="auto" w:sz="4" w:space="0"/>
            </w:tcBorders>
            <w:vAlign w:val="center"/>
          </w:tcPr>
          <w:p w14:paraId="1C706BBD">
            <w:pPr>
              <w:ind w:left="1260" w:hanging="1260" w:hangingChars="600"/>
              <w:rPr>
                <w:rFonts w:hint="eastAsia" w:ascii="宋体" w:hAnsi="宋体" w:cs="宋体"/>
                <w:color w:val="FF0000"/>
                <w:szCs w:val="21"/>
                <w:highlight w:val="none"/>
              </w:rPr>
            </w:pPr>
          </w:p>
        </w:tc>
      </w:tr>
      <w:tr w14:paraId="3901F1BF">
        <w:tblPrEx>
          <w:tblCellMar>
            <w:top w:w="0" w:type="dxa"/>
            <w:left w:w="108" w:type="dxa"/>
            <w:bottom w:w="0" w:type="dxa"/>
            <w:right w:w="108" w:type="dxa"/>
          </w:tblCellMar>
        </w:tblPrEx>
        <w:trPr>
          <w:cantSplit/>
          <w:trHeight w:val="506"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85F7E8B">
            <w:pPr>
              <w:jc w:val="center"/>
              <w:rPr>
                <w:rFonts w:hint="eastAsia" w:ascii="宋体" w:hAnsi="宋体" w:cs="宋体"/>
                <w:szCs w:val="21"/>
                <w:highlight w:val="none"/>
              </w:rPr>
            </w:pPr>
            <w:r>
              <w:rPr>
                <w:rFonts w:hint="eastAsia" w:ascii="宋体" w:hAnsi="宋体" w:cs="宋体"/>
                <w:szCs w:val="21"/>
                <w:highlight w:val="none"/>
              </w:rPr>
              <w:t>备注</w:t>
            </w:r>
          </w:p>
        </w:tc>
        <w:tc>
          <w:tcPr>
            <w:tcW w:w="6120" w:type="dxa"/>
            <w:tcBorders>
              <w:top w:val="single" w:color="auto" w:sz="4" w:space="0"/>
              <w:left w:val="single" w:color="auto" w:sz="4" w:space="0"/>
              <w:bottom w:val="single" w:color="auto" w:sz="4" w:space="0"/>
              <w:right w:val="single" w:color="auto" w:sz="4" w:space="0"/>
            </w:tcBorders>
            <w:vAlign w:val="center"/>
          </w:tcPr>
          <w:p w14:paraId="428665F3">
            <w:pPr>
              <w:ind w:left="1260" w:hanging="1260" w:hangingChars="600"/>
              <w:rPr>
                <w:rFonts w:hint="eastAsia" w:ascii="宋体" w:hAnsi="宋体" w:cs="宋体"/>
                <w:color w:val="FF0000"/>
                <w:szCs w:val="21"/>
                <w:highlight w:val="none"/>
              </w:rPr>
            </w:pPr>
          </w:p>
        </w:tc>
      </w:tr>
    </w:tbl>
    <w:p w14:paraId="1AA3F764">
      <w:pPr>
        <w:pStyle w:val="11"/>
        <w:spacing w:line="600" w:lineRule="exact"/>
        <w:jc w:val="right"/>
        <w:rPr>
          <w:rFonts w:hint="eastAsia" w:ascii="宋体" w:hAnsi="宋体" w:cs="宋体"/>
          <w:sz w:val="24"/>
          <w:highlight w:val="none"/>
        </w:rPr>
      </w:pPr>
    </w:p>
    <w:p w14:paraId="1F568A5A">
      <w:pPr>
        <w:pStyle w:val="11"/>
        <w:spacing w:line="600" w:lineRule="exact"/>
        <w:jc w:val="right"/>
        <w:rPr>
          <w:rFonts w:hint="eastAsia" w:ascii="宋体" w:hAnsi="宋体" w:cs="宋体"/>
          <w:sz w:val="24"/>
          <w:highlight w:val="none"/>
        </w:rPr>
      </w:pPr>
    </w:p>
    <w:p w14:paraId="56065C10">
      <w:pPr>
        <w:spacing w:line="360" w:lineRule="auto"/>
        <w:jc w:val="right"/>
        <w:rPr>
          <w:rFonts w:hint="eastAsia" w:ascii="宋体" w:hAnsi="宋体" w:cs="宋体"/>
          <w:w w:val="99"/>
          <w:szCs w:val="21"/>
          <w:highlight w:val="none"/>
        </w:rPr>
      </w:pPr>
      <w:r>
        <w:rPr>
          <w:rFonts w:hint="eastAsia" w:ascii="宋体" w:hAnsi="宋体" w:cs="宋体"/>
          <w:szCs w:val="21"/>
          <w:highlight w:val="none"/>
        </w:rPr>
        <w:t>供应商：（盖单位章或电子签章）</w:t>
      </w:r>
      <w:r>
        <w:rPr>
          <w:rFonts w:hint="eastAsia" w:ascii="宋体" w:hAnsi="宋体" w:cs="宋体"/>
          <w:w w:val="99"/>
          <w:szCs w:val="21"/>
          <w:highlight w:val="none"/>
        </w:rPr>
        <w:t xml:space="preserve"> </w:t>
      </w:r>
    </w:p>
    <w:p w14:paraId="4D06A296">
      <w:pPr>
        <w:spacing w:line="360" w:lineRule="auto"/>
        <w:jc w:val="right"/>
        <w:rPr>
          <w:rFonts w:hint="eastAsia" w:ascii="宋体" w:hAnsi="宋体" w:cs="宋体"/>
          <w:w w:val="99"/>
          <w:szCs w:val="21"/>
          <w:highlight w:val="none"/>
        </w:rPr>
      </w:pPr>
      <w:r>
        <w:rPr>
          <w:rFonts w:hint="eastAsia" w:ascii="宋体" w:hAnsi="宋体" w:cs="宋体"/>
          <w:szCs w:val="21"/>
          <w:highlight w:val="none"/>
        </w:rPr>
        <w:t>法定代表人（签字或盖章或电子签章）：</w:t>
      </w:r>
      <w:r>
        <w:rPr>
          <w:rFonts w:hint="eastAsia" w:ascii="宋体" w:hAnsi="宋体" w:cs="宋体"/>
          <w:w w:val="99"/>
          <w:szCs w:val="21"/>
          <w:highlight w:val="none"/>
        </w:rPr>
        <w:t xml:space="preserve"> </w:t>
      </w:r>
    </w:p>
    <w:p w14:paraId="18EC521F">
      <w:pPr>
        <w:pStyle w:val="10"/>
        <w:tabs>
          <w:tab w:val="left" w:pos="600"/>
          <w:tab w:val="left" w:pos="1440"/>
          <w:tab w:val="left" w:pos="2400"/>
        </w:tabs>
        <w:kinsoku w:val="0"/>
        <w:overflowPunct w:val="0"/>
        <w:ind w:right="123" w:firstLine="5668" w:firstLineChars="2600"/>
        <w:jc w:val="left"/>
        <w:rPr>
          <w:rFonts w:hint="eastAsia" w:ascii="宋体" w:eastAsia="宋体" w:cs="宋体"/>
          <w:sz w:val="21"/>
          <w:szCs w:val="21"/>
          <w:highlight w:val="none"/>
        </w:rPr>
        <w:sectPr>
          <w:pgSz w:w="11911" w:h="16838"/>
          <w:pgMar w:top="1440" w:right="1803" w:bottom="1440" w:left="1803" w:header="720" w:footer="720" w:gutter="0"/>
          <w:cols w:space="720" w:num="1"/>
        </w:sectPr>
      </w:pP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u w:val="single"/>
        </w:rPr>
        <w:tab/>
      </w:r>
      <w:r>
        <w:rPr>
          <w:rFonts w:hint="eastAsia" w:ascii="宋体" w:eastAsia="宋体" w:cs="宋体"/>
          <w:b w:val="0"/>
          <w:bCs w:val="0"/>
          <w:spacing w:val="-1"/>
          <w:sz w:val="21"/>
          <w:szCs w:val="21"/>
          <w:highlight w:val="none"/>
        </w:rPr>
        <w:t>年</w:t>
      </w:r>
      <w:r>
        <w:rPr>
          <w:rFonts w:hint="eastAsia" w:ascii="宋体" w:eastAsia="宋体" w:cs="宋体"/>
          <w:b w:val="0"/>
          <w:bCs w:val="0"/>
          <w:spacing w:val="-1"/>
          <w:sz w:val="21"/>
          <w:szCs w:val="21"/>
          <w:highlight w:val="none"/>
          <w:u w:val="single"/>
        </w:rPr>
        <w:tab/>
      </w:r>
      <w:r>
        <w:rPr>
          <w:rFonts w:hint="eastAsia" w:ascii="宋体" w:eastAsia="宋体" w:cs="宋体"/>
          <w:b w:val="0"/>
          <w:bCs w:val="0"/>
          <w:spacing w:val="-1"/>
          <w:sz w:val="21"/>
          <w:szCs w:val="21"/>
          <w:highlight w:val="none"/>
          <w:u w:val="single"/>
        </w:rPr>
        <w:t xml:space="preserve">    </w:t>
      </w:r>
      <w:r>
        <w:rPr>
          <w:rFonts w:hint="eastAsia" w:ascii="宋体" w:eastAsia="宋体" w:cs="宋体"/>
          <w:b w:val="0"/>
          <w:bCs w:val="0"/>
          <w:spacing w:val="-1"/>
          <w:sz w:val="21"/>
          <w:szCs w:val="21"/>
          <w:highlight w:val="none"/>
        </w:rPr>
        <w:t>月</w:t>
      </w:r>
      <w:r>
        <w:rPr>
          <w:rFonts w:hint="eastAsia" w:ascii="宋体" w:eastAsia="宋体" w:cs="宋体"/>
          <w:b w:val="0"/>
          <w:bCs w:val="0"/>
          <w:spacing w:val="-1"/>
          <w:sz w:val="21"/>
          <w:szCs w:val="21"/>
          <w:highlight w:val="none"/>
          <w:u w:val="single"/>
        </w:rPr>
        <w:t xml:space="preserve">     </w:t>
      </w:r>
      <w:r>
        <w:rPr>
          <w:rFonts w:hint="eastAsia" w:ascii="宋体" w:eastAsia="宋体" w:cs="宋体"/>
          <w:b w:val="0"/>
          <w:bCs w:val="0"/>
          <w:spacing w:val="-1"/>
          <w:sz w:val="21"/>
          <w:szCs w:val="21"/>
          <w:highlight w:val="none"/>
        </w:rPr>
        <w:t xml:space="preserve">日 </w:t>
      </w:r>
    </w:p>
    <w:p w14:paraId="721C9139">
      <w:pPr>
        <w:adjustRightInd w:val="0"/>
        <w:snapToGrid w:val="0"/>
        <w:spacing w:line="400" w:lineRule="exact"/>
        <w:jc w:val="left"/>
        <w:textAlignment w:val="baseline"/>
        <w:rPr>
          <w:rFonts w:hint="eastAsia" w:ascii="宋体" w:hAnsi="宋体" w:cs="宋体"/>
          <w:color w:val="000000"/>
          <w:sz w:val="28"/>
          <w:szCs w:val="28"/>
          <w:highlight w:val="none"/>
        </w:rPr>
      </w:pPr>
    </w:p>
    <w:p w14:paraId="4CFC2554">
      <w:pPr>
        <w:jc w:val="center"/>
        <w:rPr>
          <w:rFonts w:hint="eastAsia" w:ascii="宋体" w:hAnsi="宋体" w:cs="宋体"/>
          <w:sz w:val="28"/>
          <w:szCs w:val="28"/>
          <w:highlight w:val="none"/>
        </w:rPr>
      </w:pPr>
      <w:r>
        <w:rPr>
          <w:rFonts w:hint="eastAsia" w:ascii="宋体" w:hAnsi="宋体" w:cs="宋体"/>
          <w:bCs/>
          <w:sz w:val="28"/>
          <w:szCs w:val="28"/>
          <w:highlight w:val="none"/>
        </w:rPr>
        <w:t>3、</w:t>
      </w:r>
      <w:bookmarkStart w:id="229" w:name="_Toc32011"/>
      <w:bookmarkStart w:id="230" w:name="_Toc30874"/>
      <w:bookmarkStart w:id="231" w:name="_Toc28742"/>
      <w:bookmarkStart w:id="232" w:name="_Toc2256"/>
      <w:bookmarkStart w:id="233" w:name="_Toc9626"/>
      <w:bookmarkStart w:id="234" w:name="_Toc6817"/>
      <w:bookmarkStart w:id="235" w:name="_Toc8508"/>
      <w:bookmarkStart w:id="236" w:name="_Toc7716"/>
      <w:bookmarkStart w:id="237" w:name="_Toc10867"/>
      <w:bookmarkStart w:id="238" w:name="_Toc30817"/>
      <w:bookmarkStart w:id="239" w:name="_Toc27499"/>
      <w:bookmarkStart w:id="240" w:name="_Toc16756"/>
      <w:bookmarkStart w:id="241" w:name="_Toc13449"/>
      <w:r>
        <w:rPr>
          <w:rFonts w:hint="eastAsia" w:ascii="宋体" w:hAnsi="宋体" w:cs="宋体"/>
          <w:bCs/>
          <w:sz w:val="28"/>
          <w:szCs w:val="28"/>
          <w:highlight w:val="none"/>
        </w:rPr>
        <w:t>报价明细表</w:t>
      </w:r>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cs="宋体"/>
          <w:bCs/>
          <w:sz w:val="28"/>
          <w:szCs w:val="28"/>
          <w:highlight w:val="none"/>
        </w:rPr>
        <w:t>（格式仅供参考）</w:t>
      </w:r>
    </w:p>
    <w:p w14:paraId="0030D778">
      <w:pPr>
        <w:pStyle w:val="24"/>
        <w:ind w:firstLine="240"/>
        <w:rPr>
          <w:rFonts w:hint="eastAsia" w:ascii="宋体" w:hAnsi="宋体" w:cs="宋体"/>
          <w:highlight w:val="none"/>
        </w:rPr>
      </w:pPr>
    </w:p>
    <w:p w14:paraId="6CC6C2CD">
      <w:pPr>
        <w:pStyle w:val="24"/>
        <w:ind w:firstLine="240"/>
        <w:rPr>
          <w:rFonts w:hint="eastAsia" w:ascii="宋体" w:hAnsi="宋体" w:cs="宋体"/>
          <w:highlight w:val="none"/>
        </w:rPr>
      </w:pPr>
    </w:p>
    <w:tbl>
      <w:tblPr>
        <w:tblStyle w:val="26"/>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238"/>
        <w:gridCol w:w="992"/>
        <w:gridCol w:w="992"/>
        <w:gridCol w:w="992"/>
        <w:gridCol w:w="1237"/>
        <w:gridCol w:w="1237"/>
        <w:gridCol w:w="1031"/>
        <w:gridCol w:w="1007"/>
      </w:tblGrid>
      <w:tr w14:paraId="3EEC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202C12C2">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2238" w:type="dxa"/>
            <w:vAlign w:val="center"/>
          </w:tcPr>
          <w:p w14:paraId="55D86E13">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货物名称</w:t>
            </w:r>
          </w:p>
        </w:tc>
        <w:tc>
          <w:tcPr>
            <w:tcW w:w="992" w:type="dxa"/>
            <w:vAlign w:val="center"/>
          </w:tcPr>
          <w:p w14:paraId="6B03A152">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品牌</w:t>
            </w:r>
          </w:p>
        </w:tc>
        <w:tc>
          <w:tcPr>
            <w:tcW w:w="992" w:type="dxa"/>
            <w:vAlign w:val="center"/>
          </w:tcPr>
          <w:p w14:paraId="0550BF81">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型号或规格</w:t>
            </w:r>
          </w:p>
        </w:tc>
        <w:tc>
          <w:tcPr>
            <w:tcW w:w="992" w:type="dxa"/>
            <w:vAlign w:val="center"/>
          </w:tcPr>
          <w:p w14:paraId="05CF5CF5">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1237" w:type="dxa"/>
            <w:vAlign w:val="center"/>
          </w:tcPr>
          <w:p w14:paraId="7F2DD31B">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1237" w:type="dxa"/>
            <w:vAlign w:val="center"/>
          </w:tcPr>
          <w:p w14:paraId="1C08A42D">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单价</w:t>
            </w:r>
          </w:p>
        </w:tc>
        <w:tc>
          <w:tcPr>
            <w:tcW w:w="1031" w:type="dxa"/>
            <w:vAlign w:val="center"/>
          </w:tcPr>
          <w:p w14:paraId="128F2572">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金额</w:t>
            </w:r>
          </w:p>
        </w:tc>
        <w:tc>
          <w:tcPr>
            <w:tcW w:w="1007" w:type="dxa"/>
            <w:vAlign w:val="center"/>
          </w:tcPr>
          <w:p w14:paraId="189C4AC0">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r>
      <w:tr w14:paraId="6900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103A664B">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1</w:t>
            </w:r>
          </w:p>
        </w:tc>
        <w:tc>
          <w:tcPr>
            <w:tcW w:w="2238" w:type="dxa"/>
            <w:shd w:val="clear" w:color="auto" w:fill="auto"/>
            <w:vAlign w:val="center"/>
          </w:tcPr>
          <w:p w14:paraId="2B72FAAD">
            <w:pPr>
              <w:adjustRightInd w:val="0"/>
              <w:snapToGrid w:val="0"/>
              <w:spacing w:line="440" w:lineRule="exact"/>
              <w:jc w:val="center"/>
              <w:rPr>
                <w:rFonts w:hint="eastAsia" w:ascii="宋体" w:hAnsi="宋体" w:cs="宋体"/>
                <w:szCs w:val="21"/>
                <w:highlight w:val="none"/>
              </w:rPr>
            </w:pPr>
          </w:p>
        </w:tc>
        <w:tc>
          <w:tcPr>
            <w:tcW w:w="992" w:type="dxa"/>
          </w:tcPr>
          <w:p w14:paraId="750797DC">
            <w:pPr>
              <w:adjustRightInd w:val="0"/>
              <w:snapToGrid w:val="0"/>
              <w:spacing w:line="440" w:lineRule="exact"/>
              <w:jc w:val="center"/>
              <w:rPr>
                <w:rFonts w:hint="eastAsia" w:ascii="宋体" w:hAnsi="宋体" w:cs="宋体"/>
                <w:szCs w:val="21"/>
                <w:highlight w:val="none"/>
              </w:rPr>
            </w:pPr>
          </w:p>
        </w:tc>
        <w:tc>
          <w:tcPr>
            <w:tcW w:w="992" w:type="dxa"/>
          </w:tcPr>
          <w:p w14:paraId="3F59CB08">
            <w:pPr>
              <w:adjustRightInd w:val="0"/>
              <w:snapToGrid w:val="0"/>
              <w:spacing w:line="440" w:lineRule="exact"/>
              <w:jc w:val="center"/>
              <w:rPr>
                <w:rFonts w:hint="eastAsia" w:ascii="宋体" w:hAnsi="宋体" w:cs="宋体"/>
                <w:szCs w:val="21"/>
                <w:highlight w:val="none"/>
              </w:rPr>
            </w:pPr>
          </w:p>
        </w:tc>
        <w:tc>
          <w:tcPr>
            <w:tcW w:w="992" w:type="dxa"/>
          </w:tcPr>
          <w:p w14:paraId="72CED256">
            <w:pPr>
              <w:adjustRightInd w:val="0"/>
              <w:snapToGrid w:val="0"/>
              <w:spacing w:line="440" w:lineRule="exact"/>
              <w:jc w:val="center"/>
              <w:rPr>
                <w:rFonts w:hint="eastAsia" w:ascii="宋体" w:hAnsi="宋体" w:cs="宋体"/>
                <w:szCs w:val="21"/>
                <w:highlight w:val="none"/>
              </w:rPr>
            </w:pPr>
          </w:p>
        </w:tc>
        <w:tc>
          <w:tcPr>
            <w:tcW w:w="1237" w:type="dxa"/>
          </w:tcPr>
          <w:p w14:paraId="036824AF">
            <w:pPr>
              <w:adjustRightInd w:val="0"/>
              <w:snapToGrid w:val="0"/>
              <w:spacing w:line="440" w:lineRule="exact"/>
              <w:jc w:val="center"/>
              <w:rPr>
                <w:rFonts w:hint="eastAsia" w:ascii="宋体" w:hAnsi="宋体" w:cs="宋体"/>
                <w:szCs w:val="21"/>
                <w:highlight w:val="none"/>
              </w:rPr>
            </w:pPr>
          </w:p>
        </w:tc>
        <w:tc>
          <w:tcPr>
            <w:tcW w:w="1237" w:type="dxa"/>
            <w:vAlign w:val="center"/>
          </w:tcPr>
          <w:p w14:paraId="4D53EF5E">
            <w:pPr>
              <w:adjustRightInd w:val="0"/>
              <w:snapToGrid w:val="0"/>
              <w:spacing w:line="440" w:lineRule="exact"/>
              <w:jc w:val="center"/>
              <w:rPr>
                <w:rFonts w:hint="eastAsia" w:ascii="宋体" w:hAnsi="宋体" w:cs="宋体"/>
                <w:szCs w:val="21"/>
                <w:highlight w:val="none"/>
              </w:rPr>
            </w:pPr>
          </w:p>
        </w:tc>
        <w:tc>
          <w:tcPr>
            <w:tcW w:w="1031" w:type="dxa"/>
          </w:tcPr>
          <w:p w14:paraId="2812BFEB">
            <w:pPr>
              <w:adjustRightInd w:val="0"/>
              <w:snapToGrid w:val="0"/>
              <w:spacing w:line="440" w:lineRule="exact"/>
              <w:jc w:val="center"/>
              <w:rPr>
                <w:rFonts w:hint="eastAsia" w:ascii="宋体" w:hAnsi="宋体" w:cs="宋体"/>
                <w:szCs w:val="21"/>
                <w:highlight w:val="none"/>
              </w:rPr>
            </w:pPr>
          </w:p>
        </w:tc>
        <w:tc>
          <w:tcPr>
            <w:tcW w:w="1007" w:type="dxa"/>
          </w:tcPr>
          <w:p w14:paraId="72595AE2">
            <w:pPr>
              <w:adjustRightInd w:val="0"/>
              <w:snapToGrid w:val="0"/>
              <w:spacing w:line="440" w:lineRule="exact"/>
              <w:jc w:val="center"/>
              <w:rPr>
                <w:rFonts w:hint="eastAsia" w:ascii="宋体" w:hAnsi="宋体" w:cs="宋体"/>
                <w:szCs w:val="21"/>
                <w:highlight w:val="none"/>
              </w:rPr>
            </w:pPr>
          </w:p>
        </w:tc>
      </w:tr>
      <w:tr w14:paraId="3CA6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522EDA3A">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2</w:t>
            </w:r>
          </w:p>
        </w:tc>
        <w:tc>
          <w:tcPr>
            <w:tcW w:w="2238" w:type="dxa"/>
            <w:shd w:val="clear" w:color="auto" w:fill="auto"/>
            <w:vAlign w:val="center"/>
          </w:tcPr>
          <w:p w14:paraId="6A76CC1E">
            <w:pPr>
              <w:adjustRightInd w:val="0"/>
              <w:snapToGrid w:val="0"/>
              <w:spacing w:line="440" w:lineRule="exact"/>
              <w:jc w:val="center"/>
              <w:rPr>
                <w:rFonts w:hint="eastAsia" w:ascii="宋体" w:hAnsi="宋体" w:cs="宋体"/>
                <w:szCs w:val="21"/>
                <w:highlight w:val="none"/>
              </w:rPr>
            </w:pPr>
          </w:p>
        </w:tc>
        <w:tc>
          <w:tcPr>
            <w:tcW w:w="992" w:type="dxa"/>
          </w:tcPr>
          <w:p w14:paraId="6A818E10">
            <w:pPr>
              <w:adjustRightInd w:val="0"/>
              <w:snapToGrid w:val="0"/>
              <w:spacing w:line="440" w:lineRule="exact"/>
              <w:jc w:val="center"/>
              <w:rPr>
                <w:rFonts w:hint="eastAsia" w:ascii="宋体" w:hAnsi="宋体" w:cs="宋体"/>
                <w:szCs w:val="21"/>
                <w:highlight w:val="none"/>
              </w:rPr>
            </w:pPr>
          </w:p>
        </w:tc>
        <w:tc>
          <w:tcPr>
            <w:tcW w:w="992" w:type="dxa"/>
          </w:tcPr>
          <w:p w14:paraId="0733DCA0">
            <w:pPr>
              <w:adjustRightInd w:val="0"/>
              <w:snapToGrid w:val="0"/>
              <w:spacing w:line="440" w:lineRule="exact"/>
              <w:jc w:val="center"/>
              <w:rPr>
                <w:rFonts w:hint="eastAsia" w:ascii="宋体" w:hAnsi="宋体" w:cs="宋体"/>
                <w:szCs w:val="21"/>
                <w:highlight w:val="none"/>
              </w:rPr>
            </w:pPr>
          </w:p>
        </w:tc>
        <w:tc>
          <w:tcPr>
            <w:tcW w:w="992" w:type="dxa"/>
          </w:tcPr>
          <w:p w14:paraId="6BA38D4F">
            <w:pPr>
              <w:adjustRightInd w:val="0"/>
              <w:snapToGrid w:val="0"/>
              <w:spacing w:line="440" w:lineRule="exact"/>
              <w:jc w:val="center"/>
              <w:rPr>
                <w:rFonts w:hint="eastAsia" w:ascii="宋体" w:hAnsi="宋体" w:cs="宋体"/>
                <w:szCs w:val="21"/>
                <w:highlight w:val="none"/>
              </w:rPr>
            </w:pPr>
          </w:p>
        </w:tc>
        <w:tc>
          <w:tcPr>
            <w:tcW w:w="1237" w:type="dxa"/>
          </w:tcPr>
          <w:p w14:paraId="7C710FD3">
            <w:pPr>
              <w:adjustRightInd w:val="0"/>
              <w:snapToGrid w:val="0"/>
              <w:spacing w:line="440" w:lineRule="exact"/>
              <w:jc w:val="center"/>
              <w:rPr>
                <w:rFonts w:hint="eastAsia" w:ascii="宋体" w:hAnsi="宋体" w:cs="宋体"/>
                <w:szCs w:val="21"/>
                <w:highlight w:val="none"/>
              </w:rPr>
            </w:pPr>
          </w:p>
        </w:tc>
        <w:tc>
          <w:tcPr>
            <w:tcW w:w="1237" w:type="dxa"/>
            <w:vAlign w:val="center"/>
          </w:tcPr>
          <w:p w14:paraId="187902DF">
            <w:pPr>
              <w:adjustRightInd w:val="0"/>
              <w:snapToGrid w:val="0"/>
              <w:spacing w:line="440" w:lineRule="exact"/>
              <w:jc w:val="center"/>
              <w:rPr>
                <w:rFonts w:hint="eastAsia" w:ascii="宋体" w:hAnsi="宋体" w:cs="宋体"/>
                <w:szCs w:val="21"/>
                <w:highlight w:val="none"/>
              </w:rPr>
            </w:pPr>
          </w:p>
        </w:tc>
        <w:tc>
          <w:tcPr>
            <w:tcW w:w="1031" w:type="dxa"/>
          </w:tcPr>
          <w:p w14:paraId="756FEA2B">
            <w:pPr>
              <w:adjustRightInd w:val="0"/>
              <w:snapToGrid w:val="0"/>
              <w:spacing w:line="440" w:lineRule="exact"/>
              <w:jc w:val="center"/>
              <w:rPr>
                <w:rFonts w:hint="eastAsia" w:ascii="宋体" w:hAnsi="宋体" w:cs="宋体"/>
                <w:szCs w:val="21"/>
                <w:highlight w:val="none"/>
              </w:rPr>
            </w:pPr>
          </w:p>
        </w:tc>
        <w:tc>
          <w:tcPr>
            <w:tcW w:w="1007" w:type="dxa"/>
          </w:tcPr>
          <w:p w14:paraId="6177668F">
            <w:pPr>
              <w:adjustRightInd w:val="0"/>
              <w:snapToGrid w:val="0"/>
              <w:spacing w:line="440" w:lineRule="exact"/>
              <w:jc w:val="center"/>
              <w:rPr>
                <w:rFonts w:hint="eastAsia" w:ascii="宋体" w:hAnsi="宋体" w:cs="宋体"/>
                <w:szCs w:val="21"/>
                <w:highlight w:val="none"/>
              </w:rPr>
            </w:pPr>
          </w:p>
        </w:tc>
      </w:tr>
    </w:tbl>
    <w:p w14:paraId="57E4CDA2">
      <w:pPr>
        <w:pStyle w:val="24"/>
        <w:ind w:firstLine="320"/>
        <w:rPr>
          <w:rFonts w:hint="eastAsia" w:ascii="宋体" w:hAnsi="宋体" w:cs="宋体"/>
          <w:sz w:val="32"/>
          <w:szCs w:val="32"/>
          <w:highlight w:val="none"/>
        </w:rPr>
      </w:pPr>
      <w:r>
        <w:rPr>
          <w:rFonts w:hint="eastAsia" w:ascii="宋体" w:hAnsi="宋体" w:cs="宋体"/>
          <w:sz w:val="32"/>
          <w:szCs w:val="32"/>
          <w:highlight w:val="none"/>
        </w:rPr>
        <w:t>.......</w:t>
      </w:r>
    </w:p>
    <w:p w14:paraId="7FB1B69C">
      <w:pPr>
        <w:adjustRightInd w:val="0"/>
        <w:snapToGrid w:val="0"/>
        <w:spacing w:line="440" w:lineRule="exact"/>
        <w:rPr>
          <w:rFonts w:hint="eastAsia" w:ascii="宋体" w:hAnsi="宋体" w:cs="宋体"/>
          <w:b/>
          <w:bCs/>
          <w:color w:val="000000"/>
          <w:sz w:val="24"/>
          <w:highlight w:val="none"/>
        </w:rPr>
      </w:pPr>
      <w:r>
        <w:rPr>
          <w:rFonts w:hint="eastAsia" w:ascii="宋体" w:hAnsi="宋体" w:cs="宋体"/>
          <w:b/>
          <w:bCs/>
          <w:color w:val="000000"/>
          <w:sz w:val="24"/>
          <w:highlight w:val="none"/>
        </w:rPr>
        <w:t>注：供应商可根据实际情况自行添加删减表格内容。</w:t>
      </w:r>
    </w:p>
    <w:p w14:paraId="5FB77B0D">
      <w:pPr>
        <w:adjustRightInd w:val="0"/>
        <w:snapToGrid w:val="0"/>
        <w:spacing w:line="440" w:lineRule="exact"/>
        <w:rPr>
          <w:rFonts w:hint="eastAsia" w:ascii="宋体" w:hAnsi="宋体" w:cs="宋体"/>
          <w:sz w:val="24"/>
          <w:highlight w:val="none"/>
        </w:rPr>
      </w:pPr>
    </w:p>
    <w:p w14:paraId="1CF88FA5">
      <w:pPr>
        <w:adjustRightInd w:val="0"/>
        <w:snapToGrid w:val="0"/>
        <w:spacing w:line="440" w:lineRule="exact"/>
        <w:rPr>
          <w:rFonts w:hint="eastAsia"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（盖章或电子签章）</w:t>
      </w:r>
    </w:p>
    <w:p w14:paraId="06AB7254">
      <w:pPr>
        <w:adjustRightInd w:val="0"/>
        <w:snapToGrid w:val="0"/>
        <w:spacing w:line="440" w:lineRule="exact"/>
        <w:rPr>
          <w:rFonts w:hint="eastAsia" w:ascii="宋体" w:hAnsi="宋体" w:cs="宋体"/>
          <w:sz w:val="24"/>
          <w:highlight w:val="none"/>
        </w:rPr>
      </w:pPr>
    </w:p>
    <w:p w14:paraId="7A4DBBA1">
      <w:pPr>
        <w:adjustRightInd w:val="0"/>
        <w:snapToGrid w:val="0"/>
        <w:spacing w:line="440" w:lineRule="exact"/>
        <w:rPr>
          <w:rFonts w:hint="eastAsia" w:ascii="宋体" w:hAnsi="宋体" w:cs="宋体"/>
          <w:b/>
          <w:bCs/>
          <w:sz w:val="24"/>
          <w:highlight w:val="none"/>
        </w:rPr>
      </w:pPr>
      <w:r>
        <w:rPr>
          <w:rFonts w:hint="eastAsia" w:ascii="宋体" w:hAnsi="宋体" w:cs="宋体"/>
          <w:sz w:val="24"/>
          <w:highlight w:val="none"/>
        </w:rPr>
        <w:t xml:space="preserve">法定代表人或其委托代理人（签字或盖章或电子签章）： </w:t>
      </w:r>
      <w:r>
        <w:rPr>
          <w:rFonts w:hint="eastAsia" w:ascii="宋体" w:hAnsi="宋体" w:cs="宋体"/>
          <w:sz w:val="24"/>
          <w:highlight w:val="none"/>
          <w:u w:val="single"/>
        </w:rPr>
        <w:t xml:space="preserve">                  </w:t>
      </w:r>
    </w:p>
    <w:p w14:paraId="13241BC2">
      <w:pPr>
        <w:adjustRightInd w:val="0"/>
        <w:snapToGrid w:val="0"/>
        <w:spacing w:line="440" w:lineRule="exact"/>
        <w:rPr>
          <w:rFonts w:hint="eastAsia" w:ascii="宋体" w:hAnsi="宋体" w:cs="宋体"/>
          <w:sz w:val="24"/>
          <w:highlight w:val="none"/>
        </w:rPr>
      </w:pPr>
    </w:p>
    <w:p w14:paraId="6B499626">
      <w:pPr>
        <w:adjustRightInd w:val="0"/>
        <w:snapToGrid w:val="0"/>
        <w:spacing w:line="440" w:lineRule="exact"/>
        <w:rPr>
          <w:rFonts w:hint="eastAsia" w:ascii="宋体" w:hAnsi="宋体" w:cs="宋体"/>
          <w:sz w:val="24"/>
          <w:highlight w:val="none"/>
        </w:rPr>
      </w:pPr>
      <w:r>
        <w:rPr>
          <w:rFonts w:hint="eastAsia" w:ascii="宋体" w:hAnsi="宋体" w:cs="宋体"/>
          <w:sz w:val="24"/>
          <w:highlight w:val="none"/>
        </w:rPr>
        <w:t>日期：  年    月   日</w:t>
      </w:r>
    </w:p>
    <w:p w14:paraId="0112243F">
      <w:pPr>
        <w:pStyle w:val="24"/>
        <w:ind w:firstLine="240"/>
        <w:rPr>
          <w:rFonts w:hint="eastAsia" w:ascii="宋体" w:hAnsi="宋体" w:cs="宋体"/>
          <w:highlight w:val="none"/>
        </w:rPr>
      </w:pPr>
    </w:p>
    <w:p w14:paraId="300542DB">
      <w:pPr>
        <w:pStyle w:val="24"/>
        <w:ind w:firstLine="240"/>
        <w:rPr>
          <w:rFonts w:hint="eastAsia" w:ascii="宋体" w:hAnsi="宋体" w:cs="宋体"/>
          <w:highlight w:val="none"/>
        </w:rPr>
      </w:pPr>
    </w:p>
    <w:p w14:paraId="54E2875A">
      <w:pPr>
        <w:pStyle w:val="24"/>
        <w:ind w:firstLine="240"/>
        <w:rPr>
          <w:rFonts w:hint="eastAsia" w:ascii="宋体" w:hAnsi="宋体" w:cs="宋体"/>
          <w:highlight w:val="none"/>
        </w:rPr>
      </w:pPr>
    </w:p>
    <w:p w14:paraId="116F6B17">
      <w:pPr>
        <w:pStyle w:val="24"/>
        <w:ind w:firstLine="240"/>
        <w:rPr>
          <w:rFonts w:hint="eastAsia" w:ascii="宋体" w:hAnsi="宋体" w:cs="宋体"/>
          <w:highlight w:val="none"/>
        </w:rPr>
      </w:pPr>
    </w:p>
    <w:p w14:paraId="7A6C15FD">
      <w:pPr>
        <w:pStyle w:val="24"/>
        <w:ind w:firstLine="240"/>
        <w:rPr>
          <w:rFonts w:hint="eastAsia" w:ascii="宋体" w:hAnsi="宋体" w:cs="宋体"/>
          <w:highlight w:val="none"/>
        </w:rPr>
      </w:pPr>
    </w:p>
    <w:p w14:paraId="1F947370">
      <w:pPr>
        <w:pStyle w:val="24"/>
        <w:ind w:firstLine="240"/>
        <w:rPr>
          <w:rFonts w:hint="eastAsia" w:ascii="宋体" w:hAnsi="宋体" w:cs="宋体"/>
          <w:highlight w:val="none"/>
        </w:rPr>
      </w:pPr>
    </w:p>
    <w:p w14:paraId="1D1D5227">
      <w:pPr>
        <w:pStyle w:val="24"/>
        <w:ind w:firstLine="240"/>
        <w:rPr>
          <w:rFonts w:hint="eastAsia" w:ascii="宋体" w:hAnsi="宋体" w:cs="宋体"/>
          <w:highlight w:val="none"/>
        </w:rPr>
      </w:pPr>
    </w:p>
    <w:p w14:paraId="08E55A11">
      <w:pPr>
        <w:pStyle w:val="24"/>
        <w:ind w:firstLine="240"/>
        <w:rPr>
          <w:rFonts w:hint="eastAsia" w:ascii="宋体" w:hAnsi="宋体" w:cs="宋体"/>
          <w:highlight w:val="none"/>
        </w:rPr>
      </w:pPr>
    </w:p>
    <w:p w14:paraId="61BD04FB">
      <w:pPr>
        <w:pStyle w:val="24"/>
        <w:ind w:firstLine="240"/>
        <w:rPr>
          <w:rFonts w:hint="eastAsia" w:ascii="宋体" w:hAnsi="宋体" w:cs="宋体"/>
          <w:highlight w:val="none"/>
        </w:rPr>
      </w:pPr>
    </w:p>
    <w:p w14:paraId="2B7503FA">
      <w:pPr>
        <w:pStyle w:val="24"/>
        <w:ind w:firstLine="240"/>
        <w:rPr>
          <w:rFonts w:hint="eastAsia" w:ascii="宋体" w:hAnsi="宋体" w:cs="宋体"/>
          <w:highlight w:val="none"/>
        </w:rPr>
      </w:pPr>
    </w:p>
    <w:p w14:paraId="43264BC9">
      <w:pPr>
        <w:pStyle w:val="24"/>
        <w:ind w:firstLine="240"/>
        <w:rPr>
          <w:rFonts w:hint="eastAsia" w:ascii="宋体" w:hAnsi="宋体" w:cs="宋体"/>
          <w:highlight w:val="none"/>
        </w:rPr>
      </w:pPr>
    </w:p>
    <w:p w14:paraId="2F36402D">
      <w:pPr>
        <w:pStyle w:val="24"/>
        <w:ind w:firstLine="240"/>
        <w:rPr>
          <w:rFonts w:hint="eastAsia" w:ascii="宋体" w:hAnsi="宋体" w:cs="宋体"/>
          <w:highlight w:val="none"/>
        </w:rPr>
      </w:pPr>
    </w:p>
    <w:p w14:paraId="4F48D63D">
      <w:pPr>
        <w:jc w:val="center"/>
        <w:rPr>
          <w:rFonts w:hint="eastAsia" w:ascii="宋体" w:hAnsi="宋体" w:cs="宋体"/>
          <w:b/>
          <w:spacing w:val="6"/>
          <w:sz w:val="28"/>
          <w:szCs w:val="28"/>
          <w:highlight w:val="none"/>
        </w:rPr>
      </w:pPr>
      <w:bookmarkStart w:id="242" w:name="_Toc21725"/>
      <w:bookmarkStart w:id="243" w:name="_Toc10887"/>
      <w:bookmarkStart w:id="244" w:name="_Toc11459"/>
      <w:bookmarkStart w:id="245" w:name="_Toc20204"/>
      <w:bookmarkStart w:id="246" w:name="_Toc29920"/>
      <w:bookmarkStart w:id="247" w:name="_Toc23409"/>
      <w:bookmarkStart w:id="248" w:name="_Toc26596"/>
      <w:bookmarkStart w:id="249" w:name="_Toc31599"/>
      <w:bookmarkStart w:id="250" w:name="_Toc68"/>
      <w:bookmarkStart w:id="251" w:name="_Toc21127"/>
      <w:bookmarkStart w:id="252" w:name="_Toc6882"/>
      <w:bookmarkStart w:id="253" w:name="_Toc17043"/>
      <w:bookmarkStart w:id="254" w:name="_Toc691"/>
      <w:r>
        <w:rPr>
          <w:rFonts w:hint="eastAsia" w:ascii="宋体" w:hAnsi="宋体" w:cs="宋体"/>
          <w:bCs/>
          <w:sz w:val="28"/>
          <w:szCs w:val="28"/>
          <w:highlight w:val="none"/>
        </w:rPr>
        <w:t>4、中小企业声明函</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654ECF44">
      <w:pPr>
        <w:adjustRightInd w:val="0"/>
        <w:snapToGrid w:val="0"/>
        <w:spacing w:line="360" w:lineRule="auto"/>
        <w:jc w:val="left"/>
        <w:rPr>
          <w:rFonts w:hint="eastAsia" w:ascii="宋体" w:hAnsi="宋体" w:cs="宋体"/>
          <w:szCs w:val="21"/>
          <w:highlight w:val="none"/>
        </w:rPr>
      </w:pPr>
    </w:p>
    <w:p w14:paraId="1B723E4B">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本公司郑重声明，根据《政府采购促进中小企业发展管理办法》（财库[2020]46号）的规定，本公司参加______（采购人名称）______（项目名称）采购活动，货物全部由符合政策要求的中小企业制造。相关企业的具体情况如下：</w:t>
      </w:r>
    </w:p>
    <w:p w14:paraId="08CC8DE1">
      <w:pPr>
        <w:adjustRightInd w:val="0"/>
        <w:snapToGrid w:val="0"/>
        <w:spacing w:line="360" w:lineRule="auto"/>
        <w:jc w:val="left"/>
        <w:rPr>
          <w:rFonts w:hint="eastAsia" w:ascii="宋体" w:hAnsi="宋体" w:cs="宋体"/>
          <w:szCs w:val="21"/>
          <w:highlight w:val="none"/>
        </w:rPr>
      </w:pPr>
    </w:p>
    <w:p w14:paraId="2A6BA0EB">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1.______（标的名称），属于_工业_行业，制造企业为______（企业名称），从业人员______人，营业收入为______万元，资产总额为______万元，属于______（请填写：中型、小型、微型）企业。</w:t>
      </w:r>
    </w:p>
    <w:p w14:paraId="7E092957">
      <w:pPr>
        <w:adjustRightInd w:val="0"/>
        <w:snapToGrid w:val="0"/>
        <w:spacing w:line="360" w:lineRule="auto"/>
        <w:jc w:val="left"/>
        <w:rPr>
          <w:rFonts w:hint="eastAsia" w:ascii="宋体" w:hAnsi="宋体" w:cs="宋体"/>
          <w:szCs w:val="21"/>
          <w:highlight w:val="none"/>
        </w:rPr>
      </w:pPr>
    </w:p>
    <w:p w14:paraId="4083E3DE">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2.______（标的名称），属于______行业，制造企业为______（企业名称），从业人员 ______人，营业收入为______万元，资产总额为______万元，属于______（请填写：中型、小型、微型）企业。</w:t>
      </w:r>
    </w:p>
    <w:p w14:paraId="1EC99FD4">
      <w:pPr>
        <w:adjustRightInd w:val="0"/>
        <w:snapToGrid w:val="0"/>
        <w:spacing w:line="360" w:lineRule="auto"/>
        <w:jc w:val="left"/>
        <w:rPr>
          <w:rFonts w:hint="eastAsia" w:ascii="宋体" w:hAnsi="宋体" w:cs="宋体"/>
          <w:szCs w:val="21"/>
          <w:highlight w:val="none"/>
        </w:rPr>
      </w:pPr>
    </w:p>
    <w:p w14:paraId="38055C3C">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w:t>
      </w:r>
    </w:p>
    <w:p w14:paraId="40B049EE">
      <w:pPr>
        <w:adjustRightInd w:val="0"/>
        <w:snapToGrid w:val="0"/>
        <w:spacing w:line="360" w:lineRule="auto"/>
        <w:jc w:val="left"/>
        <w:rPr>
          <w:rFonts w:hint="eastAsia" w:ascii="宋体" w:hAnsi="宋体" w:cs="宋体"/>
          <w:szCs w:val="21"/>
          <w:highlight w:val="none"/>
        </w:rPr>
      </w:pPr>
    </w:p>
    <w:p w14:paraId="46110B06">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6E0BDAC">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6D936D1">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注：从业人员、营业收入、资产总额填报上一年度数据，无上一年度数据的新成立企业可不填报。</w:t>
      </w:r>
    </w:p>
    <w:p w14:paraId="1618C6C5">
      <w:pPr>
        <w:adjustRightInd w:val="0"/>
        <w:snapToGrid w:val="0"/>
        <w:spacing w:line="360" w:lineRule="auto"/>
        <w:jc w:val="right"/>
        <w:rPr>
          <w:rFonts w:hint="eastAsia" w:ascii="宋体" w:hAnsi="宋体" w:cs="宋体"/>
          <w:sz w:val="24"/>
          <w:highlight w:val="none"/>
        </w:rPr>
      </w:pPr>
      <w:r>
        <w:rPr>
          <w:rFonts w:hint="eastAsia" w:ascii="宋体" w:hAnsi="宋体" w:cs="宋体"/>
          <w:sz w:val="24"/>
          <w:highlight w:val="none"/>
        </w:rPr>
        <w:t xml:space="preserve">                       </w:t>
      </w:r>
    </w:p>
    <w:p w14:paraId="4F8E3B0C">
      <w:pPr>
        <w:adjustRightInd w:val="0"/>
        <w:snapToGrid w:val="0"/>
        <w:spacing w:line="360" w:lineRule="auto"/>
        <w:jc w:val="right"/>
        <w:rPr>
          <w:rFonts w:hint="eastAsia" w:ascii="宋体" w:hAnsi="宋体" w:cs="宋体"/>
          <w:sz w:val="24"/>
          <w:highlight w:val="none"/>
        </w:rPr>
      </w:pPr>
    </w:p>
    <w:p w14:paraId="1E7C2024">
      <w:pPr>
        <w:adjustRightInd w:val="0"/>
        <w:snapToGrid w:val="0"/>
        <w:spacing w:line="360" w:lineRule="auto"/>
        <w:rPr>
          <w:rFonts w:hint="eastAsia" w:ascii="宋体" w:hAnsi="宋体" w:cs="宋体"/>
          <w:sz w:val="24"/>
          <w:highlight w:val="none"/>
        </w:rPr>
      </w:pPr>
    </w:p>
    <w:p w14:paraId="1AE9C452">
      <w:pPr>
        <w:adjustRightInd w:val="0"/>
        <w:snapToGrid w:val="0"/>
        <w:spacing w:line="360" w:lineRule="auto"/>
        <w:jc w:val="right"/>
        <w:rPr>
          <w:rFonts w:hint="eastAsia" w:ascii="宋体" w:hAnsi="宋体" w:cs="宋体"/>
          <w:sz w:val="24"/>
          <w:highlight w:val="none"/>
        </w:rPr>
      </w:pPr>
      <w:r>
        <w:rPr>
          <w:rFonts w:hint="eastAsia" w:ascii="宋体" w:hAnsi="宋体" w:cs="宋体"/>
          <w:sz w:val="24"/>
          <w:highlight w:val="none"/>
        </w:rPr>
        <w:t xml:space="preserve"> 企业名称：（盖章或电子签章）</w:t>
      </w:r>
    </w:p>
    <w:p w14:paraId="151D3CF5">
      <w:pPr>
        <w:adjustRightInd w:val="0"/>
        <w:snapToGrid w:val="0"/>
        <w:spacing w:line="360" w:lineRule="auto"/>
        <w:ind w:firstLine="6240" w:firstLineChars="2600"/>
        <w:rPr>
          <w:rFonts w:hint="eastAsia" w:ascii="宋体" w:hAnsi="宋体" w:cs="宋体"/>
          <w:sz w:val="24"/>
          <w:highlight w:val="none"/>
        </w:rPr>
      </w:pPr>
      <w:r>
        <w:rPr>
          <w:rFonts w:hint="eastAsia" w:ascii="宋体" w:hAnsi="宋体" w:cs="宋体"/>
          <w:sz w:val="24"/>
          <w:highlight w:val="none"/>
        </w:rPr>
        <w:t>日期：</w:t>
      </w:r>
    </w:p>
    <w:p w14:paraId="1DB83B34">
      <w:pPr>
        <w:rPr>
          <w:rFonts w:hint="eastAsia" w:ascii="宋体" w:hAnsi="宋体" w:cs="宋体"/>
          <w:bCs/>
          <w:sz w:val="28"/>
          <w:szCs w:val="28"/>
          <w:highlight w:val="none"/>
        </w:rPr>
      </w:pPr>
      <w:bookmarkStart w:id="255" w:name="_Toc4102"/>
      <w:bookmarkStart w:id="256" w:name="_Toc7454"/>
      <w:bookmarkStart w:id="257" w:name="_Toc15591"/>
      <w:bookmarkStart w:id="258" w:name="_Toc16847"/>
      <w:bookmarkStart w:id="259" w:name="_Toc15382"/>
      <w:bookmarkStart w:id="260" w:name="_Toc17529"/>
    </w:p>
    <w:bookmarkEnd w:id="255"/>
    <w:bookmarkEnd w:id="256"/>
    <w:bookmarkEnd w:id="257"/>
    <w:bookmarkEnd w:id="258"/>
    <w:bookmarkEnd w:id="259"/>
    <w:bookmarkEnd w:id="260"/>
    <w:p w14:paraId="3FC3F635">
      <w:pPr>
        <w:pStyle w:val="24"/>
        <w:ind w:firstLine="240"/>
        <w:rPr>
          <w:rFonts w:hint="eastAsia" w:ascii="宋体" w:hAnsi="宋体" w:cs="宋体"/>
          <w:highlight w:val="none"/>
        </w:rPr>
      </w:pPr>
    </w:p>
    <w:p w14:paraId="5BC9318F">
      <w:pPr>
        <w:jc w:val="center"/>
        <w:rPr>
          <w:rFonts w:hint="eastAsia" w:ascii="宋体" w:hAnsi="宋体" w:cs="宋体"/>
          <w:bCs/>
          <w:sz w:val="28"/>
          <w:szCs w:val="28"/>
          <w:highlight w:val="none"/>
        </w:rPr>
      </w:pPr>
    </w:p>
    <w:p w14:paraId="0753C94E">
      <w:pPr>
        <w:jc w:val="center"/>
        <w:rPr>
          <w:rFonts w:hint="eastAsia" w:ascii="宋体" w:hAnsi="宋体" w:cs="宋体"/>
          <w:bCs/>
          <w:sz w:val="28"/>
          <w:szCs w:val="28"/>
          <w:highlight w:val="none"/>
        </w:rPr>
      </w:pPr>
    </w:p>
    <w:p w14:paraId="507F20C7">
      <w:pPr>
        <w:jc w:val="center"/>
        <w:rPr>
          <w:rFonts w:hint="eastAsia" w:ascii="宋体" w:hAnsi="宋体" w:cs="宋体"/>
          <w:bCs/>
          <w:sz w:val="28"/>
          <w:szCs w:val="28"/>
          <w:highlight w:val="none"/>
        </w:rPr>
      </w:pPr>
    </w:p>
    <w:p w14:paraId="3819465D">
      <w:pPr>
        <w:jc w:val="center"/>
        <w:rPr>
          <w:rFonts w:hint="eastAsia" w:ascii="宋体" w:hAnsi="宋体" w:cs="宋体"/>
          <w:bCs/>
          <w:sz w:val="28"/>
          <w:szCs w:val="28"/>
          <w:highlight w:val="none"/>
        </w:rPr>
      </w:pPr>
    </w:p>
    <w:p w14:paraId="3CAD2FFB">
      <w:pPr>
        <w:jc w:val="center"/>
        <w:rPr>
          <w:rFonts w:hint="eastAsia" w:ascii="宋体" w:hAnsi="宋体" w:cs="宋体"/>
          <w:bCs/>
          <w:sz w:val="28"/>
          <w:szCs w:val="28"/>
          <w:highlight w:val="none"/>
        </w:rPr>
      </w:pPr>
    </w:p>
    <w:p w14:paraId="5B1693FD">
      <w:pPr>
        <w:jc w:val="center"/>
        <w:rPr>
          <w:rFonts w:hint="eastAsia" w:ascii="宋体" w:hAnsi="宋体" w:cs="宋体"/>
          <w:bCs/>
          <w:sz w:val="28"/>
          <w:szCs w:val="28"/>
          <w:highlight w:val="none"/>
        </w:rPr>
      </w:pPr>
      <w:r>
        <w:rPr>
          <w:rFonts w:hint="eastAsia" w:ascii="宋体" w:hAnsi="宋体" w:cs="宋体"/>
          <w:bCs/>
          <w:sz w:val="28"/>
          <w:szCs w:val="28"/>
          <w:highlight w:val="none"/>
        </w:rPr>
        <w:t>5、商务条款偏差表</w:t>
      </w:r>
    </w:p>
    <w:p w14:paraId="0C3828A8">
      <w:pPr>
        <w:pStyle w:val="24"/>
        <w:ind w:firstLine="240"/>
        <w:rPr>
          <w:rFonts w:hint="eastAsia" w:ascii="宋体" w:hAnsi="宋体" w:cs="宋体"/>
          <w:szCs w:val="24"/>
          <w:highlight w:val="none"/>
        </w:rPr>
      </w:pPr>
      <w:r>
        <w:rPr>
          <w:rFonts w:hint="eastAsia" w:ascii="宋体" w:hAnsi="宋体" w:cs="宋体"/>
          <w:szCs w:val="24"/>
          <w:highlight w:val="none"/>
        </w:rPr>
        <w:t xml:space="preserve">供应商名称：  </w:t>
      </w:r>
    </w:p>
    <w:tbl>
      <w:tblPr>
        <w:tblStyle w:val="26"/>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308"/>
        <w:gridCol w:w="1308"/>
        <w:gridCol w:w="1308"/>
        <w:gridCol w:w="1309"/>
      </w:tblGrid>
      <w:tr w14:paraId="1A06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17C5D0B">
            <w:pPr>
              <w:jc w:val="center"/>
              <w:rPr>
                <w:rFonts w:hint="eastAsia" w:ascii="宋体" w:hAnsi="宋体" w:cs="宋体"/>
                <w:b/>
                <w:szCs w:val="21"/>
                <w:highlight w:val="none"/>
              </w:rPr>
            </w:pPr>
            <w:r>
              <w:rPr>
                <w:rFonts w:hint="eastAsia" w:ascii="宋体" w:hAnsi="宋体" w:cs="宋体"/>
                <w:b/>
                <w:szCs w:val="21"/>
                <w:highlight w:val="none"/>
              </w:rPr>
              <w:t>序号</w:t>
            </w:r>
          </w:p>
        </w:tc>
        <w:tc>
          <w:tcPr>
            <w:tcW w:w="2835" w:type="dxa"/>
            <w:vAlign w:val="center"/>
          </w:tcPr>
          <w:p w14:paraId="7B0A48AF">
            <w:pPr>
              <w:jc w:val="center"/>
              <w:rPr>
                <w:rFonts w:hint="eastAsia" w:ascii="宋体" w:hAnsi="宋体" w:cs="宋体"/>
                <w:b/>
                <w:szCs w:val="21"/>
                <w:highlight w:val="none"/>
              </w:rPr>
            </w:pPr>
            <w:r>
              <w:rPr>
                <w:rFonts w:hint="eastAsia" w:ascii="宋体" w:hAnsi="宋体" w:cs="宋体"/>
                <w:b/>
                <w:szCs w:val="21"/>
                <w:highlight w:val="none"/>
              </w:rPr>
              <w:t>内容</w:t>
            </w:r>
          </w:p>
        </w:tc>
        <w:tc>
          <w:tcPr>
            <w:tcW w:w="1308" w:type="dxa"/>
            <w:vAlign w:val="center"/>
          </w:tcPr>
          <w:p w14:paraId="54934BAC">
            <w:pPr>
              <w:jc w:val="center"/>
              <w:rPr>
                <w:rFonts w:hint="eastAsia" w:ascii="宋体" w:hAnsi="宋体" w:cs="宋体"/>
                <w:b/>
                <w:szCs w:val="21"/>
                <w:highlight w:val="none"/>
              </w:rPr>
            </w:pPr>
            <w:r>
              <w:rPr>
                <w:rFonts w:hint="eastAsia" w:ascii="宋体" w:hAnsi="宋体" w:cs="宋体"/>
                <w:b/>
                <w:szCs w:val="21"/>
                <w:highlight w:val="none"/>
              </w:rPr>
              <w:t>标书要求</w:t>
            </w:r>
          </w:p>
        </w:tc>
        <w:tc>
          <w:tcPr>
            <w:tcW w:w="1308" w:type="dxa"/>
            <w:vAlign w:val="center"/>
          </w:tcPr>
          <w:p w14:paraId="31CAE71E">
            <w:pPr>
              <w:jc w:val="center"/>
              <w:rPr>
                <w:rFonts w:hint="eastAsia" w:ascii="宋体" w:hAnsi="宋体" w:cs="宋体"/>
                <w:b/>
                <w:szCs w:val="21"/>
                <w:highlight w:val="none"/>
              </w:rPr>
            </w:pPr>
            <w:r>
              <w:rPr>
                <w:rFonts w:hint="eastAsia" w:ascii="宋体" w:hAnsi="宋体" w:cs="宋体"/>
                <w:b/>
                <w:szCs w:val="21"/>
                <w:highlight w:val="none"/>
              </w:rPr>
              <w:t>投标响应</w:t>
            </w:r>
          </w:p>
        </w:tc>
        <w:tc>
          <w:tcPr>
            <w:tcW w:w="1308" w:type="dxa"/>
            <w:vAlign w:val="center"/>
          </w:tcPr>
          <w:p w14:paraId="50113760">
            <w:pPr>
              <w:jc w:val="center"/>
              <w:rPr>
                <w:rFonts w:hint="eastAsia" w:ascii="宋体" w:hAnsi="宋体" w:cs="宋体"/>
                <w:b/>
                <w:szCs w:val="21"/>
                <w:highlight w:val="none"/>
              </w:rPr>
            </w:pPr>
            <w:r>
              <w:rPr>
                <w:rFonts w:hint="eastAsia" w:ascii="宋体" w:hAnsi="宋体" w:cs="宋体"/>
                <w:b/>
                <w:szCs w:val="21"/>
                <w:highlight w:val="none"/>
              </w:rPr>
              <w:t>是否偏离</w:t>
            </w:r>
          </w:p>
        </w:tc>
        <w:tc>
          <w:tcPr>
            <w:tcW w:w="1309" w:type="dxa"/>
            <w:vAlign w:val="center"/>
          </w:tcPr>
          <w:p w14:paraId="3F8630AC">
            <w:pPr>
              <w:jc w:val="center"/>
              <w:rPr>
                <w:rFonts w:hint="eastAsia" w:ascii="宋体" w:hAnsi="宋体" w:cs="宋体"/>
                <w:b/>
                <w:szCs w:val="21"/>
                <w:highlight w:val="none"/>
              </w:rPr>
            </w:pPr>
            <w:r>
              <w:rPr>
                <w:rFonts w:hint="eastAsia" w:ascii="宋体" w:hAnsi="宋体" w:cs="宋体"/>
                <w:b/>
                <w:szCs w:val="21"/>
                <w:highlight w:val="none"/>
              </w:rPr>
              <w:t>备注</w:t>
            </w:r>
          </w:p>
        </w:tc>
      </w:tr>
      <w:tr w14:paraId="433D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40684D5">
            <w:pPr>
              <w:jc w:val="center"/>
              <w:rPr>
                <w:rFonts w:hint="eastAsia" w:ascii="宋体" w:hAnsi="宋体" w:cs="宋体"/>
                <w:szCs w:val="21"/>
                <w:highlight w:val="none"/>
              </w:rPr>
            </w:pPr>
            <w:r>
              <w:rPr>
                <w:rFonts w:hint="eastAsia" w:ascii="宋体" w:hAnsi="宋体" w:cs="宋体"/>
                <w:szCs w:val="21"/>
                <w:highlight w:val="none"/>
              </w:rPr>
              <w:t>1</w:t>
            </w:r>
          </w:p>
        </w:tc>
        <w:tc>
          <w:tcPr>
            <w:tcW w:w="2835" w:type="dxa"/>
            <w:vAlign w:val="center"/>
          </w:tcPr>
          <w:p w14:paraId="3922D71D">
            <w:pPr>
              <w:jc w:val="left"/>
              <w:rPr>
                <w:rFonts w:hint="eastAsia" w:ascii="宋体" w:hAnsi="宋体" w:cs="宋体"/>
                <w:szCs w:val="21"/>
                <w:highlight w:val="none"/>
              </w:rPr>
            </w:pPr>
            <w:r>
              <w:rPr>
                <w:rFonts w:hint="eastAsia" w:ascii="宋体" w:hAnsi="宋体" w:cs="宋体"/>
                <w:szCs w:val="21"/>
                <w:highlight w:val="none"/>
              </w:rPr>
              <w:t>合同履行期限</w:t>
            </w:r>
          </w:p>
        </w:tc>
        <w:tc>
          <w:tcPr>
            <w:tcW w:w="1308" w:type="dxa"/>
          </w:tcPr>
          <w:p w14:paraId="08A35791">
            <w:pPr>
              <w:rPr>
                <w:rFonts w:hint="eastAsia" w:ascii="宋体" w:hAnsi="宋体" w:cs="宋体"/>
                <w:szCs w:val="21"/>
                <w:highlight w:val="none"/>
              </w:rPr>
            </w:pPr>
          </w:p>
        </w:tc>
        <w:tc>
          <w:tcPr>
            <w:tcW w:w="1308" w:type="dxa"/>
          </w:tcPr>
          <w:p w14:paraId="7D631BF5">
            <w:pPr>
              <w:rPr>
                <w:rFonts w:hint="eastAsia" w:ascii="宋体" w:hAnsi="宋体" w:cs="宋体"/>
                <w:szCs w:val="21"/>
                <w:highlight w:val="none"/>
              </w:rPr>
            </w:pPr>
          </w:p>
        </w:tc>
        <w:tc>
          <w:tcPr>
            <w:tcW w:w="1308" w:type="dxa"/>
          </w:tcPr>
          <w:p w14:paraId="5E346E61">
            <w:pPr>
              <w:rPr>
                <w:rFonts w:hint="eastAsia" w:ascii="宋体" w:hAnsi="宋体" w:cs="宋体"/>
                <w:szCs w:val="21"/>
                <w:highlight w:val="none"/>
              </w:rPr>
            </w:pPr>
          </w:p>
        </w:tc>
        <w:tc>
          <w:tcPr>
            <w:tcW w:w="1309" w:type="dxa"/>
          </w:tcPr>
          <w:p w14:paraId="1C7B5A21">
            <w:pPr>
              <w:rPr>
                <w:rFonts w:hint="eastAsia" w:ascii="宋体" w:hAnsi="宋体" w:cs="宋体"/>
                <w:szCs w:val="21"/>
                <w:highlight w:val="none"/>
              </w:rPr>
            </w:pPr>
          </w:p>
        </w:tc>
      </w:tr>
      <w:tr w14:paraId="23CF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25370C0C">
            <w:pPr>
              <w:jc w:val="center"/>
              <w:rPr>
                <w:rFonts w:hint="eastAsia" w:ascii="宋体" w:hAnsi="宋体" w:cs="宋体"/>
                <w:szCs w:val="21"/>
                <w:highlight w:val="none"/>
              </w:rPr>
            </w:pPr>
            <w:r>
              <w:rPr>
                <w:rFonts w:hint="eastAsia" w:ascii="宋体" w:hAnsi="宋体" w:cs="宋体"/>
                <w:szCs w:val="21"/>
                <w:highlight w:val="none"/>
              </w:rPr>
              <w:t>2</w:t>
            </w:r>
          </w:p>
        </w:tc>
        <w:tc>
          <w:tcPr>
            <w:tcW w:w="2835" w:type="dxa"/>
            <w:vAlign w:val="center"/>
          </w:tcPr>
          <w:p w14:paraId="4BD5FBD4">
            <w:pPr>
              <w:jc w:val="left"/>
              <w:rPr>
                <w:rFonts w:hint="eastAsia" w:ascii="宋体" w:hAnsi="宋体" w:cs="宋体"/>
                <w:szCs w:val="21"/>
                <w:highlight w:val="none"/>
              </w:rPr>
            </w:pPr>
            <w:r>
              <w:rPr>
                <w:rFonts w:hint="eastAsia" w:ascii="宋体" w:hAnsi="宋体" w:cs="宋体"/>
                <w:szCs w:val="21"/>
                <w:highlight w:val="none"/>
              </w:rPr>
              <w:t>投标内容</w:t>
            </w:r>
          </w:p>
        </w:tc>
        <w:tc>
          <w:tcPr>
            <w:tcW w:w="1308" w:type="dxa"/>
          </w:tcPr>
          <w:p w14:paraId="6B2ADB31">
            <w:pPr>
              <w:rPr>
                <w:rFonts w:hint="eastAsia" w:ascii="宋体" w:hAnsi="宋体" w:cs="宋体"/>
                <w:szCs w:val="21"/>
                <w:highlight w:val="none"/>
              </w:rPr>
            </w:pPr>
          </w:p>
        </w:tc>
        <w:tc>
          <w:tcPr>
            <w:tcW w:w="1308" w:type="dxa"/>
          </w:tcPr>
          <w:p w14:paraId="6627C535">
            <w:pPr>
              <w:rPr>
                <w:rFonts w:hint="eastAsia" w:ascii="宋体" w:hAnsi="宋体" w:cs="宋体"/>
                <w:szCs w:val="21"/>
                <w:highlight w:val="none"/>
              </w:rPr>
            </w:pPr>
          </w:p>
        </w:tc>
        <w:tc>
          <w:tcPr>
            <w:tcW w:w="1308" w:type="dxa"/>
          </w:tcPr>
          <w:p w14:paraId="1EC57D5D">
            <w:pPr>
              <w:rPr>
                <w:rFonts w:hint="eastAsia" w:ascii="宋体" w:hAnsi="宋体" w:cs="宋体"/>
                <w:szCs w:val="21"/>
                <w:highlight w:val="none"/>
              </w:rPr>
            </w:pPr>
          </w:p>
        </w:tc>
        <w:tc>
          <w:tcPr>
            <w:tcW w:w="1309" w:type="dxa"/>
          </w:tcPr>
          <w:p w14:paraId="19671CF9">
            <w:pPr>
              <w:rPr>
                <w:rFonts w:hint="eastAsia" w:ascii="宋体" w:hAnsi="宋体" w:cs="宋体"/>
                <w:szCs w:val="21"/>
                <w:highlight w:val="none"/>
              </w:rPr>
            </w:pPr>
          </w:p>
        </w:tc>
      </w:tr>
      <w:tr w14:paraId="7A07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01DE218">
            <w:pPr>
              <w:jc w:val="center"/>
              <w:rPr>
                <w:rFonts w:hint="eastAsia" w:ascii="宋体" w:hAnsi="宋体" w:cs="宋体"/>
                <w:szCs w:val="21"/>
                <w:highlight w:val="none"/>
              </w:rPr>
            </w:pPr>
            <w:r>
              <w:rPr>
                <w:rFonts w:hint="eastAsia" w:ascii="宋体" w:hAnsi="宋体" w:cs="宋体"/>
                <w:szCs w:val="21"/>
                <w:highlight w:val="none"/>
              </w:rPr>
              <w:t>3</w:t>
            </w:r>
          </w:p>
        </w:tc>
        <w:tc>
          <w:tcPr>
            <w:tcW w:w="2835" w:type="dxa"/>
            <w:vAlign w:val="center"/>
          </w:tcPr>
          <w:p w14:paraId="7577AE1F">
            <w:pPr>
              <w:jc w:val="left"/>
              <w:rPr>
                <w:rFonts w:hint="eastAsia" w:ascii="宋体" w:hAnsi="宋体" w:cs="宋体"/>
                <w:szCs w:val="21"/>
                <w:highlight w:val="none"/>
              </w:rPr>
            </w:pPr>
            <w:r>
              <w:rPr>
                <w:rFonts w:hint="eastAsia" w:ascii="宋体" w:hAnsi="宋体" w:cs="宋体"/>
                <w:szCs w:val="21"/>
                <w:highlight w:val="none"/>
              </w:rPr>
              <w:t>投标质量</w:t>
            </w:r>
          </w:p>
        </w:tc>
        <w:tc>
          <w:tcPr>
            <w:tcW w:w="1308" w:type="dxa"/>
          </w:tcPr>
          <w:p w14:paraId="0B5FE1B0">
            <w:pPr>
              <w:rPr>
                <w:rFonts w:hint="eastAsia" w:ascii="宋体" w:hAnsi="宋体" w:cs="宋体"/>
                <w:szCs w:val="21"/>
                <w:highlight w:val="none"/>
              </w:rPr>
            </w:pPr>
          </w:p>
        </w:tc>
        <w:tc>
          <w:tcPr>
            <w:tcW w:w="1308" w:type="dxa"/>
          </w:tcPr>
          <w:p w14:paraId="7861CB51">
            <w:pPr>
              <w:rPr>
                <w:rFonts w:hint="eastAsia" w:ascii="宋体" w:hAnsi="宋体" w:cs="宋体"/>
                <w:szCs w:val="21"/>
                <w:highlight w:val="none"/>
              </w:rPr>
            </w:pPr>
          </w:p>
        </w:tc>
        <w:tc>
          <w:tcPr>
            <w:tcW w:w="1308" w:type="dxa"/>
          </w:tcPr>
          <w:p w14:paraId="5AC1CCF9">
            <w:pPr>
              <w:rPr>
                <w:rFonts w:hint="eastAsia" w:ascii="宋体" w:hAnsi="宋体" w:cs="宋体"/>
                <w:szCs w:val="21"/>
                <w:highlight w:val="none"/>
              </w:rPr>
            </w:pPr>
          </w:p>
        </w:tc>
        <w:tc>
          <w:tcPr>
            <w:tcW w:w="1309" w:type="dxa"/>
          </w:tcPr>
          <w:p w14:paraId="57E151AF">
            <w:pPr>
              <w:rPr>
                <w:rFonts w:hint="eastAsia" w:ascii="宋体" w:hAnsi="宋体" w:cs="宋体"/>
                <w:szCs w:val="21"/>
                <w:highlight w:val="none"/>
              </w:rPr>
            </w:pPr>
          </w:p>
        </w:tc>
      </w:tr>
      <w:tr w14:paraId="5FD5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0F1DB9EE">
            <w:pPr>
              <w:jc w:val="center"/>
              <w:rPr>
                <w:rFonts w:hint="eastAsia" w:ascii="宋体" w:hAnsi="宋体" w:cs="宋体"/>
                <w:szCs w:val="21"/>
                <w:highlight w:val="none"/>
              </w:rPr>
            </w:pPr>
            <w:r>
              <w:rPr>
                <w:rFonts w:hint="eastAsia" w:ascii="宋体" w:hAnsi="宋体" w:cs="宋体"/>
                <w:szCs w:val="21"/>
                <w:highlight w:val="none"/>
              </w:rPr>
              <w:t>4</w:t>
            </w:r>
          </w:p>
        </w:tc>
        <w:tc>
          <w:tcPr>
            <w:tcW w:w="2835" w:type="dxa"/>
            <w:vAlign w:val="center"/>
          </w:tcPr>
          <w:p w14:paraId="027299FC">
            <w:pPr>
              <w:jc w:val="left"/>
              <w:rPr>
                <w:rFonts w:hint="eastAsia" w:ascii="宋体" w:hAnsi="宋体" w:cs="宋体"/>
                <w:szCs w:val="21"/>
                <w:highlight w:val="none"/>
              </w:rPr>
            </w:pPr>
            <w:r>
              <w:rPr>
                <w:rFonts w:hint="eastAsia" w:ascii="宋体" w:hAnsi="宋体" w:cs="宋体"/>
                <w:szCs w:val="21"/>
                <w:highlight w:val="none"/>
              </w:rPr>
              <w:t>投标有效期</w:t>
            </w:r>
          </w:p>
        </w:tc>
        <w:tc>
          <w:tcPr>
            <w:tcW w:w="1308" w:type="dxa"/>
          </w:tcPr>
          <w:p w14:paraId="018A06B5">
            <w:pPr>
              <w:rPr>
                <w:rFonts w:hint="eastAsia" w:ascii="宋体" w:hAnsi="宋体" w:cs="宋体"/>
                <w:szCs w:val="21"/>
                <w:highlight w:val="none"/>
              </w:rPr>
            </w:pPr>
          </w:p>
        </w:tc>
        <w:tc>
          <w:tcPr>
            <w:tcW w:w="1308" w:type="dxa"/>
          </w:tcPr>
          <w:p w14:paraId="272FFD0A">
            <w:pPr>
              <w:rPr>
                <w:rFonts w:hint="eastAsia" w:ascii="宋体" w:hAnsi="宋体" w:cs="宋体"/>
                <w:szCs w:val="21"/>
                <w:highlight w:val="none"/>
              </w:rPr>
            </w:pPr>
          </w:p>
        </w:tc>
        <w:tc>
          <w:tcPr>
            <w:tcW w:w="1308" w:type="dxa"/>
          </w:tcPr>
          <w:p w14:paraId="770B2457">
            <w:pPr>
              <w:rPr>
                <w:rFonts w:hint="eastAsia" w:ascii="宋体" w:hAnsi="宋体" w:cs="宋体"/>
                <w:szCs w:val="21"/>
                <w:highlight w:val="none"/>
              </w:rPr>
            </w:pPr>
          </w:p>
        </w:tc>
        <w:tc>
          <w:tcPr>
            <w:tcW w:w="1309" w:type="dxa"/>
          </w:tcPr>
          <w:p w14:paraId="017E281D">
            <w:pPr>
              <w:rPr>
                <w:rFonts w:hint="eastAsia" w:ascii="宋体" w:hAnsi="宋体" w:cs="宋体"/>
                <w:szCs w:val="21"/>
                <w:highlight w:val="none"/>
              </w:rPr>
            </w:pPr>
          </w:p>
        </w:tc>
      </w:tr>
      <w:tr w14:paraId="4114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2122F72D">
            <w:pPr>
              <w:jc w:val="center"/>
              <w:rPr>
                <w:rFonts w:hint="eastAsia" w:ascii="宋体" w:hAnsi="宋体" w:cs="宋体"/>
                <w:szCs w:val="21"/>
                <w:highlight w:val="none"/>
              </w:rPr>
            </w:pPr>
            <w:r>
              <w:rPr>
                <w:rFonts w:hint="eastAsia" w:ascii="宋体" w:hAnsi="宋体" w:cs="宋体"/>
                <w:szCs w:val="21"/>
                <w:highlight w:val="none"/>
              </w:rPr>
              <w:t>5</w:t>
            </w:r>
          </w:p>
        </w:tc>
        <w:tc>
          <w:tcPr>
            <w:tcW w:w="2835" w:type="dxa"/>
            <w:vAlign w:val="center"/>
          </w:tcPr>
          <w:p w14:paraId="557146D3">
            <w:pPr>
              <w:jc w:val="left"/>
              <w:rPr>
                <w:rFonts w:hint="eastAsia" w:ascii="宋体" w:hAnsi="宋体" w:cs="宋体"/>
                <w:szCs w:val="21"/>
                <w:highlight w:val="none"/>
              </w:rPr>
            </w:pPr>
            <w:r>
              <w:rPr>
                <w:rFonts w:hint="eastAsia" w:ascii="宋体" w:hAnsi="宋体" w:cs="宋体"/>
                <w:szCs w:val="21"/>
                <w:highlight w:val="none"/>
              </w:rPr>
              <w:t>其他（如有）</w:t>
            </w:r>
          </w:p>
        </w:tc>
        <w:tc>
          <w:tcPr>
            <w:tcW w:w="1308" w:type="dxa"/>
          </w:tcPr>
          <w:p w14:paraId="75B6DF72">
            <w:pPr>
              <w:rPr>
                <w:rFonts w:hint="eastAsia" w:ascii="宋体" w:hAnsi="宋体" w:cs="宋体"/>
                <w:szCs w:val="21"/>
                <w:highlight w:val="none"/>
              </w:rPr>
            </w:pPr>
          </w:p>
        </w:tc>
        <w:tc>
          <w:tcPr>
            <w:tcW w:w="1308" w:type="dxa"/>
          </w:tcPr>
          <w:p w14:paraId="03A70D9B">
            <w:pPr>
              <w:rPr>
                <w:rFonts w:hint="eastAsia" w:ascii="宋体" w:hAnsi="宋体" w:cs="宋体"/>
                <w:szCs w:val="21"/>
                <w:highlight w:val="none"/>
              </w:rPr>
            </w:pPr>
          </w:p>
        </w:tc>
        <w:tc>
          <w:tcPr>
            <w:tcW w:w="1308" w:type="dxa"/>
          </w:tcPr>
          <w:p w14:paraId="3AC1AA15">
            <w:pPr>
              <w:rPr>
                <w:rFonts w:hint="eastAsia" w:ascii="宋体" w:hAnsi="宋体" w:cs="宋体"/>
                <w:szCs w:val="21"/>
                <w:highlight w:val="none"/>
              </w:rPr>
            </w:pPr>
          </w:p>
        </w:tc>
        <w:tc>
          <w:tcPr>
            <w:tcW w:w="1309" w:type="dxa"/>
          </w:tcPr>
          <w:p w14:paraId="32A6B901">
            <w:pPr>
              <w:rPr>
                <w:rFonts w:hint="eastAsia" w:ascii="宋体" w:hAnsi="宋体" w:cs="宋体"/>
                <w:szCs w:val="21"/>
                <w:highlight w:val="none"/>
              </w:rPr>
            </w:pPr>
          </w:p>
        </w:tc>
      </w:tr>
    </w:tbl>
    <w:p w14:paraId="3B0B4E73">
      <w:pPr>
        <w:pStyle w:val="24"/>
        <w:ind w:left="479" w:leftChars="114" w:hanging="240" w:hangingChars="100"/>
        <w:rPr>
          <w:rFonts w:hint="eastAsia" w:ascii="宋体" w:hAnsi="宋体" w:cs="宋体"/>
          <w:highlight w:val="none"/>
        </w:rPr>
      </w:pPr>
      <w:r>
        <w:rPr>
          <w:rFonts w:hint="eastAsia" w:ascii="宋体" w:hAnsi="宋体" w:cs="宋体"/>
          <w:szCs w:val="24"/>
          <w:highlight w:val="none"/>
        </w:rPr>
        <w:t>供应商代表(签字或盖章或电子签章)：         供应商(公章或电子签章)：             日期</w:t>
      </w:r>
      <w:r>
        <w:rPr>
          <w:rFonts w:hint="eastAsia" w:ascii="宋体" w:hAnsi="宋体" w:cs="宋体"/>
          <w:highlight w:val="none"/>
        </w:rPr>
        <w:t>：</w:t>
      </w:r>
    </w:p>
    <w:p w14:paraId="3BCD5C08">
      <w:pPr>
        <w:pStyle w:val="24"/>
        <w:ind w:firstLine="240"/>
        <w:rPr>
          <w:rFonts w:hint="eastAsia" w:ascii="宋体" w:hAnsi="宋体" w:cs="宋体"/>
          <w:highlight w:val="none"/>
        </w:rPr>
      </w:pPr>
    </w:p>
    <w:p w14:paraId="505078F8">
      <w:pPr>
        <w:pStyle w:val="24"/>
        <w:ind w:firstLine="240"/>
        <w:rPr>
          <w:rFonts w:hint="eastAsia" w:ascii="宋体" w:hAnsi="宋体" w:cs="宋体"/>
          <w:highlight w:val="none"/>
        </w:rPr>
      </w:pPr>
    </w:p>
    <w:p w14:paraId="3A3DA8AC">
      <w:pPr>
        <w:pStyle w:val="24"/>
        <w:ind w:firstLine="240"/>
        <w:rPr>
          <w:rFonts w:hint="eastAsia" w:ascii="宋体" w:hAnsi="宋体" w:cs="宋体"/>
          <w:highlight w:val="none"/>
        </w:rPr>
      </w:pPr>
    </w:p>
    <w:p w14:paraId="6A7C9B8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注：供应商可根据需要自行增减表格行数。</w:t>
      </w:r>
    </w:p>
    <w:p w14:paraId="4966BFF0">
      <w:pPr>
        <w:pStyle w:val="24"/>
        <w:ind w:firstLine="240"/>
        <w:rPr>
          <w:rFonts w:hint="eastAsia" w:ascii="宋体" w:hAnsi="宋体" w:cs="宋体"/>
          <w:highlight w:val="none"/>
        </w:rPr>
      </w:pPr>
    </w:p>
    <w:p w14:paraId="05DE41BE">
      <w:pPr>
        <w:pStyle w:val="24"/>
        <w:ind w:firstLine="240"/>
        <w:rPr>
          <w:rFonts w:hint="eastAsia" w:ascii="宋体" w:hAnsi="宋体" w:cs="宋体"/>
          <w:highlight w:val="none"/>
        </w:rPr>
      </w:pPr>
    </w:p>
    <w:p w14:paraId="3A8CCA8D">
      <w:pPr>
        <w:pStyle w:val="24"/>
        <w:ind w:firstLine="240"/>
        <w:rPr>
          <w:rFonts w:hint="eastAsia" w:ascii="宋体" w:hAnsi="宋体" w:cs="宋体"/>
          <w:highlight w:val="none"/>
        </w:rPr>
      </w:pPr>
    </w:p>
    <w:p w14:paraId="4643435C">
      <w:pPr>
        <w:pStyle w:val="24"/>
        <w:ind w:firstLine="240"/>
        <w:rPr>
          <w:rFonts w:hint="eastAsia" w:ascii="宋体" w:hAnsi="宋体" w:cs="宋体"/>
          <w:highlight w:val="none"/>
        </w:rPr>
      </w:pPr>
    </w:p>
    <w:p w14:paraId="1D7C0CD8">
      <w:pPr>
        <w:pStyle w:val="24"/>
        <w:ind w:firstLine="240"/>
        <w:rPr>
          <w:rFonts w:hint="eastAsia" w:ascii="宋体" w:hAnsi="宋体" w:cs="宋体"/>
          <w:highlight w:val="none"/>
        </w:rPr>
      </w:pPr>
    </w:p>
    <w:p w14:paraId="3B058DF1">
      <w:pPr>
        <w:pStyle w:val="25"/>
        <w:rPr>
          <w:rFonts w:hint="eastAsia"/>
          <w:highlight w:val="none"/>
        </w:rPr>
      </w:pPr>
    </w:p>
    <w:p w14:paraId="5F23175D">
      <w:pPr>
        <w:pStyle w:val="7"/>
        <w:rPr>
          <w:rFonts w:hint="eastAsia" w:ascii="宋体" w:hAnsi="宋体" w:cs="宋体"/>
          <w:highlight w:val="none"/>
        </w:rPr>
      </w:pPr>
    </w:p>
    <w:p w14:paraId="69FA61AB">
      <w:pPr>
        <w:pStyle w:val="7"/>
        <w:rPr>
          <w:rFonts w:hint="eastAsia" w:ascii="宋体" w:hAnsi="宋体" w:cs="宋体"/>
          <w:highlight w:val="none"/>
        </w:rPr>
      </w:pPr>
    </w:p>
    <w:p w14:paraId="60442931">
      <w:pPr>
        <w:pStyle w:val="7"/>
        <w:rPr>
          <w:rFonts w:hint="eastAsia" w:ascii="宋体" w:hAnsi="宋体" w:cs="宋体"/>
          <w:highlight w:val="none"/>
        </w:rPr>
      </w:pPr>
    </w:p>
    <w:p w14:paraId="31ED37E9">
      <w:pPr>
        <w:pStyle w:val="7"/>
        <w:rPr>
          <w:rFonts w:hint="eastAsia" w:ascii="宋体" w:hAnsi="宋体" w:cs="宋体"/>
          <w:highlight w:val="none"/>
        </w:rPr>
      </w:pPr>
    </w:p>
    <w:p w14:paraId="7486A9D4">
      <w:pPr>
        <w:pStyle w:val="7"/>
        <w:rPr>
          <w:rFonts w:hint="eastAsia" w:ascii="宋体" w:hAnsi="宋体" w:cs="宋体"/>
          <w:highlight w:val="none"/>
        </w:rPr>
      </w:pPr>
    </w:p>
    <w:p w14:paraId="6D2E0F17">
      <w:pPr>
        <w:pStyle w:val="7"/>
        <w:rPr>
          <w:rFonts w:hint="eastAsia" w:ascii="宋体" w:hAnsi="宋体" w:cs="宋体"/>
          <w:highlight w:val="none"/>
        </w:rPr>
      </w:pPr>
    </w:p>
    <w:p w14:paraId="1B05E6E9">
      <w:pPr>
        <w:pStyle w:val="7"/>
        <w:rPr>
          <w:rFonts w:hint="eastAsia" w:ascii="宋体" w:hAnsi="宋体" w:cs="宋体"/>
          <w:highlight w:val="none"/>
        </w:rPr>
      </w:pPr>
    </w:p>
    <w:p w14:paraId="4C782E5E">
      <w:pPr>
        <w:pStyle w:val="7"/>
        <w:rPr>
          <w:rFonts w:hint="eastAsia" w:ascii="宋体" w:hAnsi="宋体" w:cs="宋体"/>
          <w:highlight w:val="none"/>
        </w:rPr>
      </w:pPr>
    </w:p>
    <w:p w14:paraId="3997AF0E">
      <w:pPr>
        <w:pStyle w:val="24"/>
        <w:ind w:firstLine="240"/>
        <w:rPr>
          <w:rFonts w:hint="eastAsia" w:ascii="宋体" w:hAnsi="宋体" w:cs="宋体"/>
          <w:highlight w:val="none"/>
        </w:rPr>
      </w:pPr>
    </w:p>
    <w:p w14:paraId="0B237CF0">
      <w:pPr>
        <w:pStyle w:val="4"/>
        <w:spacing w:line="360" w:lineRule="auto"/>
        <w:rPr>
          <w:rFonts w:hint="eastAsia" w:ascii="宋体" w:hAnsi="宋体" w:cs="宋体"/>
          <w:b w:val="0"/>
          <w:bCs w:val="0"/>
          <w:sz w:val="28"/>
          <w:szCs w:val="28"/>
          <w:highlight w:val="none"/>
        </w:rPr>
      </w:pPr>
      <w:r>
        <w:rPr>
          <w:rFonts w:hint="eastAsia" w:ascii="宋体" w:hAnsi="宋体" w:cs="宋体"/>
          <w:b w:val="0"/>
          <w:bCs w:val="0"/>
          <w:highlight w:val="none"/>
        </w:rPr>
        <w:t>6、</w:t>
      </w:r>
      <w:bookmarkStart w:id="261" w:name="_Toc19568"/>
      <w:r>
        <w:rPr>
          <w:rFonts w:hint="eastAsia" w:ascii="宋体" w:hAnsi="宋体" w:cs="宋体"/>
          <w:b w:val="0"/>
          <w:bCs w:val="0"/>
          <w:sz w:val="28"/>
          <w:szCs w:val="28"/>
          <w:highlight w:val="none"/>
        </w:rPr>
        <w:t>技术要求响应与偏差表</w:t>
      </w:r>
      <w:bookmarkEnd w:id="261"/>
    </w:p>
    <w:p w14:paraId="6B7CB649">
      <w:pPr>
        <w:rPr>
          <w:rFonts w:hint="eastAsia" w:ascii="宋体" w:hAnsi="宋体" w:cs="宋体"/>
          <w:szCs w:val="21"/>
          <w:highlight w:val="none"/>
        </w:rPr>
      </w:pPr>
      <w:r>
        <w:rPr>
          <w:rFonts w:hint="eastAsia" w:ascii="宋体" w:hAnsi="宋体" w:cs="宋体"/>
          <w:szCs w:val="21"/>
          <w:highlight w:val="none"/>
        </w:rPr>
        <w:t xml:space="preserve">供应商名称：                                 </w:t>
      </w:r>
    </w:p>
    <w:tbl>
      <w:tblPr>
        <w:tblStyle w:val="26"/>
        <w:tblpPr w:leftFromText="180" w:rightFromText="180" w:vertAnchor="text" w:horzAnchor="margin" w:tblpY="5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4"/>
        <w:gridCol w:w="2358"/>
        <w:gridCol w:w="1914"/>
        <w:gridCol w:w="1915"/>
        <w:gridCol w:w="1372"/>
      </w:tblGrid>
      <w:tr w14:paraId="7CF6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76" w:type="pct"/>
            <w:vAlign w:val="center"/>
          </w:tcPr>
          <w:p w14:paraId="2A6A0A14">
            <w:pPr>
              <w:jc w:val="center"/>
              <w:rPr>
                <w:rFonts w:hint="eastAsia" w:ascii="宋体" w:hAnsi="宋体" w:cs="宋体"/>
                <w:szCs w:val="21"/>
                <w:highlight w:val="none"/>
              </w:rPr>
            </w:pPr>
            <w:r>
              <w:rPr>
                <w:rFonts w:hint="eastAsia" w:ascii="宋体" w:hAnsi="宋体" w:cs="宋体"/>
                <w:szCs w:val="21"/>
                <w:highlight w:val="none"/>
              </w:rPr>
              <w:t>序号</w:t>
            </w:r>
          </w:p>
        </w:tc>
        <w:tc>
          <w:tcPr>
            <w:tcW w:w="1380" w:type="pct"/>
            <w:vAlign w:val="center"/>
          </w:tcPr>
          <w:p w14:paraId="411168F9">
            <w:pPr>
              <w:jc w:val="center"/>
              <w:rPr>
                <w:rFonts w:hint="eastAsia" w:ascii="宋体" w:hAnsi="宋体" w:cs="宋体"/>
                <w:szCs w:val="21"/>
                <w:highlight w:val="none"/>
              </w:rPr>
            </w:pPr>
            <w:r>
              <w:rPr>
                <w:rFonts w:hint="eastAsia" w:ascii="宋体" w:hAnsi="宋体" w:cs="宋体"/>
                <w:szCs w:val="21"/>
                <w:highlight w:val="none"/>
              </w:rPr>
              <w:t>货物（服务）名称</w:t>
            </w:r>
          </w:p>
        </w:tc>
        <w:tc>
          <w:tcPr>
            <w:tcW w:w="1120" w:type="pct"/>
            <w:vAlign w:val="center"/>
          </w:tcPr>
          <w:p w14:paraId="53F4EBC7">
            <w:pPr>
              <w:jc w:val="center"/>
              <w:rPr>
                <w:rFonts w:hint="eastAsia" w:ascii="宋体" w:hAnsi="宋体" w:cs="宋体"/>
                <w:szCs w:val="21"/>
                <w:highlight w:val="none"/>
              </w:rPr>
            </w:pPr>
            <w:r>
              <w:rPr>
                <w:rFonts w:hint="eastAsia" w:ascii="宋体" w:hAnsi="宋体" w:cs="宋体"/>
                <w:szCs w:val="21"/>
                <w:highlight w:val="none"/>
              </w:rPr>
              <w:t>招标规格</w:t>
            </w:r>
          </w:p>
        </w:tc>
        <w:tc>
          <w:tcPr>
            <w:tcW w:w="1121" w:type="pct"/>
            <w:vAlign w:val="center"/>
          </w:tcPr>
          <w:p w14:paraId="76060A88">
            <w:pPr>
              <w:jc w:val="center"/>
              <w:rPr>
                <w:rFonts w:hint="eastAsia" w:ascii="宋体" w:hAnsi="宋体" w:cs="宋体"/>
                <w:szCs w:val="21"/>
                <w:highlight w:val="none"/>
              </w:rPr>
            </w:pPr>
            <w:r>
              <w:rPr>
                <w:rFonts w:hint="eastAsia" w:ascii="宋体" w:hAnsi="宋体" w:cs="宋体"/>
                <w:szCs w:val="21"/>
                <w:highlight w:val="none"/>
              </w:rPr>
              <w:t>投标规格</w:t>
            </w:r>
          </w:p>
        </w:tc>
        <w:tc>
          <w:tcPr>
            <w:tcW w:w="803" w:type="pct"/>
            <w:vAlign w:val="center"/>
          </w:tcPr>
          <w:p w14:paraId="60CEEA0E">
            <w:pPr>
              <w:jc w:val="center"/>
              <w:rPr>
                <w:rFonts w:hint="eastAsia" w:ascii="宋体" w:hAnsi="宋体" w:cs="宋体"/>
                <w:szCs w:val="21"/>
                <w:highlight w:val="none"/>
              </w:rPr>
            </w:pPr>
            <w:r>
              <w:rPr>
                <w:rFonts w:hint="eastAsia" w:ascii="宋体" w:hAnsi="宋体" w:cs="宋体"/>
                <w:szCs w:val="21"/>
                <w:highlight w:val="none"/>
              </w:rPr>
              <w:t>偏离说明</w:t>
            </w:r>
          </w:p>
        </w:tc>
      </w:tr>
      <w:tr w14:paraId="7E92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76" w:type="pct"/>
            <w:vAlign w:val="center"/>
          </w:tcPr>
          <w:p w14:paraId="07A74163">
            <w:pPr>
              <w:rPr>
                <w:rFonts w:hint="eastAsia" w:ascii="宋体" w:hAnsi="宋体" w:cs="宋体"/>
                <w:b/>
                <w:szCs w:val="21"/>
                <w:highlight w:val="none"/>
              </w:rPr>
            </w:pPr>
          </w:p>
        </w:tc>
        <w:tc>
          <w:tcPr>
            <w:tcW w:w="1380" w:type="pct"/>
            <w:vAlign w:val="center"/>
          </w:tcPr>
          <w:p w14:paraId="36842C70">
            <w:pPr>
              <w:rPr>
                <w:rFonts w:hint="eastAsia" w:ascii="宋体" w:hAnsi="宋体" w:cs="宋体"/>
                <w:b/>
                <w:szCs w:val="21"/>
                <w:highlight w:val="none"/>
              </w:rPr>
            </w:pPr>
          </w:p>
        </w:tc>
        <w:tc>
          <w:tcPr>
            <w:tcW w:w="1120" w:type="pct"/>
            <w:vAlign w:val="center"/>
          </w:tcPr>
          <w:p w14:paraId="07A98461">
            <w:pPr>
              <w:rPr>
                <w:rFonts w:hint="eastAsia" w:ascii="宋体" w:hAnsi="宋体" w:cs="宋体"/>
                <w:b/>
                <w:szCs w:val="21"/>
                <w:highlight w:val="none"/>
              </w:rPr>
            </w:pPr>
          </w:p>
        </w:tc>
        <w:tc>
          <w:tcPr>
            <w:tcW w:w="1121" w:type="pct"/>
            <w:vAlign w:val="center"/>
          </w:tcPr>
          <w:p w14:paraId="0D483FDA">
            <w:pPr>
              <w:rPr>
                <w:rFonts w:hint="eastAsia" w:ascii="宋体" w:hAnsi="宋体" w:cs="宋体"/>
                <w:b/>
                <w:szCs w:val="21"/>
                <w:highlight w:val="none"/>
              </w:rPr>
            </w:pPr>
          </w:p>
        </w:tc>
        <w:tc>
          <w:tcPr>
            <w:tcW w:w="803" w:type="pct"/>
            <w:vAlign w:val="center"/>
          </w:tcPr>
          <w:p w14:paraId="27C65408">
            <w:pPr>
              <w:rPr>
                <w:rFonts w:hint="eastAsia" w:ascii="宋体" w:hAnsi="宋体" w:cs="宋体"/>
                <w:b/>
                <w:szCs w:val="21"/>
                <w:highlight w:val="none"/>
              </w:rPr>
            </w:pPr>
          </w:p>
        </w:tc>
      </w:tr>
      <w:tr w14:paraId="10B9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576" w:type="pct"/>
          </w:tcPr>
          <w:p w14:paraId="53B17022">
            <w:pPr>
              <w:rPr>
                <w:rFonts w:hint="eastAsia" w:ascii="宋体" w:hAnsi="宋体" w:cs="宋体"/>
                <w:b/>
                <w:szCs w:val="21"/>
                <w:highlight w:val="none"/>
              </w:rPr>
            </w:pPr>
          </w:p>
        </w:tc>
        <w:tc>
          <w:tcPr>
            <w:tcW w:w="1380" w:type="pct"/>
          </w:tcPr>
          <w:p w14:paraId="5927A5C9">
            <w:pPr>
              <w:rPr>
                <w:rFonts w:hint="eastAsia" w:ascii="宋体" w:hAnsi="宋体" w:cs="宋体"/>
                <w:b/>
                <w:szCs w:val="21"/>
                <w:highlight w:val="none"/>
              </w:rPr>
            </w:pPr>
          </w:p>
        </w:tc>
        <w:tc>
          <w:tcPr>
            <w:tcW w:w="1120" w:type="pct"/>
          </w:tcPr>
          <w:p w14:paraId="610FFD43">
            <w:pPr>
              <w:rPr>
                <w:rFonts w:hint="eastAsia" w:ascii="宋体" w:hAnsi="宋体" w:cs="宋体"/>
                <w:b/>
                <w:szCs w:val="21"/>
                <w:highlight w:val="none"/>
              </w:rPr>
            </w:pPr>
          </w:p>
        </w:tc>
        <w:tc>
          <w:tcPr>
            <w:tcW w:w="1121" w:type="pct"/>
          </w:tcPr>
          <w:p w14:paraId="3D73ED19">
            <w:pPr>
              <w:rPr>
                <w:rFonts w:hint="eastAsia" w:ascii="宋体" w:hAnsi="宋体" w:cs="宋体"/>
                <w:b/>
                <w:szCs w:val="21"/>
                <w:highlight w:val="none"/>
              </w:rPr>
            </w:pPr>
          </w:p>
        </w:tc>
        <w:tc>
          <w:tcPr>
            <w:tcW w:w="803" w:type="pct"/>
          </w:tcPr>
          <w:p w14:paraId="235BB84B">
            <w:pPr>
              <w:rPr>
                <w:rFonts w:hint="eastAsia" w:ascii="宋体" w:hAnsi="宋体" w:cs="宋体"/>
                <w:b/>
                <w:szCs w:val="21"/>
                <w:highlight w:val="none"/>
              </w:rPr>
            </w:pPr>
          </w:p>
        </w:tc>
      </w:tr>
      <w:tr w14:paraId="3A92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576" w:type="pct"/>
          </w:tcPr>
          <w:p w14:paraId="43A3A3E1">
            <w:pPr>
              <w:rPr>
                <w:rFonts w:hint="eastAsia" w:ascii="宋体" w:hAnsi="宋体" w:cs="宋体"/>
                <w:b/>
                <w:szCs w:val="21"/>
                <w:highlight w:val="none"/>
              </w:rPr>
            </w:pPr>
          </w:p>
        </w:tc>
        <w:tc>
          <w:tcPr>
            <w:tcW w:w="1380" w:type="pct"/>
          </w:tcPr>
          <w:p w14:paraId="77D2B671">
            <w:pPr>
              <w:rPr>
                <w:rFonts w:hint="eastAsia" w:ascii="宋体" w:hAnsi="宋体" w:cs="宋体"/>
                <w:b/>
                <w:szCs w:val="21"/>
                <w:highlight w:val="none"/>
              </w:rPr>
            </w:pPr>
          </w:p>
        </w:tc>
        <w:tc>
          <w:tcPr>
            <w:tcW w:w="1120" w:type="pct"/>
          </w:tcPr>
          <w:p w14:paraId="69AE06BB">
            <w:pPr>
              <w:rPr>
                <w:rFonts w:hint="eastAsia" w:ascii="宋体" w:hAnsi="宋体" w:cs="宋体"/>
                <w:b/>
                <w:szCs w:val="21"/>
                <w:highlight w:val="none"/>
              </w:rPr>
            </w:pPr>
          </w:p>
        </w:tc>
        <w:tc>
          <w:tcPr>
            <w:tcW w:w="1121" w:type="pct"/>
          </w:tcPr>
          <w:p w14:paraId="54453389">
            <w:pPr>
              <w:rPr>
                <w:rFonts w:hint="eastAsia" w:ascii="宋体" w:hAnsi="宋体" w:cs="宋体"/>
                <w:b/>
                <w:szCs w:val="21"/>
                <w:highlight w:val="none"/>
              </w:rPr>
            </w:pPr>
          </w:p>
        </w:tc>
        <w:tc>
          <w:tcPr>
            <w:tcW w:w="803" w:type="pct"/>
          </w:tcPr>
          <w:p w14:paraId="7DD6F56B">
            <w:pPr>
              <w:rPr>
                <w:rFonts w:hint="eastAsia" w:ascii="宋体" w:hAnsi="宋体" w:cs="宋体"/>
                <w:b/>
                <w:szCs w:val="21"/>
                <w:highlight w:val="none"/>
              </w:rPr>
            </w:pPr>
          </w:p>
        </w:tc>
      </w:tr>
      <w:tr w14:paraId="227E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6" w:type="pct"/>
          </w:tcPr>
          <w:p w14:paraId="0EB916BD">
            <w:pPr>
              <w:rPr>
                <w:rFonts w:hint="eastAsia" w:ascii="宋体" w:hAnsi="宋体" w:cs="宋体"/>
                <w:b/>
                <w:szCs w:val="21"/>
                <w:highlight w:val="none"/>
              </w:rPr>
            </w:pPr>
          </w:p>
        </w:tc>
        <w:tc>
          <w:tcPr>
            <w:tcW w:w="1380" w:type="pct"/>
          </w:tcPr>
          <w:p w14:paraId="6DAA1930">
            <w:pPr>
              <w:rPr>
                <w:rFonts w:hint="eastAsia" w:ascii="宋体" w:hAnsi="宋体" w:cs="宋体"/>
                <w:b/>
                <w:szCs w:val="21"/>
                <w:highlight w:val="none"/>
              </w:rPr>
            </w:pPr>
          </w:p>
        </w:tc>
        <w:tc>
          <w:tcPr>
            <w:tcW w:w="1120" w:type="pct"/>
          </w:tcPr>
          <w:p w14:paraId="3195400C">
            <w:pPr>
              <w:rPr>
                <w:rFonts w:hint="eastAsia" w:ascii="宋体" w:hAnsi="宋体" w:cs="宋体"/>
                <w:b/>
                <w:szCs w:val="21"/>
                <w:highlight w:val="none"/>
              </w:rPr>
            </w:pPr>
          </w:p>
        </w:tc>
        <w:tc>
          <w:tcPr>
            <w:tcW w:w="1121" w:type="pct"/>
          </w:tcPr>
          <w:p w14:paraId="45C6DEB5">
            <w:pPr>
              <w:rPr>
                <w:rFonts w:hint="eastAsia" w:ascii="宋体" w:hAnsi="宋体" w:cs="宋体"/>
                <w:b/>
                <w:szCs w:val="21"/>
                <w:highlight w:val="none"/>
              </w:rPr>
            </w:pPr>
          </w:p>
        </w:tc>
        <w:tc>
          <w:tcPr>
            <w:tcW w:w="803" w:type="pct"/>
          </w:tcPr>
          <w:p w14:paraId="795A9121">
            <w:pPr>
              <w:rPr>
                <w:rFonts w:hint="eastAsia" w:ascii="宋体" w:hAnsi="宋体" w:cs="宋体"/>
                <w:b/>
                <w:szCs w:val="21"/>
                <w:highlight w:val="none"/>
              </w:rPr>
            </w:pPr>
          </w:p>
        </w:tc>
      </w:tr>
      <w:tr w14:paraId="1B34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576" w:type="pct"/>
          </w:tcPr>
          <w:p w14:paraId="6D213E64">
            <w:pPr>
              <w:rPr>
                <w:rFonts w:hint="eastAsia" w:ascii="宋体" w:hAnsi="宋体" w:cs="宋体"/>
                <w:b/>
                <w:szCs w:val="21"/>
                <w:highlight w:val="none"/>
              </w:rPr>
            </w:pPr>
          </w:p>
        </w:tc>
        <w:tc>
          <w:tcPr>
            <w:tcW w:w="1380" w:type="pct"/>
          </w:tcPr>
          <w:p w14:paraId="2F63824F">
            <w:pPr>
              <w:rPr>
                <w:rFonts w:hint="eastAsia" w:ascii="宋体" w:hAnsi="宋体" w:cs="宋体"/>
                <w:b/>
                <w:szCs w:val="21"/>
                <w:highlight w:val="none"/>
              </w:rPr>
            </w:pPr>
          </w:p>
        </w:tc>
        <w:tc>
          <w:tcPr>
            <w:tcW w:w="1120" w:type="pct"/>
          </w:tcPr>
          <w:p w14:paraId="178ACD78">
            <w:pPr>
              <w:rPr>
                <w:rFonts w:hint="eastAsia" w:ascii="宋体" w:hAnsi="宋体" w:cs="宋体"/>
                <w:b/>
                <w:szCs w:val="21"/>
                <w:highlight w:val="none"/>
              </w:rPr>
            </w:pPr>
          </w:p>
        </w:tc>
        <w:tc>
          <w:tcPr>
            <w:tcW w:w="1121" w:type="pct"/>
          </w:tcPr>
          <w:p w14:paraId="42F933FC">
            <w:pPr>
              <w:rPr>
                <w:rFonts w:hint="eastAsia" w:ascii="宋体" w:hAnsi="宋体" w:cs="宋体"/>
                <w:b/>
                <w:szCs w:val="21"/>
                <w:highlight w:val="none"/>
              </w:rPr>
            </w:pPr>
          </w:p>
        </w:tc>
        <w:tc>
          <w:tcPr>
            <w:tcW w:w="803" w:type="pct"/>
          </w:tcPr>
          <w:p w14:paraId="6D4C17A5">
            <w:pPr>
              <w:rPr>
                <w:rFonts w:hint="eastAsia" w:ascii="宋体" w:hAnsi="宋体" w:cs="宋体"/>
                <w:b/>
                <w:szCs w:val="21"/>
                <w:highlight w:val="none"/>
              </w:rPr>
            </w:pPr>
          </w:p>
        </w:tc>
      </w:tr>
      <w:tr w14:paraId="0480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76" w:type="pct"/>
          </w:tcPr>
          <w:p w14:paraId="3794E431">
            <w:pPr>
              <w:rPr>
                <w:rFonts w:hint="eastAsia" w:ascii="宋体" w:hAnsi="宋体" w:cs="宋体"/>
                <w:b/>
                <w:szCs w:val="21"/>
                <w:highlight w:val="none"/>
              </w:rPr>
            </w:pPr>
          </w:p>
        </w:tc>
        <w:tc>
          <w:tcPr>
            <w:tcW w:w="1380" w:type="pct"/>
          </w:tcPr>
          <w:p w14:paraId="66030710">
            <w:pPr>
              <w:rPr>
                <w:rFonts w:hint="eastAsia" w:ascii="宋体" w:hAnsi="宋体" w:cs="宋体"/>
                <w:b/>
                <w:szCs w:val="21"/>
                <w:highlight w:val="none"/>
              </w:rPr>
            </w:pPr>
          </w:p>
        </w:tc>
        <w:tc>
          <w:tcPr>
            <w:tcW w:w="1120" w:type="pct"/>
          </w:tcPr>
          <w:p w14:paraId="1D32D3CC">
            <w:pPr>
              <w:rPr>
                <w:rFonts w:hint="eastAsia" w:ascii="宋体" w:hAnsi="宋体" w:cs="宋体"/>
                <w:b/>
                <w:szCs w:val="21"/>
                <w:highlight w:val="none"/>
              </w:rPr>
            </w:pPr>
          </w:p>
        </w:tc>
        <w:tc>
          <w:tcPr>
            <w:tcW w:w="1121" w:type="pct"/>
          </w:tcPr>
          <w:p w14:paraId="41F3EA90">
            <w:pPr>
              <w:rPr>
                <w:rFonts w:hint="eastAsia" w:ascii="宋体" w:hAnsi="宋体" w:cs="宋体"/>
                <w:b/>
                <w:szCs w:val="21"/>
                <w:highlight w:val="none"/>
              </w:rPr>
            </w:pPr>
          </w:p>
        </w:tc>
        <w:tc>
          <w:tcPr>
            <w:tcW w:w="803" w:type="pct"/>
          </w:tcPr>
          <w:p w14:paraId="457A6BA8">
            <w:pPr>
              <w:rPr>
                <w:rFonts w:hint="eastAsia" w:ascii="宋体" w:hAnsi="宋体" w:cs="宋体"/>
                <w:b/>
                <w:szCs w:val="21"/>
                <w:highlight w:val="none"/>
              </w:rPr>
            </w:pPr>
          </w:p>
        </w:tc>
      </w:tr>
    </w:tbl>
    <w:p w14:paraId="5F5B950E">
      <w:pPr>
        <w:rPr>
          <w:rFonts w:hint="eastAsia" w:ascii="宋体" w:hAnsi="宋体" w:cs="宋体"/>
          <w:szCs w:val="21"/>
          <w:highlight w:val="none"/>
        </w:rPr>
      </w:pPr>
    </w:p>
    <w:p w14:paraId="57721832">
      <w:pPr>
        <w:rPr>
          <w:rFonts w:hint="eastAsia" w:ascii="宋体" w:hAnsi="宋体" w:cs="宋体"/>
          <w:szCs w:val="21"/>
          <w:highlight w:val="none"/>
        </w:rPr>
      </w:pPr>
    </w:p>
    <w:p w14:paraId="4F171566">
      <w:pPr>
        <w:spacing w:line="400" w:lineRule="exact"/>
        <w:rPr>
          <w:rFonts w:hint="eastAsia" w:ascii="宋体" w:hAnsi="宋体" w:cs="宋体"/>
          <w:b/>
          <w:snapToGrid w:val="0"/>
          <w:szCs w:val="21"/>
          <w:highlight w:val="none"/>
        </w:rPr>
      </w:pPr>
      <w:r>
        <w:rPr>
          <w:rFonts w:hint="eastAsia" w:ascii="宋体" w:hAnsi="宋体" w:cs="宋体"/>
          <w:b/>
          <w:snapToGrid w:val="0"/>
          <w:szCs w:val="21"/>
          <w:highlight w:val="none"/>
        </w:rPr>
        <w:t>说明：</w:t>
      </w:r>
    </w:p>
    <w:p w14:paraId="439CBEB9">
      <w:pPr>
        <w:spacing w:line="400" w:lineRule="exact"/>
        <w:rPr>
          <w:rFonts w:hint="eastAsia" w:ascii="宋体" w:hAnsi="宋体" w:cs="宋体"/>
          <w:snapToGrid w:val="0"/>
          <w:szCs w:val="21"/>
          <w:highlight w:val="none"/>
        </w:rPr>
      </w:pPr>
      <w:r>
        <w:rPr>
          <w:rFonts w:hint="eastAsia" w:ascii="宋体" w:hAnsi="宋体" w:cs="宋体"/>
          <w:snapToGrid w:val="0"/>
          <w:szCs w:val="21"/>
          <w:highlight w:val="none"/>
        </w:rPr>
        <w:t>1、根据采购文件第四章“技术参数及要求”，供应商须在“投标规格”一列中逐条响应；</w:t>
      </w:r>
    </w:p>
    <w:p w14:paraId="6F4DA2C9">
      <w:pPr>
        <w:spacing w:line="400" w:lineRule="exact"/>
        <w:rPr>
          <w:rFonts w:hint="eastAsia" w:ascii="宋体" w:hAnsi="宋体" w:cs="宋体"/>
          <w:snapToGrid w:val="0"/>
          <w:szCs w:val="21"/>
          <w:highlight w:val="none"/>
        </w:rPr>
      </w:pPr>
      <w:r>
        <w:rPr>
          <w:rFonts w:hint="eastAsia" w:ascii="宋体" w:hAnsi="宋体" w:cs="宋体"/>
          <w:snapToGrid w:val="0"/>
          <w:szCs w:val="21"/>
          <w:highlight w:val="none"/>
        </w:rPr>
        <w:t>2、“偏离说明”一栏中供应商应对所投货物（服务）的技术参数与采购文件的要求进行对比，如无偏差请填写“无”的字样，如有偏差请注明“正偏差”或“负偏差”字样；</w:t>
      </w:r>
    </w:p>
    <w:p w14:paraId="106AE239">
      <w:pPr>
        <w:spacing w:line="400" w:lineRule="exact"/>
        <w:rPr>
          <w:rFonts w:hint="eastAsia" w:ascii="宋体" w:hAnsi="宋体" w:cs="宋体"/>
          <w:snapToGrid w:val="0"/>
          <w:szCs w:val="21"/>
          <w:highlight w:val="none"/>
        </w:rPr>
      </w:pPr>
      <w:r>
        <w:rPr>
          <w:rFonts w:hint="eastAsia" w:ascii="宋体" w:hAnsi="宋体" w:cs="宋体"/>
          <w:snapToGrid w:val="0"/>
          <w:szCs w:val="21"/>
          <w:highlight w:val="none"/>
        </w:rPr>
        <w:t>3、“偏离说明”一栏中由供应商对所投产品的技术性能对应采购文件要求就偏差之处作以重点描述；</w:t>
      </w:r>
    </w:p>
    <w:p w14:paraId="6F755914">
      <w:pPr>
        <w:spacing w:line="400" w:lineRule="exact"/>
        <w:rPr>
          <w:rFonts w:hint="eastAsia" w:ascii="宋体" w:hAnsi="宋体" w:cs="宋体"/>
          <w:snapToGrid w:val="0"/>
          <w:szCs w:val="21"/>
          <w:highlight w:val="none"/>
        </w:rPr>
      </w:pPr>
      <w:r>
        <w:rPr>
          <w:rFonts w:hint="eastAsia" w:ascii="宋体" w:hAnsi="宋体" w:cs="宋体"/>
          <w:snapToGrid w:val="0"/>
          <w:szCs w:val="21"/>
          <w:highlight w:val="none"/>
        </w:rPr>
        <w:t>4、表格不够供应商自行添加。</w:t>
      </w:r>
    </w:p>
    <w:p w14:paraId="03E75333">
      <w:pPr>
        <w:pStyle w:val="14"/>
        <w:rPr>
          <w:rFonts w:hint="eastAsia" w:hAnsi="宋体" w:cs="宋体"/>
          <w:b/>
          <w:szCs w:val="21"/>
          <w:highlight w:val="none"/>
        </w:rPr>
      </w:pPr>
    </w:p>
    <w:p w14:paraId="5C6F739D">
      <w:pPr>
        <w:adjustRightInd w:val="0"/>
        <w:snapToGrid w:val="0"/>
        <w:spacing w:line="440" w:lineRule="exact"/>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（盖章）</w:t>
      </w:r>
    </w:p>
    <w:p w14:paraId="3AB32EB1">
      <w:pPr>
        <w:adjustRightInd w:val="0"/>
        <w:snapToGrid w:val="0"/>
        <w:spacing w:line="440" w:lineRule="exact"/>
        <w:rPr>
          <w:rFonts w:hint="eastAsia" w:ascii="宋体" w:hAnsi="宋体" w:cs="宋体"/>
          <w:b/>
          <w:bCs/>
          <w:szCs w:val="21"/>
          <w:highlight w:val="none"/>
        </w:rPr>
      </w:pPr>
      <w:r>
        <w:rPr>
          <w:rFonts w:hint="eastAsia" w:ascii="宋体" w:hAnsi="宋体" w:cs="宋体"/>
          <w:szCs w:val="21"/>
          <w:highlight w:val="none"/>
        </w:rPr>
        <w:t>供应商代表（签字或盖章）：</w:t>
      </w:r>
      <w:r>
        <w:rPr>
          <w:rFonts w:hint="eastAsia" w:ascii="宋体" w:hAnsi="宋体" w:cs="宋体"/>
          <w:szCs w:val="21"/>
          <w:highlight w:val="none"/>
          <w:u w:val="single"/>
        </w:rPr>
        <w:t xml:space="preserve">                  </w:t>
      </w:r>
    </w:p>
    <w:p w14:paraId="07132248">
      <w:pPr>
        <w:adjustRightInd w:val="0"/>
        <w:snapToGrid w:val="0"/>
        <w:spacing w:line="440" w:lineRule="exact"/>
        <w:rPr>
          <w:rFonts w:hint="eastAsia" w:ascii="宋体" w:hAnsi="宋体" w:cs="宋体"/>
          <w:szCs w:val="21"/>
          <w:highlight w:val="none"/>
        </w:rPr>
      </w:pPr>
      <w:r>
        <w:rPr>
          <w:rFonts w:hint="eastAsia" w:ascii="宋体" w:hAnsi="宋体" w:cs="宋体"/>
          <w:szCs w:val="21"/>
          <w:highlight w:val="none"/>
        </w:rPr>
        <w:t>日期：  年    月   日</w:t>
      </w:r>
    </w:p>
    <w:p w14:paraId="0416DFCE">
      <w:pPr>
        <w:adjustRightInd w:val="0"/>
        <w:snapToGrid w:val="0"/>
        <w:spacing w:line="440" w:lineRule="exact"/>
        <w:rPr>
          <w:rFonts w:hint="eastAsia" w:ascii="宋体" w:hAnsi="宋体" w:cs="宋体"/>
          <w:szCs w:val="21"/>
          <w:highlight w:val="none"/>
        </w:rPr>
      </w:pPr>
    </w:p>
    <w:p w14:paraId="7C94856C">
      <w:pPr>
        <w:rPr>
          <w:rFonts w:hint="eastAsia" w:ascii="宋体" w:hAnsi="宋体" w:cs="宋体"/>
          <w:highlight w:val="none"/>
        </w:rPr>
      </w:pPr>
    </w:p>
    <w:p w14:paraId="68CF8B26">
      <w:pPr>
        <w:pStyle w:val="24"/>
        <w:ind w:firstLine="240"/>
        <w:rPr>
          <w:rFonts w:hint="eastAsia" w:ascii="宋体" w:hAnsi="宋体" w:cs="宋体"/>
          <w:highlight w:val="none"/>
        </w:rPr>
      </w:pPr>
    </w:p>
    <w:p w14:paraId="7D1A2803">
      <w:pPr>
        <w:jc w:val="center"/>
        <w:rPr>
          <w:rFonts w:hint="eastAsia" w:ascii="宋体" w:hAnsi="宋体" w:cs="宋体"/>
          <w:bCs/>
          <w:sz w:val="28"/>
          <w:szCs w:val="28"/>
          <w:highlight w:val="none"/>
        </w:rPr>
      </w:pPr>
      <w:bookmarkStart w:id="262" w:name="_Toc12527"/>
      <w:bookmarkStart w:id="263" w:name="_Toc29393"/>
      <w:bookmarkStart w:id="264" w:name="_Toc12126"/>
      <w:bookmarkStart w:id="265" w:name="_Toc15865"/>
      <w:bookmarkStart w:id="266" w:name="_Toc15178"/>
      <w:bookmarkStart w:id="267" w:name="_Toc32615"/>
      <w:bookmarkStart w:id="268" w:name="_Toc509411890"/>
      <w:bookmarkStart w:id="269" w:name="_Toc32354"/>
      <w:bookmarkStart w:id="270" w:name="_Toc30953"/>
      <w:bookmarkStart w:id="271" w:name="_Toc17107"/>
      <w:bookmarkStart w:id="272" w:name="_Toc12714"/>
      <w:bookmarkStart w:id="273" w:name="_Toc26765"/>
      <w:bookmarkStart w:id="274" w:name="_Toc23086"/>
      <w:bookmarkStart w:id="275" w:name="_Toc22632"/>
    </w:p>
    <w:p w14:paraId="6F7DFAEA">
      <w:pPr>
        <w:jc w:val="center"/>
        <w:rPr>
          <w:rFonts w:hint="eastAsia" w:ascii="宋体" w:hAnsi="宋体" w:cs="宋体"/>
          <w:bCs/>
          <w:sz w:val="28"/>
          <w:szCs w:val="28"/>
          <w:highlight w:val="none"/>
        </w:rPr>
      </w:pPr>
    </w:p>
    <w:p w14:paraId="4F0FDEB7">
      <w:pPr>
        <w:jc w:val="center"/>
        <w:rPr>
          <w:rFonts w:hint="eastAsia" w:ascii="宋体" w:hAnsi="宋体" w:cs="宋体"/>
          <w:bCs/>
          <w:sz w:val="28"/>
          <w:szCs w:val="28"/>
          <w:highlight w:val="none"/>
        </w:rPr>
      </w:pPr>
    </w:p>
    <w:p w14:paraId="2EDFE820">
      <w:pPr>
        <w:jc w:val="center"/>
        <w:rPr>
          <w:rFonts w:hint="eastAsia" w:ascii="宋体" w:hAnsi="宋体" w:cs="宋体"/>
          <w:bCs/>
          <w:sz w:val="28"/>
          <w:szCs w:val="28"/>
          <w:highlight w:val="none"/>
        </w:rPr>
      </w:pPr>
    </w:p>
    <w:p w14:paraId="5ED8DEB4">
      <w:pPr>
        <w:pStyle w:val="16"/>
        <w:rPr>
          <w:rFonts w:hint="eastAsia" w:ascii="宋体" w:hAnsi="宋体" w:cs="宋体"/>
          <w:bCs/>
          <w:sz w:val="28"/>
          <w:szCs w:val="28"/>
          <w:highlight w:val="none"/>
        </w:rPr>
      </w:pPr>
    </w:p>
    <w:p w14:paraId="40E47961">
      <w:pPr>
        <w:pStyle w:val="16"/>
        <w:rPr>
          <w:rFonts w:hint="eastAsia" w:ascii="宋体" w:hAnsi="宋体" w:cs="宋体"/>
          <w:bCs/>
          <w:sz w:val="28"/>
          <w:szCs w:val="28"/>
          <w:highlight w:val="none"/>
        </w:rPr>
      </w:pPr>
    </w:p>
    <w:p w14:paraId="18115DD9">
      <w:pPr>
        <w:pStyle w:val="16"/>
        <w:rPr>
          <w:rFonts w:hint="eastAsia" w:ascii="宋体" w:hAnsi="宋体" w:cs="宋体"/>
          <w:bCs/>
          <w:sz w:val="28"/>
          <w:szCs w:val="28"/>
          <w:highlight w:val="none"/>
        </w:rPr>
      </w:pPr>
    </w:p>
    <w:p w14:paraId="6D4A1EFA">
      <w:pPr>
        <w:jc w:val="center"/>
        <w:rPr>
          <w:rFonts w:hint="eastAsia" w:ascii="宋体" w:hAnsi="宋体" w:cs="宋体"/>
          <w:bCs/>
          <w:sz w:val="28"/>
          <w:szCs w:val="28"/>
          <w:highlight w:val="none"/>
        </w:rPr>
      </w:pPr>
    </w:p>
    <w:p w14:paraId="4F935228">
      <w:pPr>
        <w:jc w:val="center"/>
        <w:rPr>
          <w:rFonts w:hint="eastAsia" w:ascii="宋体" w:hAnsi="宋体" w:cs="宋体"/>
          <w:bCs/>
          <w:sz w:val="28"/>
          <w:szCs w:val="28"/>
          <w:highlight w:val="none"/>
        </w:rPr>
      </w:pPr>
      <w:r>
        <w:rPr>
          <w:rFonts w:hint="eastAsia" w:ascii="宋体" w:hAnsi="宋体" w:cs="宋体"/>
          <w:bCs/>
          <w:sz w:val="28"/>
          <w:szCs w:val="28"/>
          <w:highlight w:val="none"/>
        </w:rPr>
        <w:t>7、服务承诺</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61C3B3C0">
      <w:pPr>
        <w:rPr>
          <w:rFonts w:hint="eastAsia" w:ascii="宋体" w:hAnsi="宋体" w:cs="宋体"/>
          <w:bCs/>
          <w:sz w:val="24"/>
          <w:highlight w:val="none"/>
        </w:rPr>
      </w:pPr>
    </w:p>
    <w:p w14:paraId="2BD3CA2E">
      <w:pPr>
        <w:spacing w:line="360" w:lineRule="auto"/>
        <w:rPr>
          <w:rFonts w:hint="eastAsia" w:ascii="宋体" w:hAnsi="宋体" w:cs="宋体"/>
          <w:szCs w:val="21"/>
          <w:highlight w:val="none"/>
        </w:rPr>
      </w:pPr>
      <w:r>
        <w:rPr>
          <w:rFonts w:hint="eastAsia" w:ascii="宋体" w:hAnsi="宋体" w:cs="宋体"/>
          <w:szCs w:val="21"/>
          <w:highlight w:val="none"/>
        </w:rPr>
        <w:t>1、详细说明服务的内容、形式、合同履行期限，解决质量或操作问题的响应时间、应急问题解决时间等。</w:t>
      </w:r>
    </w:p>
    <w:p w14:paraId="77002318">
      <w:pPr>
        <w:spacing w:line="360" w:lineRule="auto"/>
        <w:rPr>
          <w:rFonts w:hint="eastAsia" w:ascii="宋体" w:hAnsi="宋体" w:cs="宋体"/>
          <w:szCs w:val="21"/>
          <w:highlight w:val="none"/>
        </w:rPr>
      </w:pPr>
      <w:r>
        <w:rPr>
          <w:rFonts w:hint="eastAsia" w:ascii="宋体" w:hAnsi="宋体" w:cs="宋体"/>
          <w:szCs w:val="21"/>
          <w:highlight w:val="none"/>
        </w:rPr>
        <w:t>2、售后单位名称、地点、联系方式。</w:t>
      </w:r>
    </w:p>
    <w:p w14:paraId="5B4F4E7F">
      <w:pPr>
        <w:spacing w:line="360" w:lineRule="auto"/>
        <w:rPr>
          <w:rFonts w:hint="eastAsia" w:ascii="宋体" w:hAnsi="宋体" w:cs="宋体"/>
          <w:szCs w:val="21"/>
          <w:highlight w:val="none"/>
        </w:rPr>
      </w:pPr>
      <w:r>
        <w:rPr>
          <w:rFonts w:hint="eastAsia" w:ascii="宋体" w:hAnsi="宋体" w:cs="宋体"/>
          <w:szCs w:val="21"/>
          <w:highlight w:val="none"/>
        </w:rPr>
        <w:t>3、售后技术设备和人员等情况。</w:t>
      </w:r>
    </w:p>
    <w:p w14:paraId="0C8344DE">
      <w:pPr>
        <w:spacing w:line="360" w:lineRule="auto"/>
        <w:rPr>
          <w:rFonts w:hint="eastAsia" w:ascii="宋体" w:hAnsi="宋体" w:cs="宋体"/>
          <w:szCs w:val="21"/>
          <w:highlight w:val="none"/>
        </w:rPr>
      </w:pPr>
      <w:r>
        <w:rPr>
          <w:rFonts w:hint="eastAsia" w:ascii="宋体" w:hAnsi="宋体" w:cs="宋体"/>
          <w:szCs w:val="21"/>
          <w:highlight w:val="none"/>
        </w:rPr>
        <w:t>4、供应商认为需要说明的其他服务承诺。</w:t>
      </w:r>
    </w:p>
    <w:p w14:paraId="22F5AD40">
      <w:pPr>
        <w:spacing w:line="360" w:lineRule="auto"/>
        <w:rPr>
          <w:rFonts w:hint="eastAsia" w:ascii="宋体" w:hAnsi="宋体" w:cs="宋体"/>
          <w:szCs w:val="21"/>
          <w:highlight w:val="none"/>
        </w:rPr>
      </w:pPr>
    </w:p>
    <w:p w14:paraId="4604375B">
      <w:pPr>
        <w:spacing w:line="360" w:lineRule="auto"/>
        <w:rPr>
          <w:rFonts w:hint="eastAsia" w:ascii="宋体" w:hAnsi="宋体" w:cs="宋体"/>
          <w:szCs w:val="21"/>
          <w:highlight w:val="none"/>
        </w:rPr>
      </w:pPr>
    </w:p>
    <w:p w14:paraId="2ACC865C">
      <w:pPr>
        <w:spacing w:line="360" w:lineRule="auto"/>
        <w:rPr>
          <w:rFonts w:hint="eastAsia" w:ascii="宋体" w:hAnsi="宋体" w:cs="宋体"/>
          <w:szCs w:val="21"/>
          <w:highlight w:val="none"/>
        </w:rPr>
      </w:pPr>
      <w:r>
        <w:rPr>
          <w:rFonts w:hint="eastAsia" w:ascii="宋体" w:hAnsi="宋体" w:cs="宋体"/>
          <w:szCs w:val="21"/>
          <w:highlight w:val="none"/>
        </w:rPr>
        <w:t>供应商（公章或电子签章）：</w:t>
      </w:r>
    </w:p>
    <w:p w14:paraId="034B4B45">
      <w:pPr>
        <w:spacing w:line="360" w:lineRule="auto"/>
        <w:rPr>
          <w:rFonts w:hint="eastAsia" w:ascii="宋体" w:hAnsi="宋体" w:cs="宋体"/>
          <w:szCs w:val="21"/>
          <w:highlight w:val="none"/>
        </w:rPr>
      </w:pPr>
      <w:r>
        <w:rPr>
          <w:rFonts w:hint="eastAsia" w:ascii="宋体" w:hAnsi="宋体" w:cs="宋体"/>
          <w:szCs w:val="21"/>
          <w:highlight w:val="none"/>
        </w:rPr>
        <w:t xml:space="preserve">供应商代表（签字或盖章或电子签章）：  </w:t>
      </w:r>
    </w:p>
    <w:p w14:paraId="7A93535B">
      <w:pPr>
        <w:spacing w:line="360" w:lineRule="auto"/>
        <w:rPr>
          <w:rFonts w:hint="eastAsia" w:ascii="宋体" w:hAnsi="宋体" w:cs="宋体"/>
          <w:szCs w:val="21"/>
          <w:highlight w:val="none"/>
        </w:rPr>
      </w:pPr>
      <w:r>
        <w:rPr>
          <w:rFonts w:hint="eastAsia" w:ascii="宋体" w:hAnsi="宋体" w:cs="宋体"/>
          <w:szCs w:val="21"/>
          <w:highlight w:val="none"/>
        </w:rPr>
        <w:t>日          期：</w:t>
      </w:r>
    </w:p>
    <w:p w14:paraId="00F1BA3C">
      <w:pPr>
        <w:rPr>
          <w:rFonts w:hint="eastAsia" w:ascii="宋体" w:hAnsi="宋体" w:cs="宋体"/>
          <w:sz w:val="24"/>
          <w:highlight w:val="none"/>
        </w:rPr>
      </w:pPr>
    </w:p>
    <w:p w14:paraId="548230B1">
      <w:pPr>
        <w:rPr>
          <w:rFonts w:hint="eastAsia" w:ascii="宋体" w:hAnsi="宋体" w:cs="宋体"/>
          <w:bCs/>
          <w:sz w:val="24"/>
          <w:highlight w:val="none"/>
        </w:rPr>
      </w:pPr>
    </w:p>
    <w:p w14:paraId="2192C62D">
      <w:pPr>
        <w:rPr>
          <w:rFonts w:hint="eastAsia" w:ascii="宋体" w:hAnsi="宋体" w:cs="宋体"/>
          <w:bCs/>
          <w:highlight w:val="none"/>
        </w:rPr>
      </w:pPr>
    </w:p>
    <w:p w14:paraId="16C9836B">
      <w:pPr>
        <w:rPr>
          <w:rFonts w:hint="eastAsia" w:ascii="宋体" w:hAnsi="宋体" w:cs="宋体"/>
          <w:bCs/>
          <w:highlight w:val="none"/>
        </w:rPr>
      </w:pPr>
    </w:p>
    <w:p w14:paraId="4BC355E5">
      <w:pPr>
        <w:rPr>
          <w:rFonts w:hint="eastAsia" w:ascii="宋体" w:hAnsi="宋体" w:cs="宋体"/>
          <w:bCs/>
          <w:highlight w:val="none"/>
        </w:rPr>
      </w:pPr>
    </w:p>
    <w:p w14:paraId="1FC30A9C">
      <w:pPr>
        <w:rPr>
          <w:rFonts w:hint="eastAsia" w:ascii="宋体" w:hAnsi="宋体" w:cs="宋体"/>
          <w:bCs/>
          <w:highlight w:val="none"/>
        </w:rPr>
      </w:pPr>
    </w:p>
    <w:p w14:paraId="187AC30A">
      <w:pPr>
        <w:rPr>
          <w:rFonts w:hint="eastAsia" w:ascii="宋体" w:hAnsi="宋体" w:cs="宋体"/>
          <w:bCs/>
          <w:highlight w:val="none"/>
        </w:rPr>
      </w:pPr>
    </w:p>
    <w:p w14:paraId="38990B3C">
      <w:pPr>
        <w:rPr>
          <w:rFonts w:hint="eastAsia" w:ascii="宋体" w:hAnsi="宋体" w:cs="宋体"/>
          <w:bCs/>
          <w:highlight w:val="none"/>
        </w:rPr>
      </w:pPr>
    </w:p>
    <w:p w14:paraId="6250C3E7">
      <w:pPr>
        <w:rPr>
          <w:rFonts w:hint="eastAsia" w:ascii="宋体" w:hAnsi="宋体" w:cs="宋体"/>
          <w:bCs/>
          <w:highlight w:val="none"/>
        </w:rPr>
      </w:pPr>
    </w:p>
    <w:p w14:paraId="4F785D38">
      <w:pPr>
        <w:rPr>
          <w:rFonts w:hint="eastAsia" w:ascii="宋体" w:hAnsi="宋体" w:cs="宋体"/>
          <w:bCs/>
          <w:highlight w:val="none"/>
        </w:rPr>
      </w:pPr>
    </w:p>
    <w:p w14:paraId="579D0130">
      <w:pPr>
        <w:rPr>
          <w:rFonts w:hint="eastAsia" w:ascii="宋体" w:hAnsi="宋体" w:cs="宋体"/>
          <w:bCs/>
          <w:highlight w:val="none"/>
        </w:rPr>
      </w:pPr>
    </w:p>
    <w:p w14:paraId="3D437218">
      <w:pPr>
        <w:rPr>
          <w:rFonts w:hint="eastAsia" w:ascii="宋体" w:hAnsi="宋体" w:cs="宋体"/>
          <w:bCs/>
          <w:highlight w:val="none"/>
        </w:rPr>
      </w:pPr>
    </w:p>
    <w:p w14:paraId="5F7CCC86">
      <w:pPr>
        <w:pStyle w:val="10"/>
        <w:rPr>
          <w:rFonts w:hint="eastAsia" w:ascii="宋体" w:eastAsia="宋体" w:cs="宋体"/>
          <w:highlight w:val="none"/>
        </w:rPr>
      </w:pPr>
    </w:p>
    <w:p w14:paraId="51BF074C">
      <w:pPr>
        <w:pStyle w:val="10"/>
        <w:rPr>
          <w:rFonts w:hint="eastAsia" w:ascii="宋体" w:eastAsia="宋体" w:cs="宋体"/>
          <w:highlight w:val="none"/>
        </w:rPr>
      </w:pPr>
    </w:p>
    <w:p w14:paraId="2887C78D">
      <w:pPr>
        <w:pStyle w:val="10"/>
        <w:rPr>
          <w:rFonts w:hint="eastAsia" w:ascii="宋体" w:eastAsia="宋体" w:cs="宋体"/>
          <w:highlight w:val="none"/>
        </w:rPr>
      </w:pPr>
    </w:p>
    <w:p w14:paraId="7BFF36FF">
      <w:pPr>
        <w:pStyle w:val="10"/>
        <w:rPr>
          <w:rFonts w:hint="eastAsia" w:ascii="宋体" w:eastAsia="宋体" w:cs="宋体"/>
          <w:highlight w:val="none"/>
        </w:rPr>
      </w:pPr>
    </w:p>
    <w:p w14:paraId="08EDDF7C">
      <w:pPr>
        <w:pStyle w:val="10"/>
        <w:rPr>
          <w:rFonts w:hint="eastAsia" w:ascii="宋体" w:eastAsia="宋体" w:cs="宋体"/>
          <w:highlight w:val="none"/>
        </w:rPr>
      </w:pPr>
    </w:p>
    <w:p w14:paraId="28A33B7D">
      <w:pPr>
        <w:pStyle w:val="10"/>
        <w:rPr>
          <w:rFonts w:hint="eastAsia" w:ascii="宋体" w:eastAsia="宋体" w:cs="宋体"/>
          <w:highlight w:val="none"/>
        </w:rPr>
      </w:pPr>
    </w:p>
    <w:p w14:paraId="192E0108">
      <w:pPr>
        <w:pStyle w:val="10"/>
        <w:rPr>
          <w:rFonts w:hint="eastAsia" w:ascii="宋体" w:eastAsia="宋体" w:cs="宋体"/>
          <w:highlight w:val="none"/>
        </w:rPr>
      </w:pPr>
    </w:p>
    <w:p w14:paraId="14EA427C">
      <w:pPr>
        <w:pStyle w:val="21"/>
        <w:rPr>
          <w:rFonts w:hint="eastAsia" w:ascii="宋体" w:eastAsia="宋体" w:cs="宋体"/>
          <w:highlight w:val="none"/>
        </w:rPr>
      </w:pPr>
    </w:p>
    <w:p w14:paraId="7A0559D2">
      <w:pPr>
        <w:pStyle w:val="10"/>
        <w:rPr>
          <w:rFonts w:hint="eastAsia" w:ascii="宋体" w:eastAsia="宋体" w:cs="宋体"/>
          <w:highlight w:val="none"/>
        </w:rPr>
      </w:pPr>
    </w:p>
    <w:p w14:paraId="3A53D822">
      <w:pPr>
        <w:rPr>
          <w:rFonts w:hint="eastAsia" w:ascii="宋体" w:hAnsi="宋体" w:cs="宋体"/>
          <w:highlight w:val="none"/>
        </w:rPr>
      </w:pPr>
    </w:p>
    <w:p w14:paraId="3D975A28">
      <w:pPr>
        <w:pStyle w:val="16"/>
        <w:rPr>
          <w:rFonts w:hint="eastAsia" w:ascii="宋体" w:hAnsi="宋体" w:cs="宋体"/>
          <w:highlight w:val="none"/>
        </w:rPr>
      </w:pPr>
    </w:p>
    <w:p w14:paraId="726A8725">
      <w:pPr>
        <w:pStyle w:val="16"/>
        <w:rPr>
          <w:rFonts w:hint="eastAsia" w:ascii="宋体" w:hAnsi="宋体" w:cs="宋体"/>
          <w:highlight w:val="none"/>
        </w:rPr>
      </w:pPr>
    </w:p>
    <w:p w14:paraId="7BCF95BE">
      <w:pPr>
        <w:pStyle w:val="16"/>
        <w:rPr>
          <w:rFonts w:hint="eastAsia" w:ascii="宋体" w:hAnsi="宋体" w:cs="宋体"/>
          <w:highlight w:val="none"/>
        </w:rPr>
      </w:pPr>
    </w:p>
    <w:p w14:paraId="65B08B3D">
      <w:pPr>
        <w:rPr>
          <w:rFonts w:hint="eastAsia" w:ascii="宋体" w:hAnsi="宋体" w:cs="宋体"/>
          <w:highlight w:val="none"/>
        </w:rPr>
      </w:pPr>
    </w:p>
    <w:p w14:paraId="40DA8EAF">
      <w:pPr>
        <w:rPr>
          <w:rFonts w:hint="eastAsia" w:ascii="宋体" w:hAnsi="宋体" w:cs="宋体"/>
          <w:bCs/>
          <w:highlight w:val="none"/>
        </w:rPr>
      </w:pPr>
    </w:p>
    <w:p w14:paraId="1BA09C27">
      <w:pPr>
        <w:rPr>
          <w:rFonts w:hint="eastAsia" w:ascii="宋体" w:hAnsi="宋体" w:cs="宋体"/>
          <w:bCs/>
          <w:highlight w:val="none"/>
        </w:rPr>
      </w:pPr>
    </w:p>
    <w:p w14:paraId="7B935011">
      <w:pPr>
        <w:ind w:left="2940"/>
        <w:jc w:val="left"/>
        <w:rPr>
          <w:rFonts w:hint="eastAsia" w:ascii="宋体" w:hAnsi="宋体" w:cs="宋体"/>
          <w:bCs/>
          <w:sz w:val="28"/>
          <w:szCs w:val="28"/>
          <w:highlight w:val="none"/>
        </w:rPr>
      </w:pPr>
      <w:bookmarkStart w:id="276" w:name="_Toc13540"/>
      <w:bookmarkStart w:id="277" w:name="_Toc16789"/>
      <w:bookmarkStart w:id="278" w:name="_Toc10760"/>
      <w:bookmarkStart w:id="279" w:name="_Toc31745"/>
      <w:bookmarkStart w:id="280" w:name="_Toc25716"/>
      <w:bookmarkStart w:id="281" w:name="_Toc8165"/>
      <w:bookmarkStart w:id="282" w:name="_Toc17966"/>
      <w:bookmarkStart w:id="283" w:name="_Toc30876"/>
      <w:bookmarkStart w:id="284" w:name="_Toc29695"/>
      <w:bookmarkStart w:id="285" w:name="_Toc217"/>
      <w:bookmarkStart w:id="286" w:name="_Toc25911"/>
      <w:r>
        <w:rPr>
          <w:rFonts w:hint="eastAsia" w:ascii="宋体" w:hAnsi="宋体" w:cs="宋体"/>
          <w:bCs/>
          <w:sz w:val="28"/>
          <w:szCs w:val="28"/>
          <w:highlight w:val="none"/>
        </w:rPr>
        <w:t>8、资格证明材料</w:t>
      </w:r>
      <w:bookmarkEnd w:id="276"/>
      <w:bookmarkEnd w:id="277"/>
      <w:bookmarkEnd w:id="278"/>
      <w:bookmarkEnd w:id="279"/>
      <w:bookmarkEnd w:id="280"/>
      <w:bookmarkEnd w:id="281"/>
      <w:bookmarkEnd w:id="282"/>
      <w:bookmarkEnd w:id="283"/>
      <w:bookmarkEnd w:id="284"/>
      <w:bookmarkEnd w:id="285"/>
      <w:bookmarkEnd w:id="286"/>
    </w:p>
    <w:p w14:paraId="5D739C74">
      <w:pPr>
        <w:pStyle w:val="10"/>
        <w:rPr>
          <w:rFonts w:hint="eastAsia" w:ascii="宋体" w:eastAsia="宋体" w:cs="宋体"/>
          <w:highlight w:val="none"/>
        </w:rPr>
      </w:pPr>
    </w:p>
    <w:p w14:paraId="4C2AEA8B">
      <w:pPr>
        <w:pStyle w:val="16"/>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1.满足《中华人民共和国政府采购法》第二十二条规定：</w:t>
      </w:r>
    </w:p>
    <w:p w14:paraId="5B8CBA25">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（1）具有独立承担民事责任的能力，需提供有效的营业执照；</w:t>
      </w:r>
    </w:p>
    <w:p w14:paraId="6D938E22">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（2）具有良好的商业信誉和健全的财务会计制度（供应商需出具承诺书，格式自拟）；</w:t>
      </w:r>
    </w:p>
    <w:p w14:paraId="4FC7C39A">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（3）具有履行合同所必需的设备和专业技术能力（供应商需出具承诺书，格式自拟）；</w:t>
      </w:r>
    </w:p>
    <w:p w14:paraId="051F86C7">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（4）具有依法缴纳税收和社会保障资金的良好记录（供应商需出具承诺书，格式自拟）；</w:t>
      </w:r>
    </w:p>
    <w:p w14:paraId="0F372938">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（5）参加政府采购活动前三年内，在经营活动中没有重大违法记录（供应商需出具承诺书，格式自拟）。</w:t>
      </w:r>
    </w:p>
    <w:p w14:paraId="57B16ACF">
      <w:pPr>
        <w:pStyle w:val="16"/>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2.需落实政府采购的政策要求：</w:t>
      </w:r>
      <w:r>
        <w:rPr>
          <w:rFonts w:hint="eastAsia" w:ascii="宋体" w:hAnsi="宋体" w:eastAsia="宋体" w:cs="宋体"/>
          <w:sz w:val="21"/>
          <w:szCs w:val="21"/>
          <w:highlight w:val="none"/>
        </w:rPr>
        <w:t>本项目执行落实促进中小型企业发展政策（监狱企业、残疾人福利性企业视同小微企业），优先采购节能环保产品，政府强制采购节能产品等。</w:t>
      </w:r>
    </w:p>
    <w:p w14:paraId="58AE659C">
      <w:pPr>
        <w:pStyle w:val="16"/>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3.本项目的特定资格要求：</w:t>
      </w:r>
    </w:p>
    <w:p w14:paraId="2326BC90">
      <w:pPr>
        <w:pStyle w:val="16"/>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3.1、一标段：</w:t>
      </w:r>
    </w:p>
    <w:p w14:paraId="4AA06948">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（1）供应商须具备有效期范围内的营业执照；</w:t>
      </w:r>
    </w:p>
    <w:p w14:paraId="5CF9646E">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应商所投医疗产品需提供医疗器械经营许可证或医疗器械经营备案凭证；供应商若为制造商，须具有监督管理部门颁发的《医疗器械生产企业许可证》；若为代理商，须具有监督管理部门颁发的《医疗器械经营许可证》或《医疗器械经营备案凭证》；</w:t>
      </w:r>
    </w:p>
    <w:p w14:paraId="709DD7A6">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根据需要可对所有参与本项目投标的供应商的信用情况（失信被执行人、重大税收违法失信主体、政府采购严重违法失信行为记录名单）进行查询。若在开标当天查询到供应商有相关负面信息的，则该供应商为无效供应商；  </w:t>
      </w:r>
    </w:p>
    <w:p w14:paraId="345687C8">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w:t>
      </w:r>
      <w:r>
        <w:rPr>
          <w:rFonts w:hint="eastAsia" w:ascii="宋体" w:hAnsi="宋体" w:cs="宋体"/>
          <w:sz w:val="21"/>
          <w:szCs w:val="21"/>
          <w:highlight w:val="none"/>
          <w:lang w:eastAsia="zh-CN"/>
        </w:rPr>
        <w:t>本公告发布日期之后投标截止日期之前</w:t>
      </w:r>
      <w:r>
        <w:rPr>
          <w:rFonts w:hint="eastAsia" w:ascii="宋体" w:hAnsi="宋体" w:eastAsia="宋体" w:cs="宋体"/>
          <w:sz w:val="21"/>
          <w:szCs w:val="21"/>
          <w:highlight w:val="none"/>
        </w:rPr>
        <w:t>】。</w:t>
      </w:r>
    </w:p>
    <w:p w14:paraId="4CE27B1C">
      <w:pPr>
        <w:pStyle w:val="6"/>
        <w:rPr>
          <w:highlight w:val="none"/>
        </w:rPr>
      </w:pPr>
    </w:p>
    <w:p w14:paraId="2799B04C">
      <w:pPr>
        <w:spacing w:line="360" w:lineRule="auto"/>
        <w:jc w:val="center"/>
        <w:rPr>
          <w:rFonts w:hint="eastAsia" w:ascii="宋体" w:hAnsi="宋体" w:cs="宋体"/>
          <w:bCs/>
          <w:sz w:val="28"/>
          <w:szCs w:val="28"/>
          <w:highlight w:val="none"/>
        </w:rPr>
      </w:pPr>
      <w:bookmarkStart w:id="287" w:name="_Toc22012"/>
      <w:bookmarkStart w:id="288" w:name="_Toc24870"/>
      <w:bookmarkStart w:id="289" w:name="_Toc1264"/>
      <w:bookmarkStart w:id="290" w:name="_Toc20355"/>
      <w:bookmarkStart w:id="291" w:name="_Toc9874"/>
      <w:bookmarkStart w:id="292" w:name="_Toc8296"/>
      <w:bookmarkStart w:id="293" w:name="_Toc11478"/>
      <w:bookmarkStart w:id="294" w:name="_Toc3462"/>
      <w:bookmarkStart w:id="295" w:name="_Toc25549"/>
      <w:bookmarkStart w:id="296" w:name="_Toc5336"/>
      <w:bookmarkStart w:id="297" w:name="_Toc32409"/>
    </w:p>
    <w:p w14:paraId="4E0D2641">
      <w:pPr>
        <w:spacing w:line="360" w:lineRule="auto"/>
        <w:jc w:val="center"/>
        <w:rPr>
          <w:rFonts w:hint="eastAsia" w:ascii="宋体" w:hAnsi="宋体" w:cs="宋体"/>
          <w:bCs/>
          <w:sz w:val="28"/>
          <w:szCs w:val="28"/>
          <w:highlight w:val="none"/>
        </w:rPr>
      </w:pPr>
    </w:p>
    <w:p w14:paraId="1900D9A7">
      <w:pPr>
        <w:spacing w:line="360" w:lineRule="auto"/>
        <w:jc w:val="center"/>
        <w:rPr>
          <w:rFonts w:hint="eastAsia" w:ascii="宋体" w:hAnsi="宋体" w:cs="宋体"/>
          <w:bCs/>
          <w:highlight w:val="none"/>
        </w:rPr>
      </w:pPr>
      <w:r>
        <w:rPr>
          <w:rFonts w:hint="eastAsia" w:ascii="宋体" w:hAnsi="宋体" w:cs="宋体"/>
          <w:bCs/>
          <w:sz w:val="28"/>
          <w:szCs w:val="28"/>
          <w:highlight w:val="none"/>
        </w:rPr>
        <w:t>9、法定代表人授权书</w:t>
      </w:r>
      <w:bookmarkEnd w:id="287"/>
      <w:bookmarkEnd w:id="288"/>
      <w:bookmarkEnd w:id="289"/>
      <w:bookmarkEnd w:id="290"/>
      <w:bookmarkEnd w:id="291"/>
      <w:bookmarkEnd w:id="292"/>
      <w:bookmarkEnd w:id="293"/>
      <w:bookmarkEnd w:id="294"/>
      <w:bookmarkEnd w:id="295"/>
      <w:bookmarkEnd w:id="296"/>
      <w:bookmarkEnd w:id="297"/>
    </w:p>
    <w:p w14:paraId="50AA8C39">
      <w:pPr>
        <w:rPr>
          <w:rFonts w:hint="eastAsia" w:ascii="宋体" w:hAnsi="宋体" w:cs="宋体"/>
          <w:b/>
          <w:sz w:val="24"/>
          <w:highlight w:val="none"/>
        </w:rPr>
      </w:pPr>
    </w:p>
    <w:p w14:paraId="39D235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（投标单位名称）的法定代表人，现授权委托本单位在职员工</w:t>
      </w:r>
      <w:r>
        <w:rPr>
          <w:rFonts w:hint="eastAsia" w:ascii="宋体" w:hAnsi="宋体" w:cs="宋体"/>
          <w:szCs w:val="21"/>
          <w:highlight w:val="none"/>
          <w:u w:val="single"/>
        </w:rPr>
        <w:t xml:space="preserve">       </w:t>
      </w:r>
      <w:r>
        <w:rPr>
          <w:rFonts w:hint="eastAsia" w:ascii="宋体" w:hAnsi="宋体" w:cs="宋体"/>
          <w:szCs w:val="21"/>
          <w:highlight w:val="none"/>
        </w:rPr>
        <w:t>（姓名，职务）（身份证号码：</w:t>
      </w:r>
      <w:r>
        <w:rPr>
          <w:rFonts w:hint="eastAsia" w:ascii="宋体" w:hAnsi="宋体" w:cs="宋体"/>
          <w:szCs w:val="21"/>
          <w:highlight w:val="none"/>
          <w:u w:val="single"/>
        </w:rPr>
        <w:t xml:space="preserve">                </w:t>
      </w:r>
      <w:r>
        <w:rPr>
          <w:rFonts w:hint="eastAsia" w:ascii="宋体" w:hAnsi="宋体" w:cs="宋体"/>
          <w:szCs w:val="21"/>
          <w:highlight w:val="none"/>
        </w:rPr>
        <w:t>）作为供应商代表以我方的名义参加贵单位组织的</w:t>
      </w:r>
      <w:r>
        <w:rPr>
          <w:rFonts w:hint="eastAsia" w:ascii="宋体" w:hAnsi="宋体" w:cs="宋体"/>
          <w:szCs w:val="21"/>
          <w:highlight w:val="none"/>
          <w:u w:val="single"/>
        </w:rPr>
        <w:t xml:space="preserve">     </w:t>
      </w:r>
      <w:r>
        <w:rPr>
          <w:rFonts w:hint="eastAsia" w:ascii="宋体" w:hAnsi="宋体" w:cs="宋体"/>
          <w:szCs w:val="21"/>
          <w:highlight w:val="none"/>
        </w:rPr>
        <w:t>项目（采购项目编号：</w:t>
      </w:r>
      <w:r>
        <w:rPr>
          <w:rFonts w:hint="eastAsia" w:ascii="宋体" w:hAnsi="宋体" w:cs="宋体"/>
          <w:szCs w:val="21"/>
          <w:highlight w:val="none"/>
          <w:u w:val="single"/>
        </w:rPr>
        <w:t xml:space="preserve">           </w:t>
      </w:r>
      <w:r>
        <w:rPr>
          <w:rFonts w:hint="eastAsia" w:ascii="宋体" w:hAnsi="宋体" w:cs="宋体"/>
          <w:szCs w:val="21"/>
          <w:highlight w:val="none"/>
        </w:rPr>
        <w:t>）的投标活动，并代表我方全权处理一切与之有关的具体事务和签署相关文件，我均予以承认。</w:t>
      </w:r>
    </w:p>
    <w:p w14:paraId="504E203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代理人无权转让委托权。</w:t>
      </w:r>
    </w:p>
    <w:p w14:paraId="6035B76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本授权书于    年   月   日签名生效，本授权书至投标有效期结束前始终有效。</w:t>
      </w:r>
    </w:p>
    <w:p w14:paraId="07CA3F8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特此声明。</w:t>
      </w:r>
    </w:p>
    <w:p w14:paraId="74F374E8">
      <w:pPr>
        <w:spacing w:line="360" w:lineRule="auto"/>
        <w:ind w:firstLine="420" w:firstLineChars="200"/>
        <w:rPr>
          <w:rFonts w:hint="eastAsia" w:ascii="宋体" w:hAnsi="宋体" w:cs="宋体"/>
          <w:szCs w:val="21"/>
          <w:highlight w:val="none"/>
        </w:rPr>
      </w:pPr>
    </w:p>
    <w:p w14:paraId="3AD8CCD6">
      <w:pPr>
        <w:spacing w:line="360" w:lineRule="auto"/>
        <w:ind w:firstLine="420" w:firstLineChars="200"/>
        <w:rPr>
          <w:rFonts w:hint="eastAsia" w:ascii="宋体" w:hAnsi="宋体" w:cs="宋体"/>
          <w:szCs w:val="21"/>
          <w:highlight w:val="none"/>
        </w:rPr>
      </w:pPr>
    </w:p>
    <w:p w14:paraId="2A36FE9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供应商（公章）：</w:t>
      </w:r>
    </w:p>
    <w:p w14:paraId="1AD1C05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法定代表人（授权人）签字或盖章或电子签章：</w:t>
      </w:r>
    </w:p>
    <w:p w14:paraId="7BCBDEF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供应商代表（被授权人）签字或盖章或电子签章：</w:t>
      </w:r>
    </w:p>
    <w:p w14:paraId="5736312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日    期：</w:t>
      </w:r>
    </w:p>
    <w:p w14:paraId="55097E10">
      <w:pPr>
        <w:spacing w:line="360" w:lineRule="auto"/>
        <w:ind w:firstLine="420" w:firstLineChars="200"/>
        <w:rPr>
          <w:rFonts w:hint="eastAsia" w:ascii="宋体" w:hAnsi="宋体" w:cs="宋体"/>
          <w:szCs w:val="21"/>
          <w:highlight w:val="none"/>
        </w:rPr>
      </w:pPr>
    </w:p>
    <w:p w14:paraId="6836092C">
      <w:pPr>
        <w:spacing w:line="360" w:lineRule="auto"/>
        <w:rPr>
          <w:rFonts w:hint="eastAsia" w:ascii="宋体" w:hAnsi="宋体" w:cs="宋体"/>
          <w:szCs w:val="21"/>
          <w:highlight w:val="none"/>
        </w:rPr>
      </w:pPr>
      <w:bookmarkStart w:id="298" w:name="_Toc441"/>
      <w:bookmarkStart w:id="299" w:name="_Toc12746"/>
      <w:bookmarkStart w:id="300" w:name="_Toc509411891"/>
      <w:r>
        <w:rPr>
          <w:rFonts w:hint="eastAsia" w:ascii="宋体" w:hAnsi="宋体" w:cs="宋体"/>
          <w:bCs/>
          <w:szCs w:val="21"/>
          <w:highlight w:val="none"/>
        </w:rPr>
        <w:t>附：法定代表人、供应商代表（被授权人）身份证正面和反面</w:t>
      </w:r>
      <w:bookmarkEnd w:id="298"/>
      <w:bookmarkEnd w:id="299"/>
      <w:bookmarkEnd w:id="300"/>
      <w:r>
        <w:rPr>
          <w:rFonts w:hint="eastAsia" w:ascii="宋体" w:hAnsi="宋体" w:cs="宋体"/>
          <w:bCs/>
          <w:szCs w:val="21"/>
          <w:highlight w:val="none"/>
        </w:rPr>
        <w:t>复印件或扫描件。</w:t>
      </w:r>
    </w:p>
    <w:p w14:paraId="7C0AC342">
      <w:pPr>
        <w:pStyle w:val="24"/>
        <w:ind w:firstLine="210"/>
        <w:rPr>
          <w:rFonts w:hint="eastAsia" w:ascii="宋体" w:hAnsi="宋体" w:cs="宋体"/>
          <w:sz w:val="21"/>
          <w:szCs w:val="21"/>
          <w:highlight w:val="none"/>
        </w:rPr>
      </w:pPr>
    </w:p>
    <w:p w14:paraId="43F1B8DB">
      <w:pPr>
        <w:pStyle w:val="24"/>
        <w:ind w:firstLine="210"/>
        <w:rPr>
          <w:rFonts w:hint="eastAsia" w:ascii="宋体" w:hAnsi="宋体" w:cs="宋体"/>
          <w:sz w:val="21"/>
          <w:szCs w:val="21"/>
          <w:highlight w:val="none"/>
        </w:rPr>
      </w:pPr>
    </w:p>
    <w:p w14:paraId="2B4D8965">
      <w:pPr>
        <w:pStyle w:val="24"/>
        <w:ind w:firstLine="240"/>
        <w:rPr>
          <w:rFonts w:hint="eastAsia" w:ascii="宋体" w:hAnsi="宋体" w:cs="宋体"/>
          <w:highlight w:val="none"/>
        </w:rPr>
      </w:pPr>
    </w:p>
    <w:p w14:paraId="589CA761">
      <w:pPr>
        <w:pStyle w:val="24"/>
        <w:ind w:firstLine="240"/>
        <w:rPr>
          <w:rFonts w:hint="eastAsia" w:ascii="宋体" w:hAnsi="宋体" w:cs="宋体"/>
          <w:highlight w:val="none"/>
        </w:rPr>
      </w:pPr>
    </w:p>
    <w:p w14:paraId="0CCE1D37">
      <w:pPr>
        <w:pStyle w:val="24"/>
        <w:ind w:firstLine="240"/>
        <w:rPr>
          <w:rFonts w:hint="eastAsia" w:ascii="宋体" w:hAnsi="宋体" w:cs="宋体"/>
          <w:highlight w:val="none"/>
        </w:rPr>
      </w:pPr>
    </w:p>
    <w:p w14:paraId="5A438CD0">
      <w:pPr>
        <w:pStyle w:val="25"/>
        <w:rPr>
          <w:rFonts w:hint="eastAsia"/>
          <w:highlight w:val="none"/>
        </w:rPr>
      </w:pPr>
    </w:p>
    <w:p w14:paraId="6C7DEC7D">
      <w:pPr>
        <w:pStyle w:val="25"/>
        <w:rPr>
          <w:rFonts w:hint="eastAsia"/>
          <w:highlight w:val="none"/>
        </w:rPr>
      </w:pPr>
    </w:p>
    <w:p w14:paraId="35E66AF3">
      <w:pPr>
        <w:pStyle w:val="25"/>
        <w:rPr>
          <w:rFonts w:hint="eastAsia"/>
          <w:highlight w:val="none"/>
        </w:rPr>
      </w:pPr>
    </w:p>
    <w:p w14:paraId="63A1C9B6">
      <w:pPr>
        <w:pStyle w:val="25"/>
        <w:rPr>
          <w:rFonts w:hint="eastAsia"/>
          <w:highlight w:val="none"/>
        </w:rPr>
      </w:pPr>
    </w:p>
    <w:p w14:paraId="50C4385D">
      <w:pPr>
        <w:pStyle w:val="25"/>
        <w:rPr>
          <w:rFonts w:hint="eastAsia"/>
          <w:highlight w:val="none"/>
        </w:rPr>
      </w:pPr>
    </w:p>
    <w:p w14:paraId="12B31B2F">
      <w:pPr>
        <w:pStyle w:val="25"/>
        <w:rPr>
          <w:rFonts w:hint="eastAsia"/>
          <w:highlight w:val="none"/>
        </w:rPr>
      </w:pPr>
    </w:p>
    <w:p w14:paraId="7C2693EA">
      <w:pPr>
        <w:pStyle w:val="25"/>
        <w:rPr>
          <w:rFonts w:hint="eastAsia"/>
          <w:highlight w:val="none"/>
        </w:rPr>
      </w:pPr>
    </w:p>
    <w:p w14:paraId="6F0580E6">
      <w:pPr>
        <w:pStyle w:val="25"/>
        <w:rPr>
          <w:rFonts w:hint="eastAsia"/>
          <w:highlight w:val="none"/>
        </w:rPr>
      </w:pPr>
    </w:p>
    <w:p w14:paraId="412EF25D">
      <w:pPr>
        <w:pStyle w:val="25"/>
        <w:rPr>
          <w:rFonts w:hint="eastAsia"/>
          <w:highlight w:val="none"/>
        </w:rPr>
      </w:pPr>
    </w:p>
    <w:p w14:paraId="4114A889">
      <w:pPr>
        <w:pStyle w:val="25"/>
        <w:rPr>
          <w:rFonts w:hint="eastAsia"/>
          <w:highlight w:val="none"/>
        </w:rPr>
      </w:pPr>
    </w:p>
    <w:p w14:paraId="509265F0">
      <w:pPr>
        <w:pStyle w:val="25"/>
        <w:rPr>
          <w:rFonts w:hint="eastAsia"/>
          <w:highlight w:val="none"/>
        </w:rPr>
      </w:pPr>
    </w:p>
    <w:p w14:paraId="1B5D7DAF">
      <w:pPr>
        <w:pStyle w:val="25"/>
        <w:rPr>
          <w:rFonts w:hint="eastAsia"/>
          <w:highlight w:val="none"/>
        </w:rPr>
      </w:pPr>
    </w:p>
    <w:p w14:paraId="6CAB5FB7">
      <w:pPr>
        <w:rPr>
          <w:rFonts w:hint="eastAsia" w:ascii="宋体" w:hAnsi="宋体" w:cs="宋体"/>
          <w:bCs/>
          <w:highlight w:val="none"/>
        </w:rPr>
      </w:pPr>
    </w:p>
    <w:p w14:paraId="0583D1B7">
      <w:pPr>
        <w:jc w:val="center"/>
        <w:rPr>
          <w:rFonts w:hint="eastAsia" w:ascii="宋体" w:hAnsi="宋体" w:cs="宋体"/>
          <w:sz w:val="28"/>
          <w:szCs w:val="28"/>
          <w:highlight w:val="none"/>
        </w:rPr>
      </w:pPr>
      <w:bookmarkStart w:id="301" w:name="_Toc12980"/>
      <w:bookmarkStart w:id="302" w:name="_Toc647"/>
      <w:bookmarkStart w:id="303" w:name="_Toc1947"/>
      <w:bookmarkStart w:id="304" w:name="_Toc5424"/>
      <w:bookmarkStart w:id="305" w:name="_Toc16147"/>
      <w:bookmarkStart w:id="306" w:name="_Toc14997"/>
      <w:bookmarkStart w:id="307" w:name="_Toc1871"/>
      <w:bookmarkStart w:id="308" w:name="_Toc15023"/>
      <w:bookmarkStart w:id="309" w:name="_Toc20561"/>
      <w:bookmarkStart w:id="310" w:name="_Toc22410"/>
      <w:bookmarkStart w:id="311" w:name="_Toc9467"/>
      <w:r>
        <w:rPr>
          <w:rFonts w:hint="eastAsia" w:ascii="宋体" w:hAnsi="宋体" w:cs="宋体"/>
          <w:bCs/>
          <w:sz w:val="28"/>
          <w:szCs w:val="28"/>
          <w:highlight w:val="none"/>
        </w:rPr>
        <w:t>10、供应商基本情况</w:t>
      </w:r>
      <w:bookmarkEnd w:id="301"/>
      <w:bookmarkEnd w:id="302"/>
      <w:bookmarkEnd w:id="303"/>
      <w:bookmarkEnd w:id="304"/>
      <w:bookmarkEnd w:id="305"/>
      <w:bookmarkEnd w:id="306"/>
      <w:bookmarkEnd w:id="307"/>
      <w:bookmarkEnd w:id="308"/>
      <w:bookmarkEnd w:id="309"/>
      <w:bookmarkEnd w:id="310"/>
      <w:bookmarkEnd w:id="311"/>
    </w:p>
    <w:p w14:paraId="2D11120E">
      <w:pPr>
        <w:jc w:val="center"/>
        <w:rPr>
          <w:rFonts w:hint="eastAsia" w:ascii="宋体" w:hAnsi="宋体" w:cs="宋体"/>
          <w:sz w:val="24"/>
          <w:highlight w:val="none"/>
        </w:rPr>
      </w:pPr>
      <w:r>
        <w:rPr>
          <w:rFonts w:hint="eastAsia" w:ascii="宋体" w:hAnsi="宋体" w:cs="宋体"/>
          <w:sz w:val="24"/>
          <w:highlight w:val="none"/>
        </w:rPr>
        <w:t>（如实编写供应商基本情况，格式自拟）</w:t>
      </w:r>
    </w:p>
    <w:p w14:paraId="02EE5BE3">
      <w:pPr>
        <w:rPr>
          <w:rFonts w:hint="eastAsia" w:ascii="宋体" w:hAnsi="宋体" w:cs="宋体"/>
          <w:highlight w:val="none"/>
        </w:rPr>
      </w:pPr>
    </w:p>
    <w:p w14:paraId="0D47BACE">
      <w:pPr>
        <w:rPr>
          <w:rFonts w:hint="eastAsia" w:ascii="宋体" w:hAnsi="宋体" w:cs="宋体"/>
          <w:highlight w:val="none"/>
        </w:rPr>
      </w:pPr>
    </w:p>
    <w:p w14:paraId="13D6322E">
      <w:pPr>
        <w:rPr>
          <w:rFonts w:hint="eastAsia" w:ascii="宋体" w:hAnsi="宋体" w:cs="宋体"/>
          <w:highlight w:val="none"/>
        </w:rPr>
      </w:pPr>
    </w:p>
    <w:p w14:paraId="1B4FC1CE">
      <w:pPr>
        <w:rPr>
          <w:rFonts w:hint="eastAsia" w:ascii="宋体" w:hAnsi="宋体" w:cs="宋体"/>
          <w:highlight w:val="none"/>
        </w:rPr>
      </w:pPr>
    </w:p>
    <w:p w14:paraId="5DCAC1C8">
      <w:pPr>
        <w:rPr>
          <w:rFonts w:hint="eastAsia" w:ascii="宋体" w:hAnsi="宋体" w:cs="宋体"/>
          <w:highlight w:val="none"/>
        </w:rPr>
      </w:pPr>
    </w:p>
    <w:p w14:paraId="4678F1DB">
      <w:pPr>
        <w:rPr>
          <w:rFonts w:hint="eastAsia" w:ascii="宋体" w:hAnsi="宋体" w:cs="宋体"/>
          <w:highlight w:val="none"/>
        </w:rPr>
      </w:pPr>
    </w:p>
    <w:p w14:paraId="28E338C6">
      <w:pPr>
        <w:rPr>
          <w:rFonts w:hint="eastAsia" w:ascii="宋体" w:hAnsi="宋体" w:cs="宋体"/>
          <w:highlight w:val="none"/>
        </w:rPr>
      </w:pPr>
    </w:p>
    <w:p w14:paraId="3005D215">
      <w:pPr>
        <w:rPr>
          <w:rFonts w:hint="eastAsia" w:ascii="宋体" w:hAnsi="宋体" w:cs="宋体"/>
          <w:highlight w:val="none"/>
        </w:rPr>
      </w:pPr>
    </w:p>
    <w:p w14:paraId="6A593469">
      <w:pPr>
        <w:rPr>
          <w:rFonts w:hint="eastAsia" w:ascii="宋体" w:hAnsi="宋体" w:cs="宋体"/>
          <w:highlight w:val="none"/>
        </w:rPr>
      </w:pPr>
    </w:p>
    <w:p w14:paraId="7B3C969A">
      <w:pPr>
        <w:rPr>
          <w:rFonts w:hint="eastAsia" w:ascii="宋体" w:hAnsi="宋体" w:cs="宋体"/>
          <w:highlight w:val="none"/>
        </w:rPr>
      </w:pPr>
    </w:p>
    <w:p w14:paraId="5E6A98D1">
      <w:pPr>
        <w:pStyle w:val="24"/>
        <w:ind w:firstLine="240"/>
        <w:rPr>
          <w:rFonts w:hint="eastAsia" w:ascii="宋体" w:hAnsi="宋体" w:cs="宋体"/>
          <w:highlight w:val="none"/>
        </w:rPr>
      </w:pPr>
    </w:p>
    <w:p w14:paraId="3A7561F8">
      <w:pPr>
        <w:pStyle w:val="24"/>
        <w:ind w:firstLine="240"/>
        <w:rPr>
          <w:rFonts w:hint="eastAsia" w:ascii="宋体" w:hAnsi="宋体" w:cs="宋体"/>
          <w:highlight w:val="none"/>
        </w:rPr>
      </w:pPr>
    </w:p>
    <w:p w14:paraId="443C2AFB">
      <w:pPr>
        <w:pStyle w:val="24"/>
        <w:ind w:firstLine="240"/>
        <w:rPr>
          <w:rFonts w:hint="eastAsia" w:ascii="宋体" w:hAnsi="宋体" w:cs="宋体"/>
          <w:highlight w:val="none"/>
        </w:rPr>
      </w:pPr>
    </w:p>
    <w:p w14:paraId="5349A863">
      <w:pPr>
        <w:pStyle w:val="24"/>
        <w:ind w:firstLine="240"/>
        <w:rPr>
          <w:rFonts w:hint="eastAsia" w:ascii="宋体" w:hAnsi="宋体" w:cs="宋体"/>
          <w:highlight w:val="none"/>
        </w:rPr>
      </w:pPr>
    </w:p>
    <w:p w14:paraId="4BCDC990">
      <w:pPr>
        <w:pStyle w:val="24"/>
        <w:ind w:firstLine="240"/>
        <w:rPr>
          <w:rFonts w:hint="eastAsia" w:ascii="宋体" w:hAnsi="宋体" w:cs="宋体"/>
          <w:highlight w:val="none"/>
        </w:rPr>
      </w:pPr>
    </w:p>
    <w:p w14:paraId="30BA6CDC">
      <w:pPr>
        <w:pStyle w:val="24"/>
        <w:ind w:firstLine="240"/>
        <w:rPr>
          <w:rFonts w:hint="eastAsia" w:ascii="宋体" w:hAnsi="宋体" w:cs="宋体"/>
          <w:highlight w:val="none"/>
        </w:rPr>
      </w:pPr>
    </w:p>
    <w:p w14:paraId="7AEEFBB3">
      <w:pPr>
        <w:pStyle w:val="24"/>
        <w:ind w:firstLine="240"/>
        <w:rPr>
          <w:rFonts w:hint="eastAsia" w:ascii="宋体" w:hAnsi="宋体" w:cs="宋体"/>
          <w:highlight w:val="none"/>
        </w:rPr>
      </w:pPr>
    </w:p>
    <w:p w14:paraId="3D3B02AE">
      <w:pPr>
        <w:pStyle w:val="24"/>
        <w:ind w:firstLine="240"/>
        <w:rPr>
          <w:rFonts w:hint="eastAsia" w:ascii="宋体" w:hAnsi="宋体" w:cs="宋体"/>
          <w:highlight w:val="none"/>
        </w:rPr>
      </w:pPr>
    </w:p>
    <w:p w14:paraId="1BE2A268">
      <w:pPr>
        <w:rPr>
          <w:rFonts w:hint="eastAsia" w:ascii="宋体" w:hAnsi="宋体" w:cs="宋体"/>
          <w:highlight w:val="none"/>
        </w:rPr>
      </w:pPr>
    </w:p>
    <w:p w14:paraId="607D3769">
      <w:pPr>
        <w:pStyle w:val="24"/>
        <w:ind w:firstLine="240"/>
        <w:rPr>
          <w:rFonts w:hint="eastAsia" w:ascii="宋体" w:hAnsi="宋体" w:cs="宋体"/>
          <w:highlight w:val="none"/>
        </w:rPr>
      </w:pPr>
    </w:p>
    <w:p w14:paraId="3EC3A9DC">
      <w:pPr>
        <w:pStyle w:val="25"/>
        <w:rPr>
          <w:rFonts w:hint="eastAsia"/>
          <w:highlight w:val="none"/>
        </w:rPr>
      </w:pPr>
    </w:p>
    <w:p w14:paraId="73583A48">
      <w:pPr>
        <w:pStyle w:val="25"/>
        <w:rPr>
          <w:rFonts w:hint="eastAsia"/>
          <w:highlight w:val="none"/>
        </w:rPr>
      </w:pPr>
    </w:p>
    <w:p w14:paraId="1AC0C270">
      <w:pPr>
        <w:pStyle w:val="25"/>
        <w:rPr>
          <w:rFonts w:hint="eastAsia"/>
          <w:highlight w:val="none"/>
        </w:rPr>
      </w:pPr>
    </w:p>
    <w:p w14:paraId="6FEFF3EA">
      <w:pPr>
        <w:pStyle w:val="25"/>
        <w:rPr>
          <w:rFonts w:hint="eastAsia"/>
          <w:highlight w:val="none"/>
        </w:rPr>
      </w:pPr>
    </w:p>
    <w:p w14:paraId="636D3ECF">
      <w:pPr>
        <w:pStyle w:val="25"/>
        <w:rPr>
          <w:rFonts w:hint="eastAsia"/>
          <w:highlight w:val="none"/>
        </w:rPr>
      </w:pPr>
    </w:p>
    <w:p w14:paraId="710F6D21">
      <w:pPr>
        <w:pStyle w:val="25"/>
        <w:rPr>
          <w:rFonts w:hint="eastAsia"/>
          <w:highlight w:val="none"/>
        </w:rPr>
      </w:pPr>
    </w:p>
    <w:p w14:paraId="77DA7456">
      <w:pPr>
        <w:pStyle w:val="25"/>
        <w:rPr>
          <w:rFonts w:hint="eastAsia"/>
          <w:highlight w:val="none"/>
        </w:rPr>
      </w:pPr>
    </w:p>
    <w:p w14:paraId="12ADF012">
      <w:pPr>
        <w:pStyle w:val="25"/>
        <w:rPr>
          <w:rFonts w:hint="eastAsia"/>
          <w:highlight w:val="none"/>
        </w:rPr>
      </w:pPr>
    </w:p>
    <w:p w14:paraId="35DF9A83">
      <w:pPr>
        <w:pStyle w:val="25"/>
        <w:rPr>
          <w:rFonts w:hint="eastAsia"/>
          <w:highlight w:val="none"/>
        </w:rPr>
      </w:pPr>
    </w:p>
    <w:p w14:paraId="5E37615D">
      <w:pPr>
        <w:pStyle w:val="25"/>
        <w:rPr>
          <w:rFonts w:hint="eastAsia"/>
          <w:highlight w:val="none"/>
        </w:rPr>
      </w:pPr>
    </w:p>
    <w:p w14:paraId="0D9F1B75">
      <w:pPr>
        <w:pStyle w:val="25"/>
        <w:rPr>
          <w:rFonts w:hint="eastAsia"/>
          <w:highlight w:val="none"/>
        </w:rPr>
      </w:pPr>
    </w:p>
    <w:p w14:paraId="59C2158B">
      <w:pPr>
        <w:pStyle w:val="7"/>
        <w:rPr>
          <w:rFonts w:hint="eastAsia"/>
          <w:highlight w:val="none"/>
        </w:rPr>
      </w:pPr>
    </w:p>
    <w:p w14:paraId="2BED15D9">
      <w:pPr>
        <w:pStyle w:val="7"/>
        <w:rPr>
          <w:highlight w:val="none"/>
        </w:rPr>
      </w:pPr>
    </w:p>
    <w:p w14:paraId="416BDE1A">
      <w:pPr>
        <w:pStyle w:val="25"/>
        <w:rPr>
          <w:rFonts w:hint="eastAsia"/>
          <w:highlight w:val="none"/>
        </w:rPr>
      </w:pPr>
    </w:p>
    <w:p w14:paraId="62347518">
      <w:pPr>
        <w:pStyle w:val="25"/>
        <w:rPr>
          <w:rFonts w:hint="eastAsia"/>
          <w:highlight w:val="none"/>
        </w:rPr>
      </w:pPr>
    </w:p>
    <w:p w14:paraId="117CF7E8">
      <w:pPr>
        <w:rPr>
          <w:rFonts w:hint="eastAsia" w:ascii="宋体" w:hAnsi="宋体" w:cs="宋体"/>
          <w:highlight w:val="none"/>
        </w:rPr>
      </w:pPr>
    </w:p>
    <w:p w14:paraId="023F3F20">
      <w:pPr>
        <w:jc w:val="center"/>
        <w:rPr>
          <w:rFonts w:hint="eastAsia" w:ascii="宋体" w:hAnsi="宋体" w:cs="宋体"/>
          <w:sz w:val="28"/>
          <w:szCs w:val="28"/>
          <w:highlight w:val="none"/>
        </w:rPr>
      </w:pPr>
      <w:bookmarkStart w:id="312" w:name="_Toc26997"/>
      <w:bookmarkStart w:id="313" w:name="_Toc2559"/>
      <w:bookmarkStart w:id="314" w:name="_Toc14349"/>
      <w:bookmarkStart w:id="315" w:name="_Toc28025"/>
      <w:bookmarkStart w:id="316" w:name="_Toc24476"/>
      <w:bookmarkStart w:id="317" w:name="_Toc29287"/>
      <w:bookmarkStart w:id="318" w:name="_Toc4166"/>
      <w:bookmarkStart w:id="319" w:name="_Toc24441"/>
      <w:bookmarkStart w:id="320" w:name="_Toc3508"/>
      <w:bookmarkStart w:id="321" w:name="_Toc1995"/>
      <w:bookmarkStart w:id="322" w:name="_Toc19378"/>
      <w:r>
        <w:rPr>
          <w:rFonts w:hint="eastAsia" w:ascii="宋体" w:hAnsi="宋体" w:cs="宋体"/>
          <w:bCs/>
          <w:sz w:val="28"/>
          <w:szCs w:val="28"/>
          <w:highlight w:val="none"/>
        </w:rPr>
        <w:t>11、类似项目业绩情况表</w:t>
      </w:r>
      <w:bookmarkEnd w:id="312"/>
      <w:bookmarkEnd w:id="313"/>
      <w:bookmarkEnd w:id="314"/>
      <w:bookmarkEnd w:id="315"/>
      <w:bookmarkEnd w:id="316"/>
      <w:bookmarkEnd w:id="317"/>
      <w:bookmarkEnd w:id="318"/>
      <w:bookmarkEnd w:id="319"/>
      <w:bookmarkEnd w:id="320"/>
      <w:bookmarkEnd w:id="321"/>
      <w:bookmarkEnd w:id="322"/>
    </w:p>
    <w:p w14:paraId="4F6558CF">
      <w:pPr>
        <w:rPr>
          <w:rFonts w:hint="eastAsia" w:ascii="宋体" w:hAnsi="宋体" w:cs="宋体"/>
          <w:b/>
          <w:spacing w:val="10"/>
          <w:sz w:val="24"/>
          <w:highlight w:val="none"/>
        </w:rPr>
      </w:pPr>
      <w:bookmarkStart w:id="323" w:name="_Toc32395"/>
      <w:bookmarkStart w:id="324" w:name="_Toc509411892"/>
      <w:bookmarkStart w:id="325" w:name="_Toc31590"/>
      <w:r>
        <w:rPr>
          <w:rFonts w:hint="eastAsia" w:ascii="宋体" w:hAnsi="宋体" w:cs="宋体"/>
          <w:sz w:val="24"/>
          <w:highlight w:val="none"/>
        </w:rPr>
        <w:t>供应商名称：</w:t>
      </w:r>
      <w:bookmarkEnd w:id="323"/>
      <w:bookmarkEnd w:id="324"/>
      <w:bookmarkEnd w:id="325"/>
      <w:r>
        <w:rPr>
          <w:rFonts w:hint="eastAsia" w:ascii="宋体" w:hAnsi="宋体" w:cs="宋体"/>
          <w:sz w:val="24"/>
          <w:highlight w:val="none"/>
        </w:rPr>
        <w:t xml:space="preserve">                                </w:t>
      </w:r>
    </w:p>
    <w:tbl>
      <w:tblPr>
        <w:tblStyle w:val="26"/>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487"/>
        <w:gridCol w:w="1262"/>
        <w:gridCol w:w="1219"/>
        <w:gridCol w:w="1219"/>
        <w:gridCol w:w="1310"/>
      </w:tblGrid>
      <w:tr w14:paraId="758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7E0CE127">
            <w:pPr>
              <w:rPr>
                <w:rFonts w:hint="eastAsia" w:ascii="宋体" w:hAnsi="宋体" w:cs="宋体"/>
                <w:bCs/>
                <w:sz w:val="24"/>
                <w:highlight w:val="none"/>
              </w:rPr>
            </w:pPr>
            <w:r>
              <w:rPr>
                <w:rFonts w:hint="eastAsia" w:ascii="宋体" w:hAnsi="宋体" w:cs="宋体"/>
                <w:bCs/>
                <w:sz w:val="24"/>
                <w:highlight w:val="none"/>
              </w:rPr>
              <w:t>序号</w:t>
            </w:r>
          </w:p>
        </w:tc>
        <w:tc>
          <w:tcPr>
            <w:tcW w:w="1732" w:type="dxa"/>
            <w:vAlign w:val="center"/>
          </w:tcPr>
          <w:p w14:paraId="4F2691D9">
            <w:pPr>
              <w:rPr>
                <w:rFonts w:hint="eastAsia" w:ascii="宋体" w:hAnsi="宋体" w:cs="宋体"/>
                <w:bCs/>
                <w:sz w:val="24"/>
                <w:highlight w:val="none"/>
              </w:rPr>
            </w:pPr>
            <w:r>
              <w:rPr>
                <w:rFonts w:hint="eastAsia" w:ascii="宋体" w:hAnsi="宋体" w:cs="宋体"/>
                <w:bCs/>
                <w:sz w:val="24"/>
                <w:highlight w:val="none"/>
              </w:rPr>
              <w:t>项目名称</w:t>
            </w:r>
          </w:p>
        </w:tc>
        <w:tc>
          <w:tcPr>
            <w:tcW w:w="1487" w:type="dxa"/>
            <w:vAlign w:val="center"/>
          </w:tcPr>
          <w:p w14:paraId="15B61544">
            <w:pPr>
              <w:rPr>
                <w:rFonts w:hint="eastAsia" w:ascii="宋体" w:hAnsi="宋体" w:cs="宋体"/>
                <w:bCs/>
                <w:sz w:val="24"/>
                <w:highlight w:val="none"/>
              </w:rPr>
            </w:pPr>
            <w:r>
              <w:rPr>
                <w:rFonts w:hint="eastAsia" w:ascii="宋体" w:hAnsi="宋体" w:cs="宋体"/>
                <w:bCs/>
                <w:sz w:val="24"/>
                <w:highlight w:val="none"/>
              </w:rPr>
              <w:t>合同金额（元）</w:t>
            </w:r>
          </w:p>
        </w:tc>
        <w:tc>
          <w:tcPr>
            <w:tcW w:w="1262" w:type="dxa"/>
            <w:vAlign w:val="center"/>
          </w:tcPr>
          <w:p w14:paraId="055A869B">
            <w:pPr>
              <w:rPr>
                <w:rFonts w:hint="eastAsia" w:ascii="宋体" w:hAnsi="宋体" w:cs="宋体"/>
                <w:bCs/>
                <w:sz w:val="24"/>
                <w:highlight w:val="none"/>
              </w:rPr>
            </w:pPr>
            <w:r>
              <w:rPr>
                <w:rFonts w:hint="eastAsia" w:ascii="宋体" w:hAnsi="宋体" w:cs="宋体"/>
                <w:bCs/>
                <w:sz w:val="24"/>
                <w:highlight w:val="none"/>
              </w:rPr>
              <w:t>合同签订时间</w:t>
            </w:r>
          </w:p>
        </w:tc>
        <w:tc>
          <w:tcPr>
            <w:tcW w:w="1219" w:type="dxa"/>
            <w:vAlign w:val="center"/>
          </w:tcPr>
          <w:p w14:paraId="7CEAA4EC">
            <w:pPr>
              <w:rPr>
                <w:rFonts w:hint="eastAsia" w:ascii="宋体" w:hAnsi="宋体" w:cs="宋体"/>
                <w:bCs/>
                <w:sz w:val="24"/>
                <w:highlight w:val="none"/>
              </w:rPr>
            </w:pPr>
            <w:r>
              <w:rPr>
                <w:rFonts w:hint="eastAsia" w:ascii="宋体" w:hAnsi="宋体" w:cs="宋体"/>
                <w:bCs/>
                <w:sz w:val="24"/>
                <w:highlight w:val="none"/>
              </w:rPr>
              <w:t>采购单位（甲方）名称</w:t>
            </w:r>
          </w:p>
        </w:tc>
        <w:tc>
          <w:tcPr>
            <w:tcW w:w="1219" w:type="dxa"/>
            <w:vAlign w:val="center"/>
          </w:tcPr>
          <w:p w14:paraId="50C5EFEA">
            <w:pPr>
              <w:rPr>
                <w:rFonts w:hint="eastAsia" w:ascii="宋体" w:hAnsi="宋体" w:cs="宋体"/>
                <w:bCs/>
                <w:sz w:val="24"/>
                <w:highlight w:val="none"/>
              </w:rPr>
            </w:pPr>
            <w:r>
              <w:rPr>
                <w:rFonts w:hint="eastAsia" w:ascii="宋体" w:hAnsi="宋体" w:cs="宋体"/>
                <w:bCs/>
                <w:sz w:val="24"/>
                <w:highlight w:val="none"/>
              </w:rPr>
              <w:t>联系人</w:t>
            </w:r>
          </w:p>
        </w:tc>
        <w:tc>
          <w:tcPr>
            <w:tcW w:w="1310" w:type="dxa"/>
            <w:vAlign w:val="center"/>
          </w:tcPr>
          <w:p w14:paraId="5491B95A">
            <w:pPr>
              <w:rPr>
                <w:rFonts w:hint="eastAsia" w:ascii="宋体" w:hAnsi="宋体" w:cs="宋体"/>
                <w:bCs/>
                <w:sz w:val="24"/>
                <w:highlight w:val="none"/>
              </w:rPr>
            </w:pPr>
            <w:r>
              <w:rPr>
                <w:rFonts w:hint="eastAsia" w:ascii="宋体" w:hAnsi="宋体" w:cs="宋体"/>
                <w:bCs/>
                <w:sz w:val="24"/>
                <w:highlight w:val="none"/>
              </w:rPr>
              <w:t>联系方式</w:t>
            </w:r>
          </w:p>
        </w:tc>
      </w:tr>
      <w:tr w14:paraId="71A4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ED1FFD0">
            <w:pPr>
              <w:rPr>
                <w:rFonts w:hint="eastAsia" w:ascii="宋体" w:hAnsi="宋体" w:cs="宋体"/>
                <w:bCs/>
                <w:w w:val="90"/>
                <w:sz w:val="24"/>
                <w:highlight w:val="none"/>
              </w:rPr>
            </w:pPr>
          </w:p>
        </w:tc>
        <w:tc>
          <w:tcPr>
            <w:tcW w:w="1732" w:type="dxa"/>
            <w:vAlign w:val="center"/>
          </w:tcPr>
          <w:p w14:paraId="394FACC0">
            <w:pPr>
              <w:rPr>
                <w:rFonts w:hint="eastAsia" w:ascii="宋体" w:hAnsi="宋体" w:cs="宋体"/>
                <w:bCs/>
                <w:w w:val="90"/>
                <w:sz w:val="24"/>
                <w:highlight w:val="none"/>
              </w:rPr>
            </w:pPr>
          </w:p>
        </w:tc>
        <w:tc>
          <w:tcPr>
            <w:tcW w:w="1487" w:type="dxa"/>
            <w:vAlign w:val="center"/>
          </w:tcPr>
          <w:p w14:paraId="40A30197">
            <w:pPr>
              <w:rPr>
                <w:rFonts w:hint="eastAsia" w:ascii="宋体" w:hAnsi="宋体" w:cs="宋体"/>
                <w:bCs/>
                <w:w w:val="90"/>
                <w:sz w:val="24"/>
                <w:highlight w:val="none"/>
              </w:rPr>
            </w:pPr>
          </w:p>
        </w:tc>
        <w:tc>
          <w:tcPr>
            <w:tcW w:w="1262" w:type="dxa"/>
            <w:vAlign w:val="center"/>
          </w:tcPr>
          <w:p w14:paraId="4880CE67">
            <w:pPr>
              <w:rPr>
                <w:rFonts w:hint="eastAsia" w:ascii="宋体" w:hAnsi="宋体" w:cs="宋体"/>
                <w:bCs/>
                <w:w w:val="90"/>
                <w:sz w:val="24"/>
                <w:highlight w:val="none"/>
              </w:rPr>
            </w:pPr>
          </w:p>
        </w:tc>
        <w:tc>
          <w:tcPr>
            <w:tcW w:w="1219" w:type="dxa"/>
            <w:vAlign w:val="center"/>
          </w:tcPr>
          <w:p w14:paraId="107B2960">
            <w:pPr>
              <w:rPr>
                <w:rFonts w:hint="eastAsia" w:ascii="宋体" w:hAnsi="宋体" w:cs="宋体"/>
                <w:bCs/>
                <w:w w:val="90"/>
                <w:sz w:val="24"/>
                <w:highlight w:val="none"/>
              </w:rPr>
            </w:pPr>
          </w:p>
        </w:tc>
        <w:tc>
          <w:tcPr>
            <w:tcW w:w="1219" w:type="dxa"/>
            <w:vAlign w:val="center"/>
          </w:tcPr>
          <w:p w14:paraId="5FEF0730">
            <w:pPr>
              <w:rPr>
                <w:rFonts w:hint="eastAsia" w:ascii="宋体" w:hAnsi="宋体" w:cs="宋体"/>
                <w:bCs/>
                <w:w w:val="90"/>
                <w:sz w:val="24"/>
                <w:highlight w:val="none"/>
              </w:rPr>
            </w:pPr>
          </w:p>
        </w:tc>
        <w:tc>
          <w:tcPr>
            <w:tcW w:w="1310" w:type="dxa"/>
            <w:vAlign w:val="center"/>
          </w:tcPr>
          <w:p w14:paraId="6FF3A8EE">
            <w:pPr>
              <w:rPr>
                <w:rFonts w:hint="eastAsia" w:ascii="宋体" w:hAnsi="宋体" w:cs="宋体"/>
                <w:bCs/>
                <w:w w:val="90"/>
                <w:sz w:val="24"/>
                <w:highlight w:val="none"/>
              </w:rPr>
            </w:pPr>
          </w:p>
        </w:tc>
      </w:tr>
      <w:tr w14:paraId="0B19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67DF478">
            <w:pPr>
              <w:rPr>
                <w:rFonts w:hint="eastAsia" w:ascii="宋体" w:hAnsi="宋体" w:cs="宋体"/>
                <w:bCs/>
                <w:w w:val="90"/>
                <w:sz w:val="24"/>
                <w:highlight w:val="none"/>
              </w:rPr>
            </w:pPr>
          </w:p>
        </w:tc>
        <w:tc>
          <w:tcPr>
            <w:tcW w:w="1732" w:type="dxa"/>
            <w:vAlign w:val="center"/>
          </w:tcPr>
          <w:p w14:paraId="3918856C">
            <w:pPr>
              <w:rPr>
                <w:rFonts w:hint="eastAsia" w:ascii="宋体" w:hAnsi="宋体" w:cs="宋体"/>
                <w:bCs/>
                <w:w w:val="90"/>
                <w:sz w:val="24"/>
                <w:highlight w:val="none"/>
              </w:rPr>
            </w:pPr>
          </w:p>
        </w:tc>
        <w:tc>
          <w:tcPr>
            <w:tcW w:w="1487" w:type="dxa"/>
            <w:vAlign w:val="center"/>
          </w:tcPr>
          <w:p w14:paraId="7CC3544D">
            <w:pPr>
              <w:rPr>
                <w:rFonts w:hint="eastAsia" w:ascii="宋体" w:hAnsi="宋体" w:cs="宋体"/>
                <w:bCs/>
                <w:w w:val="90"/>
                <w:sz w:val="24"/>
                <w:highlight w:val="none"/>
              </w:rPr>
            </w:pPr>
          </w:p>
        </w:tc>
        <w:tc>
          <w:tcPr>
            <w:tcW w:w="1262" w:type="dxa"/>
            <w:vAlign w:val="center"/>
          </w:tcPr>
          <w:p w14:paraId="6C860688">
            <w:pPr>
              <w:rPr>
                <w:rFonts w:hint="eastAsia" w:ascii="宋体" w:hAnsi="宋体" w:cs="宋体"/>
                <w:bCs/>
                <w:w w:val="90"/>
                <w:sz w:val="24"/>
                <w:highlight w:val="none"/>
              </w:rPr>
            </w:pPr>
          </w:p>
        </w:tc>
        <w:tc>
          <w:tcPr>
            <w:tcW w:w="1219" w:type="dxa"/>
            <w:vAlign w:val="center"/>
          </w:tcPr>
          <w:p w14:paraId="6CB57349">
            <w:pPr>
              <w:rPr>
                <w:rFonts w:hint="eastAsia" w:ascii="宋体" w:hAnsi="宋体" w:cs="宋体"/>
                <w:bCs/>
                <w:w w:val="90"/>
                <w:sz w:val="24"/>
                <w:highlight w:val="none"/>
              </w:rPr>
            </w:pPr>
          </w:p>
        </w:tc>
        <w:tc>
          <w:tcPr>
            <w:tcW w:w="1219" w:type="dxa"/>
            <w:vAlign w:val="center"/>
          </w:tcPr>
          <w:p w14:paraId="0814964F">
            <w:pPr>
              <w:rPr>
                <w:rFonts w:hint="eastAsia" w:ascii="宋体" w:hAnsi="宋体" w:cs="宋体"/>
                <w:bCs/>
                <w:w w:val="90"/>
                <w:sz w:val="24"/>
                <w:highlight w:val="none"/>
              </w:rPr>
            </w:pPr>
          </w:p>
        </w:tc>
        <w:tc>
          <w:tcPr>
            <w:tcW w:w="1310" w:type="dxa"/>
            <w:vAlign w:val="center"/>
          </w:tcPr>
          <w:p w14:paraId="18D6FFA3">
            <w:pPr>
              <w:rPr>
                <w:rFonts w:hint="eastAsia" w:ascii="宋体" w:hAnsi="宋体" w:cs="宋体"/>
                <w:bCs/>
                <w:w w:val="90"/>
                <w:sz w:val="24"/>
                <w:highlight w:val="none"/>
              </w:rPr>
            </w:pPr>
          </w:p>
        </w:tc>
      </w:tr>
      <w:tr w14:paraId="1592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6EB09AB">
            <w:pPr>
              <w:rPr>
                <w:rFonts w:hint="eastAsia" w:ascii="宋体" w:hAnsi="宋体" w:cs="宋体"/>
                <w:bCs/>
                <w:w w:val="90"/>
                <w:sz w:val="24"/>
                <w:highlight w:val="none"/>
              </w:rPr>
            </w:pPr>
          </w:p>
        </w:tc>
        <w:tc>
          <w:tcPr>
            <w:tcW w:w="1732" w:type="dxa"/>
            <w:vAlign w:val="center"/>
          </w:tcPr>
          <w:p w14:paraId="31DED55D">
            <w:pPr>
              <w:rPr>
                <w:rFonts w:hint="eastAsia" w:ascii="宋体" w:hAnsi="宋体" w:cs="宋体"/>
                <w:bCs/>
                <w:w w:val="90"/>
                <w:sz w:val="24"/>
                <w:highlight w:val="none"/>
              </w:rPr>
            </w:pPr>
          </w:p>
        </w:tc>
        <w:tc>
          <w:tcPr>
            <w:tcW w:w="1487" w:type="dxa"/>
            <w:vAlign w:val="center"/>
          </w:tcPr>
          <w:p w14:paraId="4CAC2E85">
            <w:pPr>
              <w:rPr>
                <w:rFonts w:hint="eastAsia" w:ascii="宋体" w:hAnsi="宋体" w:cs="宋体"/>
                <w:bCs/>
                <w:w w:val="90"/>
                <w:sz w:val="24"/>
                <w:highlight w:val="none"/>
              </w:rPr>
            </w:pPr>
          </w:p>
        </w:tc>
        <w:tc>
          <w:tcPr>
            <w:tcW w:w="1262" w:type="dxa"/>
            <w:vAlign w:val="center"/>
          </w:tcPr>
          <w:p w14:paraId="04818713">
            <w:pPr>
              <w:rPr>
                <w:rFonts w:hint="eastAsia" w:ascii="宋体" w:hAnsi="宋体" w:cs="宋体"/>
                <w:bCs/>
                <w:w w:val="90"/>
                <w:sz w:val="24"/>
                <w:highlight w:val="none"/>
              </w:rPr>
            </w:pPr>
          </w:p>
        </w:tc>
        <w:tc>
          <w:tcPr>
            <w:tcW w:w="1219" w:type="dxa"/>
            <w:vAlign w:val="center"/>
          </w:tcPr>
          <w:p w14:paraId="7827A6CF">
            <w:pPr>
              <w:rPr>
                <w:rFonts w:hint="eastAsia" w:ascii="宋体" w:hAnsi="宋体" w:cs="宋体"/>
                <w:bCs/>
                <w:w w:val="90"/>
                <w:sz w:val="24"/>
                <w:highlight w:val="none"/>
              </w:rPr>
            </w:pPr>
          </w:p>
        </w:tc>
        <w:tc>
          <w:tcPr>
            <w:tcW w:w="1219" w:type="dxa"/>
            <w:vAlign w:val="center"/>
          </w:tcPr>
          <w:p w14:paraId="24375B45">
            <w:pPr>
              <w:rPr>
                <w:rFonts w:hint="eastAsia" w:ascii="宋体" w:hAnsi="宋体" w:cs="宋体"/>
                <w:bCs/>
                <w:w w:val="90"/>
                <w:sz w:val="24"/>
                <w:highlight w:val="none"/>
              </w:rPr>
            </w:pPr>
          </w:p>
        </w:tc>
        <w:tc>
          <w:tcPr>
            <w:tcW w:w="1310" w:type="dxa"/>
            <w:vAlign w:val="center"/>
          </w:tcPr>
          <w:p w14:paraId="7AB53A82">
            <w:pPr>
              <w:rPr>
                <w:rFonts w:hint="eastAsia" w:ascii="宋体" w:hAnsi="宋体" w:cs="宋体"/>
                <w:bCs/>
                <w:w w:val="90"/>
                <w:sz w:val="24"/>
                <w:highlight w:val="none"/>
              </w:rPr>
            </w:pPr>
          </w:p>
        </w:tc>
      </w:tr>
      <w:tr w14:paraId="15C3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09C3A0E">
            <w:pPr>
              <w:rPr>
                <w:rFonts w:hint="eastAsia" w:ascii="宋体" w:hAnsi="宋体" w:cs="宋体"/>
                <w:bCs/>
                <w:w w:val="90"/>
                <w:sz w:val="24"/>
                <w:highlight w:val="none"/>
              </w:rPr>
            </w:pPr>
          </w:p>
        </w:tc>
        <w:tc>
          <w:tcPr>
            <w:tcW w:w="1732" w:type="dxa"/>
            <w:vAlign w:val="center"/>
          </w:tcPr>
          <w:p w14:paraId="746BEC45">
            <w:pPr>
              <w:rPr>
                <w:rFonts w:hint="eastAsia" w:ascii="宋体" w:hAnsi="宋体" w:cs="宋体"/>
                <w:bCs/>
                <w:w w:val="90"/>
                <w:sz w:val="24"/>
                <w:highlight w:val="none"/>
              </w:rPr>
            </w:pPr>
          </w:p>
        </w:tc>
        <w:tc>
          <w:tcPr>
            <w:tcW w:w="1487" w:type="dxa"/>
            <w:vAlign w:val="center"/>
          </w:tcPr>
          <w:p w14:paraId="6B541451">
            <w:pPr>
              <w:rPr>
                <w:rFonts w:hint="eastAsia" w:ascii="宋体" w:hAnsi="宋体" w:cs="宋体"/>
                <w:bCs/>
                <w:w w:val="90"/>
                <w:sz w:val="24"/>
                <w:highlight w:val="none"/>
              </w:rPr>
            </w:pPr>
          </w:p>
        </w:tc>
        <w:tc>
          <w:tcPr>
            <w:tcW w:w="1262" w:type="dxa"/>
            <w:vAlign w:val="center"/>
          </w:tcPr>
          <w:p w14:paraId="139C4E01">
            <w:pPr>
              <w:rPr>
                <w:rFonts w:hint="eastAsia" w:ascii="宋体" w:hAnsi="宋体" w:cs="宋体"/>
                <w:bCs/>
                <w:w w:val="90"/>
                <w:sz w:val="24"/>
                <w:highlight w:val="none"/>
              </w:rPr>
            </w:pPr>
          </w:p>
        </w:tc>
        <w:tc>
          <w:tcPr>
            <w:tcW w:w="1219" w:type="dxa"/>
            <w:vAlign w:val="center"/>
          </w:tcPr>
          <w:p w14:paraId="6E694976">
            <w:pPr>
              <w:rPr>
                <w:rFonts w:hint="eastAsia" w:ascii="宋体" w:hAnsi="宋体" w:cs="宋体"/>
                <w:bCs/>
                <w:w w:val="90"/>
                <w:sz w:val="24"/>
                <w:highlight w:val="none"/>
              </w:rPr>
            </w:pPr>
          </w:p>
        </w:tc>
        <w:tc>
          <w:tcPr>
            <w:tcW w:w="1219" w:type="dxa"/>
            <w:vAlign w:val="center"/>
          </w:tcPr>
          <w:p w14:paraId="5834308C">
            <w:pPr>
              <w:rPr>
                <w:rFonts w:hint="eastAsia" w:ascii="宋体" w:hAnsi="宋体" w:cs="宋体"/>
                <w:bCs/>
                <w:w w:val="90"/>
                <w:sz w:val="24"/>
                <w:highlight w:val="none"/>
              </w:rPr>
            </w:pPr>
          </w:p>
        </w:tc>
        <w:tc>
          <w:tcPr>
            <w:tcW w:w="1310" w:type="dxa"/>
            <w:vAlign w:val="center"/>
          </w:tcPr>
          <w:p w14:paraId="65374E4A">
            <w:pPr>
              <w:rPr>
                <w:rFonts w:hint="eastAsia" w:ascii="宋体" w:hAnsi="宋体" w:cs="宋体"/>
                <w:bCs/>
                <w:w w:val="90"/>
                <w:sz w:val="24"/>
                <w:highlight w:val="none"/>
              </w:rPr>
            </w:pPr>
          </w:p>
        </w:tc>
      </w:tr>
      <w:tr w14:paraId="1C02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FB3966B">
            <w:pPr>
              <w:rPr>
                <w:rFonts w:hint="eastAsia" w:ascii="宋体" w:hAnsi="宋体" w:cs="宋体"/>
                <w:bCs/>
                <w:w w:val="90"/>
                <w:sz w:val="24"/>
                <w:highlight w:val="none"/>
              </w:rPr>
            </w:pPr>
          </w:p>
        </w:tc>
        <w:tc>
          <w:tcPr>
            <w:tcW w:w="1732" w:type="dxa"/>
            <w:vAlign w:val="center"/>
          </w:tcPr>
          <w:p w14:paraId="279E850D">
            <w:pPr>
              <w:rPr>
                <w:rFonts w:hint="eastAsia" w:ascii="宋体" w:hAnsi="宋体" w:cs="宋体"/>
                <w:bCs/>
                <w:w w:val="90"/>
                <w:sz w:val="24"/>
                <w:highlight w:val="none"/>
              </w:rPr>
            </w:pPr>
          </w:p>
        </w:tc>
        <w:tc>
          <w:tcPr>
            <w:tcW w:w="1487" w:type="dxa"/>
            <w:vAlign w:val="center"/>
          </w:tcPr>
          <w:p w14:paraId="07631912">
            <w:pPr>
              <w:rPr>
                <w:rFonts w:hint="eastAsia" w:ascii="宋体" w:hAnsi="宋体" w:cs="宋体"/>
                <w:bCs/>
                <w:w w:val="90"/>
                <w:sz w:val="24"/>
                <w:highlight w:val="none"/>
              </w:rPr>
            </w:pPr>
          </w:p>
        </w:tc>
        <w:tc>
          <w:tcPr>
            <w:tcW w:w="1262" w:type="dxa"/>
            <w:vAlign w:val="center"/>
          </w:tcPr>
          <w:p w14:paraId="7FC576BE">
            <w:pPr>
              <w:rPr>
                <w:rFonts w:hint="eastAsia" w:ascii="宋体" w:hAnsi="宋体" w:cs="宋体"/>
                <w:bCs/>
                <w:w w:val="90"/>
                <w:sz w:val="24"/>
                <w:highlight w:val="none"/>
              </w:rPr>
            </w:pPr>
          </w:p>
        </w:tc>
        <w:tc>
          <w:tcPr>
            <w:tcW w:w="1219" w:type="dxa"/>
            <w:vAlign w:val="center"/>
          </w:tcPr>
          <w:p w14:paraId="5569417F">
            <w:pPr>
              <w:rPr>
                <w:rFonts w:hint="eastAsia" w:ascii="宋体" w:hAnsi="宋体" w:cs="宋体"/>
                <w:bCs/>
                <w:w w:val="90"/>
                <w:sz w:val="24"/>
                <w:highlight w:val="none"/>
              </w:rPr>
            </w:pPr>
          </w:p>
        </w:tc>
        <w:tc>
          <w:tcPr>
            <w:tcW w:w="1219" w:type="dxa"/>
            <w:vAlign w:val="center"/>
          </w:tcPr>
          <w:p w14:paraId="42028352">
            <w:pPr>
              <w:rPr>
                <w:rFonts w:hint="eastAsia" w:ascii="宋体" w:hAnsi="宋体" w:cs="宋体"/>
                <w:bCs/>
                <w:w w:val="90"/>
                <w:sz w:val="24"/>
                <w:highlight w:val="none"/>
              </w:rPr>
            </w:pPr>
          </w:p>
        </w:tc>
        <w:tc>
          <w:tcPr>
            <w:tcW w:w="1310" w:type="dxa"/>
            <w:vAlign w:val="center"/>
          </w:tcPr>
          <w:p w14:paraId="7574C6FD">
            <w:pPr>
              <w:rPr>
                <w:rFonts w:hint="eastAsia" w:ascii="宋体" w:hAnsi="宋体" w:cs="宋体"/>
                <w:bCs/>
                <w:w w:val="90"/>
                <w:sz w:val="24"/>
                <w:highlight w:val="none"/>
              </w:rPr>
            </w:pPr>
          </w:p>
        </w:tc>
      </w:tr>
      <w:tr w14:paraId="1552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2C53252">
            <w:pPr>
              <w:rPr>
                <w:rFonts w:hint="eastAsia" w:ascii="宋体" w:hAnsi="宋体" w:cs="宋体"/>
                <w:bCs/>
                <w:w w:val="90"/>
                <w:sz w:val="24"/>
                <w:highlight w:val="none"/>
              </w:rPr>
            </w:pPr>
          </w:p>
        </w:tc>
        <w:tc>
          <w:tcPr>
            <w:tcW w:w="1732" w:type="dxa"/>
            <w:vAlign w:val="center"/>
          </w:tcPr>
          <w:p w14:paraId="52283A12">
            <w:pPr>
              <w:rPr>
                <w:rFonts w:hint="eastAsia" w:ascii="宋体" w:hAnsi="宋体" w:cs="宋体"/>
                <w:bCs/>
                <w:w w:val="90"/>
                <w:sz w:val="24"/>
                <w:highlight w:val="none"/>
              </w:rPr>
            </w:pPr>
          </w:p>
        </w:tc>
        <w:tc>
          <w:tcPr>
            <w:tcW w:w="1487" w:type="dxa"/>
            <w:vAlign w:val="center"/>
          </w:tcPr>
          <w:p w14:paraId="6C48ACE9">
            <w:pPr>
              <w:rPr>
                <w:rFonts w:hint="eastAsia" w:ascii="宋体" w:hAnsi="宋体" w:cs="宋体"/>
                <w:bCs/>
                <w:w w:val="90"/>
                <w:sz w:val="24"/>
                <w:highlight w:val="none"/>
              </w:rPr>
            </w:pPr>
          </w:p>
        </w:tc>
        <w:tc>
          <w:tcPr>
            <w:tcW w:w="1262" w:type="dxa"/>
            <w:vAlign w:val="center"/>
          </w:tcPr>
          <w:p w14:paraId="3B1E67D2">
            <w:pPr>
              <w:rPr>
                <w:rFonts w:hint="eastAsia" w:ascii="宋体" w:hAnsi="宋体" w:cs="宋体"/>
                <w:bCs/>
                <w:w w:val="90"/>
                <w:sz w:val="24"/>
                <w:highlight w:val="none"/>
              </w:rPr>
            </w:pPr>
          </w:p>
        </w:tc>
        <w:tc>
          <w:tcPr>
            <w:tcW w:w="1219" w:type="dxa"/>
            <w:vAlign w:val="center"/>
          </w:tcPr>
          <w:p w14:paraId="1881C2D3">
            <w:pPr>
              <w:rPr>
                <w:rFonts w:hint="eastAsia" w:ascii="宋体" w:hAnsi="宋体" w:cs="宋体"/>
                <w:bCs/>
                <w:w w:val="90"/>
                <w:sz w:val="24"/>
                <w:highlight w:val="none"/>
              </w:rPr>
            </w:pPr>
          </w:p>
        </w:tc>
        <w:tc>
          <w:tcPr>
            <w:tcW w:w="1219" w:type="dxa"/>
            <w:vAlign w:val="center"/>
          </w:tcPr>
          <w:p w14:paraId="451BE2D5">
            <w:pPr>
              <w:rPr>
                <w:rFonts w:hint="eastAsia" w:ascii="宋体" w:hAnsi="宋体" w:cs="宋体"/>
                <w:bCs/>
                <w:w w:val="90"/>
                <w:sz w:val="24"/>
                <w:highlight w:val="none"/>
              </w:rPr>
            </w:pPr>
          </w:p>
        </w:tc>
        <w:tc>
          <w:tcPr>
            <w:tcW w:w="1310" w:type="dxa"/>
            <w:vAlign w:val="center"/>
          </w:tcPr>
          <w:p w14:paraId="59D9D879">
            <w:pPr>
              <w:rPr>
                <w:rFonts w:hint="eastAsia" w:ascii="宋体" w:hAnsi="宋体" w:cs="宋体"/>
                <w:bCs/>
                <w:w w:val="90"/>
                <w:sz w:val="24"/>
                <w:highlight w:val="none"/>
              </w:rPr>
            </w:pPr>
          </w:p>
        </w:tc>
      </w:tr>
      <w:tr w14:paraId="482B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19B7EDB0">
            <w:pPr>
              <w:rPr>
                <w:rFonts w:hint="eastAsia" w:ascii="宋体" w:hAnsi="宋体" w:cs="宋体"/>
                <w:bCs/>
                <w:w w:val="90"/>
                <w:sz w:val="24"/>
                <w:highlight w:val="none"/>
              </w:rPr>
            </w:pPr>
          </w:p>
        </w:tc>
        <w:tc>
          <w:tcPr>
            <w:tcW w:w="1732" w:type="dxa"/>
            <w:vAlign w:val="center"/>
          </w:tcPr>
          <w:p w14:paraId="40262572">
            <w:pPr>
              <w:rPr>
                <w:rFonts w:hint="eastAsia" w:ascii="宋体" w:hAnsi="宋体" w:cs="宋体"/>
                <w:bCs/>
                <w:w w:val="90"/>
                <w:sz w:val="24"/>
                <w:highlight w:val="none"/>
              </w:rPr>
            </w:pPr>
          </w:p>
        </w:tc>
        <w:tc>
          <w:tcPr>
            <w:tcW w:w="1487" w:type="dxa"/>
            <w:vAlign w:val="center"/>
          </w:tcPr>
          <w:p w14:paraId="12775C36">
            <w:pPr>
              <w:rPr>
                <w:rFonts w:hint="eastAsia" w:ascii="宋体" w:hAnsi="宋体" w:cs="宋体"/>
                <w:bCs/>
                <w:w w:val="90"/>
                <w:sz w:val="24"/>
                <w:highlight w:val="none"/>
              </w:rPr>
            </w:pPr>
          </w:p>
        </w:tc>
        <w:tc>
          <w:tcPr>
            <w:tcW w:w="1262" w:type="dxa"/>
            <w:vAlign w:val="center"/>
          </w:tcPr>
          <w:p w14:paraId="08193646">
            <w:pPr>
              <w:rPr>
                <w:rFonts w:hint="eastAsia" w:ascii="宋体" w:hAnsi="宋体" w:cs="宋体"/>
                <w:bCs/>
                <w:w w:val="90"/>
                <w:sz w:val="24"/>
                <w:highlight w:val="none"/>
              </w:rPr>
            </w:pPr>
          </w:p>
        </w:tc>
        <w:tc>
          <w:tcPr>
            <w:tcW w:w="1219" w:type="dxa"/>
            <w:vAlign w:val="center"/>
          </w:tcPr>
          <w:p w14:paraId="4A43C6D0">
            <w:pPr>
              <w:rPr>
                <w:rFonts w:hint="eastAsia" w:ascii="宋体" w:hAnsi="宋体" w:cs="宋体"/>
                <w:bCs/>
                <w:w w:val="90"/>
                <w:sz w:val="24"/>
                <w:highlight w:val="none"/>
              </w:rPr>
            </w:pPr>
          </w:p>
        </w:tc>
        <w:tc>
          <w:tcPr>
            <w:tcW w:w="1219" w:type="dxa"/>
            <w:vAlign w:val="center"/>
          </w:tcPr>
          <w:p w14:paraId="252EF9EC">
            <w:pPr>
              <w:rPr>
                <w:rFonts w:hint="eastAsia" w:ascii="宋体" w:hAnsi="宋体" w:cs="宋体"/>
                <w:bCs/>
                <w:w w:val="90"/>
                <w:sz w:val="24"/>
                <w:highlight w:val="none"/>
              </w:rPr>
            </w:pPr>
          </w:p>
        </w:tc>
        <w:tc>
          <w:tcPr>
            <w:tcW w:w="1310" w:type="dxa"/>
            <w:vAlign w:val="center"/>
          </w:tcPr>
          <w:p w14:paraId="16369CD7">
            <w:pPr>
              <w:rPr>
                <w:rFonts w:hint="eastAsia" w:ascii="宋体" w:hAnsi="宋体" w:cs="宋体"/>
                <w:bCs/>
                <w:w w:val="90"/>
                <w:sz w:val="24"/>
                <w:highlight w:val="none"/>
              </w:rPr>
            </w:pPr>
          </w:p>
        </w:tc>
      </w:tr>
    </w:tbl>
    <w:p w14:paraId="4F14B640">
      <w:pPr>
        <w:rPr>
          <w:rFonts w:hint="eastAsia" w:ascii="宋体" w:hAnsi="宋体" w:cs="宋体"/>
          <w:bCs/>
          <w:sz w:val="24"/>
          <w:highlight w:val="none"/>
        </w:rPr>
      </w:pPr>
      <w:bookmarkStart w:id="326" w:name="_Toc509411893"/>
      <w:bookmarkStart w:id="327" w:name="_Toc12642"/>
      <w:bookmarkStart w:id="328" w:name="_Toc7888"/>
      <w:r>
        <w:rPr>
          <w:rFonts w:hint="eastAsia" w:ascii="宋体" w:hAnsi="宋体" w:cs="宋体"/>
          <w:bCs/>
          <w:sz w:val="24"/>
          <w:highlight w:val="none"/>
        </w:rPr>
        <w:t>供应商代表（</w:t>
      </w:r>
      <w:r>
        <w:rPr>
          <w:rFonts w:hint="eastAsia" w:ascii="宋体" w:hAnsi="宋体" w:cs="宋体"/>
          <w:sz w:val="24"/>
          <w:highlight w:val="none"/>
        </w:rPr>
        <w:t>签字或盖章或电子签章）</w:t>
      </w:r>
      <w:r>
        <w:rPr>
          <w:rFonts w:hint="eastAsia" w:ascii="宋体" w:hAnsi="宋体" w:cs="宋体"/>
          <w:bCs/>
          <w:sz w:val="24"/>
          <w:highlight w:val="none"/>
        </w:rPr>
        <w:t>：               供应商（公章）：          日期：</w:t>
      </w:r>
      <w:bookmarkEnd w:id="326"/>
      <w:bookmarkEnd w:id="327"/>
      <w:bookmarkEnd w:id="328"/>
    </w:p>
    <w:p w14:paraId="68A0A7E3">
      <w:pPr>
        <w:rPr>
          <w:rFonts w:hint="eastAsia" w:ascii="宋体" w:hAnsi="宋体" w:cs="宋体"/>
          <w:sz w:val="24"/>
          <w:highlight w:val="none"/>
        </w:rPr>
      </w:pPr>
    </w:p>
    <w:p w14:paraId="7655AC38">
      <w:pPr>
        <w:rPr>
          <w:rFonts w:hint="eastAsia" w:ascii="宋体" w:hAnsi="宋体" w:cs="宋体"/>
          <w:bCs/>
          <w:spacing w:val="10"/>
          <w:sz w:val="24"/>
          <w:highlight w:val="none"/>
        </w:rPr>
      </w:pPr>
    </w:p>
    <w:p w14:paraId="4FBCCABE">
      <w:pPr>
        <w:pStyle w:val="24"/>
        <w:ind w:firstLine="240"/>
        <w:rPr>
          <w:rFonts w:hint="eastAsia" w:ascii="宋体" w:hAnsi="宋体" w:cs="宋体"/>
          <w:highlight w:val="none"/>
        </w:rPr>
      </w:pPr>
    </w:p>
    <w:p w14:paraId="18BAB22B">
      <w:pPr>
        <w:pStyle w:val="24"/>
        <w:ind w:firstLine="240"/>
        <w:rPr>
          <w:rFonts w:hint="eastAsia" w:ascii="宋体" w:hAnsi="宋体" w:cs="宋体"/>
          <w:highlight w:val="none"/>
        </w:rPr>
      </w:pPr>
    </w:p>
    <w:p w14:paraId="4D51D89D">
      <w:pPr>
        <w:pStyle w:val="24"/>
        <w:ind w:firstLine="240"/>
        <w:rPr>
          <w:rFonts w:hint="eastAsia" w:ascii="宋体" w:hAnsi="宋体" w:cs="宋体"/>
          <w:highlight w:val="none"/>
        </w:rPr>
      </w:pPr>
    </w:p>
    <w:p w14:paraId="57EFD35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注：供应商可根据需要自行增减表格行数。</w:t>
      </w:r>
    </w:p>
    <w:p w14:paraId="268B249E">
      <w:pPr>
        <w:pStyle w:val="10"/>
        <w:rPr>
          <w:rFonts w:hint="eastAsia" w:ascii="宋体" w:eastAsia="宋体" w:cs="宋体"/>
          <w:szCs w:val="24"/>
          <w:highlight w:val="none"/>
        </w:rPr>
      </w:pPr>
    </w:p>
    <w:p w14:paraId="430898D7">
      <w:pPr>
        <w:pStyle w:val="21"/>
        <w:rPr>
          <w:rFonts w:hint="eastAsia" w:ascii="宋体" w:eastAsia="宋体" w:cs="宋体"/>
          <w:highlight w:val="none"/>
        </w:rPr>
      </w:pPr>
    </w:p>
    <w:p w14:paraId="3BDC48F9">
      <w:pPr>
        <w:pStyle w:val="21"/>
        <w:rPr>
          <w:rFonts w:hint="eastAsia" w:ascii="宋体" w:eastAsia="宋体" w:cs="宋体"/>
          <w:highlight w:val="none"/>
        </w:rPr>
      </w:pPr>
    </w:p>
    <w:p w14:paraId="0CE83C45">
      <w:pPr>
        <w:pStyle w:val="21"/>
        <w:rPr>
          <w:rFonts w:hint="eastAsia" w:ascii="宋体" w:eastAsia="宋体" w:cs="宋体"/>
          <w:highlight w:val="none"/>
        </w:rPr>
      </w:pPr>
    </w:p>
    <w:p w14:paraId="445CE54E">
      <w:pPr>
        <w:pStyle w:val="21"/>
        <w:rPr>
          <w:rFonts w:hint="eastAsia" w:ascii="宋体" w:eastAsia="宋体" w:cs="宋体"/>
          <w:highlight w:val="none"/>
        </w:rPr>
      </w:pPr>
    </w:p>
    <w:p w14:paraId="3AD5AAB1">
      <w:pPr>
        <w:pStyle w:val="21"/>
        <w:rPr>
          <w:rFonts w:hint="eastAsia" w:ascii="宋体" w:eastAsia="宋体" w:cs="宋体"/>
          <w:highlight w:val="none"/>
        </w:rPr>
      </w:pPr>
    </w:p>
    <w:p w14:paraId="32021B79">
      <w:pPr>
        <w:pStyle w:val="21"/>
        <w:rPr>
          <w:rFonts w:hint="eastAsia" w:ascii="宋体" w:eastAsia="宋体" w:cs="宋体"/>
          <w:highlight w:val="none"/>
        </w:rPr>
      </w:pPr>
    </w:p>
    <w:p w14:paraId="15E4BC43">
      <w:pPr>
        <w:pStyle w:val="21"/>
        <w:rPr>
          <w:rFonts w:hint="eastAsia" w:ascii="宋体" w:eastAsia="宋体" w:cs="宋体"/>
          <w:highlight w:val="none"/>
        </w:rPr>
      </w:pPr>
    </w:p>
    <w:p w14:paraId="03171EE0">
      <w:pPr>
        <w:pStyle w:val="21"/>
        <w:ind w:firstLine="560"/>
        <w:jc w:val="center"/>
        <w:rPr>
          <w:rFonts w:hint="eastAsia" w:ascii="宋体" w:eastAsia="宋体" w:cs="宋体"/>
          <w:sz w:val="28"/>
          <w:szCs w:val="28"/>
          <w:highlight w:val="none"/>
        </w:rPr>
      </w:pPr>
      <w:r>
        <w:rPr>
          <w:rFonts w:hint="eastAsia" w:ascii="宋体" w:eastAsia="宋体" w:cs="宋体"/>
          <w:sz w:val="28"/>
          <w:szCs w:val="28"/>
          <w:highlight w:val="none"/>
        </w:rPr>
        <w:t>12、供货及安装方案</w:t>
      </w:r>
    </w:p>
    <w:p w14:paraId="29082442">
      <w:pPr>
        <w:pStyle w:val="21"/>
        <w:rPr>
          <w:rFonts w:hint="eastAsia" w:ascii="宋体" w:eastAsia="宋体" w:cs="宋体"/>
          <w:highlight w:val="none"/>
        </w:rPr>
      </w:pPr>
    </w:p>
    <w:p w14:paraId="3863CA40">
      <w:pPr>
        <w:pStyle w:val="21"/>
        <w:rPr>
          <w:rFonts w:hint="eastAsia" w:ascii="宋体" w:eastAsia="宋体" w:cs="宋体"/>
          <w:highlight w:val="none"/>
        </w:rPr>
      </w:pPr>
    </w:p>
    <w:p w14:paraId="6752D4A9">
      <w:pPr>
        <w:pStyle w:val="21"/>
        <w:rPr>
          <w:rFonts w:hint="eastAsia" w:ascii="宋体" w:eastAsia="宋体" w:cs="宋体"/>
          <w:highlight w:val="none"/>
        </w:rPr>
      </w:pPr>
    </w:p>
    <w:p w14:paraId="6FB5484F">
      <w:pPr>
        <w:pStyle w:val="24"/>
        <w:ind w:firstLine="240"/>
        <w:rPr>
          <w:rFonts w:hint="eastAsia" w:ascii="宋体" w:hAnsi="宋体" w:cs="宋体"/>
          <w:highlight w:val="none"/>
        </w:rPr>
      </w:pPr>
    </w:p>
    <w:p w14:paraId="18A3F4A4">
      <w:pPr>
        <w:pStyle w:val="24"/>
        <w:ind w:firstLine="240"/>
        <w:rPr>
          <w:rFonts w:hint="eastAsia" w:ascii="宋体" w:hAnsi="宋体" w:cs="宋体"/>
          <w:highlight w:val="none"/>
        </w:rPr>
      </w:pPr>
    </w:p>
    <w:p w14:paraId="64ECE775">
      <w:pPr>
        <w:pStyle w:val="24"/>
        <w:ind w:firstLine="240"/>
        <w:rPr>
          <w:rFonts w:hint="eastAsia" w:ascii="宋体" w:hAnsi="宋体" w:cs="宋体"/>
          <w:highlight w:val="none"/>
        </w:rPr>
      </w:pPr>
    </w:p>
    <w:p w14:paraId="6F784FF6">
      <w:pPr>
        <w:pStyle w:val="25"/>
        <w:rPr>
          <w:rFonts w:hint="eastAsia"/>
          <w:highlight w:val="none"/>
        </w:rPr>
      </w:pPr>
    </w:p>
    <w:p w14:paraId="75A0961C">
      <w:pPr>
        <w:pStyle w:val="25"/>
        <w:rPr>
          <w:rFonts w:hint="eastAsia"/>
          <w:highlight w:val="none"/>
        </w:rPr>
      </w:pPr>
    </w:p>
    <w:p w14:paraId="2CABB938">
      <w:pPr>
        <w:pStyle w:val="25"/>
        <w:rPr>
          <w:rFonts w:hint="eastAsia"/>
          <w:highlight w:val="none"/>
        </w:rPr>
      </w:pPr>
    </w:p>
    <w:p w14:paraId="52ED555C">
      <w:pPr>
        <w:pStyle w:val="25"/>
        <w:rPr>
          <w:rFonts w:hint="eastAsia"/>
          <w:highlight w:val="none"/>
        </w:rPr>
      </w:pPr>
    </w:p>
    <w:p w14:paraId="75F09737">
      <w:pPr>
        <w:pStyle w:val="25"/>
        <w:rPr>
          <w:rFonts w:hint="eastAsia"/>
          <w:highlight w:val="none"/>
        </w:rPr>
      </w:pPr>
    </w:p>
    <w:p w14:paraId="29E60F4B">
      <w:pPr>
        <w:pStyle w:val="25"/>
        <w:rPr>
          <w:rFonts w:hint="eastAsia"/>
          <w:highlight w:val="none"/>
        </w:rPr>
      </w:pPr>
    </w:p>
    <w:p w14:paraId="79E582E4">
      <w:pPr>
        <w:pStyle w:val="25"/>
        <w:rPr>
          <w:rFonts w:hint="eastAsia"/>
          <w:highlight w:val="none"/>
        </w:rPr>
      </w:pPr>
    </w:p>
    <w:p w14:paraId="74DB4C14">
      <w:pPr>
        <w:pStyle w:val="25"/>
        <w:rPr>
          <w:rFonts w:hint="eastAsia"/>
          <w:highlight w:val="none"/>
        </w:rPr>
      </w:pPr>
    </w:p>
    <w:p w14:paraId="1C0280CC">
      <w:pPr>
        <w:pStyle w:val="25"/>
        <w:rPr>
          <w:rFonts w:hint="eastAsia"/>
          <w:highlight w:val="none"/>
        </w:rPr>
      </w:pPr>
    </w:p>
    <w:p w14:paraId="2713CA62">
      <w:pPr>
        <w:pStyle w:val="25"/>
        <w:rPr>
          <w:rFonts w:hint="eastAsia"/>
          <w:highlight w:val="none"/>
        </w:rPr>
      </w:pPr>
    </w:p>
    <w:p w14:paraId="3D47D4E3">
      <w:pPr>
        <w:pStyle w:val="25"/>
        <w:rPr>
          <w:rFonts w:hint="eastAsia"/>
          <w:highlight w:val="none"/>
        </w:rPr>
      </w:pPr>
    </w:p>
    <w:p w14:paraId="07BEE6A7">
      <w:pPr>
        <w:pStyle w:val="25"/>
        <w:rPr>
          <w:rFonts w:hint="eastAsia"/>
          <w:highlight w:val="none"/>
        </w:rPr>
      </w:pPr>
    </w:p>
    <w:p w14:paraId="41A35482">
      <w:pPr>
        <w:pStyle w:val="25"/>
        <w:rPr>
          <w:rFonts w:hint="eastAsia"/>
          <w:highlight w:val="none"/>
        </w:rPr>
      </w:pPr>
    </w:p>
    <w:p w14:paraId="31EDCFC7">
      <w:pPr>
        <w:pStyle w:val="25"/>
        <w:rPr>
          <w:rFonts w:hint="eastAsia"/>
          <w:highlight w:val="none"/>
        </w:rPr>
      </w:pPr>
    </w:p>
    <w:p w14:paraId="0B48C2E3">
      <w:pPr>
        <w:pStyle w:val="25"/>
        <w:rPr>
          <w:rFonts w:hint="eastAsia"/>
          <w:highlight w:val="none"/>
        </w:rPr>
      </w:pPr>
    </w:p>
    <w:p w14:paraId="01693DC9">
      <w:pPr>
        <w:pStyle w:val="25"/>
        <w:rPr>
          <w:rFonts w:hint="eastAsia"/>
          <w:highlight w:val="none"/>
        </w:rPr>
      </w:pPr>
    </w:p>
    <w:p w14:paraId="3D73E7CA">
      <w:pPr>
        <w:pStyle w:val="25"/>
        <w:rPr>
          <w:rFonts w:hint="eastAsia"/>
          <w:highlight w:val="none"/>
        </w:rPr>
      </w:pPr>
    </w:p>
    <w:p w14:paraId="22900AD3">
      <w:pPr>
        <w:pStyle w:val="25"/>
        <w:rPr>
          <w:rFonts w:hint="eastAsia"/>
          <w:highlight w:val="none"/>
        </w:rPr>
      </w:pPr>
    </w:p>
    <w:p w14:paraId="0AFC08D0">
      <w:pPr>
        <w:pStyle w:val="25"/>
        <w:rPr>
          <w:rFonts w:hint="eastAsia"/>
          <w:highlight w:val="none"/>
        </w:rPr>
      </w:pPr>
    </w:p>
    <w:p w14:paraId="01EAC3F8">
      <w:pPr>
        <w:pStyle w:val="25"/>
        <w:rPr>
          <w:rFonts w:hint="eastAsia"/>
          <w:highlight w:val="none"/>
        </w:rPr>
      </w:pPr>
    </w:p>
    <w:p w14:paraId="266CC19C">
      <w:pPr>
        <w:pStyle w:val="25"/>
        <w:rPr>
          <w:rFonts w:hint="eastAsia"/>
          <w:highlight w:val="none"/>
        </w:rPr>
      </w:pPr>
    </w:p>
    <w:p w14:paraId="354C4036">
      <w:pPr>
        <w:pStyle w:val="25"/>
        <w:rPr>
          <w:rFonts w:hint="eastAsia"/>
          <w:highlight w:val="none"/>
        </w:rPr>
      </w:pPr>
    </w:p>
    <w:p w14:paraId="6AECDBFA">
      <w:pPr>
        <w:pStyle w:val="7"/>
        <w:rPr>
          <w:rFonts w:hint="eastAsia"/>
          <w:highlight w:val="none"/>
        </w:rPr>
      </w:pPr>
    </w:p>
    <w:p w14:paraId="49482D7C">
      <w:pPr>
        <w:pStyle w:val="25"/>
        <w:rPr>
          <w:rFonts w:hint="eastAsia"/>
          <w:highlight w:val="none"/>
        </w:rPr>
      </w:pPr>
    </w:p>
    <w:p w14:paraId="7105CE07">
      <w:pPr>
        <w:pStyle w:val="25"/>
        <w:rPr>
          <w:rFonts w:hint="eastAsia"/>
          <w:highlight w:val="none"/>
        </w:rPr>
      </w:pPr>
    </w:p>
    <w:p w14:paraId="06BDD689">
      <w:pPr>
        <w:pStyle w:val="25"/>
        <w:rPr>
          <w:rFonts w:hint="eastAsia"/>
          <w:highlight w:val="none"/>
        </w:rPr>
      </w:pPr>
    </w:p>
    <w:p w14:paraId="3BDC0024">
      <w:pPr>
        <w:pStyle w:val="25"/>
        <w:rPr>
          <w:rFonts w:hint="eastAsia"/>
          <w:highlight w:val="none"/>
        </w:rPr>
      </w:pPr>
    </w:p>
    <w:p w14:paraId="01FE2BAA">
      <w:pPr>
        <w:pStyle w:val="7"/>
        <w:rPr>
          <w:highlight w:val="none"/>
        </w:rPr>
      </w:pPr>
    </w:p>
    <w:p w14:paraId="0EDDD048">
      <w:pPr>
        <w:pStyle w:val="24"/>
        <w:ind w:left="210" w:leftChars="100"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13、供应商认为必要的其它材料</w:t>
      </w:r>
    </w:p>
    <w:p w14:paraId="6E8C247C">
      <w:pPr>
        <w:pStyle w:val="25"/>
        <w:rPr>
          <w:rFonts w:hint="eastAsia"/>
          <w:highlight w:val="none"/>
        </w:rPr>
      </w:pPr>
    </w:p>
    <w:p w14:paraId="1160A116">
      <w:pPr>
        <w:pStyle w:val="25"/>
        <w:rPr>
          <w:rFonts w:hint="eastAsia"/>
          <w:highlight w:val="none"/>
        </w:rPr>
      </w:pPr>
    </w:p>
    <w:p w14:paraId="43107C2B">
      <w:pPr>
        <w:pStyle w:val="25"/>
        <w:rPr>
          <w:rFonts w:hint="eastAsia"/>
          <w:highlight w:val="none"/>
        </w:rPr>
      </w:pPr>
    </w:p>
    <w:p w14:paraId="6A7859C8">
      <w:pPr>
        <w:pStyle w:val="25"/>
        <w:rPr>
          <w:rFonts w:hint="eastAsia"/>
          <w:highlight w:val="none"/>
        </w:rPr>
      </w:pPr>
    </w:p>
    <w:p w14:paraId="26193788">
      <w:pPr>
        <w:pStyle w:val="25"/>
        <w:rPr>
          <w:rFonts w:hint="eastAsia"/>
          <w:highlight w:val="none"/>
        </w:rPr>
      </w:pPr>
    </w:p>
    <w:p w14:paraId="30742922">
      <w:pPr>
        <w:pStyle w:val="25"/>
        <w:rPr>
          <w:rFonts w:hint="eastAsia"/>
          <w:highlight w:val="none"/>
        </w:rPr>
      </w:pPr>
    </w:p>
    <w:p w14:paraId="735AD730">
      <w:pPr>
        <w:pStyle w:val="25"/>
        <w:rPr>
          <w:rFonts w:hint="eastAsia"/>
          <w:highlight w:val="none"/>
        </w:rPr>
      </w:pPr>
    </w:p>
    <w:p w14:paraId="7EFE4478">
      <w:pPr>
        <w:pStyle w:val="25"/>
        <w:rPr>
          <w:rFonts w:hint="eastAsia"/>
          <w:highlight w:val="none"/>
        </w:rPr>
      </w:pPr>
    </w:p>
    <w:p w14:paraId="7B95AF7E">
      <w:pPr>
        <w:pStyle w:val="25"/>
        <w:rPr>
          <w:rFonts w:hint="eastAsia"/>
          <w:highlight w:val="none"/>
        </w:rPr>
      </w:pPr>
    </w:p>
    <w:p w14:paraId="387A7760">
      <w:pPr>
        <w:pStyle w:val="25"/>
        <w:rPr>
          <w:rFonts w:hint="eastAsia"/>
          <w:highlight w:val="none"/>
        </w:rPr>
      </w:pPr>
    </w:p>
    <w:p w14:paraId="4D42686E">
      <w:pPr>
        <w:pStyle w:val="25"/>
        <w:rPr>
          <w:rFonts w:hint="eastAsia"/>
          <w:highlight w:val="none"/>
        </w:rPr>
      </w:pPr>
    </w:p>
    <w:p w14:paraId="07AD138A">
      <w:pPr>
        <w:pStyle w:val="25"/>
        <w:rPr>
          <w:rFonts w:hint="eastAsia"/>
          <w:highlight w:val="none"/>
        </w:rPr>
      </w:pPr>
    </w:p>
    <w:p w14:paraId="15D344DD">
      <w:pPr>
        <w:pStyle w:val="25"/>
        <w:rPr>
          <w:rFonts w:hint="eastAsia"/>
          <w:highlight w:val="none"/>
        </w:rPr>
      </w:pPr>
    </w:p>
    <w:p w14:paraId="6505A0CF">
      <w:pPr>
        <w:pStyle w:val="25"/>
        <w:rPr>
          <w:rFonts w:hint="eastAsia"/>
          <w:highlight w:val="none"/>
        </w:rPr>
      </w:pPr>
    </w:p>
    <w:p w14:paraId="23F70CD4">
      <w:pPr>
        <w:pStyle w:val="25"/>
        <w:rPr>
          <w:rFonts w:hint="eastAsia"/>
          <w:highlight w:val="none"/>
        </w:rPr>
      </w:pPr>
    </w:p>
    <w:p w14:paraId="57B3DC82">
      <w:pPr>
        <w:pStyle w:val="25"/>
        <w:rPr>
          <w:rFonts w:hint="eastAsia"/>
          <w:highlight w:val="none"/>
        </w:rPr>
      </w:pPr>
    </w:p>
    <w:p w14:paraId="2A1F499C">
      <w:pPr>
        <w:pStyle w:val="25"/>
        <w:rPr>
          <w:rFonts w:hint="eastAsia"/>
          <w:highlight w:val="none"/>
        </w:rPr>
      </w:pPr>
    </w:p>
    <w:p w14:paraId="0D57AC1C">
      <w:pPr>
        <w:pStyle w:val="25"/>
        <w:rPr>
          <w:rFonts w:hint="eastAsia"/>
          <w:highlight w:val="none"/>
        </w:rPr>
      </w:pPr>
    </w:p>
    <w:p w14:paraId="777257C1">
      <w:pPr>
        <w:pStyle w:val="25"/>
        <w:rPr>
          <w:rFonts w:hint="eastAsia"/>
          <w:highlight w:val="none"/>
        </w:rPr>
      </w:pPr>
    </w:p>
    <w:p w14:paraId="789D800B">
      <w:pPr>
        <w:pStyle w:val="25"/>
        <w:rPr>
          <w:rFonts w:hint="eastAsia"/>
          <w:highlight w:val="none"/>
        </w:rPr>
      </w:pPr>
    </w:p>
    <w:p w14:paraId="4D462CCB">
      <w:pPr>
        <w:pStyle w:val="25"/>
        <w:rPr>
          <w:rFonts w:hint="eastAsia"/>
          <w:highlight w:val="none"/>
        </w:rPr>
      </w:pPr>
    </w:p>
    <w:p w14:paraId="183138E5">
      <w:pPr>
        <w:pStyle w:val="25"/>
        <w:rPr>
          <w:rFonts w:hint="eastAsia"/>
          <w:highlight w:val="none"/>
        </w:rPr>
      </w:pPr>
    </w:p>
    <w:p w14:paraId="3360782B">
      <w:pPr>
        <w:pStyle w:val="25"/>
        <w:rPr>
          <w:rFonts w:hint="eastAsia"/>
          <w:highlight w:val="none"/>
        </w:rPr>
      </w:pPr>
    </w:p>
    <w:p w14:paraId="16EECE55">
      <w:pPr>
        <w:pStyle w:val="25"/>
        <w:rPr>
          <w:rFonts w:hint="eastAsia"/>
          <w:highlight w:val="none"/>
        </w:rPr>
      </w:pPr>
    </w:p>
    <w:p w14:paraId="626E5C02">
      <w:pPr>
        <w:pStyle w:val="25"/>
        <w:rPr>
          <w:rFonts w:hint="eastAsia"/>
          <w:highlight w:val="none"/>
        </w:rPr>
      </w:pPr>
    </w:p>
    <w:p w14:paraId="3ECC9D5B">
      <w:pPr>
        <w:pStyle w:val="25"/>
        <w:rPr>
          <w:rFonts w:hint="eastAsia"/>
          <w:highlight w:val="none"/>
        </w:rPr>
      </w:pPr>
    </w:p>
    <w:p w14:paraId="4ABD83B9">
      <w:pPr>
        <w:pStyle w:val="25"/>
        <w:rPr>
          <w:rFonts w:hint="eastAsia"/>
          <w:highlight w:val="none"/>
        </w:rPr>
      </w:pPr>
    </w:p>
    <w:p w14:paraId="63733DFA">
      <w:pPr>
        <w:pStyle w:val="25"/>
        <w:rPr>
          <w:rFonts w:hint="eastAsia"/>
          <w:highlight w:val="none"/>
        </w:rPr>
      </w:pPr>
    </w:p>
    <w:p w14:paraId="571D7DA1">
      <w:pPr>
        <w:pStyle w:val="25"/>
        <w:rPr>
          <w:rFonts w:hint="eastAsia"/>
          <w:highlight w:val="none"/>
        </w:rPr>
      </w:pPr>
    </w:p>
    <w:p w14:paraId="21697337">
      <w:pPr>
        <w:pStyle w:val="25"/>
        <w:rPr>
          <w:rFonts w:hint="eastAsia"/>
          <w:highlight w:val="none"/>
        </w:rPr>
      </w:pPr>
    </w:p>
    <w:p w14:paraId="6575C3C5">
      <w:pPr>
        <w:pStyle w:val="25"/>
        <w:rPr>
          <w:rFonts w:hint="eastAsia"/>
          <w:highlight w:val="none"/>
        </w:rPr>
      </w:pPr>
    </w:p>
    <w:p w14:paraId="71E43EA5">
      <w:pPr>
        <w:pStyle w:val="25"/>
        <w:rPr>
          <w:rFonts w:hint="eastAsia"/>
          <w:highlight w:val="none"/>
        </w:rPr>
      </w:pPr>
    </w:p>
    <w:p w14:paraId="377EFF92">
      <w:pPr>
        <w:pStyle w:val="7"/>
        <w:rPr>
          <w:rFonts w:hint="eastAsia"/>
          <w:highlight w:val="none"/>
        </w:rPr>
      </w:pPr>
    </w:p>
    <w:p w14:paraId="3F75C72D">
      <w:pPr>
        <w:pStyle w:val="7"/>
        <w:rPr>
          <w:rFonts w:hint="eastAsia"/>
          <w:highlight w:val="none"/>
        </w:rPr>
      </w:pPr>
    </w:p>
    <w:p w14:paraId="5C44373A">
      <w:pPr>
        <w:pStyle w:val="25"/>
        <w:rPr>
          <w:rFonts w:hint="eastAsia"/>
          <w:highlight w:val="none"/>
        </w:rPr>
      </w:pPr>
    </w:p>
    <w:p w14:paraId="40078C81">
      <w:pPr>
        <w:pStyle w:val="25"/>
        <w:rPr>
          <w:rFonts w:hint="eastAsia"/>
          <w:highlight w:val="none"/>
        </w:rPr>
      </w:pPr>
    </w:p>
    <w:p w14:paraId="7CA601EF">
      <w:pPr>
        <w:pStyle w:val="25"/>
        <w:jc w:val="center"/>
        <w:rPr>
          <w:rFonts w:hint="eastAsia"/>
          <w:color w:val="auto"/>
          <w:sz w:val="28"/>
          <w:szCs w:val="28"/>
          <w:highlight w:val="none"/>
        </w:rPr>
      </w:pPr>
      <w:r>
        <w:rPr>
          <w:rFonts w:hint="eastAsia"/>
          <w:color w:val="auto"/>
          <w:sz w:val="28"/>
          <w:szCs w:val="28"/>
          <w:highlight w:val="none"/>
        </w:rPr>
        <w:t>14、磋商报价（第二轮）</w:t>
      </w:r>
    </w:p>
    <w:p w14:paraId="07A51C33">
      <w:pPr>
        <w:pStyle w:val="25"/>
        <w:rPr>
          <w:rFonts w:hint="eastAsia"/>
          <w:color w:val="auto"/>
          <w:highlight w:val="none"/>
        </w:rPr>
      </w:pPr>
    </w:p>
    <w:p w14:paraId="64377311">
      <w:pPr>
        <w:pStyle w:val="25"/>
        <w:rPr>
          <w:rFonts w:hint="eastAsia"/>
          <w:color w:val="auto"/>
          <w:highlight w:val="none"/>
        </w:rPr>
      </w:pPr>
    </w:p>
    <w:p w14:paraId="3E464943">
      <w:pPr>
        <w:pStyle w:val="25"/>
        <w:rPr>
          <w:rFonts w:hint="eastAsia"/>
          <w:color w:val="auto"/>
          <w:highlight w:val="none"/>
        </w:rPr>
      </w:pPr>
    </w:p>
    <w:p w14:paraId="2975735F">
      <w:pPr>
        <w:pStyle w:val="25"/>
        <w:rPr>
          <w:rFonts w:hint="eastAsia"/>
          <w:color w:val="auto"/>
          <w:highlight w:val="none"/>
        </w:rPr>
      </w:pPr>
    </w:p>
    <w:p w14:paraId="19D7C9CC">
      <w:pPr>
        <w:pStyle w:val="25"/>
        <w:rPr>
          <w:rFonts w:hint="eastAsia"/>
          <w:color w:val="auto"/>
          <w:highlight w:val="none"/>
        </w:rPr>
      </w:pPr>
    </w:p>
    <w:p w14:paraId="06655920">
      <w:pPr>
        <w:pStyle w:val="25"/>
        <w:rPr>
          <w:rFonts w:hint="eastAsia"/>
          <w:color w:val="auto"/>
          <w:highlight w:val="none"/>
        </w:rPr>
      </w:pPr>
    </w:p>
    <w:p w14:paraId="7918D512">
      <w:pPr>
        <w:pStyle w:val="25"/>
        <w:rPr>
          <w:rFonts w:hint="eastAsia"/>
          <w:color w:val="auto"/>
          <w:highlight w:val="none"/>
        </w:rPr>
      </w:pPr>
      <w:r>
        <w:rPr>
          <w:rFonts w:hint="eastAsia"/>
          <w:color w:val="auto"/>
          <w:highlight w:val="none"/>
        </w:rPr>
        <w:t>注：所有供应商开标结束后，在进行第二轮报价前，应一直保持在线状态、保持电话畅通，方便第二轮报价及时通知。</w:t>
      </w:r>
    </w:p>
    <w:p w14:paraId="48B31970">
      <w:pPr>
        <w:rPr>
          <w:rFonts w:hint="eastAsia" w:ascii="宋体" w:hAnsi="宋体" w:cs="宋体"/>
          <w:color w:val="auto"/>
          <w:highlight w:val="none"/>
        </w:rPr>
      </w:pPr>
    </w:p>
    <w:sectPr>
      <w:headerReference r:id="rId8" w:type="default"/>
      <w:footerReference r:id="rId9" w:type="default"/>
      <w:pgSz w:w="11911" w:h="16838"/>
      <w:pgMar w:top="1440" w:right="1689" w:bottom="1440" w:left="1689"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楷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68BF">
    <w:pPr>
      <w:pStyle w:val="16"/>
      <w:jc w:val="both"/>
    </w:pPr>
    <w:r>
      <w:pict>
        <v:rect id="_x0000_s1025" o:spid="_x0000_s1025"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14:paraId="36EBE3F7">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EE15">
    <w:pPr>
      <w:pStyle w:val="16"/>
    </w:pPr>
    <w: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4DD421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4BDA">
    <w:pPr>
      <w:pStyle w:val="16"/>
    </w:pPr>
    <w:r>
      <w:pict>
        <v:rect id="文本框 2" o:spid="_x0000_s1026"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14:paraId="4744609C">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2BEB">
    <w:pPr>
      <w:pStyle w:val="16"/>
    </w:pPr>
    <w:r>
      <w:pict>
        <v:rect id="文本框 3" o:spid="_x0000_s1027"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14:paraId="65CB7866">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5858">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1F98">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3987">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E2080"/>
    <w:multiLevelType w:val="singleLevel"/>
    <w:tmpl w:val="A2AE2080"/>
    <w:lvl w:ilvl="0" w:tentative="0">
      <w:start w:val="5"/>
      <w:numFmt w:val="chineseCounting"/>
      <w:suff w:val="space"/>
      <w:lvlText w:val="第%1章"/>
      <w:lvlJc w:val="left"/>
      <w:rPr>
        <w:rFonts w:hint="eastAsia"/>
      </w:rPr>
    </w:lvl>
  </w:abstractNum>
  <w:abstractNum w:abstractNumId="1">
    <w:nsid w:val="00000008"/>
    <w:multiLevelType w:val="multilevel"/>
    <w:tmpl w:val="00000008"/>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9"/>
    <w:multiLevelType w:val="singleLevel"/>
    <w:tmpl w:val="00000009"/>
    <w:lvl w:ilvl="0" w:tentative="0">
      <w:start w:val="1"/>
      <w:numFmt w:val="decimal"/>
      <w:suff w:val="nothing"/>
      <w:lvlText w:val="（%1）"/>
      <w:lvlJc w:val="left"/>
    </w:lvl>
  </w:abstractNum>
  <w:abstractNum w:abstractNumId="3">
    <w:nsid w:val="00000012"/>
    <w:multiLevelType w:val="singleLevel"/>
    <w:tmpl w:val="00000012"/>
    <w:lvl w:ilvl="0" w:tentative="0">
      <w:start w:val="1"/>
      <w:numFmt w:val="decimal"/>
      <w:pStyle w:val="54"/>
      <w:lvlText w:val="%1."/>
      <w:lvlJc w:val="left"/>
      <w:pPr>
        <w:tabs>
          <w:tab w:val="left" w:pos="1200"/>
        </w:tabs>
        <w:ind w:left="1200" w:hanging="360"/>
      </w:pPr>
    </w:lvl>
  </w:abstractNum>
  <w:abstractNum w:abstractNumId="4">
    <w:nsid w:val="2FC02465"/>
    <w:multiLevelType w:val="multilevel"/>
    <w:tmpl w:val="2FC02465"/>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1A25680"/>
    <w:multiLevelType w:val="singleLevel"/>
    <w:tmpl w:val="71A25680"/>
    <w:lvl w:ilvl="0" w:tentative="0">
      <w:start w:val="1"/>
      <w:numFmt w:val="decimal"/>
      <w:suff w:val="nothing"/>
      <w:lvlText w:val="（%1）"/>
      <w:lvlJc w:val="left"/>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Y2OGFjYzNiYTBhYzk2YmY2OWU2NzZjMWE1NmUxZGMifQ=="/>
  </w:docVars>
  <w:rsids>
    <w:rsidRoot w:val="00A55041"/>
    <w:rsid w:val="000B5AC1"/>
    <w:rsid w:val="000D6456"/>
    <w:rsid w:val="002705C9"/>
    <w:rsid w:val="002934D3"/>
    <w:rsid w:val="002C5F20"/>
    <w:rsid w:val="00314D84"/>
    <w:rsid w:val="00316269"/>
    <w:rsid w:val="00334A01"/>
    <w:rsid w:val="003550AC"/>
    <w:rsid w:val="003F6EE1"/>
    <w:rsid w:val="004F24C5"/>
    <w:rsid w:val="005F4163"/>
    <w:rsid w:val="00661825"/>
    <w:rsid w:val="006B09A4"/>
    <w:rsid w:val="006E3F98"/>
    <w:rsid w:val="007A3406"/>
    <w:rsid w:val="008878D1"/>
    <w:rsid w:val="009009B7"/>
    <w:rsid w:val="00956C5B"/>
    <w:rsid w:val="00A55041"/>
    <w:rsid w:val="00A57B8E"/>
    <w:rsid w:val="00A641FB"/>
    <w:rsid w:val="00AF702B"/>
    <w:rsid w:val="00B436E2"/>
    <w:rsid w:val="00B47A81"/>
    <w:rsid w:val="00BD28F7"/>
    <w:rsid w:val="00BF02F7"/>
    <w:rsid w:val="00C66630"/>
    <w:rsid w:val="00D54823"/>
    <w:rsid w:val="00DE3601"/>
    <w:rsid w:val="00DE7077"/>
    <w:rsid w:val="00F431B9"/>
    <w:rsid w:val="01097E6E"/>
    <w:rsid w:val="01323A81"/>
    <w:rsid w:val="01944B1E"/>
    <w:rsid w:val="01BD17FD"/>
    <w:rsid w:val="01D15AEA"/>
    <w:rsid w:val="01DF5ECB"/>
    <w:rsid w:val="021138F7"/>
    <w:rsid w:val="02281B92"/>
    <w:rsid w:val="02290945"/>
    <w:rsid w:val="022C3D0F"/>
    <w:rsid w:val="0240507E"/>
    <w:rsid w:val="024A56FE"/>
    <w:rsid w:val="024B2D7C"/>
    <w:rsid w:val="026143C7"/>
    <w:rsid w:val="0261487E"/>
    <w:rsid w:val="02630D35"/>
    <w:rsid w:val="02666832"/>
    <w:rsid w:val="029007B5"/>
    <w:rsid w:val="029E2FA2"/>
    <w:rsid w:val="02AD1871"/>
    <w:rsid w:val="02B56978"/>
    <w:rsid w:val="02B768ED"/>
    <w:rsid w:val="02D64744"/>
    <w:rsid w:val="02E00616"/>
    <w:rsid w:val="02EB4148"/>
    <w:rsid w:val="02EB5262"/>
    <w:rsid w:val="02FF66D3"/>
    <w:rsid w:val="03015901"/>
    <w:rsid w:val="03197AE2"/>
    <w:rsid w:val="031C6D0F"/>
    <w:rsid w:val="03215DBB"/>
    <w:rsid w:val="032F2286"/>
    <w:rsid w:val="034A7629"/>
    <w:rsid w:val="03521A41"/>
    <w:rsid w:val="03860948"/>
    <w:rsid w:val="038D497C"/>
    <w:rsid w:val="03C70210"/>
    <w:rsid w:val="03CA6453"/>
    <w:rsid w:val="03ED19F3"/>
    <w:rsid w:val="03F25030"/>
    <w:rsid w:val="04076027"/>
    <w:rsid w:val="040F7BF6"/>
    <w:rsid w:val="04153A87"/>
    <w:rsid w:val="04162219"/>
    <w:rsid w:val="04176207"/>
    <w:rsid w:val="041F679F"/>
    <w:rsid w:val="04312352"/>
    <w:rsid w:val="0431629A"/>
    <w:rsid w:val="043D2E67"/>
    <w:rsid w:val="044E0E32"/>
    <w:rsid w:val="0452796F"/>
    <w:rsid w:val="045743D0"/>
    <w:rsid w:val="04636EA7"/>
    <w:rsid w:val="046D4195"/>
    <w:rsid w:val="04934A97"/>
    <w:rsid w:val="04952FCD"/>
    <w:rsid w:val="049E4141"/>
    <w:rsid w:val="04A1639B"/>
    <w:rsid w:val="04AD2804"/>
    <w:rsid w:val="04B354CF"/>
    <w:rsid w:val="04C17F62"/>
    <w:rsid w:val="04CE6DB8"/>
    <w:rsid w:val="04D60F61"/>
    <w:rsid w:val="04F259A4"/>
    <w:rsid w:val="050B57E3"/>
    <w:rsid w:val="051300AE"/>
    <w:rsid w:val="05132F0E"/>
    <w:rsid w:val="05501DFD"/>
    <w:rsid w:val="055155A3"/>
    <w:rsid w:val="055627B3"/>
    <w:rsid w:val="055F2BCB"/>
    <w:rsid w:val="056C43F9"/>
    <w:rsid w:val="0570053C"/>
    <w:rsid w:val="057E3667"/>
    <w:rsid w:val="057F57CA"/>
    <w:rsid w:val="05A14BA7"/>
    <w:rsid w:val="05A84572"/>
    <w:rsid w:val="05BB24F7"/>
    <w:rsid w:val="05D15877"/>
    <w:rsid w:val="05ED115B"/>
    <w:rsid w:val="05FF7391"/>
    <w:rsid w:val="060A0966"/>
    <w:rsid w:val="060C4B01"/>
    <w:rsid w:val="061D0ABC"/>
    <w:rsid w:val="06264FD6"/>
    <w:rsid w:val="06784ADD"/>
    <w:rsid w:val="06825337"/>
    <w:rsid w:val="06896151"/>
    <w:rsid w:val="06B97E60"/>
    <w:rsid w:val="06BE08EA"/>
    <w:rsid w:val="06CC603E"/>
    <w:rsid w:val="06ED1BD3"/>
    <w:rsid w:val="07093564"/>
    <w:rsid w:val="07133C6D"/>
    <w:rsid w:val="07260519"/>
    <w:rsid w:val="072C6C75"/>
    <w:rsid w:val="073A2995"/>
    <w:rsid w:val="07461592"/>
    <w:rsid w:val="07462BA8"/>
    <w:rsid w:val="074D5AD0"/>
    <w:rsid w:val="075345D3"/>
    <w:rsid w:val="0756645B"/>
    <w:rsid w:val="076C2BA4"/>
    <w:rsid w:val="077A1300"/>
    <w:rsid w:val="0781151E"/>
    <w:rsid w:val="078D4321"/>
    <w:rsid w:val="07A73A79"/>
    <w:rsid w:val="07B7297B"/>
    <w:rsid w:val="07FE491D"/>
    <w:rsid w:val="08190679"/>
    <w:rsid w:val="083B16CD"/>
    <w:rsid w:val="086C262D"/>
    <w:rsid w:val="087D1CE6"/>
    <w:rsid w:val="089C6F9F"/>
    <w:rsid w:val="08B54035"/>
    <w:rsid w:val="08B9367A"/>
    <w:rsid w:val="08CD4B4E"/>
    <w:rsid w:val="08CE67F6"/>
    <w:rsid w:val="08D7310F"/>
    <w:rsid w:val="08E5064E"/>
    <w:rsid w:val="090E0CED"/>
    <w:rsid w:val="09164210"/>
    <w:rsid w:val="094565E2"/>
    <w:rsid w:val="094B3FAB"/>
    <w:rsid w:val="09562F84"/>
    <w:rsid w:val="098D50D2"/>
    <w:rsid w:val="098E3A7F"/>
    <w:rsid w:val="098F1CD1"/>
    <w:rsid w:val="09A8358A"/>
    <w:rsid w:val="09BE2D78"/>
    <w:rsid w:val="09C2104E"/>
    <w:rsid w:val="09E2527B"/>
    <w:rsid w:val="0A165F4E"/>
    <w:rsid w:val="0A1A1ABD"/>
    <w:rsid w:val="0A2A6F5C"/>
    <w:rsid w:val="0A446064"/>
    <w:rsid w:val="0A6F1448"/>
    <w:rsid w:val="0A720AB9"/>
    <w:rsid w:val="0A930B1E"/>
    <w:rsid w:val="0A973F96"/>
    <w:rsid w:val="0A9E1902"/>
    <w:rsid w:val="0AA44FA9"/>
    <w:rsid w:val="0AA90C24"/>
    <w:rsid w:val="0AB551BF"/>
    <w:rsid w:val="0AB75CD0"/>
    <w:rsid w:val="0ABD0ABF"/>
    <w:rsid w:val="0AC3411D"/>
    <w:rsid w:val="0AD025A1"/>
    <w:rsid w:val="0AD77D20"/>
    <w:rsid w:val="0AE917BE"/>
    <w:rsid w:val="0AED6323"/>
    <w:rsid w:val="0AF26211"/>
    <w:rsid w:val="0AF81AF7"/>
    <w:rsid w:val="0B163D2C"/>
    <w:rsid w:val="0B240511"/>
    <w:rsid w:val="0B2428ED"/>
    <w:rsid w:val="0B2E7143"/>
    <w:rsid w:val="0B3D6181"/>
    <w:rsid w:val="0B4214C2"/>
    <w:rsid w:val="0B500328"/>
    <w:rsid w:val="0B550CF2"/>
    <w:rsid w:val="0B6A59BC"/>
    <w:rsid w:val="0B7423F7"/>
    <w:rsid w:val="0B883A47"/>
    <w:rsid w:val="0B901D30"/>
    <w:rsid w:val="0B907F82"/>
    <w:rsid w:val="0BAA53CD"/>
    <w:rsid w:val="0BAA7BE9"/>
    <w:rsid w:val="0BB91287"/>
    <w:rsid w:val="0BC34CFF"/>
    <w:rsid w:val="0BD709D6"/>
    <w:rsid w:val="0BED187B"/>
    <w:rsid w:val="0BED37EB"/>
    <w:rsid w:val="0C0B4328"/>
    <w:rsid w:val="0C2B30D4"/>
    <w:rsid w:val="0C4C20FB"/>
    <w:rsid w:val="0C4E0B8C"/>
    <w:rsid w:val="0C6A2581"/>
    <w:rsid w:val="0CA914B5"/>
    <w:rsid w:val="0CAA3604"/>
    <w:rsid w:val="0CAD6813"/>
    <w:rsid w:val="0CCA1272"/>
    <w:rsid w:val="0CD2555F"/>
    <w:rsid w:val="0CDE6ACB"/>
    <w:rsid w:val="0CEF0CD8"/>
    <w:rsid w:val="0CF4009D"/>
    <w:rsid w:val="0D0725B7"/>
    <w:rsid w:val="0D1869C8"/>
    <w:rsid w:val="0D2B67C6"/>
    <w:rsid w:val="0D3A63F7"/>
    <w:rsid w:val="0D3C216F"/>
    <w:rsid w:val="0D5A73E2"/>
    <w:rsid w:val="0D690A8B"/>
    <w:rsid w:val="0D6B7625"/>
    <w:rsid w:val="0D6D057B"/>
    <w:rsid w:val="0D7F660C"/>
    <w:rsid w:val="0D86621B"/>
    <w:rsid w:val="0DB711B7"/>
    <w:rsid w:val="0DE65386"/>
    <w:rsid w:val="0DEB14A0"/>
    <w:rsid w:val="0E214497"/>
    <w:rsid w:val="0E3522A3"/>
    <w:rsid w:val="0E3A53C5"/>
    <w:rsid w:val="0E677E76"/>
    <w:rsid w:val="0E6B4F19"/>
    <w:rsid w:val="0E7616B1"/>
    <w:rsid w:val="0E897BAF"/>
    <w:rsid w:val="0E9F33DC"/>
    <w:rsid w:val="0EB72584"/>
    <w:rsid w:val="0EB775D4"/>
    <w:rsid w:val="0EDA2CB7"/>
    <w:rsid w:val="0EDC703A"/>
    <w:rsid w:val="0EE17B92"/>
    <w:rsid w:val="0EEB2F8F"/>
    <w:rsid w:val="0EF7212F"/>
    <w:rsid w:val="0EF900CD"/>
    <w:rsid w:val="0F0A004B"/>
    <w:rsid w:val="0F1D1B2D"/>
    <w:rsid w:val="0F1D67DE"/>
    <w:rsid w:val="0F281645"/>
    <w:rsid w:val="0F3A448D"/>
    <w:rsid w:val="0F5E00D3"/>
    <w:rsid w:val="0F713C26"/>
    <w:rsid w:val="0F714EA5"/>
    <w:rsid w:val="0F733186"/>
    <w:rsid w:val="0FB0474F"/>
    <w:rsid w:val="0FB76D43"/>
    <w:rsid w:val="0FCF5D19"/>
    <w:rsid w:val="0FDE3F3E"/>
    <w:rsid w:val="0FE01FDE"/>
    <w:rsid w:val="0FE45463"/>
    <w:rsid w:val="0FF2480F"/>
    <w:rsid w:val="0FF752A0"/>
    <w:rsid w:val="101006E6"/>
    <w:rsid w:val="10162EAC"/>
    <w:rsid w:val="103A5288"/>
    <w:rsid w:val="103B58EF"/>
    <w:rsid w:val="10451639"/>
    <w:rsid w:val="105A7418"/>
    <w:rsid w:val="10714BF2"/>
    <w:rsid w:val="107366F0"/>
    <w:rsid w:val="108A1444"/>
    <w:rsid w:val="108B0C6E"/>
    <w:rsid w:val="10925AEA"/>
    <w:rsid w:val="10972808"/>
    <w:rsid w:val="10CB08A4"/>
    <w:rsid w:val="10CF0B70"/>
    <w:rsid w:val="10D34D5A"/>
    <w:rsid w:val="10E2019C"/>
    <w:rsid w:val="10E34306"/>
    <w:rsid w:val="10E7474E"/>
    <w:rsid w:val="10FB5E9E"/>
    <w:rsid w:val="11072D2D"/>
    <w:rsid w:val="110A60A9"/>
    <w:rsid w:val="11286B1C"/>
    <w:rsid w:val="1138433B"/>
    <w:rsid w:val="113A3267"/>
    <w:rsid w:val="11467A70"/>
    <w:rsid w:val="115870E1"/>
    <w:rsid w:val="11751D7F"/>
    <w:rsid w:val="11762FD6"/>
    <w:rsid w:val="11763776"/>
    <w:rsid w:val="11911867"/>
    <w:rsid w:val="11960978"/>
    <w:rsid w:val="11A93B4C"/>
    <w:rsid w:val="11B637C7"/>
    <w:rsid w:val="11CA5292"/>
    <w:rsid w:val="11CD1E0A"/>
    <w:rsid w:val="11D83032"/>
    <w:rsid w:val="11D860B5"/>
    <w:rsid w:val="11EA5181"/>
    <w:rsid w:val="11ED132D"/>
    <w:rsid w:val="11FA6155"/>
    <w:rsid w:val="11FF27F2"/>
    <w:rsid w:val="12064AFA"/>
    <w:rsid w:val="12104D94"/>
    <w:rsid w:val="121340A3"/>
    <w:rsid w:val="12217B86"/>
    <w:rsid w:val="122A08EA"/>
    <w:rsid w:val="12316AE7"/>
    <w:rsid w:val="1235718D"/>
    <w:rsid w:val="12492C39"/>
    <w:rsid w:val="124B69B1"/>
    <w:rsid w:val="125569E5"/>
    <w:rsid w:val="12565209"/>
    <w:rsid w:val="125B6CB8"/>
    <w:rsid w:val="126F3D30"/>
    <w:rsid w:val="1271435D"/>
    <w:rsid w:val="12795FF5"/>
    <w:rsid w:val="12825667"/>
    <w:rsid w:val="1288647B"/>
    <w:rsid w:val="12AC5F34"/>
    <w:rsid w:val="12B409FA"/>
    <w:rsid w:val="12BB371A"/>
    <w:rsid w:val="12C80001"/>
    <w:rsid w:val="12E0359D"/>
    <w:rsid w:val="12E11D36"/>
    <w:rsid w:val="12F93004"/>
    <w:rsid w:val="131A4CE4"/>
    <w:rsid w:val="131D2F47"/>
    <w:rsid w:val="131E40C5"/>
    <w:rsid w:val="1356270A"/>
    <w:rsid w:val="1356385F"/>
    <w:rsid w:val="135D4BEE"/>
    <w:rsid w:val="136A3C05"/>
    <w:rsid w:val="138A52B7"/>
    <w:rsid w:val="13902784"/>
    <w:rsid w:val="13A22600"/>
    <w:rsid w:val="13B005A5"/>
    <w:rsid w:val="13B50586"/>
    <w:rsid w:val="13F84732"/>
    <w:rsid w:val="142C45C0"/>
    <w:rsid w:val="14352DEE"/>
    <w:rsid w:val="14417F19"/>
    <w:rsid w:val="14491B38"/>
    <w:rsid w:val="144B5E57"/>
    <w:rsid w:val="14593F31"/>
    <w:rsid w:val="147B3CDD"/>
    <w:rsid w:val="1485540F"/>
    <w:rsid w:val="14883EEC"/>
    <w:rsid w:val="14945A9A"/>
    <w:rsid w:val="14E20B1F"/>
    <w:rsid w:val="14E30102"/>
    <w:rsid w:val="14E4000E"/>
    <w:rsid w:val="14E76F2B"/>
    <w:rsid w:val="14F37395"/>
    <w:rsid w:val="15107A3E"/>
    <w:rsid w:val="151D4DB4"/>
    <w:rsid w:val="15231D6C"/>
    <w:rsid w:val="152857F0"/>
    <w:rsid w:val="152B4D84"/>
    <w:rsid w:val="15305766"/>
    <w:rsid w:val="1541603D"/>
    <w:rsid w:val="154D6EEE"/>
    <w:rsid w:val="15657010"/>
    <w:rsid w:val="1575571D"/>
    <w:rsid w:val="157C2E91"/>
    <w:rsid w:val="158741A4"/>
    <w:rsid w:val="158817FA"/>
    <w:rsid w:val="158D458D"/>
    <w:rsid w:val="15C471A6"/>
    <w:rsid w:val="15D93750"/>
    <w:rsid w:val="15DF7B3C"/>
    <w:rsid w:val="15EC19CC"/>
    <w:rsid w:val="15F5110D"/>
    <w:rsid w:val="16260CA4"/>
    <w:rsid w:val="163065E9"/>
    <w:rsid w:val="163E221F"/>
    <w:rsid w:val="16473933"/>
    <w:rsid w:val="164C2CF7"/>
    <w:rsid w:val="165178F6"/>
    <w:rsid w:val="1674246A"/>
    <w:rsid w:val="168129A1"/>
    <w:rsid w:val="16976668"/>
    <w:rsid w:val="16A359F0"/>
    <w:rsid w:val="16C21F84"/>
    <w:rsid w:val="16D1099B"/>
    <w:rsid w:val="16DE1BA1"/>
    <w:rsid w:val="16E236D1"/>
    <w:rsid w:val="16F9030A"/>
    <w:rsid w:val="17013AE2"/>
    <w:rsid w:val="170D4CD7"/>
    <w:rsid w:val="17164FDE"/>
    <w:rsid w:val="17226BB5"/>
    <w:rsid w:val="17234F87"/>
    <w:rsid w:val="173E3493"/>
    <w:rsid w:val="17453F05"/>
    <w:rsid w:val="17710C68"/>
    <w:rsid w:val="177514DA"/>
    <w:rsid w:val="17AA13D1"/>
    <w:rsid w:val="17AA19AB"/>
    <w:rsid w:val="17B73C68"/>
    <w:rsid w:val="17C4413B"/>
    <w:rsid w:val="17D9680D"/>
    <w:rsid w:val="17DC2A3E"/>
    <w:rsid w:val="17DD2860"/>
    <w:rsid w:val="17F51446"/>
    <w:rsid w:val="18004D02"/>
    <w:rsid w:val="18023FB5"/>
    <w:rsid w:val="180C3F9D"/>
    <w:rsid w:val="18153469"/>
    <w:rsid w:val="1831466F"/>
    <w:rsid w:val="18410D46"/>
    <w:rsid w:val="184E75B7"/>
    <w:rsid w:val="185F2058"/>
    <w:rsid w:val="18786026"/>
    <w:rsid w:val="18907B3A"/>
    <w:rsid w:val="189B14E0"/>
    <w:rsid w:val="189C59F4"/>
    <w:rsid w:val="189E3CDE"/>
    <w:rsid w:val="18B079B3"/>
    <w:rsid w:val="18B828C6"/>
    <w:rsid w:val="18C132E8"/>
    <w:rsid w:val="18C66D91"/>
    <w:rsid w:val="18C946ED"/>
    <w:rsid w:val="18E9119D"/>
    <w:rsid w:val="18F91581"/>
    <w:rsid w:val="18FD62E9"/>
    <w:rsid w:val="190F3EDE"/>
    <w:rsid w:val="19124EB2"/>
    <w:rsid w:val="19230842"/>
    <w:rsid w:val="19265A52"/>
    <w:rsid w:val="19521C7D"/>
    <w:rsid w:val="195A71CD"/>
    <w:rsid w:val="19702705"/>
    <w:rsid w:val="199B0743"/>
    <w:rsid w:val="19B65058"/>
    <w:rsid w:val="19B80F45"/>
    <w:rsid w:val="19CC7A23"/>
    <w:rsid w:val="19DD2724"/>
    <w:rsid w:val="1A0628E6"/>
    <w:rsid w:val="1A0631F7"/>
    <w:rsid w:val="1A0E13B9"/>
    <w:rsid w:val="1A2B2B8F"/>
    <w:rsid w:val="1A4C5010"/>
    <w:rsid w:val="1A5B40A6"/>
    <w:rsid w:val="1A6D5B7F"/>
    <w:rsid w:val="1A767E82"/>
    <w:rsid w:val="1AB423B5"/>
    <w:rsid w:val="1AB52EB7"/>
    <w:rsid w:val="1AC019B4"/>
    <w:rsid w:val="1AD43884"/>
    <w:rsid w:val="1AE31F5E"/>
    <w:rsid w:val="1AF8344E"/>
    <w:rsid w:val="1B0D15F6"/>
    <w:rsid w:val="1B51333E"/>
    <w:rsid w:val="1B574CC7"/>
    <w:rsid w:val="1B666609"/>
    <w:rsid w:val="1B835CFB"/>
    <w:rsid w:val="1B87404C"/>
    <w:rsid w:val="1B903686"/>
    <w:rsid w:val="1B9A3DDC"/>
    <w:rsid w:val="1BAB4457"/>
    <w:rsid w:val="1BCC64BF"/>
    <w:rsid w:val="1BDD1195"/>
    <w:rsid w:val="1BE843DA"/>
    <w:rsid w:val="1BE84C62"/>
    <w:rsid w:val="1C165112"/>
    <w:rsid w:val="1C18312C"/>
    <w:rsid w:val="1C1A3FB4"/>
    <w:rsid w:val="1C2C7C63"/>
    <w:rsid w:val="1C2E64F2"/>
    <w:rsid w:val="1C314E69"/>
    <w:rsid w:val="1C387FA6"/>
    <w:rsid w:val="1C5C744C"/>
    <w:rsid w:val="1C603D47"/>
    <w:rsid w:val="1C6223ED"/>
    <w:rsid w:val="1C7B131D"/>
    <w:rsid w:val="1C7B6F6E"/>
    <w:rsid w:val="1C835945"/>
    <w:rsid w:val="1C872CDB"/>
    <w:rsid w:val="1C940DEA"/>
    <w:rsid w:val="1C9F4F52"/>
    <w:rsid w:val="1CF05E6B"/>
    <w:rsid w:val="1CFC7456"/>
    <w:rsid w:val="1D096BA5"/>
    <w:rsid w:val="1D227B54"/>
    <w:rsid w:val="1D236331"/>
    <w:rsid w:val="1D407F36"/>
    <w:rsid w:val="1D540A4C"/>
    <w:rsid w:val="1D570900"/>
    <w:rsid w:val="1D5A72F2"/>
    <w:rsid w:val="1D6426C6"/>
    <w:rsid w:val="1D7275DD"/>
    <w:rsid w:val="1D74500E"/>
    <w:rsid w:val="1D7C5F7B"/>
    <w:rsid w:val="1D7F4B06"/>
    <w:rsid w:val="1D8924B9"/>
    <w:rsid w:val="1D9B4C9A"/>
    <w:rsid w:val="1DC31A59"/>
    <w:rsid w:val="1DD26459"/>
    <w:rsid w:val="1DD523DE"/>
    <w:rsid w:val="1DD7559C"/>
    <w:rsid w:val="1E023E27"/>
    <w:rsid w:val="1E0845C3"/>
    <w:rsid w:val="1E3B7FF0"/>
    <w:rsid w:val="1E5842F0"/>
    <w:rsid w:val="1E642593"/>
    <w:rsid w:val="1E791845"/>
    <w:rsid w:val="1E804B26"/>
    <w:rsid w:val="1E8A5DE0"/>
    <w:rsid w:val="1E9F65F4"/>
    <w:rsid w:val="1EE10DD4"/>
    <w:rsid w:val="1EEC32CA"/>
    <w:rsid w:val="1EF62763"/>
    <w:rsid w:val="1EFA59E6"/>
    <w:rsid w:val="1F071EB1"/>
    <w:rsid w:val="1F2C6FAB"/>
    <w:rsid w:val="1F3E06FB"/>
    <w:rsid w:val="1F44570F"/>
    <w:rsid w:val="1F4E188E"/>
    <w:rsid w:val="1F7E5ABE"/>
    <w:rsid w:val="1F895EF1"/>
    <w:rsid w:val="1F8A5D35"/>
    <w:rsid w:val="1F9225B2"/>
    <w:rsid w:val="1F930159"/>
    <w:rsid w:val="1FC27D49"/>
    <w:rsid w:val="1FC81641"/>
    <w:rsid w:val="1FED3AB8"/>
    <w:rsid w:val="1FF262C6"/>
    <w:rsid w:val="1FF77D97"/>
    <w:rsid w:val="20245EDC"/>
    <w:rsid w:val="20467814"/>
    <w:rsid w:val="208714FC"/>
    <w:rsid w:val="2099122F"/>
    <w:rsid w:val="20C808AA"/>
    <w:rsid w:val="20E424AA"/>
    <w:rsid w:val="20FD356C"/>
    <w:rsid w:val="211C7E96"/>
    <w:rsid w:val="211F34E2"/>
    <w:rsid w:val="21264F9C"/>
    <w:rsid w:val="212C3707"/>
    <w:rsid w:val="214271D1"/>
    <w:rsid w:val="21477B86"/>
    <w:rsid w:val="214E6EE9"/>
    <w:rsid w:val="214F6F82"/>
    <w:rsid w:val="216058A9"/>
    <w:rsid w:val="21654860"/>
    <w:rsid w:val="217063B1"/>
    <w:rsid w:val="21760810"/>
    <w:rsid w:val="2181134F"/>
    <w:rsid w:val="218D490E"/>
    <w:rsid w:val="21A17576"/>
    <w:rsid w:val="21A32365"/>
    <w:rsid w:val="21A80E04"/>
    <w:rsid w:val="21B22ECE"/>
    <w:rsid w:val="21BA76AF"/>
    <w:rsid w:val="21D806A5"/>
    <w:rsid w:val="21E81D77"/>
    <w:rsid w:val="22121AB8"/>
    <w:rsid w:val="221E19EC"/>
    <w:rsid w:val="2227082E"/>
    <w:rsid w:val="222E0813"/>
    <w:rsid w:val="223B2384"/>
    <w:rsid w:val="224A3A92"/>
    <w:rsid w:val="22657EF6"/>
    <w:rsid w:val="2274785E"/>
    <w:rsid w:val="228D1A3A"/>
    <w:rsid w:val="22BF0094"/>
    <w:rsid w:val="22CD2F8A"/>
    <w:rsid w:val="22CE5A69"/>
    <w:rsid w:val="22DB4D7D"/>
    <w:rsid w:val="22FA5A07"/>
    <w:rsid w:val="22FF5791"/>
    <w:rsid w:val="23256DAA"/>
    <w:rsid w:val="232B0FB7"/>
    <w:rsid w:val="233314C7"/>
    <w:rsid w:val="23622D89"/>
    <w:rsid w:val="236B0C61"/>
    <w:rsid w:val="23852AE7"/>
    <w:rsid w:val="238B5A7F"/>
    <w:rsid w:val="23910CB7"/>
    <w:rsid w:val="23A979DB"/>
    <w:rsid w:val="23BE5F46"/>
    <w:rsid w:val="23E17175"/>
    <w:rsid w:val="23E37741"/>
    <w:rsid w:val="23EA1637"/>
    <w:rsid w:val="23FC5D5D"/>
    <w:rsid w:val="240449E0"/>
    <w:rsid w:val="240F5A90"/>
    <w:rsid w:val="24296ACC"/>
    <w:rsid w:val="242D4BD3"/>
    <w:rsid w:val="24313A1D"/>
    <w:rsid w:val="243C2451"/>
    <w:rsid w:val="244B21C1"/>
    <w:rsid w:val="245C20B0"/>
    <w:rsid w:val="246A597E"/>
    <w:rsid w:val="246E2002"/>
    <w:rsid w:val="24731A3C"/>
    <w:rsid w:val="248D71DC"/>
    <w:rsid w:val="24AB719D"/>
    <w:rsid w:val="24CA67E5"/>
    <w:rsid w:val="24F8118B"/>
    <w:rsid w:val="251C3012"/>
    <w:rsid w:val="25302162"/>
    <w:rsid w:val="25340BFB"/>
    <w:rsid w:val="2536649D"/>
    <w:rsid w:val="253A65CA"/>
    <w:rsid w:val="2555311F"/>
    <w:rsid w:val="255E0351"/>
    <w:rsid w:val="256C5840"/>
    <w:rsid w:val="25712A79"/>
    <w:rsid w:val="257162D7"/>
    <w:rsid w:val="25787B45"/>
    <w:rsid w:val="25A12B6D"/>
    <w:rsid w:val="25A37345"/>
    <w:rsid w:val="25AE707A"/>
    <w:rsid w:val="25BD5D24"/>
    <w:rsid w:val="25F002FA"/>
    <w:rsid w:val="25F52A64"/>
    <w:rsid w:val="2605038D"/>
    <w:rsid w:val="26093A45"/>
    <w:rsid w:val="26154EB4"/>
    <w:rsid w:val="263A38A0"/>
    <w:rsid w:val="26611C11"/>
    <w:rsid w:val="26621A21"/>
    <w:rsid w:val="267C7FC9"/>
    <w:rsid w:val="268169ED"/>
    <w:rsid w:val="26991B1E"/>
    <w:rsid w:val="26AF1852"/>
    <w:rsid w:val="26B00DE2"/>
    <w:rsid w:val="26B874D0"/>
    <w:rsid w:val="26BD47FF"/>
    <w:rsid w:val="26C55E33"/>
    <w:rsid w:val="26DA1076"/>
    <w:rsid w:val="26DC3715"/>
    <w:rsid w:val="26EA0F62"/>
    <w:rsid w:val="26F8268D"/>
    <w:rsid w:val="27072222"/>
    <w:rsid w:val="27105E1E"/>
    <w:rsid w:val="27111B1F"/>
    <w:rsid w:val="271867D0"/>
    <w:rsid w:val="272F1D72"/>
    <w:rsid w:val="27473793"/>
    <w:rsid w:val="27483F30"/>
    <w:rsid w:val="27484DBC"/>
    <w:rsid w:val="2749286A"/>
    <w:rsid w:val="275B6273"/>
    <w:rsid w:val="2775510D"/>
    <w:rsid w:val="27785025"/>
    <w:rsid w:val="27A97FAA"/>
    <w:rsid w:val="27AA34E1"/>
    <w:rsid w:val="27E1164E"/>
    <w:rsid w:val="27F22E1F"/>
    <w:rsid w:val="27F455D3"/>
    <w:rsid w:val="27FB2984"/>
    <w:rsid w:val="280E7144"/>
    <w:rsid w:val="281A35CE"/>
    <w:rsid w:val="282467E2"/>
    <w:rsid w:val="282708E5"/>
    <w:rsid w:val="283934ED"/>
    <w:rsid w:val="284321AC"/>
    <w:rsid w:val="28620159"/>
    <w:rsid w:val="28702113"/>
    <w:rsid w:val="28704CFE"/>
    <w:rsid w:val="287D4ABE"/>
    <w:rsid w:val="28861297"/>
    <w:rsid w:val="288A6D6B"/>
    <w:rsid w:val="288E0F4E"/>
    <w:rsid w:val="288E3FE1"/>
    <w:rsid w:val="28902F18"/>
    <w:rsid w:val="289E5635"/>
    <w:rsid w:val="28B871A9"/>
    <w:rsid w:val="28BF6807"/>
    <w:rsid w:val="28C01A4F"/>
    <w:rsid w:val="28C8346B"/>
    <w:rsid w:val="28CA3A06"/>
    <w:rsid w:val="28CD3B03"/>
    <w:rsid w:val="28EE0705"/>
    <w:rsid w:val="28F24C9B"/>
    <w:rsid w:val="292657AF"/>
    <w:rsid w:val="29411321"/>
    <w:rsid w:val="29512D29"/>
    <w:rsid w:val="295746E4"/>
    <w:rsid w:val="295D0737"/>
    <w:rsid w:val="29976F68"/>
    <w:rsid w:val="299F1664"/>
    <w:rsid w:val="29C73216"/>
    <w:rsid w:val="29FB6421"/>
    <w:rsid w:val="2A275A1A"/>
    <w:rsid w:val="2A2D406D"/>
    <w:rsid w:val="2AC572BD"/>
    <w:rsid w:val="2ACC4CC4"/>
    <w:rsid w:val="2ACF4907"/>
    <w:rsid w:val="2ADF7BA5"/>
    <w:rsid w:val="2AE124BC"/>
    <w:rsid w:val="2AE60862"/>
    <w:rsid w:val="2AFC55F8"/>
    <w:rsid w:val="2B033E75"/>
    <w:rsid w:val="2B0902B5"/>
    <w:rsid w:val="2B107E17"/>
    <w:rsid w:val="2B5B6F05"/>
    <w:rsid w:val="2B8366C8"/>
    <w:rsid w:val="2B990335"/>
    <w:rsid w:val="2BA50A88"/>
    <w:rsid w:val="2BFB4B4C"/>
    <w:rsid w:val="2C0656F3"/>
    <w:rsid w:val="2C1D4DCC"/>
    <w:rsid w:val="2C2570F6"/>
    <w:rsid w:val="2C3D3520"/>
    <w:rsid w:val="2C4464F3"/>
    <w:rsid w:val="2C6B3A80"/>
    <w:rsid w:val="2C734C03"/>
    <w:rsid w:val="2C780592"/>
    <w:rsid w:val="2C8A344F"/>
    <w:rsid w:val="2CA225B2"/>
    <w:rsid w:val="2CAB4A5B"/>
    <w:rsid w:val="2CAF6281"/>
    <w:rsid w:val="2CC57707"/>
    <w:rsid w:val="2CCB3F95"/>
    <w:rsid w:val="2CD60AC5"/>
    <w:rsid w:val="2CD75F02"/>
    <w:rsid w:val="2CE35D0C"/>
    <w:rsid w:val="2D0C6EE2"/>
    <w:rsid w:val="2D186881"/>
    <w:rsid w:val="2D280EB9"/>
    <w:rsid w:val="2D39592C"/>
    <w:rsid w:val="2D3B4B5C"/>
    <w:rsid w:val="2D513B5D"/>
    <w:rsid w:val="2D545784"/>
    <w:rsid w:val="2D693441"/>
    <w:rsid w:val="2D8B296A"/>
    <w:rsid w:val="2D8D442A"/>
    <w:rsid w:val="2D93624A"/>
    <w:rsid w:val="2D981334"/>
    <w:rsid w:val="2DA15F86"/>
    <w:rsid w:val="2DB15E0A"/>
    <w:rsid w:val="2DB80F46"/>
    <w:rsid w:val="2DE0634C"/>
    <w:rsid w:val="2DE57862"/>
    <w:rsid w:val="2DEE10FE"/>
    <w:rsid w:val="2DF367BA"/>
    <w:rsid w:val="2E105A61"/>
    <w:rsid w:val="2E172C43"/>
    <w:rsid w:val="2E1E30FD"/>
    <w:rsid w:val="2E1F2D74"/>
    <w:rsid w:val="2E28453E"/>
    <w:rsid w:val="2E2D4CFC"/>
    <w:rsid w:val="2E580034"/>
    <w:rsid w:val="2E6A779E"/>
    <w:rsid w:val="2E6D7F83"/>
    <w:rsid w:val="2E94639A"/>
    <w:rsid w:val="2E9574DA"/>
    <w:rsid w:val="2EA80FBB"/>
    <w:rsid w:val="2EAB3BE5"/>
    <w:rsid w:val="2EB44A81"/>
    <w:rsid w:val="2EC92CDF"/>
    <w:rsid w:val="2EEE2746"/>
    <w:rsid w:val="2EFC519F"/>
    <w:rsid w:val="2F057782"/>
    <w:rsid w:val="2F191CD3"/>
    <w:rsid w:val="2F214357"/>
    <w:rsid w:val="2F261EE0"/>
    <w:rsid w:val="2F280ABE"/>
    <w:rsid w:val="2F5729E1"/>
    <w:rsid w:val="2F5C1C63"/>
    <w:rsid w:val="2F5D191E"/>
    <w:rsid w:val="2F7470EF"/>
    <w:rsid w:val="2F7E0A77"/>
    <w:rsid w:val="2F9432ED"/>
    <w:rsid w:val="2FA365BC"/>
    <w:rsid w:val="2FA52D91"/>
    <w:rsid w:val="2FAD08B5"/>
    <w:rsid w:val="2FAF4142"/>
    <w:rsid w:val="2FB81F08"/>
    <w:rsid w:val="2FC516DE"/>
    <w:rsid w:val="2FD07DA3"/>
    <w:rsid w:val="2FE50B6D"/>
    <w:rsid w:val="2FF16992"/>
    <w:rsid w:val="2FFF284F"/>
    <w:rsid w:val="301A32E8"/>
    <w:rsid w:val="302909F7"/>
    <w:rsid w:val="30386983"/>
    <w:rsid w:val="3039569D"/>
    <w:rsid w:val="303B5E5F"/>
    <w:rsid w:val="3068478D"/>
    <w:rsid w:val="307B4D1C"/>
    <w:rsid w:val="309E3EA8"/>
    <w:rsid w:val="30A21A3A"/>
    <w:rsid w:val="30B622A4"/>
    <w:rsid w:val="30E06BCF"/>
    <w:rsid w:val="30E958BB"/>
    <w:rsid w:val="30FA066E"/>
    <w:rsid w:val="30FF50DE"/>
    <w:rsid w:val="311E159D"/>
    <w:rsid w:val="3121731A"/>
    <w:rsid w:val="312560D9"/>
    <w:rsid w:val="31260743"/>
    <w:rsid w:val="3126182E"/>
    <w:rsid w:val="312945FA"/>
    <w:rsid w:val="312B7C81"/>
    <w:rsid w:val="314B0FFF"/>
    <w:rsid w:val="315A2C98"/>
    <w:rsid w:val="315C608D"/>
    <w:rsid w:val="316D029A"/>
    <w:rsid w:val="316E7A4B"/>
    <w:rsid w:val="318D4498"/>
    <w:rsid w:val="319B5AF3"/>
    <w:rsid w:val="31DD67C8"/>
    <w:rsid w:val="31DE1E93"/>
    <w:rsid w:val="31F21F65"/>
    <w:rsid w:val="31F4634A"/>
    <w:rsid w:val="320048E8"/>
    <w:rsid w:val="32004C6A"/>
    <w:rsid w:val="32026C34"/>
    <w:rsid w:val="320B4800"/>
    <w:rsid w:val="32187CB3"/>
    <w:rsid w:val="322070BA"/>
    <w:rsid w:val="322A1CE7"/>
    <w:rsid w:val="32416D30"/>
    <w:rsid w:val="324A7215"/>
    <w:rsid w:val="32611FAF"/>
    <w:rsid w:val="326A47D9"/>
    <w:rsid w:val="327F2033"/>
    <w:rsid w:val="328474F6"/>
    <w:rsid w:val="32C22B92"/>
    <w:rsid w:val="32CB34CA"/>
    <w:rsid w:val="32D344CA"/>
    <w:rsid w:val="32F13042"/>
    <w:rsid w:val="32F63ADD"/>
    <w:rsid w:val="3301564D"/>
    <w:rsid w:val="330615EA"/>
    <w:rsid w:val="33127DF9"/>
    <w:rsid w:val="331E617E"/>
    <w:rsid w:val="331F08B2"/>
    <w:rsid w:val="332826CA"/>
    <w:rsid w:val="33294694"/>
    <w:rsid w:val="33335C3E"/>
    <w:rsid w:val="33526F1A"/>
    <w:rsid w:val="33581B1C"/>
    <w:rsid w:val="335E6723"/>
    <w:rsid w:val="336F63C6"/>
    <w:rsid w:val="336F654B"/>
    <w:rsid w:val="33745084"/>
    <w:rsid w:val="33751688"/>
    <w:rsid w:val="337F3156"/>
    <w:rsid w:val="33961E92"/>
    <w:rsid w:val="33977251"/>
    <w:rsid w:val="33C10429"/>
    <w:rsid w:val="33C74BEC"/>
    <w:rsid w:val="33CA5530"/>
    <w:rsid w:val="33CD70D4"/>
    <w:rsid w:val="340F388A"/>
    <w:rsid w:val="34100F32"/>
    <w:rsid w:val="34105EF7"/>
    <w:rsid w:val="3459162D"/>
    <w:rsid w:val="346F5140"/>
    <w:rsid w:val="34806536"/>
    <w:rsid w:val="34924F08"/>
    <w:rsid w:val="34AD7A7E"/>
    <w:rsid w:val="34B5753F"/>
    <w:rsid w:val="34D74382"/>
    <w:rsid w:val="34E64A38"/>
    <w:rsid w:val="34EC6639"/>
    <w:rsid w:val="350F47CC"/>
    <w:rsid w:val="352069FD"/>
    <w:rsid w:val="352073D1"/>
    <w:rsid w:val="352E544D"/>
    <w:rsid w:val="35371508"/>
    <w:rsid w:val="353D23F7"/>
    <w:rsid w:val="35472BB0"/>
    <w:rsid w:val="3548572F"/>
    <w:rsid w:val="35622C84"/>
    <w:rsid w:val="356D4154"/>
    <w:rsid w:val="357C67B0"/>
    <w:rsid w:val="35884863"/>
    <w:rsid w:val="3595179C"/>
    <w:rsid w:val="35A818A1"/>
    <w:rsid w:val="35B91D00"/>
    <w:rsid w:val="35CE4D4C"/>
    <w:rsid w:val="35DC59EE"/>
    <w:rsid w:val="360A4309"/>
    <w:rsid w:val="3615309C"/>
    <w:rsid w:val="36154A5C"/>
    <w:rsid w:val="36227F1C"/>
    <w:rsid w:val="363D0446"/>
    <w:rsid w:val="364B1913"/>
    <w:rsid w:val="365E7C0A"/>
    <w:rsid w:val="366559E4"/>
    <w:rsid w:val="366F5943"/>
    <w:rsid w:val="368D2EC4"/>
    <w:rsid w:val="368F0563"/>
    <w:rsid w:val="36992F8C"/>
    <w:rsid w:val="36B1051E"/>
    <w:rsid w:val="36DD7BA6"/>
    <w:rsid w:val="36E00C6E"/>
    <w:rsid w:val="371B60A2"/>
    <w:rsid w:val="37293AE2"/>
    <w:rsid w:val="373B04F2"/>
    <w:rsid w:val="37461371"/>
    <w:rsid w:val="374D1EF4"/>
    <w:rsid w:val="376945F1"/>
    <w:rsid w:val="378A59C1"/>
    <w:rsid w:val="37950385"/>
    <w:rsid w:val="37BF4E01"/>
    <w:rsid w:val="37C16C75"/>
    <w:rsid w:val="37CE39F1"/>
    <w:rsid w:val="37D41FB7"/>
    <w:rsid w:val="37EA12D3"/>
    <w:rsid w:val="37EA7630"/>
    <w:rsid w:val="380157D9"/>
    <w:rsid w:val="38091BB6"/>
    <w:rsid w:val="380A7C58"/>
    <w:rsid w:val="382610C1"/>
    <w:rsid w:val="38305865"/>
    <w:rsid w:val="383264BD"/>
    <w:rsid w:val="384A30E3"/>
    <w:rsid w:val="38517536"/>
    <w:rsid w:val="38520411"/>
    <w:rsid w:val="388C7258"/>
    <w:rsid w:val="38917082"/>
    <w:rsid w:val="389F59B5"/>
    <w:rsid w:val="38A670C4"/>
    <w:rsid w:val="38B15DB7"/>
    <w:rsid w:val="38B375B0"/>
    <w:rsid w:val="38B40A9C"/>
    <w:rsid w:val="38C56EA1"/>
    <w:rsid w:val="38C95B2C"/>
    <w:rsid w:val="38C95C41"/>
    <w:rsid w:val="38C9634C"/>
    <w:rsid w:val="38E41B15"/>
    <w:rsid w:val="38F43DB0"/>
    <w:rsid w:val="39007C46"/>
    <w:rsid w:val="39056C47"/>
    <w:rsid w:val="39141FA8"/>
    <w:rsid w:val="39400042"/>
    <w:rsid w:val="39475874"/>
    <w:rsid w:val="39477862"/>
    <w:rsid w:val="39504114"/>
    <w:rsid w:val="395A2507"/>
    <w:rsid w:val="395A4E5E"/>
    <w:rsid w:val="396226AE"/>
    <w:rsid w:val="396C4A31"/>
    <w:rsid w:val="396C4B5A"/>
    <w:rsid w:val="39736669"/>
    <w:rsid w:val="39755F3E"/>
    <w:rsid w:val="398D2482"/>
    <w:rsid w:val="39986745"/>
    <w:rsid w:val="39A06131"/>
    <w:rsid w:val="39D63200"/>
    <w:rsid w:val="39E6440A"/>
    <w:rsid w:val="39F53A1D"/>
    <w:rsid w:val="3A2754E1"/>
    <w:rsid w:val="3A325397"/>
    <w:rsid w:val="3A577D17"/>
    <w:rsid w:val="3A5970F7"/>
    <w:rsid w:val="3A76582E"/>
    <w:rsid w:val="3A81766A"/>
    <w:rsid w:val="3A845FD1"/>
    <w:rsid w:val="3A886669"/>
    <w:rsid w:val="3AAA1C17"/>
    <w:rsid w:val="3AB47880"/>
    <w:rsid w:val="3AC151B3"/>
    <w:rsid w:val="3ADD1FEC"/>
    <w:rsid w:val="3AEE2903"/>
    <w:rsid w:val="3AF5295D"/>
    <w:rsid w:val="3B045F58"/>
    <w:rsid w:val="3B0A4407"/>
    <w:rsid w:val="3B10547C"/>
    <w:rsid w:val="3B183024"/>
    <w:rsid w:val="3B221DD2"/>
    <w:rsid w:val="3B295A3F"/>
    <w:rsid w:val="3B3C11B9"/>
    <w:rsid w:val="3B5A0BAF"/>
    <w:rsid w:val="3B6839EC"/>
    <w:rsid w:val="3B697D24"/>
    <w:rsid w:val="3B6E32D5"/>
    <w:rsid w:val="3B7B18BE"/>
    <w:rsid w:val="3B8B3A2A"/>
    <w:rsid w:val="3BB926CE"/>
    <w:rsid w:val="3BBD452E"/>
    <w:rsid w:val="3BC35012"/>
    <w:rsid w:val="3BCE0F2C"/>
    <w:rsid w:val="3BD956B7"/>
    <w:rsid w:val="3BE66040"/>
    <w:rsid w:val="3C0320E2"/>
    <w:rsid w:val="3C0D32ED"/>
    <w:rsid w:val="3C190160"/>
    <w:rsid w:val="3C1D6D23"/>
    <w:rsid w:val="3C2E1DA2"/>
    <w:rsid w:val="3C2E6878"/>
    <w:rsid w:val="3C447D8C"/>
    <w:rsid w:val="3C4F7720"/>
    <w:rsid w:val="3C690B6C"/>
    <w:rsid w:val="3C814BF9"/>
    <w:rsid w:val="3CC02CF3"/>
    <w:rsid w:val="3CC91AC2"/>
    <w:rsid w:val="3CCD6091"/>
    <w:rsid w:val="3CCE4150"/>
    <w:rsid w:val="3D197A98"/>
    <w:rsid w:val="3D2648D3"/>
    <w:rsid w:val="3D290B19"/>
    <w:rsid w:val="3D2E4D81"/>
    <w:rsid w:val="3D4247F0"/>
    <w:rsid w:val="3D4E5423"/>
    <w:rsid w:val="3D537EA1"/>
    <w:rsid w:val="3D557A4C"/>
    <w:rsid w:val="3D7636A8"/>
    <w:rsid w:val="3D776425"/>
    <w:rsid w:val="3D7A16C5"/>
    <w:rsid w:val="3DB434DE"/>
    <w:rsid w:val="3DBC2F02"/>
    <w:rsid w:val="3DC237B7"/>
    <w:rsid w:val="3DD82B81"/>
    <w:rsid w:val="3DE37154"/>
    <w:rsid w:val="3E020852"/>
    <w:rsid w:val="3E0C4997"/>
    <w:rsid w:val="3E174EC3"/>
    <w:rsid w:val="3E186E8C"/>
    <w:rsid w:val="3E393D12"/>
    <w:rsid w:val="3E3D7F65"/>
    <w:rsid w:val="3E596376"/>
    <w:rsid w:val="3E6C3E83"/>
    <w:rsid w:val="3E6F2431"/>
    <w:rsid w:val="3E8260FE"/>
    <w:rsid w:val="3E907BE2"/>
    <w:rsid w:val="3EB66E3F"/>
    <w:rsid w:val="3EF47905"/>
    <w:rsid w:val="3F095976"/>
    <w:rsid w:val="3F0B6385"/>
    <w:rsid w:val="3F184C9E"/>
    <w:rsid w:val="3F5F68C0"/>
    <w:rsid w:val="3F763A08"/>
    <w:rsid w:val="3F780536"/>
    <w:rsid w:val="3F7A063E"/>
    <w:rsid w:val="3FB53C5D"/>
    <w:rsid w:val="3FB711FC"/>
    <w:rsid w:val="3FCE45FA"/>
    <w:rsid w:val="3FDA312B"/>
    <w:rsid w:val="3FDE5256"/>
    <w:rsid w:val="3FF83425"/>
    <w:rsid w:val="3FFA0D61"/>
    <w:rsid w:val="4001414A"/>
    <w:rsid w:val="400211A6"/>
    <w:rsid w:val="40073822"/>
    <w:rsid w:val="401E5AE1"/>
    <w:rsid w:val="405D597D"/>
    <w:rsid w:val="406F1256"/>
    <w:rsid w:val="407C4056"/>
    <w:rsid w:val="40976E73"/>
    <w:rsid w:val="40A76F53"/>
    <w:rsid w:val="40AB5008"/>
    <w:rsid w:val="40B871CC"/>
    <w:rsid w:val="40F115F5"/>
    <w:rsid w:val="40F14A51"/>
    <w:rsid w:val="41286C0B"/>
    <w:rsid w:val="412C21CF"/>
    <w:rsid w:val="412E43A4"/>
    <w:rsid w:val="413E5A1F"/>
    <w:rsid w:val="414E3ABF"/>
    <w:rsid w:val="41664102"/>
    <w:rsid w:val="41790595"/>
    <w:rsid w:val="417A51A0"/>
    <w:rsid w:val="418764DD"/>
    <w:rsid w:val="41A05B22"/>
    <w:rsid w:val="41A0664C"/>
    <w:rsid w:val="41CB1F6E"/>
    <w:rsid w:val="41D37CA5"/>
    <w:rsid w:val="41EB6A9E"/>
    <w:rsid w:val="41F01E86"/>
    <w:rsid w:val="421A3B26"/>
    <w:rsid w:val="421B33FA"/>
    <w:rsid w:val="42283CB5"/>
    <w:rsid w:val="423821FE"/>
    <w:rsid w:val="423A41C8"/>
    <w:rsid w:val="42611755"/>
    <w:rsid w:val="426825A3"/>
    <w:rsid w:val="426D3E38"/>
    <w:rsid w:val="427C033D"/>
    <w:rsid w:val="42986CA5"/>
    <w:rsid w:val="42997036"/>
    <w:rsid w:val="42A27E98"/>
    <w:rsid w:val="42B44AA4"/>
    <w:rsid w:val="42BA073C"/>
    <w:rsid w:val="42D448E2"/>
    <w:rsid w:val="42DC29C8"/>
    <w:rsid w:val="42E5574C"/>
    <w:rsid w:val="42F57311"/>
    <w:rsid w:val="4304272C"/>
    <w:rsid w:val="430646B0"/>
    <w:rsid w:val="43095949"/>
    <w:rsid w:val="434C248F"/>
    <w:rsid w:val="436C03B1"/>
    <w:rsid w:val="436E21DE"/>
    <w:rsid w:val="436F01C8"/>
    <w:rsid w:val="43900589"/>
    <w:rsid w:val="43A22DD9"/>
    <w:rsid w:val="43A80592"/>
    <w:rsid w:val="43CF6B92"/>
    <w:rsid w:val="43D21F6A"/>
    <w:rsid w:val="43F041A7"/>
    <w:rsid w:val="44043B95"/>
    <w:rsid w:val="44056110"/>
    <w:rsid w:val="441449F6"/>
    <w:rsid w:val="44173C6A"/>
    <w:rsid w:val="441C329A"/>
    <w:rsid w:val="442567B2"/>
    <w:rsid w:val="442A5B49"/>
    <w:rsid w:val="4430118F"/>
    <w:rsid w:val="44333030"/>
    <w:rsid w:val="44474B53"/>
    <w:rsid w:val="445E28E1"/>
    <w:rsid w:val="44644CA6"/>
    <w:rsid w:val="446472DA"/>
    <w:rsid w:val="4478567E"/>
    <w:rsid w:val="447D50E6"/>
    <w:rsid w:val="44883642"/>
    <w:rsid w:val="448E4445"/>
    <w:rsid w:val="44A92F3F"/>
    <w:rsid w:val="44C10289"/>
    <w:rsid w:val="44D34D39"/>
    <w:rsid w:val="44D90DD0"/>
    <w:rsid w:val="45223A53"/>
    <w:rsid w:val="455C013E"/>
    <w:rsid w:val="4561381A"/>
    <w:rsid w:val="456C2B0E"/>
    <w:rsid w:val="45774DEB"/>
    <w:rsid w:val="457D1812"/>
    <w:rsid w:val="45AA52CF"/>
    <w:rsid w:val="45AC15CB"/>
    <w:rsid w:val="45AE6A04"/>
    <w:rsid w:val="45C21865"/>
    <w:rsid w:val="45C5231F"/>
    <w:rsid w:val="461C0C36"/>
    <w:rsid w:val="46247237"/>
    <w:rsid w:val="462E7BA0"/>
    <w:rsid w:val="462F1E83"/>
    <w:rsid w:val="4632339B"/>
    <w:rsid w:val="46492C2C"/>
    <w:rsid w:val="46537607"/>
    <w:rsid w:val="466E4957"/>
    <w:rsid w:val="467557CF"/>
    <w:rsid w:val="467C2F34"/>
    <w:rsid w:val="4685178A"/>
    <w:rsid w:val="468772B0"/>
    <w:rsid w:val="46894627"/>
    <w:rsid w:val="468A6DA0"/>
    <w:rsid w:val="469C7200"/>
    <w:rsid w:val="46A8663B"/>
    <w:rsid w:val="46BC35D9"/>
    <w:rsid w:val="46BD2CD2"/>
    <w:rsid w:val="46C158FF"/>
    <w:rsid w:val="4737195B"/>
    <w:rsid w:val="474D0C46"/>
    <w:rsid w:val="475E6D69"/>
    <w:rsid w:val="475F3D89"/>
    <w:rsid w:val="476E221E"/>
    <w:rsid w:val="47C50090"/>
    <w:rsid w:val="47D13D59"/>
    <w:rsid w:val="47D604EF"/>
    <w:rsid w:val="47DC6A1F"/>
    <w:rsid w:val="47E35B08"/>
    <w:rsid w:val="4800426E"/>
    <w:rsid w:val="48054B47"/>
    <w:rsid w:val="48092B19"/>
    <w:rsid w:val="481D504E"/>
    <w:rsid w:val="48277B6C"/>
    <w:rsid w:val="482A6280"/>
    <w:rsid w:val="4832262B"/>
    <w:rsid w:val="48533B2A"/>
    <w:rsid w:val="486755EB"/>
    <w:rsid w:val="4872330D"/>
    <w:rsid w:val="48972CE4"/>
    <w:rsid w:val="4899619E"/>
    <w:rsid w:val="48A453A1"/>
    <w:rsid w:val="48AE2419"/>
    <w:rsid w:val="48BC6013"/>
    <w:rsid w:val="48C6614D"/>
    <w:rsid w:val="48C77E38"/>
    <w:rsid w:val="48D0052D"/>
    <w:rsid w:val="48EA7DE0"/>
    <w:rsid w:val="48EC3D42"/>
    <w:rsid w:val="48EC789E"/>
    <w:rsid w:val="4907292A"/>
    <w:rsid w:val="49247038"/>
    <w:rsid w:val="49267254"/>
    <w:rsid w:val="4946664C"/>
    <w:rsid w:val="494D47E1"/>
    <w:rsid w:val="4957242E"/>
    <w:rsid w:val="4968786D"/>
    <w:rsid w:val="496B4C67"/>
    <w:rsid w:val="49702445"/>
    <w:rsid w:val="499042A4"/>
    <w:rsid w:val="499C1713"/>
    <w:rsid w:val="49A55559"/>
    <w:rsid w:val="49B12A65"/>
    <w:rsid w:val="49B537D7"/>
    <w:rsid w:val="49BE56DF"/>
    <w:rsid w:val="49D12904"/>
    <w:rsid w:val="49E5489D"/>
    <w:rsid w:val="49F81187"/>
    <w:rsid w:val="49F82CCF"/>
    <w:rsid w:val="4A024AD0"/>
    <w:rsid w:val="4A027B4B"/>
    <w:rsid w:val="4A041AC3"/>
    <w:rsid w:val="4A1D068B"/>
    <w:rsid w:val="4A230F10"/>
    <w:rsid w:val="4A37734B"/>
    <w:rsid w:val="4A4617EA"/>
    <w:rsid w:val="4A52208C"/>
    <w:rsid w:val="4A563B69"/>
    <w:rsid w:val="4A5E0944"/>
    <w:rsid w:val="4A6610AA"/>
    <w:rsid w:val="4A6A56E8"/>
    <w:rsid w:val="4A8B6BD3"/>
    <w:rsid w:val="4A8D015B"/>
    <w:rsid w:val="4A8E7695"/>
    <w:rsid w:val="4AA87194"/>
    <w:rsid w:val="4AAE5599"/>
    <w:rsid w:val="4AC33923"/>
    <w:rsid w:val="4AD12E5A"/>
    <w:rsid w:val="4AF06848"/>
    <w:rsid w:val="4B0F243F"/>
    <w:rsid w:val="4B297B9D"/>
    <w:rsid w:val="4B3C629B"/>
    <w:rsid w:val="4B4664F9"/>
    <w:rsid w:val="4B4D2A30"/>
    <w:rsid w:val="4B500246"/>
    <w:rsid w:val="4B5647FB"/>
    <w:rsid w:val="4B5D5902"/>
    <w:rsid w:val="4B614574"/>
    <w:rsid w:val="4B7178C7"/>
    <w:rsid w:val="4BA426B2"/>
    <w:rsid w:val="4BB06DB8"/>
    <w:rsid w:val="4BD21C8F"/>
    <w:rsid w:val="4BDC1E4C"/>
    <w:rsid w:val="4BF058F8"/>
    <w:rsid w:val="4C1235D5"/>
    <w:rsid w:val="4C1E25D9"/>
    <w:rsid w:val="4C2B6874"/>
    <w:rsid w:val="4C371778"/>
    <w:rsid w:val="4C393489"/>
    <w:rsid w:val="4C395188"/>
    <w:rsid w:val="4C8C5C16"/>
    <w:rsid w:val="4C9A3914"/>
    <w:rsid w:val="4CA07B96"/>
    <w:rsid w:val="4CA15BC9"/>
    <w:rsid w:val="4CA673C8"/>
    <w:rsid w:val="4CB3047F"/>
    <w:rsid w:val="4CB725E4"/>
    <w:rsid w:val="4CBF063E"/>
    <w:rsid w:val="4CC24B4C"/>
    <w:rsid w:val="4CDB43D7"/>
    <w:rsid w:val="4D0E5E48"/>
    <w:rsid w:val="4D0F1A08"/>
    <w:rsid w:val="4D1902BE"/>
    <w:rsid w:val="4D1E77B1"/>
    <w:rsid w:val="4D211F36"/>
    <w:rsid w:val="4D256418"/>
    <w:rsid w:val="4D2834AF"/>
    <w:rsid w:val="4D5F0F87"/>
    <w:rsid w:val="4D682977"/>
    <w:rsid w:val="4D6C468B"/>
    <w:rsid w:val="4D6C7200"/>
    <w:rsid w:val="4D80363C"/>
    <w:rsid w:val="4D814C58"/>
    <w:rsid w:val="4D950505"/>
    <w:rsid w:val="4D951057"/>
    <w:rsid w:val="4D9A1FBF"/>
    <w:rsid w:val="4DAE0BF8"/>
    <w:rsid w:val="4DB93431"/>
    <w:rsid w:val="4DBE3A6B"/>
    <w:rsid w:val="4DBF546E"/>
    <w:rsid w:val="4DC86B2C"/>
    <w:rsid w:val="4DDC2846"/>
    <w:rsid w:val="4DE208AD"/>
    <w:rsid w:val="4DE47B18"/>
    <w:rsid w:val="4DED20EF"/>
    <w:rsid w:val="4E050499"/>
    <w:rsid w:val="4E2B1AB9"/>
    <w:rsid w:val="4E2B220B"/>
    <w:rsid w:val="4E2B2C17"/>
    <w:rsid w:val="4E541801"/>
    <w:rsid w:val="4E5647C4"/>
    <w:rsid w:val="4E767DBA"/>
    <w:rsid w:val="4E7C1DD9"/>
    <w:rsid w:val="4E824F2D"/>
    <w:rsid w:val="4E833AC8"/>
    <w:rsid w:val="4E872543"/>
    <w:rsid w:val="4E8B4257"/>
    <w:rsid w:val="4E8D3A20"/>
    <w:rsid w:val="4EA56E6D"/>
    <w:rsid w:val="4ED02E46"/>
    <w:rsid w:val="4F0E056F"/>
    <w:rsid w:val="4F121149"/>
    <w:rsid w:val="4F1F62D3"/>
    <w:rsid w:val="4F280EFC"/>
    <w:rsid w:val="4F372DDD"/>
    <w:rsid w:val="4F3766C0"/>
    <w:rsid w:val="4F6A4947"/>
    <w:rsid w:val="4F762878"/>
    <w:rsid w:val="4F7C264D"/>
    <w:rsid w:val="4F8545A9"/>
    <w:rsid w:val="4FAF008D"/>
    <w:rsid w:val="4FD3569C"/>
    <w:rsid w:val="4FF05EC6"/>
    <w:rsid w:val="4FF8052D"/>
    <w:rsid w:val="50166926"/>
    <w:rsid w:val="50171910"/>
    <w:rsid w:val="502058C3"/>
    <w:rsid w:val="503D443F"/>
    <w:rsid w:val="504A7CCC"/>
    <w:rsid w:val="504D1554"/>
    <w:rsid w:val="5051105B"/>
    <w:rsid w:val="505B596F"/>
    <w:rsid w:val="50602F53"/>
    <w:rsid w:val="50662F05"/>
    <w:rsid w:val="5074354B"/>
    <w:rsid w:val="507B56FC"/>
    <w:rsid w:val="50822497"/>
    <w:rsid w:val="508718F0"/>
    <w:rsid w:val="508A4035"/>
    <w:rsid w:val="508D698B"/>
    <w:rsid w:val="508F643F"/>
    <w:rsid w:val="50990AA2"/>
    <w:rsid w:val="50A0135B"/>
    <w:rsid w:val="50A53155"/>
    <w:rsid w:val="50AD2009"/>
    <w:rsid w:val="50C61849"/>
    <w:rsid w:val="50E55AD0"/>
    <w:rsid w:val="50E772C9"/>
    <w:rsid w:val="50EE14B8"/>
    <w:rsid w:val="50FC5734"/>
    <w:rsid w:val="510036E0"/>
    <w:rsid w:val="512435DF"/>
    <w:rsid w:val="513B12E8"/>
    <w:rsid w:val="513B7D84"/>
    <w:rsid w:val="513E5DB7"/>
    <w:rsid w:val="514970FF"/>
    <w:rsid w:val="514C4262"/>
    <w:rsid w:val="515B3813"/>
    <w:rsid w:val="515C37AD"/>
    <w:rsid w:val="51733EAB"/>
    <w:rsid w:val="517370FA"/>
    <w:rsid w:val="51A4340C"/>
    <w:rsid w:val="51A61731"/>
    <w:rsid w:val="51B11EC7"/>
    <w:rsid w:val="51B478FB"/>
    <w:rsid w:val="51BC0DF9"/>
    <w:rsid w:val="51BC615A"/>
    <w:rsid w:val="51C4760A"/>
    <w:rsid w:val="51C70CD9"/>
    <w:rsid w:val="51C71567"/>
    <w:rsid w:val="51D43382"/>
    <w:rsid w:val="51F32D2F"/>
    <w:rsid w:val="52100AA2"/>
    <w:rsid w:val="52190392"/>
    <w:rsid w:val="521D7822"/>
    <w:rsid w:val="522A4101"/>
    <w:rsid w:val="522D51B0"/>
    <w:rsid w:val="52314DA8"/>
    <w:rsid w:val="52581161"/>
    <w:rsid w:val="528C0A30"/>
    <w:rsid w:val="529C2335"/>
    <w:rsid w:val="52A8613B"/>
    <w:rsid w:val="52B70F1D"/>
    <w:rsid w:val="52D304D8"/>
    <w:rsid w:val="52E017FB"/>
    <w:rsid w:val="52E21245"/>
    <w:rsid w:val="52E31CBD"/>
    <w:rsid w:val="532402BD"/>
    <w:rsid w:val="53456FF5"/>
    <w:rsid w:val="534E2799"/>
    <w:rsid w:val="537C25E6"/>
    <w:rsid w:val="538E2997"/>
    <w:rsid w:val="539250E9"/>
    <w:rsid w:val="539354E6"/>
    <w:rsid w:val="53A427AD"/>
    <w:rsid w:val="53A616BE"/>
    <w:rsid w:val="53A73534"/>
    <w:rsid w:val="53AF76C1"/>
    <w:rsid w:val="53B10062"/>
    <w:rsid w:val="53B8613A"/>
    <w:rsid w:val="53C42A66"/>
    <w:rsid w:val="53E421E6"/>
    <w:rsid w:val="53E7363B"/>
    <w:rsid w:val="53E83F0F"/>
    <w:rsid w:val="53EF1BEB"/>
    <w:rsid w:val="53F8133D"/>
    <w:rsid w:val="53FE77D2"/>
    <w:rsid w:val="540463E4"/>
    <w:rsid w:val="542A209B"/>
    <w:rsid w:val="542E7C0A"/>
    <w:rsid w:val="54336CC9"/>
    <w:rsid w:val="543919EF"/>
    <w:rsid w:val="54510FD0"/>
    <w:rsid w:val="546D4523"/>
    <w:rsid w:val="547E6196"/>
    <w:rsid w:val="548209E1"/>
    <w:rsid w:val="5495703C"/>
    <w:rsid w:val="54AA08FB"/>
    <w:rsid w:val="54AC5037"/>
    <w:rsid w:val="54B073EA"/>
    <w:rsid w:val="54C17A9E"/>
    <w:rsid w:val="54E6462A"/>
    <w:rsid w:val="54E67898"/>
    <w:rsid w:val="551B6A8A"/>
    <w:rsid w:val="551F5FF9"/>
    <w:rsid w:val="552A7206"/>
    <w:rsid w:val="552B3A2E"/>
    <w:rsid w:val="552F2E43"/>
    <w:rsid w:val="55474AC2"/>
    <w:rsid w:val="554D393A"/>
    <w:rsid w:val="55597061"/>
    <w:rsid w:val="555D47C4"/>
    <w:rsid w:val="556279A7"/>
    <w:rsid w:val="55980A5B"/>
    <w:rsid w:val="55A74D1E"/>
    <w:rsid w:val="55A863E5"/>
    <w:rsid w:val="55C715DD"/>
    <w:rsid w:val="55E71B19"/>
    <w:rsid w:val="55F14746"/>
    <w:rsid w:val="560E1BDD"/>
    <w:rsid w:val="560F79F9"/>
    <w:rsid w:val="561344E4"/>
    <w:rsid w:val="56327239"/>
    <w:rsid w:val="5634617F"/>
    <w:rsid w:val="563B7BFD"/>
    <w:rsid w:val="56567EED"/>
    <w:rsid w:val="56741F47"/>
    <w:rsid w:val="567B1F36"/>
    <w:rsid w:val="56A24C1D"/>
    <w:rsid w:val="56AE7C5A"/>
    <w:rsid w:val="56C7351C"/>
    <w:rsid w:val="56D1541C"/>
    <w:rsid w:val="57001308"/>
    <w:rsid w:val="570505EF"/>
    <w:rsid w:val="571D1C8F"/>
    <w:rsid w:val="57231F8B"/>
    <w:rsid w:val="572C1210"/>
    <w:rsid w:val="572F7AC2"/>
    <w:rsid w:val="57573528"/>
    <w:rsid w:val="575C5777"/>
    <w:rsid w:val="577D1D40"/>
    <w:rsid w:val="579655A5"/>
    <w:rsid w:val="57A853BE"/>
    <w:rsid w:val="57BD32EC"/>
    <w:rsid w:val="57C21C35"/>
    <w:rsid w:val="57CB2B15"/>
    <w:rsid w:val="57CF5A16"/>
    <w:rsid w:val="58076796"/>
    <w:rsid w:val="58156E12"/>
    <w:rsid w:val="58311772"/>
    <w:rsid w:val="584974E7"/>
    <w:rsid w:val="58516F10"/>
    <w:rsid w:val="585C5AED"/>
    <w:rsid w:val="588F5918"/>
    <w:rsid w:val="58B340A2"/>
    <w:rsid w:val="58C72E85"/>
    <w:rsid w:val="58CA425E"/>
    <w:rsid w:val="58D45090"/>
    <w:rsid w:val="58E30CBE"/>
    <w:rsid w:val="58EF5044"/>
    <w:rsid w:val="58FA1966"/>
    <w:rsid w:val="59050C34"/>
    <w:rsid w:val="59072F36"/>
    <w:rsid w:val="59126D4B"/>
    <w:rsid w:val="59401212"/>
    <w:rsid w:val="59496D52"/>
    <w:rsid w:val="595156E4"/>
    <w:rsid w:val="595219A0"/>
    <w:rsid w:val="59567D64"/>
    <w:rsid w:val="59611BE3"/>
    <w:rsid w:val="59881257"/>
    <w:rsid w:val="59904470"/>
    <w:rsid w:val="59A321FB"/>
    <w:rsid w:val="59AC54A4"/>
    <w:rsid w:val="59BB41C6"/>
    <w:rsid w:val="59CA59DA"/>
    <w:rsid w:val="59DE60F4"/>
    <w:rsid w:val="5A0E3B19"/>
    <w:rsid w:val="5A2B6AC6"/>
    <w:rsid w:val="5A345068"/>
    <w:rsid w:val="5A354D3F"/>
    <w:rsid w:val="5A405530"/>
    <w:rsid w:val="5A6220B6"/>
    <w:rsid w:val="5A6C48E6"/>
    <w:rsid w:val="5A765379"/>
    <w:rsid w:val="5A84202D"/>
    <w:rsid w:val="5A873458"/>
    <w:rsid w:val="5A8D6A64"/>
    <w:rsid w:val="5AB04BD0"/>
    <w:rsid w:val="5AB60511"/>
    <w:rsid w:val="5ABA39E5"/>
    <w:rsid w:val="5AC81DBA"/>
    <w:rsid w:val="5AF91B4A"/>
    <w:rsid w:val="5B0349CD"/>
    <w:rsid w:val="5B1C3FBE"/>
    <w:rsid w:val="5B4D0671"/>
    <w:rsid w:val="5B5F2152"/>
    <w:rsid w:val="5B6C1376"/>
    <w:rsid w:val="5B74683C"/>
    <w:rsid w:val="5B776821"/>
    <w:rsid w:val="5B790442"/>
    <w:rsid w:val="5B7D530D"/>
    <w:rsid w:val="5B7E2ECD"/>
    <w:rsid w:val="5B832D06"/>
    <w:rsid w:val="5B857E0A"/>
    <w:rsid w:val="5B923001"/>
    <w:rsid w:val="5BA1138A"/>
    <w:rsid w:val="5BA45030"/>
    <w:rsid w:val="5BAF6C35"/>
    <w:rsid w:val="5BB34E56"/>
    <w:rsid w:val="5BBA7635"/>
    <w:rsid w:val="5BBB7CD0"/>
    <w:rsid w:val="5BDC2291"/>
    <w:rsid w:val="5BEF4C4D"/>
    <w:rsid w:val="5BF3356C"/>
    <w:rsid w:val="5C403D31"/>
    <w:rsid w:val="5C451348"/>
    <w:rsid w:val="5C771A17"/>
    <w:rsid w:val="5C78171D"/>
    <w:rsid w:val="5C7878C3"/>
    <w:rsid w:val="5C817C33"/>
    <w:rsid w:val="5C817EC9"/>
    <w:rsid w:val="5C826C8D"/>
    <w:rsid w:val="5C9C4029"/>
    <w:rsid w:val="5C9F3B0E"/>
    <w:rsid w:val="5CD86429"/>
    <w:rsid w:val="5CE768A3"/>
    <w:rsid w:val="5CF60C9B"/>
    <w:rsid w:val="5D0B52B9"/>
    <w:rsid w:val="5D2E4F87"/>
    <w:rsid w:val="5D3513BC"/>
    <w:rsid w:val="5D4F6A60"/>
    <w:rsid w:val="5D5D3DAC"/>
    <w:rsid w:val="5D5F13A7"/>
    <w:rsid w:val="5D6F7784"/>
    <w:rsid w:val="5D70252D"/>
    <w:rsid w:val="5D8B722E"/>
    <w:rsid w:val="5D9F2CDA"/>
    <w:rsid w:val="5DBA7B13"/>
    <w:rsid w:val="5DBD13F2"/>
    <w:rsid w:val="5DC22783"/>
    <w:rsid w:val="5DFE20F6"/>
    <w:rsid w:val="5E1F78F0"/>
    <w:rsid w:val="5E242AF0"/>
    <w:rsid w:val="5E2606F1"/>
    <w:rsid w:val="5E6A32E8"/>
    <w:rsid w:val="5E914D18"/>
    <w:rsid w:val="5E9C581B"/>
    <w:rsid w:val="5EAF7FB0"/>
    <w:rsid w:val="5EB36B9F"/>
    <w:rsid w:val="5ED81BF5"/>
    <w:rsid w:val="5EE412EC"/>
    <w:rsid w:val="5EF555BA"/>
    <w:rsid w:val="5EF676D8"/>
    <w:rsid w:val="5F1D5294"/>
    <w:rsid w:val="5F203901"/>
    <w:rsid w:val="5F4678B1"/>
    <w:rsid w:val="5F47472D"/>
    <w:rsid w:val="5F7433F4"/>
    <w:rsid w:val="5F854574"/>
    <w:rsid w:val="5F933D87"/>
    <w:rsid w:val="5F9E149B"/>
    <w:rsid w:val="5F9F5213"/>
    <w:rsid w:val="5FA96735"/>
    <w:rsid w:val="5FAE5B6E"/>
    <w:rsid w:val="5FBC0B80"/>
    <w:rsid w:val="5FDB771F"/>
    <w:rsid w:val="5FDE21CA"/>
    <w:rsid w:val="5FDE7907"/>
    <w:rsid w:val="5FE33352"/>
    <w:rsid w:val="600A6B30"/>
    <w:rsid w:val="60195C1E"/>
    <w:rsid w:val="602B6A7E"/>
    <w:rsid w:val="60364FA5"/>
    <w:rsid w:val="6041148D"/>
    <w:rsid w:val="6047227E"/>
    <w:rsid w:val="604E6200"/>
    <w:rsid w:val="605C5F30"/>
    <w:rsid w:val="60636240"/>
    <w:rsid w:val="60656F88"/>
    <w:rsid w:val="60995B4F"/>
    <w:rsid w:val="60A0439F"/>
    <w:rsid w:val="60B371C8"/>
    <w:rsid w:val="60B65BF2"/>
    <w:rsid w:val="60C018E5"/>
    <w:rsid w:val="60C0425C"/>
    <w:rsid w:val="60C56E56"/>
    <w:rsid w:val="60CE7110"/>
    <w:rsid w:val="60D27B9F"/>
    <w:rsid w:val="60FA753E"/>
    <w:rsid w:val="6104671B"/>
    <w:rsid w:val="61053016"/>
    <w:rsid w:val="610743DD"/>
    <w:rsid w:val="610D4BDB"/>
    <w:rsid w:val="61112140"/>
    <w:rsid w:val="611F02FF"/>
    <w:rsid w:val="612805C8"/>
    <w:rsid w:val="612E4AA0"/>
    <w:rsid w:val="612F4895"/>
    <w:rsid w:val="613060DD"/>
    <w:rsid w:val="614F578E"/>
    <w:rsid w:val="615A25EA"/>
    <w:rsid w:val="615D0EE2"/>
    <w:rsid w:val="615F4C5A"/>
    <w:rsid w:val="61826037"/>
    <w:rsid w:val="618A2BE6"/>
    <w:rsid w:val="618A752F"/>
    <w:rsid w:val="61930DA7"/>
    <w:rsid w:val="61B96A60"/>
    <w:rsid w:val="61CF78E4"/>
    <w:rsid w:val="61DD677E"/>
    <w:rsid w:val="61F555BE"/>
    <w:rsid w:val="61F57219"/>
    <w:rsid w:val="61FE0138"/>
    <w:rsid w:val="62176272"/>
    <w:rsid w:val="622320CA"/>
    <w:rsid w:val="625451FA"/>
    <w:rsid w:val="62643A20"/>
    <w:rsid w:val="6299063F"/>
    <w:rsid w:val="62A413EC"/>
    <w:rsid w:val="62AC5DA2"/>
    <w:rsid w:val="62BC3D31"/>
    <w:rsid w:val="62E03F3A"/>
    <w:rsid w:val="63106792"/>
    <w:rsid w:val="631D37AF"/>
    <w:rsid w:val="632F171B"/>
    <w:rsid w:val="633640E0"/>
    <w:rsid w:val="635C1C28"/>
    <w:rsid w:val="637810A4"/>
    <w:rsid w:val="63816E9D"/>
    <w:rsid w:val="638906B4"/>
    <w:rsid w:val="63952BB5"/>
    <w:rsid w:val="63BA086D"/>
    <w:rsid w:val="63C42462"/>
    <w:rsid w:val="63C51CCB"/>
    <w:rsid w:val="63C9581B"/>
    <w:rsid w:val="64255448"/>
    <w:rsid w:val="64335EAD"/>
    <w:rsid w:val="643412E7"/>
    <w:rsid w:val="644D348F"/>
    <w:rsid w:val="645111D2"/>
    <w:rsid w:val="646E2CE8"/>
    <w:rsid w:val="64740A1C"/>
    <w:rsid w:val="647A1DAB"/>
    <w:rsid w:val="64913E20"/>
    <w:rsid w:val="64942E6C"/>
    <w:rsid w:val="64A1271F"/>
    <w:rsid w:val="64AC5A8E"/>
    <w:rsid w:val="64B74DAD"/>
    <w:rsid w:val="64B90194"/>
    <w:rsid w:val="64C4789D"/>
    <w:rsid w:val="65035466"/>
    <w:rsid w:val="65144B4F"/>
    <w:rsid w:val="653A3FD7"/>
    <w:rsid w:val="65452D0E"/>
    <w:rsid w:val="65582E79"/>
    <w:rsid w:val="657D1F2D"/>
    <w:rsid w:val="657E4F50"/>
    <w:rsid w:val="658605EC"/>
    <w:rsid w:val="65927DC6"/>
    <w:rsid w:val="65B93F70"/>
    <w:rsid w:val="65BB267B"/>
    <w:rsid w:val="65BD1D4A"/>
    <w:rsid w:val="65C3753A"/>
    <w:rsid w:val="65CB4FB4"/>
    <w:rsid w:val="65D06126"/>
    <w:rsid w:val="65E25D5F"/>
    <w:rsid w:val="65F6169A"/>
    <w:rsid w:val="65F65296"/>
    <w:rsid w:val="65F92AAF"/>
    <w:rsid w:val="66176972"/>
    <w:rsid w:val="662752F0"/>
    <w:rsid w:val="662E6C0F"/>
    <w:rsid w:val="663C46DE"/>
    <w:rsid w:val="6664279C"/>
    <w:rsid w:val="6668124C"/>
    <w:rsid w:val="66A3383B"/>
    <w:rsid w:val="66A75884"/>
    <w:rsid w:val="66AF1729"/>
    <w:rsid w:val="66B666BB"/>
    <w:rsid w:val="66BC66AA"/>
    <w:rsid w:val="66BE52C3"/>
    <w:rsid w:val="66F34E56"/>
    <w:rsid w:val="66FC2D59"/>
    <w:rsid w:val="67010ED2"/>
    <w:rsid w:val="675B5EC3"/>
    <w:rsid w:val="679A2E90"/>
    <w:rsid w:val="67A27F96"/>
    <w:rsid w:val="67A8465D"/>
    <w:rsid w:val="67AF67C0"/>
    <w:rsid w:val="67B37AAD"/>
    <w:rsid w:val="67B92A0F"/>
    <w:rsid w:val="67D31EFE"/>
    <w:rsid w:val="67D5464A"/>
    <w:rsid w:val="67DE3E32"/>
    <w:rsid w:val="67E22D4D"/>
    <w:rsid w:val="67E61308"/>
    <w:rsid w:val="67EB09A1"/>
    <w:rsid w:val="67FA56DC"/>
    <w:rsid w:val="6801123A"/>
    <w:rsid w:val="681F5143"/>
    <w:rsid w:val="68246BFD"/>
    <w:rsid w:val="684D138C"/>
    <w:rsid w:val="685D1552"/>
    <w:rsid w:val="685F19E3"/>
    <w:rsid w:val="6866280A"/>
    <w:rsid w:val="68776D2D"/>
    <w:rsid w:val="688B4586"/>
    <w:rsid w:val="68915AA7"/>
    <w:rsid w:val="689A3865"/>
    <w:rsid w:val="68A37F48"/>
    <w:rsid w:val="68B4089F"/>
    <w:rsid w:val="68BA756F"/>
    <w:rsid w:val="68C84E8E"/>
    <w:rsid w:val="68E57EEC"/>
    <w:rsid w:val="68F33995"/>
    <w:rsid w:val="69074555"/>
    <w:rsid w:val="691D5B26"/>
    <w:rsid w:val="69240076"/>
    <w:rsid w:val="6930742F"/>
    <w:rsid w:val="693E611A"/>
    <w:rsid w:val="69434224"/>
    <w:rsid w:val="69486E37"/>
    <w:rsid w:val="69541E76"/>
    <w:rsid w:val="695A20A8"/>
    <w:rsid w:val="695E7397"/>
    <w:rsid w:val="695F613F"/>
    <w:rsid w:val="69812B61"/>
    <w:rsid w:val="69A55B1C"/>
    <w:rsid w:val="69BE2B38"/>
    <w:rsid w:val="69CF2233"/>
    <w:rsid w:val="69DF079E"/>
    <w:rsid w:val="6A022F6E"/>
    <w:rsid w:val="6A0E021D"/>
    <w:rsid w:val="6A152CA1"/>
    <w:rsid w:val="6A1A2C16"/>
    <w:rsid w:val="6A1A3E8C"/>
    <w:rsid w:val="6A362F86"/>
    <w:rsid w:val="6A3F74A5"/>
    <w:rsid w:val="6A430A61"/>
    <w:rsid w:val="6A7A2C23"/>
    <w:rsid w:val="6A7F6D26"/>
    <w:rsid w:val="6A865C33"/>
    <w:rsid w:val="6A876FCF"/>
    <w:rsid w:val="6AA85E74"/>
    <w:rsid w:val="6AAD4C88"/>
    <w:rsid w:val="6AB6786C"/>
    <w:rsid w:val="6AC73CA4"/>
    <w:rsid w:val="6AE07337"/>
    <w:rsid w:val="6B1116BB"/>
    <w:rsid w:val="6B1B5543"/>
    <w:rsid w:val="6B225676"/>
    <w:rsid w:val="6B2F4A8B"/>
    <w:rsid w:val="6B39651C"/>
    <w:rsid w:val="6B43088B"/>
    <w:rsid w:val="6B482C03"/>
    <w:rsid w:val="6B4B0088"/>
    <w:rsid w:val="6B591BFB"/>
    <w:rsid w:val="6B652C83"/>
    <w:rsid w:val="6B8228CD"/>
    <w:rsid w:val="6B863F9D"/>
    <w:rsid w:val="6B8F2B45"/>
    <w:rsid w:val="6B9B0E35"/>
    <w:rsid w:val="6BA020A4"/>
    <w:rsid w:val="6BA37791"/>
    <w:rsid w:val="6BA93DA5"/>
    <w:rsid w:val="6BB00893"/>
    <w:rsid w:val="6BB321E1"/>
    <w:rsid w:val="6BC26FD9"/>
    <w:rsid w:val="6BC62F42"/>
    <w:rsid w:val="6BD914DC"/>
    <w:rsid w:val="6BE37537"/>
    <w:rsid w:val="6BF344D5"/>
    <w:rsid w:val="6BF51F95"/>
    <w:rsid w:val="6C1B4DB5"/>
    <w:rsid w:val="6C22295D"/>
    <w:rsid w:val="6C295050"/>
    <w:rsid w:val="6C2F0285"/>
    <w:rsid w:val="6C557385"/>
    <w:rsid w:val="6C6B22C5"/>
    <w:rsid w:val="6C6C62B3"/>
    <w:rsid w:val="6C727C9C"/>
    <w:rsid w:val="6CA040FB"/>
    <w:rsid w:val="6CA2021D"/>
    <w:rsid w:val="6CBF2773"/>
    <w:rsid w:val="6CD96ABB"/>
    <w:rsid w:val="6CD97738"/>
    <w:rsid w:val="6CE213ED"/>
    <w:rsid w:val="6CF9599E"/>
    <w:rsid w:val="6D283043"/>
    <w:rsid w:val="6D3527BF"/>
    <w:rsid w:val="6D430476"/>
    <w:rsid w:val="6D491A7D"/>
    <w:rsid w:val="6D5C79A0"/>
    <w:rsid w:val="6D7147AA"/>
    <w:rsid w:val="6D743E47"/>
    <w:rsid w:val="6D7A56E3"/>
    <w:rsid w:val="6D8C327A"/>
    <w:rsid w:val="6DA93E2C"/>
    <w:rsid w:val="6DB53834"/>
    <w:rsid w:val="6DC820CE"/>
    <w:rsid w:val="6DC947BB"/>
    <w:rsid w:val="6DCB0626"/>
    <w:rsid w:val="6DDA0A3A"/>
    <w:rsid w:val="6DE318DB"/>
    <w:rsid w:val="6DEB3B1C"/>
    <w:rsid w:val="6DF1132F"/>
    <w:rsid w:val="6DF34CD9"/>
    <w:rsid w:val="6E273FA2"/>
    <w:rsid w:val="6E2A59E1"/>
    <w:rsid w:val="6E3A5AE7"/>
    <w:rsid w:val="6E5673E4"/>
    <w:rsid w:val="6E644582"/>
    <w:rsid w:val="6EA2749D"/>
    <w:rsid w:val="6ED56955"/>
    <w:rsid w:val="6EE43550"/>
    <w:rsid w:val="6EEB6404"/>
    <w:rsid w:val="6EEC0174"/>
    <w:rsid w:val="6EEE555E"/>
    <w:rsid w:val="6EF10FE0"/>
    <w:rsid w:val="6EF44EA4"/>
    <w:rsid w:val="6EFA22AE"/>
    <w:rsid w:val="6EFA6D32"/>
    <w:rsid w:val="6F0B2BB3"/>
    <w:rsid w:val="6F314CE8"/>
    <w:rsid w:val="6F3277A9"/>
    <w:rsid w:val="6F344F39"/>
    <w:rsid w:val="6F377FD4"/>
    <w:rsid w:val="6F3E6F3C"/>
    <w:rsid w:val="6F4A7B60"/>
    <w:rsid w:val="6F663D87"/>
    <w:rsid w:val="6F8803AF"/>
    <w:rsid w:val="6F8867FE"/>
    <w:rsid w:val="6F936126"/>
    <w:rsid w:val="6FA4671F"/>
    <w:rsid w:val="6FAF4746"/>
    <w:rsid w:val="6FAF5C96"/>
    <w:rsid w:val="6FB468AF"/>
    <w:rsid w:val="6FD51D7F"/>
    <w:rsid w:val="6FED3D79"/>
    <w:rsid w:val="6FF72B21"/>
    <w:rsid w:val="6FF85AFC"/>
    <w:rsid w:val="70351F79"/>
    <w:rsid w:val="70382A0B"/>
    <w:rsid w:val="705D2F74"/>
    <w:rsid w:val="70654928"/>
    <w:rsid w:val="706A1C67"/>
    <w:rsid w:val="706C61F1"/>
    <w:rsid w:val="70A1528F"/>
    <w:rsid w:val="70A511D7"/>
    <w:rsid w:val="70B302A9"/>
    <w:rsid w:val="70B318F8"/>
    <w:rsid w:val="70C1323B"/>
    <w:rsid w:val="70C2560E"/>
    <w:rsid w:val="70EC57B1"/>
    <w:rsid w:val="710E3FA6"/>
    <w:rsid w:val="71172452"/>
    <w:rsid w:val="713559D7"/>
    <w:rsid w:val="71394457"/>
    <w:rsid w:val="716A2602"/>
    <w:rsid w:val="717069FD"/>
    <w:rsid w:val="71CA51A0"/>
    <w:rsid w:val="71D37D0E"/>
    <w:rsid w:val="71D60F68"/>
    <w:rsid w:val="71DA5DD3"/>
    <w:rsid w:val="71E42FED"/>
    <w:rsid w:val="71F066C6"/>
    <w:rsid w:val="720A1EF0"/>
    <w:rsid w:val="720C753F"/>
    <w:rsid w:val="720F0A10"/>
    <w:rsid w:val="7238752D"/>
    <w:rsid w:val="72491746"/>
    <w:rsid w:val="724B07EA"/>
    <w:rsid w:val="7263415A"/>
    <w:rsid w:val="726865F2"/>
    <w:rsid w:val="729624A5"/>
    <w:rsid w:val="729E7F08"/>
    <w:rsid w:val="72A20E4A"/>
    <w:rsid w:val="72B47FAA"/>
    <w:rsid w:val="72C3000C"/>
    <w:rsid w:val="72D134DE"/>
    <w:rsid w:val="72FD189E"/>
    <w:rsid w:val="730B2B28"/>
    <w:rsid w:val="730C2EBC"/>
    <w:rsid w:val="7329156C"/>
    <w:rsid w:val="732A4300"/>
    <w:rsid w:val="733059D0"/>
    <w:rsid w:val="734B14E2"/>
    <w:rsid w:val="73677F5F"/>
    <w:rsid w:val="736B3932"/>
    <w:rsid w:val="7372081D"/>
    <w:rsid w:val="73734595"/>
    <w:rsid w:val="7375655F"/>
    <w:rsid w:val="738844E4"/>
    <w:rsid w:val="738E207B"/>
    <w:rsid w:val="739509AF"/>
    <w:rsid w:val="73972979"/>
    <w:rsid w:val="73A873DF"/>
    <w:rsid w:val="73CD1EF7"/>
    <w:rsid w:val="73D74F22"/>
    <w:rsid w:val="73DB0AB8"/>
    <w:rsid w:val="73EA4502"/>
    <w:rsid w:val="73FB00AF"/>
    <w:rsid w:val="741151EF"/>
    <w:rsid w:val="74155264"/>
    <w:rsid w:val="74431DC2"/>
    <w:rsid w:val="744E4DC5"/>
    <w:rsid w:val="74852478"/>
    <w:rsid w:val="74926548"/>
    <w:rsid w:val="749F1AE5"/>
    <w:rsid w:val="74C56D06"/>
    <w:rsid w:val="74C67881"/>
    <w:rsid w:val="74E45798"/>
    <w:rsid w:val="74EC57D5"/>
    <w:rsid w:val="74FD115E"/>
    <w:rsid w:val="75015203"/>
    <w:rsid w:val="750E6C6B"/>
    <w:rsid w:val="752413FB"/>
    <w:rsid w:val="75324707"/>
    <w:rsid w:val="75390E10"/>
    <w:rsid w:val="753D30AC"/>
    <w:rsid w:val="755503F6"/>
    <w:rsid w:val="75697ECE"/>
    <w:rsid w:val="75907680"/>
    <w:rsid w:val="7591112A"/>
    <w:rsid w:val="75A85B8F"/>
    <w:rsid w:val="75B62637"/>
    <w:rsid w:val="75BF1D13"/>
    <w:rsid w:val="75C8506C"/>
    <w:rsid w:val="75CB06B8"/>
    <w:rsid w:val="762A7B4F"/>
    <w:rsid w:val="763F0D29"/>
    <w:rsid w:val="764D31FC"/>
    <w:rsid w:val="7650526E"/>
    <w:rsid w:val="76587A4C"/>
    <w:rsid w:val="76682700"/>
    <w:rsid w:val="769B2BE1"/>
    <w:rsid w:val="769B6F0E"/>
    <w:rsid w:val="76A20FEF"/>
    <w:rsid w:val="76B33626"/>
    <w:rsid w:val="76B66902"/>
    <w:rsid w:val="76D868BB"/>
    <w:rsid w:val="76DD35D2"/>
    <w:rsid w:val="76FF686B"/>
    <w:rsid w:val="77065FCC"/>
    <w:rsid w:val="775B21AC"/>
    <w:rsid w:val="77706C17"/>
    <w:rsid w:val="7798290C"/>
    <w:rsid w:val="77C55334"/>
    <w:rsid w:val="77D15673"/>
    <w:rsid w:val="782C1F51"/>
    <w:rsid w:val="783207F7"/>
    <w:rsid w:val="7836646A"/>
    <w:rsid w:val="783B06F9"/>
    <w:rsid w:val="783F737F"/>
    <w:rsid w:val="784221E1"/>
    <w:rsid w:val="785B5D23"/>
    <w:rsid w:val="785C79B0"/>
    <w:rsid w:val="785E3A65"/>
    <w:rsid w:val="78715547"/>
    <w:rsid w:val="78957598"/>
    <w:rsid w:val="78985615"/>
    <w:rsid w:val="78A83B30"/>
    <w:rsid w:val="78B77021"/>
    <w:rsid w:val="78C25DA2"/>
    <w:rsid w:val="78EE3958"/>
    <w:rsid w:val="7908577F"/>
    <w:rsid w:val="793A002E"/>
    <w:rsid w:val="79474796"/>
    <w:rsid w:val="794964C4"/>
    <w:rsid w:val="79733976"/>
    <w:rsid w:val="79773031"/>
    <w:rsid w:val="79A921AD"/>
    <w:rsid w:val="79BD0B3F"/>
    <w:rsid w:val="79CB0C87"/>
    <w:rsid w:val="79EE5BA3"/>
    <w:rsid w:val="79F52773"/>
    <w:rsid w:val="7A150154"/>
    <w:rsid w:val="7A2E6462"/>
    <w:rsid w:val="7A40591D"/>
    <w:rsid w:val="7A4137B3"/>
    <w:rsid w:val="7A427DBA"/>
    <w:rsid w:val="7A556E34"/>
    <w:rsid w:val="7A5A61EF"/>
    <w:rsid w:val="7A6450DE"/>
    <w:rsid w:val="7A887E89"/>
    <w:rsid w:val="7AA57708"/>
    <w:rsid w:val="7AA7257C"/>
    <w:rsid w:val="7AB1431E"/>
    <w:rsid w:val="7ADC657A"/>
    <w:rsid w:val="7AFC7375"/>
    <w:rsid w:val="7B0A57DF"/>
    <w:rsid w:val="7B106E5B"/>
    <w:rsid w:val="7B121472"/>
    <w:rsid w:val="7B1A6C0F"/>
    <w:rsid w:val="7B471043"/>
    <w:rsid w:val="7B4952E1"/>
    <w:rsid w:val="7B5829EE"/>
    <w:rsid w:val="7B58472E"/>
    <w:rsid w:val="7B651AA2"/>
    <w:rsid w:val="7B7374FF"/>
    <w:rsid w:val="7B7A0BB6"/>
    <w:rsid w:val="7BAD3515"/>
    <w:rsid w:val="7BBF0CBF"/>
    <w:rsid w:val="7BCD518A"/>
    <w:rsid w:val="7BD2388D"/>
    <w:rsid w:val="7BF41C4C"/>
    <w:rsid w:val="7C17797D"/>
    <w:rsid w:val="7C212547"/>
    <w:rsid w:val="7C380832"/>
    <w:rsid w:val="7C382A78"/>
    <w:rsid w:val="7C3A564A"/>
    <w:rsid w:val="7C750D1C"/>
    <w:rsid w:val="7C89314D"/>
    <w:rsid w:val="7C907231"/>
    <w:rsid w:val="7C9C31E6"/>
    <w:rsid w:val="7D1666BD"/>
    <w:rsid w:val="7D1A338E"/>
    <w:rsid w:val="7D1A70E8"/>
    <w:rsid w:val="7D244921"/>
    <w:rsid w:val="7D384115"/>
    <w:rsid w:val="7D4F7CEB"/>
    <w:rsid w:val="7D5C694F"/>
    <w:rsid w:val="7D5D34F3"/>
    <w:rsid w:val="7D6770D1"/>
    <w:rsid w:val="7D69417B"/>
    <w:rsid w:val="7D6C4C9B"/>
    <w:rsid w:val="7D75025F"/>
    <w:rsid w:val="7D801F48"/>
    <w:rsid w:val="7D9330EC"/>
    <w:rsid w:val="7D9A6888"/>
    <w:rsid w:val="7D9D293A"/>
    <w:rsid w:val="7DC73E5B"/>
    <w:rsid w:val="7DC807C4"/>
    <w:rsid w:val="7DCC0C12"/>
    <w:rsid w:val="7DDD367E"/>
    <w:rsid w:val="7DF76C8E"/>
    <w:rsid w:val="7DF804B8"/>
    <w:rsid w:val="7E0C4026"/>
    <w:rsid w:val="7E0E55E6"/>
    <w:rsid w:val="7E1427D4"/>
    <w:rsid w:val="7E1B3103"/>
    <w:rsid w:val="7E414337"/>
    <w:rsid w:val="7E520EB7"/>
    <w:rsid w:val="7E522C73"/>
    <w:rsid w:val="7E6E2528"/>
    <w:rsid w:val="7E813A30"/>
    <w:rsid w:val="7EA86B9B"/>
    <w:rsid w:val="7EAB6C79"/>
    <w:rsid w:val="7EBE3EA6"/>
    <w:rsid w:val="7EE5751D"/>
    <w:rsid w:val="7EFE565A"/>
    <w:rsid w:val="7F00043A"/>
    <w:rsid w:val="7F365FF7"/>
    <w:rsid w:val="7F486055"/>
    <w:rsid w:val="7F4F291E"/>
    <w:rsid w:val="7F50360C"/>
    <w:rsid w:val="7F533887"/>
    <w:rsid w:val="7F5A3F44"/>
    <w:rsid w:val="7F604567"/>
    <w:rsid w:val="7F69556E"/>
    <w:rsid w:val="7F8E5465"/>
    <w:rsid w:val="7F9C3ADE"/>
    <w:rsid w:val="7FA21B54"/>
    <w:rsid w:val="7FB936BD"/>
    <w:rsid w:val="7FC22BC2"/>
    <w:rsid w:val="7FC25D4D"/>
    <w:rsid w:val="7FD818DE"/>
    <w:rsid w:val="7FE753EB"/>
    <w:rsid w:val="7FF52E1B"/>
    <w:rsid w:val="7FF52F01"/>
    <w:rsid w:val="7FF9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1"/>
    <w:autoRedefine/>
    <w:qFormat/>
    <w:uiPriority w:val="0"/>
    <w:pPr>
      <w:keepNext/>
      <w:widowControl/>
      <w:numPr>
        <w:ilvl w:val="0"/>
        <w:numId w:val="1"/>
      </w:numPr>
      <w:spacing w:line="360" w:lineRule="auto"/>
      <w:jc w:val="center"/>
      <w:outlineLvl w:val="0"/>
    </w:pPr>
    <w:rPr>
      <w:rFonts w:ascii="黑体" w:hAnsi="黑体"/>
      <w:sz w:val="32"/>
    </w:rPr>
  </w:style>
  <w:style w:type="paragraph" w:styleId="3">
    <w:name w:val="heading 2"/>
    <w:basedOn w:val="1"/>
    <w:next w:val="1"/>
    <w:link w:val="62"/>
    <w:autoRedefine/>
    <w:qFormat/>
    <w:uiPriority w:val="0"/>
    <w:pPr>
      <w:spacing w:line="560" w:lineRule="exact"/>
      <w:jc w:val="center"/>
      <w:outlineLvl w:val="1"/>
    </w:pPr>
    <w:rPr>
      <w:b/>
      <w:sz w:val="32"/>
      <w:szCs w:val="32"/>
    </w:rPr>
  </w:style>
  <w:style w:type="paragraph" w:styleId="4">
    <w:name w:val="heading 3"/>
    <w:basedOn w:val="1"/>
    <w:next w:val="1"/>
    <w:link w:val="63"/>
    <w:autoRedefine/>
    <w:qFormat/>
    <w:uiPriority w:val="0"/>
    <w:pPr>
      <w:keepNext/>
      <w:keepLines/>
      <w:spacing w:line="413" w:lineRule="auto"/>
      <w:jc w:val="center"/>
      <w:outlineLvl w:val="2"/>
    </w:pPr>
    <w:rPr>
      <w:b/>
      <w:bCs/>
      <w:sz w:val="30"/>
      <w:szCs w:val="32"/>
    </w:rPr>
  </w:style>
  <w:style w:type="paragraph" w:styleId="5">
    <w:name w:val="heading 4"/>
    <w:next w:val="1"/>
    <w:link w:val="81"/>
    <w:autoRedefine/>
    <w:qFormat/>
    <w:uiPriority w:val="0"/>
    <w:pPr>
      <w:keepNext/>
      <w:keepLines/>
      <w:spacing w:before="280" w:after="290" w:line="372" w:lineRule="auto"/>
      <w:outlineLvl w:val="3"/>
    </w:pPr>
    <w:rPr>
      <w:rFonts w:ascii="Arial" w:hAnsi="Arial" w:eastAsia="黑体" w:cs="黑体"/>
      <w:b/>
      <w:bCs/>
      <w:sz w:val="28"/>
      <w:szCs w:val="28"/>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jc w:val="center"/>
    </w:pPr>
    <w:rPr>
      <w:color w:val="000000"/>
      <w:sz w:val="32"/>
    </w:rPr>
  </w:style>
  <w:style w:type="paragraph" w:styleId="7">
    <w:name w:val="Normal Indent"/>
    <w:basedOn w:val="1"/>
    <w:autoRedefine/>
    <w:qFormat/>
    <w:uiPriority w:val="0"/>
    <w:pPr>
      <w:ind w:firstLine="420" w:firstLineChars="200"/>
    </w:pPr>
    <w:rPr>
      <w:szCs w:val="20"/>
    </w:rPr>
  </w:style>
  <w:style w:type="paragraph" w:styleId="8">
    <w:name w:val="caption"/>
    <w:basedOn w:val="1"/>
    <w:next w:val="1"/>
    <w:autoRedefine/>
    <w:qFormat/>
    <w:uiPriority w:val="0"/>
    <w:pPr>
      <w:spacing w:before="152" w:after="160"/>
    </w:pPr>
    <w:rPr>
      <w:rFonts w:ascii="Arial" w:hAnsi="Arial" w:eastAsia="黑体"/>
    </w:rPr>
  </w:style>
  <w:style w:type="paragraph" w:styleId="9">
    <w:name w:val="annotation text"/>
    <w:basedOn w:val="1"/>
    <w:autoRedefine/>
    <w:qFormat/>
    <w:uiPriority w:val="0"/>
    <w:pPr>
      <w:adjustRightInd w:val="0"/>
      <w:spacing w:line="360" w:lineRule="atLeast"/>
      <w:jc w:val="left"/>
      <w:textAlignment w:val="baseline"/>
    </w:pPr>
    <w:rPr>
      <w:rFonts w:ascii="Times New Roman"/>
      <w:spacing w:val="4"/>
      <w:kern w:val="0"/>
      <w:sz w:val="24"/>
      <w:szCs w:val="20"/>
    </w:rPr>
  </w:style>
  <w:style w:type="paragraph" w:styleId="10">
    <w:name w:val="Body Text"/>
    <w:basedOn w:val="1"/>
    <w:next w:val="1"/>
    <w:link w:val="64"/>
    <w:autoRedefine/>
    <w:qFormat/>
    <w:uiPriority w:val="0"/>
    <w:pPr>
      <w:spacing w:line="460" w:lineRule="exact"/>
    </w:pPr>
    <w:rPr>
      <w:rFonts w:ascii="汉鼎简楷体" w:hAnsi="宋体" w:eastAsia="汉鼎简楷体"/>
      <w:b/>
      <w:bCs/>
      <w:spacing w:val="4"/>
      <w:sz w:val="24"/>
      <w:szCs w:val="20"/>
    </w:rPr>
  </w:style>
  <w:style w:type="paragraph" w:styleId="11">
    <w:name w:val="Body Text Indent"/>
    <w:basedOn w:val="1"/>
    <w:link w:val="65"/>
    <w:autoRedefine/>
    <w:qFormat/>
    <w:uiPriority w:val="0"/>
    <w:pPr>
      <w:ind w:left="420" w:leftChars="200"/>
    </w:pPr>
  </w:style>
  <w:style w:type="paragraph" w:styleId="12">
    <w:name w:val="List 2"/>
    <w:basedOn w:val="1"/>
    <w:autoRedefine/>
    <w:qFormat/>
    <w:uiPriority w:val="0"/>
    <w:pPr>
      <w:ind w:left="100" w:leftChars="200" w:hanging="200" w:hangingChars="200"/>
    </w:pPr>
  </w:style>
  <w:style w:type="paragraph" w:styleId="13">
    <w:name w:val="toc 3"/>
    <w:basedOn w:val="1"/>
    <w:next w:val="1"/>
    <w:autoRedefine/>
    <w:qFormat/>
    <w:uiPriority w:val="0"/>
    <w:pPr>
      <w:ind w:left="840" w:leftChars="400"/>
    </w:pPr>
  </w:style>
  <w:style w:type="paragraph" w:styleId="14">
    <w:name w:val="Plain Text"/>
    <w:basedOn w:val="1"/>
    <w:link w:val="66"/>
    <w:autoRedefine/>
    <w:qFormat/>
    <w:uiPriority w:val="0"/>
    <w:rPr>
      <w:rFonts w:ascii="宋体" w:hAnsi="Courier New"/>
      <w:kern w:val="0"/>
    </w:rPr>
  </w:style>
  <w:style w:type="paragraph" w:styleId="15">
    <w:name w:val="Body Text Indent 2"/>
    <w:basedOn w:val="1"/>
    <w:autoRedefine/>
    <w:qFormat/>
    <w:uiPriority w:val="0"/>
    <w:pPr>
      <w:spacing w:after="120" w:line="480" w:lineRule="auto"/>
      <w:ind w:left="420" w:leftChars="200"/>
    </w:pPr>
  </w:style>
  <w:style w:type="paragraph" w:styleId="16">
    <w:name w:val="footer"/>
    <w:basedOn w:val="1"/>
    <w:link w:val="60"/>
    <w:autoRedefine/>
    <w:unhideWhenUsed/>
    <w:qFormat/>
    <w:uiPriority w:val="0"/>
    <w:pPr>
      <w:tabs>
        <w:tab w:val="center" w:pos="4153"/>
        <w:tab w:val="right" w:pos="8306"/>
      </w:tabs>
      <w:snapToGrid w:val="0"/>
      <w:jc w:val="left"/>
    </w:pPr>
    <w:rPr>
      <w:sz w:val="18"/>
      <w:szCs w:val="18"/>
    </w:rPr>
  </w:style>
  <w:style w:type="paragraph" w:styleId="17">
    <w:name w:val="envelope return"/>
    <w:basedOn w:val="1"/>
    <w:autoRedefine/>
    <w:unhideWhenUsed/>
    <w:qFormat/>
    <w:uiPriority w:val="99"/>
    <w:pPr>
      <w:snapToGrid w:val="0"/>
    </w:pPr>
    <w:rPr>
      <w:rFonts w:ascii="Arial" w:hAnsi="Arial"/>
    </w:rPr>
  </w:style>
  <w:style w:type="paragraph" w:styleId="18">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Body Text 2"/>
    <w:basedOn w:val="1"/>
    <w:next w:val="10"/>
    <w:autoRedefine/>
    <w:qFormat/>
    <w:uiPriority w:val="99"/>
    <w:pPr>
      <w:spacing w:line="360" w:lineRule="auto"/>
      <w:ind w:firstLine="480" w:firstLineChars="200"/>
    </w:pPr>
    <w:rPr>
      <w:rFonts w:ascii="仿宋_GB2312" w:hAnsi="宋体" w:eastAsia="仿宋_GB2312" w:cs="仿宋_GB2312"/>
      <w:kern w:val="0"/>
      <w:sz w:val="24"/>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link w:val="67"/>
    <w:autoRedefine/>
    <w:qFormat/>
    <w:uiPriority w:val="0"/>
    <w:pPr>
      <w:spacing w:before="240" w:after="60"/>
      <w:jc w:val="center"/>
      <w:outlineLvl w:val="0"/>
    </w:pPr>
    <w:rPr>
      <w:rFonts w:ascii="Arial" w:hAnsi="Arial" w:cs="Arial"/>
      <w:b/>
      <w:bCs/>
      <w:sz w:val="32"/>
      <w:szCs w:val="32"/>
    </w:rPr>
  </w:style>
  <w:style w:type="paragraph" w:styleId="24">
    <w:name w:val="Body Text First Indent"/>
    <w:basedOn w:val="10"/>
    <w:next w:val="25"/>
    <w:link w:val="68"/>
    <w:autoRedefine/>
    <w:qFormat/>
    <w:uiPriority w:val="0"/>
    <w:pPr>
      <w:spacing w:line="360" w:lineRule="auto"/>
      <w:ind w:firstLine="420" w:firstLineChars="100"/>
    </w:pPr>
    <w:rPr>
      <w:rFonts w:ascii="Arial" w:hAnsi="Arial" w:eastAsia="宋体"/>
      <w:b w:val="0"/>
      <w:bCs w:val="0"/>
      <w:spacing w:val="0"/>
      <w:kern w:val="0"/>
    </w:rPr>
  </w:style>
  <w:style w:type="paragraph" w:styleId="25">
    <w:name w:val="Body Text First Indent 2"/>
    <w:basedOn w:val="11"/>
    <w:autoRedefine/>
    <w:qFormat/>
    <w:uiPriority w:val="0"/>
    <w:pPr>
      <w:spacing w:after="120"/>
      <w:ind w:firstLine="420" w:firstLineChars="200"/>
    </w:pPr>
    <w:rPr>
      <w:color w:val="FF0000"/>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FollowedHyperlink"/>
    <w:basedOn w:val="28"/>
    <w:autoRedefine/>
    <w:unhideWhenUsed/>
    <w:qFormat/>
    <w:uiPriority w:val="99"/>
    <w:rPr>
      <w:color w:val="333333"/>
      <w:u w:val="none"/>
    </w:rPr>
  </w:style>
  <w:style w:type="character" w:styleId="32">
    <w:name w:val="Emphasis"/>
    <w:basedOn w:val="28"/>
    <w:autoRedefine/>
    <w:qFormat/>
    <w:uiPriority w:val="20"/>
  </w:style>
  <w:style w:type="character" w:styleId="33">
    <w:name w:val="HTML Definition"/>
    <w:basedOn w:val="28"/>
    <w:autoRedefine/>
    <w:unhideWhenUsed/>
    <w:qFormat/>
    <w:uiPriority w:val="99"/>
  </w:style>
  <w:style w:type="character" w:styleId="34">
    <w:name w:val="HTML Typewriter"/>
    <w:basedOn w:val="28"/>
    <w:autoRedefine/>
    <w:unhideWhenUsed/>
    <w:qFormat/>
    <w:uiPriority w:val="99"/>
    <w:rPr>
      <w:rFonts w:hint="default" w:ascii="monospace" w:hAnsi="monospace" w:eastAsia="monospace" w:cs="monospace"/>
      <w:sz w:val="20"/>
    </w:rPr>
  </w:style>
  <w:style w:type="character" w:styleId="35">
    <w:name w:val="HTML Acronym"/>
    <w:basedOn w:val="28"/>
    <w:autoRedefine/>
    <w:unhideWhenUsed/>
    <w:qFormat/>
    <w:uiPriority w:val="99"/>
  </w:style>
  <w:style w:type="character" w:styleId="36">
    <w:name w:val="HTML Variable"/>
    <w:basedOn w:val="28"/>
    <w:autoRedefine/>
    <w:unhideWhenUsed/>
    <w:qFormat/>
    <w:uiPriority w:val="99"/>
  </w:style>
  <w:style w:type="character" w:styleId="37">
    <w:name w:val="Hyperlink"/>
    <w:basedOn w:val="28"/>
    <w:autoRedefine/>
    <w:qFormat/>
    <w:uiPriority w:val="0"/>
    <w:rPr>
      <w:color w:val="0000FF"/>
      <w:u w:val="none"/>
    </w:rPr>
  </w:style>
  <w:style w:type="character" w:styleId="38">
    <w:name w:val="HTML Code"/>
    <w:basedOn w:val="28"/>
    <w:autoRedefine/>
    <w:unhideWhenUsed/>
    <w:qFormat/>
    <w:uiPriority w:val="99"/>
    <w:rPr>
      <w:rFonts w:hint="default" w:ascii="monospace" w:hAnsi="monospace" w:eastAsia="monospace" w:cs="monospace"/>
      <w:sz w:val="20"/>
    </w:rPr>
  </w:style>
  <w:style w:type="character" w:styleId="39">
    <w:name w:val="HTML Cite"/>
    <w:basedOn w:val="28"/>
    <w:autoRedefine/>
    <w:unhideWhenUsed/>
    <w:qFormat/>
    <w:uiPriority w:val="99"/>
  </w:style>
  <w:style w:type="character" w:styleId="40">
    <w:name w:val="HTML Keyboard"/>
    <w:basedOn w:val="28"/>
    <w:autoRedefine/>
    <w:unhideWhenUsed/>
    <w:qFormat/>
    <w:uiPriority w:val="99"/>
    <w:rPr>
      <w:rFonts w:ascii="monospace" w:hAnsi="monospace" w:eastAsia="monospace" w:cs="monospace"/>
      <w:sz w:val="20"/>
    </w:rPr>
  </w:style>
  <w:style w:type="character" w:styleId="41">
    <w:name w:val="HTML Sample"/>
    <w:basedOn w:val="28"/>
    <w:autoRedefine/>
    <w:unhideWhenUsed/>
    <w:qFormat/>
    <w:uiPriority w:val="99"/>
    <w:rPr>
      <w:rFonts w:hint="default" w:ascii="monospace" w:hAnsi="monospace" w:eastAsia="monospace" w:cs="monospace"/>
    </w:rPr>
  </w:style>
  <w:style w:type="paragraph" w:customStyle="1" w:styleId="4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正文"/>
    <w:basedOn w:val="1"/>
    <w:autoRedefine/>
    <w:qFormat/>
    <w:uiPriority w:val="0"/>
    <w:pPr>
      <w:keepNext/>
      <w:keepLines/>
      <w:spacing w:line="360" w:lineRule="auto"/>
      <w:ind w:firstLine="200" w:firstLineChars="200"/>
    </w:pPr>
    <w:rPr>
      <w:rFonts w:ascii="宋体" w:hAnsi="宋体"/>
    </w:rPr>
  </w:style>
  <w:style w:type="paragraph" w:customStyle="1" w:styleId="44">
    <w:name w:val="BodyText1I"/>
    <w:basedOn w:val="45"/>
    <w:autoRedefine/>
    <w:qFormat/>
    <w:uiPriority w:val="0"/>
    <w:pPr>
      <w:ind w:firstLine="420" w:firstLineChars="100"/>
    </w:pPr>
    <w:rPr>
      <w:szCs w:val="21"/>
    </w:rPr>
  </w:style>
  <w:style w:type="paragraph" w:customStyle="1" w:styleId="45">
    <w:name w:val="BodyText"/>
    <w:basedOn w:val="1"/>
    <w:next w:val="46"/>
    <w:autoRedefine/>
    <w:qFormat/>
    <w:uiPriority w:val="0"/>
    <w:pPr>
      <w:snapToGrid w:val="0"/>
      <w:spacing w:line="360" w:lineRule="auto"/>
    </w:pPr>
    <w:rPr>
      <w:rFonts w:ascii="Arial" w:hAnsi="Arial" w:eastAsia="仿宋_GB2312"/>
      <w:sz w:val="31"/>
    </w:rPr>
  </w:style>
  <w:style w:type="paragraph" w:customStyle="1" w:styleId="46">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7">
    <w:name w:val="无间隔1"/>
    <w:basedOn w:val="48"/>
    <w:next w:val="49"/>
    <w:autoRedefine/>
    <w:qFormat/>
    <w:uiPriority w:val="99"/>
    <w:rPr>
      <w:szCs w:val="22"/>
    </w:rPr>
  </w:style>
  <w:style w:type="paragraph" w:customStyle="1" w:styleId="48">
    <w:name w:val="正文_0"/>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首行缩进） Char"/>
    <w:basedOn w:val="1"/>
    <w:next w:val="21"/>
    <w:autoRedefine/>
    <w:qFormat/>
    <w:uiPriority w:val="0"/>
    <w:pPr>
      <w:spacing w:line="360" w:lineRule="auto"/>
      <w:ind w:firstLine="480"/>
    </w:pPr>
    <w:rPr>
      <w:rFonts w:ascii="Arial"/>
      <w:color w:val="000000"/>
      <w:sz w:val="24"/>
    </w:rPr>
  </w:style>
  <w:style w:type="paragraph" w:customStyle="1" w:styleId="50">
    <w:name w:val="Table Paragraph"/>
    <w:basedOn w:val="1"/>
    <w:autoRedefine/>
    <w:qFormat/>
    <w:uiPriority w:val="0"/>
    <w:rPr>
      <w:sz w:val="24"/>
    </w:rPr>
  </w:style>
  <w:style w:type="paragraph" w:customStyle="1" w:styleId="51">
    <w:name w:val="p0"/>
    <w:basedOn w:val="1"/>
    <w:autoRedefine/>
    <w:qFormat/>
    <w:uiPriority w:val="0"/>
    <w:pPr>
      <w:widowControl/>
    </w:pPr>
    <w:rPr>
      <w:rFonts w:cs="宋体"/>
      <w:kern w:val="0"/>
      <w:szCs w:val="21"/>
    </w:rPr>
  </w:style>
  <w:style w:type="paragraph" w:customStyle="1" w:styleId="52">
    <w:name w:val="UP正文"/>
    <w:basedOn w:val="1"/>
    <w:autoRedefine/>
    <w:qFormat/>
    <w:uiPriority w:val="0"/>
    <w:pPr>
      <w:spacing w:line="360" w:lineRule="auto"/>
      <w:ind w:left="200" w:leftChars="200" w:firstLine="420" w:firstLineChars="200"/>
    </w:pPr>
    <w:rPr>
      <w:rFonts w:ascii="Tahoma" w:hAnsi="Tahoma" w:cs="宋体"/>
      <w:szCs w:val="20"/>
    </w:rPr>
  </w:style>
  <w:style w:type="paragraph" w:customStyle="1" w:styleId="53">
    <w:name w:val="表头"/>
    <w:basedOn w:val="8"/>
    <w:autoRedefine/>
    <w:qFormat/>
    <w:uiPriority w:val="0"/>
    <w:pPr>
      <w:keepNext/>
      <w:keepLines/>
      <w:widowControl/>
      <w:spacing w:before="120" w:after="120" w:line="300" w:lineRule="auto"/>
      <w:jc w:val="center"/>
    </w:pPr>
    <w:rPr>
      <w:kern w:val="0"/>
    </w:rPr>
  </w:style>
  <w:style w:type="paragraph" w:customStyle="1" w:styleId="54">
    <w:name w:val="Char1 Char Char Char Char Char Char"/>
    <w:basedOn w:val="1"/>
    <w:autoRedefine/>
    <w:qFormat/>
    <w:uiPriority w:val="0"/>
    <w:pPr>
      <w:numPr>
        <w:ilvl w:val="0"/>
        <w:numId w:val="2"/>
      </w:numPr>
      <w:ind w:left="0" w:firstLine="0"/>
    </w:pPr>
    <w:rPr>
      <w:rFonts w:ascii="Tahoma" w:hAnsi="Tahoma"/>
      <w:sz w:val="24"/>
    </w:rPr>
  </w:style>
  <w:style w:type="paragraph" w:customStyle="1" w:styleId="55">
    <w:name w:val="列出段落1"/>
    <w:basedOn w:val="1"/>
    <w:autoRedefine/>
    <w:qFormat/>
    <w:uiPriority w:val="0"/>
    <w:pPr>
      <w:ind w:firstLine="420" w:firstLineChars="200"/>
    </w:pPr>
  </w:style>
  <w:style w:type="paragraph" w:customStyle="1" w:styleId="56">
    <w:name w:val="样式 首行缩进:  0 字符"/>
    <w:basedOn w:val="1"/>
    <w:autoRedefine/>
    <w:qFormat/>
    <w:uiPriority w:val="0"/>
    <w:pPr>
      <w:spacing w:line="360" w:lineRule="auto"/>
      <w:ind w:firstLine="200" w:firstLineChars="200"/>
    </w:pPr>
    <w:rPr>
      <w:rFonts w:ascii="Arial" w:hAnsi="Arial" w:eastAsia="Times New Roman"/>
      <w:sz w:val="24"/>
      <w:szCs w:val="22"/>
    </w:rPr>
  </w:style>
  <w:style w:type="paragraph" w:customStyle="1" w:styleId="57">
    <w:name w:val="列表段落1"/>
    <w:basedOn w:val="1"/>
    <w:autoRedefine/>
    <w:qFormat/>
    <w:uiPriority w:val="34"/>
    <w:pPr>
      <w:ind w:firstLine="420" w:firstLineChars="200"/>
    </w:pPr>
    <w:rPr>
      <w:szCs w:val="22"/>
    </w:rPr>
  </w:style>
  <w:style w:type="paragraph" w:customStyle="1" w:styleId="5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9">
    <w:name w:val="页眉 字符"/>
    <w:basedOn w:val="28"/>
    <w:link w:val="18"/>
    <w:autoRedefine/>
    <w:qFormat/>
    <w:uiPriority w:val="99"/>
    <w:rPr>
      <w:sz w:val="18"/>
      <w:szCs w:val="18"/>
    </w:rPr>
  </w:style>
  <w:style w:type="character" w:customStyle="1" w:styleId="60">
    <w:name w:val="页脚 字符"/>
    <w:basedOn w:val="28"/>
    <w:link w:val="16"/>
    <w:autoRedefine/>
    <w:qFormat/>
    <w:uiPriority w:val="99"/>
    <w:rPr>
      <w:sz w:val="18"/>
      <w:szCs w:val="18"/>
    </w:rPr>
  </w:style>
  <w:style w:type="character" w:customStyle="1" w:styleId="61">
    <w:name w:val="标题 1 字符"/>
    <w:basedOn w:val="28"/>
    <w:link w:val="2"/>
    <w:autoRedefine/>
    <w:qFormat/>
    <w:uiPriority w:val="0"/>
    <w:rPr>
      <w:rFonts w:ascii="黑体" w:hAnsi="黑体" w:eastAsia="宋体" w:cs="Times New Roman"/>
      <w:sz w:val="32"/>
      <w:szCs w:val="24"/>
    </w:rPr>
  </w:style>
  <w:style w:type="character" w:customStyle="1" w:styleId="62">
    <w:name w:val="标题 2 字符"/>
    <w:basedOn w:val="28"/>
    <w:link w:val="3"/>
    <w:autoRedefine/>
    <w:qFormat/>
    <w:uiPriority w:val="0"/>
    <w:rPr>
      <w:rFonts w:ascii="Calibri" w:hAnsi="Calibri" w:eastAsia="宋体" w:cs="Times New Roman"/>
      <w:b/>
      <w:sz w:val="32"/>
      <w:szCs w:val="32"/>
    </w:rPr>
  </w:style>
  <w:style w:type="character" w:customStyle="1" w:styleId="63">
    <w:name w:val="标题 3 字符"/>
    <w:basedOn w:val="28"/>
    <w:link w:val="4"/>
    <w:autoRedefine/>
    <w:qFormat/>
    <w:uiPriority w:val="0"/>
    <w:rPr>
      <w:rFonts w:ascii="Calibri" w:hAnsi="Calibri" w:eastAsia="宋体" w:cs="Times New Roman"/>
      <w:b/>
      <w:bCs/>
      <w:sz w:val="30"/>
      <w:szCs w:val="32"/>
    </w:rPr>
  </w:style>
  <w:style w:type="character" w:customStyle="1" w:styleId="64">
    <w:name w:val="正文文本 字符"/>
    <w:basedOn w:val="28"/>
    <w:link w:val="10"/>
    <w:autoRedefine/>
    <w:qFormat/>
    <w:uiPriority w:val="0"/>
    <w:rPr>
      <w:rFonts w:ascii="汉鼎简楷体" w:hAnsi="宋体" w:eastAsia="汉鼎简楷体" w:cs="Times New Roman"/>
      <w:b/>
      <w:bCs/>
      <w:spacing w:val="4"/>
      <w:sz w:val="24"/>
      <w:szCs w:val="20"/>
    </w:rPr>
  </w:style>
  <w:style w:type="character" w:customStyle="1" w:styleId="65">
    <w:name w:val="正文文本缩进 字符"/>
    <w:basedOn w:val="28"/>
    <w:link w:val="11"/>
    <w:autoRedefine/>
    <w:qFormat/>
    <w:uiPriority w:val="0"/>
    <w:rPr>
      <w:rFonts w:ascii="Calibri" w:hAnsi="Calibri" w:eastAsia="宋体" w:cs="Times New Roman"/>
      <w:szCs w:val="24"/>
    </w:rPr>
  </w:style>
  <w:style w:type="character" w:customStyle="1" w:styleId="66">
    <w:name w:val="纯文本 字符"/>
    <w:basedOn w:val="28"/>
    <w:link w:val="14"/>
    <w:autoRedefine/>
    <w:qFormat/>
    <w:uiPriority w:val="0"/>
    <w:rPr>
      <w:rFonts w:ascii="宋体" w:hAnsi="Courier New" w:eastAsia="宋体" w:cs="Times New Roman"/>
      <w:kern w:val="0"/>
      <w:szCs w:val="24"/>
    </w:rPr>
  </w:style>
  <w:style w:type="character" w:customStyle="1" w:styleId="67">
    <w:name w:val="标题 字符"/>
    <w:basedOn w:val="28"/>
    <w:link w:val="23"/>
    <w:autoRedefine/>
    <w:qFormat/>
    <w:uiPriority w:val="0"/>
    <w:rPr>
      <w:rFonts w:ascii="Arial" w:hAnsi="Arial" w:eastAsia="宋体" w:cs="Arial"/>
      <w:b/>
      <w:bCs/>
      <w:sz w:val="32"/>
      <w:szCs w:val="32"/>
    </w:rPr>
  </w:style>
  <w:style w:type="character" w:customStyle="1" w:styleId="68">
    <w:name w:val="正文文本首行缩进 字符"/>
    <w:basedOn w:val="64"/>
    <w:link w:val="24"/>
    <w:autoRedefine/>
    <w:qFormat/>
    <w:uiPriority w:val="0"/>
    <w:rPr>
      <w:rFonts w:ascii="Arial" w:hAnsi="Arial" w:eastAsia="宋体" w:cs="Times New Roman"/>
      <w:b w:val="0"/>
      <w:bCs w:val="0"/>
      <w:spacing w:val="4"/>
      <w:kern w:val="0"/>
      <w:sz w:val="24"/>
      <w:szCs w:val="20"/>
    </w:rPr>
  </w:style>
  <w:style w:type="character" w:customStyle="1" w:styleId="69">
    <w:name w:val="标题 3 Char1"/>
    <w:autoRedefine/>
    <w:qFormat/>
    <w:uiPriority w:val="0"/>
    <w:rPr>
      <w:rFonts w:eastAsia="黑体" w:cs="Times New Roman"/>
      <w:b/>
      <w:bCs/>
      <w:kern w:val="2"/>
      <w:sz w:val="24"/>
      <w:szCs w:val="24"/>
      <w:lang w:val="en-US" w:eastAsia="zh-CN"/>
    </w:rPr>
  </w:style>
  <w:style w:type="character" w:customStyle="1" w:styleId="70">
    <w:name w:val="prev"/>
    <w:basedOn w:val="28"/>
    <w:autoRedefine/>
    <w:qFormat/>
    <w:uiPriority w:val="0"/>
    <w:rPr>
      <w:rFonts w:ascii="微软雅黑" w:hAnsi="微软雅黑" w:eastAsia="微软雅黑" w:cs="微软雅黑"/>
      <w:sz w:val="21"/>
      <w:szCs w:val="21"/>
    </w:rPr>
  </w:style>
  <w:style w:type="character" w:customStyle="1" w:styleId="71">
    <w:name w:val="displayarti"/>
    <w:basedOn w:val="28"/>
    <w:autoRedefine/>
    <w:qFormat/>
    <w:uiPriority w:val="0"/>
    <w:rPr>
      <w:color w:val="FFFFFF"/>
      <w:shd w:val="clear" w:color="010000" w:fill="A00000"/>
    </w:rPr>
  </w:style>
  <w:style w:type="character" w:customStyle="1" w:styleId="72">
    <w:name w:val="qxdate"/>
    <w:basedOn w:val="28"/>
    <w:autoRedefine/>
    <w:qFormat/>
    <w:uiPriority w:val="0"/>
    <w:rPr>
      <w:color w:val="333333"/>
      <w:sz w:val="18"/>
      <w:szCs w:val="18"/>
    </w:rPr>
  </w:style>
  <w:style w:type="character" w:customStyle="1" w:styleId="73">
    <w:name w:val="gjfg"/>
    <w:basedOn w:val="28"/>
    <w:autoRedefine/>
    <w:qFormat/>
    <w:uiPriority w:val="0"/>
  </w:style>
  <w:style w:type="character" w:customStyle="1" w:styleId="74">
    <w:name w:val="redfilefwwh"/>
    <w:basedOn w:val="28"/>
    <w:autoRedefine/>
    <w:qFormat/>
    <w:uiPriority w:val="0"/>
    <w:rPr>
      <w:color w:val="BA2636"/>
      <w:sz w:val="18"/>
      <w:szCs w:val="18"/>
    </w:rPr>
  </w:style>
  <w:style w:type="character" w:customStyle="1" w:styleId="75">
    <w:name w:val="redfilenumber"/>
    <w:basedOn w:val="28"/>
    <w:qFormat/>
    <w:uiPriority w:val="0"/>
    <w:rPr>
      <w:color w:val="BA2636"/>
      <w:sz w:val="18"/>
      <w:szCs w:val="18"/>
    </w:rPr>
  </w:style>
  <w:style w:type="character" w:customStyle="1" w:styleId="76">
    <w:name w:val="cfdate"/>
    <w:basedOn w:val="28"/>
    <w:autoRedefine/>
    <w:qFormat/>
    <w:uiPriority w:val="0"/>
    <w:rPr>
      <w:color w:val="333333"/>
      <w:sz w:val="18"/>
      <w:szCs w:val="18"/>
    </w:rPr>
  </w:style>
  <w:style w:type="character" w:customStyle="1" w:styleId="77">
    <w:name w:val="next2"/>
    <w:basedOn w:val="28"/>
    <w:autoRedefine/>
    <w:qFormat/>
    <w:uiPriority w:val="0"/>
    <w:rPr>
      <w:rFonts w:hint="eastAsia" w:ascii="微软雅黑" w:hAnsi="微软雅黑" w:eastAsia="微软雅黑" w:cs="微软雅黑"/>
      <w:sz w:val="21"/>
      <w:szCs w:val="21"/>
    </w:rPr>
  </w:style>
  <w:style w:type="character" w:customStyle="1" w:styleId="78">
    <w:name w:val="next3"/>
    <w:basedOn w:val="28"/>
    <w:autoRedefine/>
    <w:qFormat/>
    <w:uiPriority w:val="0"/>
    <w:rPr>
      <w:color w:val="888888"/>
    </w:rPr>
  </w:style>
  <w:style w:type="character" w:customStyle="1" w:styleId="79">
    <w:name w:val="font61"/>
    <w:basedOn w:val="28"/>
    <w:autoRedefine/>
    <w:qFormat/>
    <w:uiPriority w:val="0"/>
    <w:rPr>
      <w:rFonts w:hint="eastAsia" w:ascii="宋体" w:hAnsi="宋体" w:eastAsia="宋体" w:cs="宋体"/>
      <w:b/>
      <w:color w:val="000000"/>
      <w:sz w:val="36"/>
      <w:szCs w:val="36"/>
      <w:u w:val="none"/>
    </w:rPr>
  </w:style>
  <w:style w:type="character" w:customStyle="1" w:styleId="80">
    <w:name w:val="font31"/>
    <w:basedOn w:val="28"/>
    <w:autoRedefine/>
    <w:qFormat/>
    <w:uiPriority w:val="0"/>
    <w:rPr>
      <w:rFonts w:hint="eastAsia" w:ascii="宋体" w:hAnsi="宋体" w:eastAsia="宋体" w:cs="宋体"/>
      <w:b/>
      <w:color w:val="000000"/>
      <w:sz w:val="20"/>
      <w:szCs w:val="20"/>
      <w:u w:val="none"/>
    </w:rPr>
  </w:style>
  <w:style w:type="character" w:customStyle="1" w:styleId="81">
    <w:name w:val="标题 4 字符"/>
    <w:link w:val="5"/>
    <w:autoRedefine/>
    <w:qFormat/>
    <w:uiPriority w:val="0"/>
    <w:rPr>
      <w:rFonts w:ascii="Arial" w:hAnsi="Arial" w:eastAsia="黑体"/>
      <w:b/>
      <w:bCs/>
      <w:kern w:val="0"/>
      <w:sz w:val="28"/>
      <w:szCs w:val="28"/>
    </w:rPr>
  </w:style>
  <w:style w:type="character" w:customStyle="1" w:styleId="82">
    <w:name w:val="font81"/>
    <w:basedOn w:val="28"/>
    <w:autoRedefine/>
    <w:qFormat/>
    <w:uiPriority w:val="0"/>
    <w:rPr>
      <w:rFonts w:hint="eastAsia" w:ascii="宋体" w:hAnsi="宋体" w:eastAsia="宋体" w:cs="宋体"/>
      <w:color w:val="000000"/>
      <w:sz w:val="20"/>
      <w:szCs w:val="20"/>
      <w:u w:val="none"/>
    </w:rPr>
  </w:style>
  <w:style w:type="character" w:customStyle="1" w:styleId="83">
    <w:name w:val="font11"/>
    <w:basedOn w:val="28"/>
    <w:autoRedefine/>
    <w:qFormat/>
    <w:uiPriority w:val="0"/>
    <w:rPr>
      <w:rFonts w:hint="default" w:ascii="Arial" w:hAnsi="Arial" w:cs="Arial"/>
      <w:color w:val="000000"/>
      <w:sz w:val="20"/>
      <w:szCs w:val="20"/>
      <w:u w:val="none"/>
    </w:rPr>
  </w:style>
  <w:style w:type="character" w:customStyle="1" w:styleId="84">
    <w:name w:val="font71"/>
    <w:basedOn w:val="28"/>
    <w:autoRedefine/>
    <w:qFormat/>
    <w:uiPriority w:val="0"/>
    <w:rPr>
      <w:rFonts w:hint="eastAsia" w:ascii="宋体" w:hAnsi="宋体" w:eastAsia="宋体" w:cs="宋体"/>
      <w:color w:val="000000"/>
      <w:sz w:val="20"/>
      <w:szCs w:val="20"/>
      <w:u w:val="none"/>
    </w:rPr>
  </w:style>
  <w:style w:type="character" w:customStyle="1" w:styleId="85">
    <w:name w:val="hover18"/>
    <w:basedOn w:val="28"/>
    <w:autoRedefine/>
    <w:qFormat/>
    <w:uiPriority w:val="0"/>
  </w:style>
  <w:style w:type="paragraph" w:customStyle="1" w:styleId="86">
    <w:name w:val="列表段落2"/>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27907</Words>
  <Characters>32226</Characters>
  <Lines>209</Lines>
  <Paragraphs>59</Paragraphs>
  <TotalTime>311</TotalTime>
  <ScaleCrop>false</ScaleCrop>
  <LinksUpToDate>false</LinksUpToDate>
  <CharactersWithSpaces>32724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2020-04-23T04:36:00Z</dcterms:created>
  <dc:creator>尹 勇</dc:creator>
  <cp:lastModifiedBy>鱼卷卷</cp:lastModifiedBy>
  <dcterms:modified xsi:type="dcterms:W3CDTF">2025-09-17T08:15:03Z</dcterms:modified>
  <dc:title>荥阳市自然资源和规划局荥阳市园地、林地、草地分等定级项目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C1FE6E6873D644558A8B412EC6DA916F</vt:lpwstr>
  </property>
  <property fmtid="{D5CDD505-2E9C-101B-9397-08002B2CF9AE}" pid="4" name="KSOTemplateDocerSaveRecord">
    <vt:lpwstr>eyJoZGlkIjoiNDY2OGFjYzNiYTBhYzk2YmY2OWU2NzZjMWE1NmUxZGMiLCJ1c2VySWQiOiIzMTE2MDEwMTUifQ==</vt:lpwstr>
  </property>
</Properties>
</file>