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hint="eastAsia" w:ascii="宋体" w:hAnsi="宋体" w:cs="宋体"/>
          <w:b/>
          <w:color w:val="auto"/>
          <w:spacing w:val="0"/>
          <w:kern w:val="0"/>
          <w:sz w:val="48"/>
          <w:szCs w:val="48"/>
          <w:highlight w:val="none"/>
          <w:lang w:eastAsia="zh-CN"/>
        </w:rPr>
      </w:pPr>
      <w:bookmarkStart w:id="0" w:name="_Toc16814"/>
      <w:bookmarkStart w:id="1" w:name="_Toc14344"/>
      <w:r>
        <w:rPr>
          <w:rFonts w:hint="eastAsia" w:ascii="宋体" w:hAnsi="宋体" w:cs="宋体"/>
          <w:b/>
          <w:color w:val="auto"/>
          <w:spacing w:val="0"/>
          <w:kern w:val="0"/>
          <w:sz w:val="48"/>
          <w:szCs w:val="48"/>
          <w:highlight w:val="none"/>
          <w:lang w:eastAsia="zh-CN"/>
        </w:rPr>
        <w:t>信阳市羊山新区民政局羊山新区养老服务中心运营服务项目</w:t>
      </w:r>
      <w:bookmarkEnd w:id="0"/>
      <w:bookmarkEnd w:id="1"/>
    </w:p>
    <w:p>
      <w:pPr>
        <w:pStyle w:val="9"/>
        <w:rPr>
          <w:rFonts w:hint="eastAsia" w:ascii="宋体" w:hAnsi="宋体" w:cs="宋体"/>
          <w:b/>
          <w:color w:val="auto"/>
          <w:spacing w:val="0"/>
          <w:kern w:val="0"/>
          <w:sz w:val="48"/>
          <w:szCs w:val="48"/>
          <w:highlight w:val="none"/>
          <w:lang w:eastAsia="zh-CN"/>
        </w:rPr>
      </w:pPr>
    </w:p>
    <w:p>
      <w:pPr>
        <w:pStyle w:val="9"/>
        <w:rPr>
          <w:rFonts w:hint="eastAsia" w:ascii="宋体" w:hAnsi="宋体" w:cs="宋体"/>
          <w:b/>
          <w:color w:val="auto"/>
          <w:spacing w:val="0"/>
          <w:kern w:val="0"/>
          <w:sz w:val="48"/>
          <w:szCs w:val="48"/>
          <w:highlight w:val="none"/>
          <w:lang w:eastAsia="zh-CN"/>
        </w:rPr>
      </w:pPr>
    </w:p>
    <w:p>
      <w:pPr>
        <w:adjustRightInd w:val="0"/>
        <w:snapToGrid w:val="0"/>
        <w:jc w:val="center"/>
        <w:rPr>
          <w:rFonts w:hint="eastAsia" w:ascii="宋体" w:hAnsi="宋体" w:eastAsia="宋体" w:cs="宋体"/>
          <w:b/>
          <w:color w:val="auto"/>
          <w:spacing w:val="28"/>
          <w:kern w:val="0"/>
          <w:sz w:val="84"/>
          <w:szCs w:val="84"/>
          <w:highlight w:val="none"/>
        </w:rPr>
      </w:pPr>
      <w:r>
        <w:rPr>
          <w:rFonts w:hint="eastAsia" w:ascii="宋体" w:hAnsi="宋体" w:eastAsia="宋体" w:cs="宋体"/>
          <w:b/>
          <w:color w:val="auto"/>
          <w:spacing w:val="28"/>
          <w:kern w:val="0"/>
          <w:sz w:val="84"/>
          <w:szCs w:val="84"/>
          <w:highlight w:val="none"/>
        </w:rPr>
        <w:t>招 标 文 件</w:t>
      </w:r>
    </w:p>
    <w:p>
      <w:p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采购编号：</w:t>
      </w:r>
      <w:r>
        <w:rPr>
          <w:rFonts w:hint="eastAsia" w:ascii="宋体" w:hAnsi="宋体" w:eastAsia="宋体" w:cs="宋体"/>
          <w:b/>
          <w:color w:val="auto"/>
          <w:sz w:val="32"/>
          <w:szCs w:val="32"/>
          <w:highlight w:val="none"/>
          <w:lang w:val="en-US" w:eastAsia="zh-CN"/>
        </w:rPr>
        <w:t>羊</w:t>
      </w:r>
      <w:r>
        <w:rPr>
          <w:rFonts w:hint="eastAsia" w:ascii="宋体" w:hAnsi="宋体" w:eastAsia="宋体" w:cs="宋体"/>
          <w:b/>
          <w:color w:val="auto"/>
          <w:sz w:val="32"/>
          <w:szCs w:val="32"/>
          <w:highlight w:val="none"/>
        </w:rPr>
        <w:t>财公开招标-202</w:t>
      </w:r>
      <w:r>
        <w:rPr>
          <w:rFonts w:hint="eastAsia" w:ascii="宋体" w:hAnsi="宋体" w:cs="宋体"/>
          <w:b/>
          <w:color w:val="auto"/>
          <w:sz w:val="32"/>
          <w:szCs w:val="32"/>
          <w:highlight w:val="none"/>
          <w:lang w:val="en-US" w:eastAsia="zh-CN"/>
        </w:rPr>
        <w:t>5</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val="en-US" w:eastAsia="zh-CN"/>
        </w:rPr>
        <w:t>9</w:t>
      </w:r>
    </w:p>
    <w:p>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10160</wp:posOffset>
            </wp:positionV>
            <wp:extent cx="1562735" cy="1448435"/>
            <wp:effectExtent l="0" t="0" r="18415" b="1841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1562735" cy="1448435"/>
                    </a:xfrm>
                    <a:prstGeom prst="rect">
                      <a:avLst/>
                    </a:prstGeom>
                    <a:noFill/>
                    <a:ln>
                      <a:noFill/>
                    </a:ln>
                  </pic:spPr>
                </pic:pic>
              </a:graphicData>
            </a:graphic>
          </wp:anchor>
        </w:drawing>
      </w:r>
    </w:p>
    <w:p>
      <w:pPr>
        <w:adjustRightInd w:val="0"/>
        <w:snapToGrid w:val="0"/>
        <w:jc w:val="center"/>
        <w:rPr>
          <w:rFonts w:hint="eastAsia" w:ascii="宋体" w:hAnsi="宋体" w:eastAsia="宋体" w:cs="宋体"/>
          <w:b/>
          <w:color w:val="auto"/>
          <w:spacing w:val="28"/>
          <w:kern w:val="0"/>
          <w:sz w:val="100"/>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pPr>
    </w:p>
    <w:p>
      <w:pPr>
        <w:spacing w:line="480" w:lineRule="auto"/>
        <w:rPr>
          <w:rFonts w:hint="eastAsia" w:ascii="宋体" w:hAnsi="宋体" w:eastAsia="宋体" w:cs="宋体"/>
          <w:b/>
          <w:color w:val="auto"/>
          <w:sz w:val="18"/>
          <w:highlight w:val="none"/>
        </w:rPr>
      </w:pPr>
    </w:p>
    <w:p>
      <w:pPr>
        <w:pStyle w:val="9"/>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4"/>
        <w:rPr>
          <w:rFonts w:hint="eastAsia" w:ascii="宋体" w:hAnsi="宋体" w:eastAsia="宋体" w:cs="宋体"/>
          <w:color w:val="auto"/>
          <w:highlight w:val="none"/>
        </w:rPr>
      </w:pPr>
    </w:p>
    <w:p>
      <w:pPr>
        <w:spacing w:line="480" w:lineRule="auto"/>
        <w:ind w:firstLine="1600" w:firstLineChars="500"/>
        <w:outlineLvl w:val="9"/>
        <w:rPr>
          <w:rFonts w:hint="eastAsia" w:ascii="宋体" w:hAnsi="宋体" w:eastAsia="宋体" w:cs="宋体"/>
          <w:b w:val="0"/>
          <w:bCs/>
          <w:color w:val="auto"/>
          <w:sz w:val="32"/>
          <w:highlight w:val="none"/>
        </w:rPr>
      </w:pPr>
      <w:bookmarkStart w:id="2" w:name="_Toc25340"/>
      <w:r>
        <w:rPr>
          <w:rFonts w:hint="eastAsia" w:ascii="宋体" w:hAnsi="宋体" w:eastAsia="宋体" w:cs="宋体"/>
          <w:b w:val="0"/>
          <w:bCs/>
          <w:color w:val="auto"/>
          <w:sz w:val="32"/>
          <w:highlight w:val="none"/>
        </w:rPr>
        <w:t>采 购 人：</w:t>
      </w:r>
      <w:bookmarkStart w:id="3" w:name="OLE_LINK13"/>
      <w:r>
        <w:rPr>
          <w:rFonts w:hint="eastAsia" w:ascii="宋体" w:hAnsi="宋体" w:eastAsia="宋体" w:cs="宋体"/>
          <w:b w:val="0"/>
          <w:bCs/>
          <w:color w:val="auto"/>
          <w:sz w:val="32"/>
          <w:highlight w:val="none"/>
          <w:lang w:eastAsia="zh-CN"/>
        </w:rPr>
        <w:t>信阳市羊山新区民政局</w:t>
      </w:r>
      <w:bookmarkEnd w:id="2"/>
      <w:bookmarkEnd w:id="3"/>
    </w:p>
    <w:p>
      <w:pPr>
        <w:spacing w:line="480" w:lineRule="auto"/>
        <w:ind w:firstLine="1600" w:firstLineChars="500"/>
        <w:outlineLvl w:val="9"/>
        <w:rPr>
          <w:rFonts w:hint="eastAsia" w:ascii="宋体" w:hAnsi="宋体" w:eastAsia="宋体" w:cs="宋体"/>
          <w:b w:val="0"/>
          <w:bCs/>
          <w:color w:val="auto"/>
          <w:sz w:val="32"/>
          <w:highlight w:val="none"/>
          <w:lang w:val="en-US" w:eastAsia="zh-CN"/>
        </w:rPr>
      </w:pPr>
      <w:bookmarkStart w:id="4" w:name="_Toc24039"/>
      <w:r>
        <w:rPr>
          <w:rFonts w:hint="eastAsia" w:ascii="宋体" w:hAnsi="宋体" w:eastAsia="宋体" w:cs="宋体"/>
          <w:b w:val="0"/>
          <w:bCs/>
          <w:color w:val="auto"/>
          <w:sz w:val="32"/>
          <w:highlight w:val="none"/>
        </w:rPr>
        <w:t>采购代理：河南明祥工程咨询有限公司</w:t>
      </w:r>
      <w:bookmarkEnd w:id="4"/>
    </w:p>
    <w:p>
      <w:pPr>
        <w:spacing w:line="480" w:lineRule="auto"/>
        <w:ind w:firstLine="1600" w:firstLineChars="500"/>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t>日    期：二0二</w:t>
      </w:r>
      <w:r>
        <w:rPr>
          <w:rFonts w:hint="eastAsia" w:ascii="宋体" w:hAnsi="宋体" w:cs="宋体"/>
          <w:b w:val="0"/>
          <w:bCs/>
          <w:color w:val="auto"/>
          <w:sz w:val="32"/>
          <w:highlight w:val="none"/>
          <w:lang w:val="en-US" w:eastAsia="zh-CN"/>
        </w:rPr>
        <w:t>五</w:t>
      </w:r>
      <w:r>
        <w:rPr>
          <w:rFonts w:hint="eastAsia" w:ascii="宋体" w:hAnsi="宋体" w:eastAsia="宋体" w:cs="宋体"/>
          <w:b w:val="0"/>
          <w:bCs/>
          <w:color w:val="auto"/>
          <w:sz w:val="32"/>
          <w:highlight w:val="none"/>
        </w:rPr>
        <w:t>年</w:t>
      </w:r>
      <w:r>
        <w:rPr>
          <w:rFonts w:hint="eastAsia" w:ascii="宋体" w:hAnsi="宋体" w:cs="宋体"/>
          <w:b w:val="0"/>
          <w:bCs/>
          <w:color w:val="auto"/>
          <w:sz w:val="32"/>
          <w:highlight w:val="none"/>
          <w:lang w:val="en-US" w:eastAsia="zh-CN"/>
        </w:rPr>
        <w:t>六</w:t>
      </w:r>
      <w:r>
        <w:rPr>
          <w:rFonts w:hint="eastAsia" w:ascii="宋体" w:hAnsi="宋体" w:eastAsia="宋体" w:cs="宋体"/>
          <w:b w:val="0"/>
          <w:bCs/>
          <w:color w:val="auto"/>
          <w:sz w:val="32"/>
          <w:highlight w:val="none"/>
        </w:rPr>
        <w:t>月</w:t>
      </w:r>
    </w:p>
    <w:p>
      <w:pPr>
        <w:rPr>
          <w:rFonts w:hint="eastAsia" w:ascii="宋体" w:hAnsi="宋体" w:eastAsia="宋体" w:cs="宋体"/>
          <w:color w:val="auto"/>
          <w:highlight w:val="none"/>
        </w:rPr>
      </w:pPr>
    </w:p>
    <w:p>
      <w:pPr>
        <w:jc w:val="center"/>
        <w:rPr>
          <w:rFonts w:hint="eastAsia" w:ascii="宋体" w:hAnsi="宋体" w:eastAsia="宋体" w:cs="宋体"/>
          <w:b/>
          <w:color w:val="auto"/>
          <w:sz w:val="44"/>
          <w:highlight w:val="none"/>
        </w:rPr>
        <w:sectPr>
          <w:headerReference r:id="rId4" w:type="first"/>
          <w:footerReference r:id="rId5" w:type="first"/>
          <w:headerReference r:id="rId3" w:type="default"/>
          <w:pgSz w:w="11906" w:h="16838"/>
          <w:pgMar w:top="1388" w:right="1701" w:bottom="1418" w:left="170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7"/>
        <w:bidi w:val="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sdt>
      <w:sdtPr>
        <w:rPr>
          <w:rFonts w:ascii="宋体" w:hAnsi="宋体" w:eastAsia="宋体" w:cs="Times New Roman"/>
          <w:color w:val="auto"/>
          <w:kern w:val="2"/>
          <w:sz w:val="21"/>
          <w:szCs w:val="24"/>
          <w:highlight w:val="none"/>
          <w:lang w:val="en-US" w:eastAsia="zh-CN" w:bidi="ar-SA"/>
        </w:rPr>
        <w:id w:val="147480054"/>
        <w15:color w:val="DBDBDB"/>
        <w:docPartObj>
          <w:docPartGallery w:val="Table of Contents"/>
          <w:docPartUnique/>
        </w:docPartObj>
      </w:sdtPr>
      <w:sdtEndPr>
        <w:rPr>
          <w:rFonts w:ascii="宋体" w:hAnsi="宋体" w:eastAsia="宋体" w:cs="Times New Roman"/>
          <w:b/>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12" w:lineRule="auto"/>
            <w:ind w:left="0" w:leftChars="0" w:right="0" w:rightChars="0" w:firstLine="0" w:firstLineChars="0"/>
            <w:jc w:val="center"/>
            <w:textAlignment w:val="auto"/>
            <w:rPr>
              <w:rFonts w:hint="eastAsia" w:eastAsia="宋体"/>
              <w:color w:val="auto"/>
              <w:highlight w:val="none"/>
              <w:lang w:eastAsia="zh-CN"/>
            </w:rPr>
          </w:pPr>
          <w:r>
            <w:rPr>
              <w:color w:val="auto"/>
              <w:highlight w:val="none"/>
            </w:rPr>
            <w:fldChar w:fldCharType="begin"/>
          </w:r>
          <w:r>
            <w:rPr>
              <w:color w:val="auto"/>
              <w:highlight w:val="none"/>
            </w:rPr>
            <w:instrText xml:space="preserve">TOC \o "1-2" \h \u </w:instrText>
          </w:r>
          <w:r>
            <w:rPr>
              <w:color w:val="auto"/>
              <w:highlight w:val="none"/>
            </w:rPr>
            <w:fldChar w:fldCharType="separate"/>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_Toc1755 </w:instrText>
          </w:r>
          <w:r>
            <w:rPr>
              <w:b/>
              <w:color w:val="auto"/>
              <w:highlight w:val="none"/>
            </w:rPr>
            <w:fldChar w:fldCharType="separate"/>
          </w:r>
          <w:r>
            <w:rPr>
              <w:rFonts w:hint="eastAsia" w:ascii="宋体" w:hAnsi="宋体" w:eastAsia="宋体" w:cs="宋体"/>
              <w:b/>
              <w:color w:val="auto"/>
              <w:szCs w:val="28"/>
              <w:highlight w:val="none"/>
            </w:rPr>
            <w:t>第一章 招标公告</w:t>
          </w:r>
          <w:r>
            <w:rPr>
              <w:b/>
              <w:color w:val="auto"/>
              <w:highlight w:val="none"/>
            </w:rPr>
            <w:tab/>
          </w:r>
          <w:r>
            <w:rPr>
              <w:b/>
              <w:color w:val="auto"/>
              <w:highlight w:val="none"/>
            </w:rPr>
            <w:fldChar w:fldCharType="begin"/>
          </w:r>
          <w:r>
            <w:rPr>
              <w:b/>
              <w:color w:val="auto"/>
              <w:highlight w:val="none"/>
            </w:rPr>
            <w:instrText xml:space="preserve"> PAGEREF _Toc1755 \h </w:instrText>
          </w:r>
          <w:r>
            <w:rPr>
              <w:b/>
              <w:color w:val="auto"/>
              <w:highlight w:val="none"/>
            </w:rPr>
            <w:fldChar w:fldCharType="separate"/>
          </w:r>
          <w:r>
            <w:rPr>
              <w:b/>
              <w:color w:val="auto"/>
              <w:highlight w:val="none"/>
            </w:rPr>
            <w:t>4</w:t>
          </w:r>
          <w:r>
            <w:rPr>
              <w:b/>
              <w:color w:val="auto"/>
              <w:highlight w:val="none"/>
            </w:rPr>
            <w:fldChar w:fldCharType="end"/>
          </w:r>
          <w:r>
            <w:rPr>
              <w:b/>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_Toc31979 </w:instrText>
          </w:r>
          <w:r>
            <w:rPr>
              <w:b/>
              <w:color w:val="auto"/>
              <w:highlight w:val="none"/>
            </w:rPr>
            <w:fldChar w:fldCharType="separate"/>
          </w:r>
          <w:r>
            <w:rPr>
              <w:rFonts w:hint="eastAsia" w:ascii="宋体" w:hAnsi="宋体" w:eastAsia="宋体" w:cs="宋体"/>
              <w:b/>
              <w:color w:val="auto"/>
              <w:kern w:val="0"/>
              <w:szCs w:val="32"/>
              <w:highlight w:val="none"/>
              <w:lang w:val="zh-CN"/>
            </w:rPr>
            <w:t>第二章</w:t>
          </w:r>
          <w:r>
            <w:rPr>
              <w:rFonts w:hint="eastAsia" w:ascii="宋体" w:hAnsi="宋体" w:cs="宋体"/>
              <w:b/>
              <w:color w:val="auto"/>
              <w:kern w:val="0"/>
              <w:szCs w:val="32"/>
              <w:highlight w:val="none"/>
              <w:lang w:val="en-US" w:eastAsia="zh-CN"/>
            </w:rPr>
            <w:t xml:space="preserve"> </w:t>
          </w:r>
          <w:r>
            <w:rPr>
              <w:rFonts w:hint="eastAsia" w:ascii="宋体" w:hAnsi="宋体" w:eastAsia="宋体" w:cs="宋体"/>
              <w:b/>
              <w:color w:val="auto"/>
              <w:szCs w:val="32"/>
              <w:highlight w:val="none"/>
              <w:lang w:eastAsia="zh-CN"/>
            </w:rPr>
            <w:t>投标人须知</w:t>
          </w:r>
          <w:r>
            <w:rPr>
              <w:b/>
              <w:color w:val="auto"/>
              <w:highlight w:val="none"/>
            </w:rPr>
            <w:tab/>
          </w:r>
          <w:r>
            <w:rPr>
              <w:b/>
              <w:color w:val="auto"/>
              <w:highlight w:val="none"/>
            </w:rPr>
            <w:fldChar w:fldCharType="begin"/>
          </w:r>
          <w:r>
            <w:rPr>
              <w:b/>
              <w:color w:val="auto"/>
              <w:highlight w:val="none"/>
            </w:rPr>
            <w:instrText xml:space="preserve"> PAGEREF _Toc31979 \h </w:instrText>
          </w:r>
          <w:r>
            <w:rPr>
              <w:b/>
              <w:color w:val="auto"/>
              <w:highlight w:val="none"/>
            </w:rPr>
            <w:fldChar w:fldCharType="separate"/>
          </w:r>
          <w:r>
            <w:rPr>
              <w:b/>
              <w:color w:val="auto"/>
              <w:highlight w:val="none"/>
            </w:rPr>
            <w:t>8</w:t>
          </w:r>
          <w:r>
            <w:rPr>
              <w:b/>
              <w:color w:val="auto"/>
              <w:highlight w:val="none"/>
            </w:rPr>
            <w:fldChar w:fldCharType="end"/>
          </w:r>
          <w:r>
            <w:rPr>
              <w:b/>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_Toc22671 </w:instrText>
          </w:r>
          <w:r>
            <w:rPr>
              <w:color w:val="auto"/>
              <w:highlight w:val="none"/>
            </w:rPr>
            <w:fldChar w:fldCharType="separate"/>
          </w:r>
          <w:r>
            <w:rPr>
              <w:rFonts w:hint="eastAsia" w:ascii="宋体" w:hAnsi="宋体" w:eastAsia="宋体" w:cs="宋体"/>
              <w:color w:val="auto"/>
              <w:kern w:val="0"/>
              <w:szCs w:val="28"/>
              <w:highlight w:val="none"/>
              <w:lang w:eastAsia="zh-CN"/>
            </w:rPr>
            <w:t>投标人须知</w:t>
          </w:r>
          <w:r>
            <w:rPr>
              <w:rFonts w:hint="eastAsia" w:ascii="宋体" w:hAnsi="宋体" w:eastAsia="宋体" w:cs="宋体"/>
              <w:color w:val="auto"/>
              <w:kern w:val="0"/>
              <w:szCs w:val="28"/>
              <w:highlight w:val="none"/>
            </w:rPr>
            <w:t>前附表</w:t>
          </w:r>
          <w:r>
            <w:rPr>
              <w:color w:val="auto"/>
              <w:highlight w:val="none"/>
            </w:rPr>
            <w:tab/>
          </w:r>
          <w:r>
            <w:rPr>
              <w:color w:val="auto"/>
              <w:highlight w:val="none"/>
            </w:rPr>
            <w:fldChar w:fldCharType="begin"/>
          </w:r>
          <w:r>
            <w:rPr>
              <w:color w:val="auto"/>
              <w:highlight w:val="none"/>
            </w:rPr>
            <w:instrText xml:space="preserve"> PAGEREF _Toc22671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_Toc6327 </w:instrText>
          </w:r>
          <w:r>
            <w:rPr>
              <w:color w:val="auto"/>
              <w:highlight w:val="none"/>
            </w:rPr>
            <w:fldChar w:fldCharType="separate"/>
          </w:r>
          <w:r>
            <w:rPr>
              <w:rFonts w:hint="eastAsia"/>
              <w:color w:val="auto"/>
              <w:szCs w:val="28"/>
              <w:highlight w:val="none"/>
            </w:rPr>
            <w:t>1. 总则</w:t>
          </w:r>
          <w:r>
            <w:rPr>
              <w:color w:val="auto"/>
              <w:highlight w:val="none"/>
            </w:rPr>
            <w:tab/>
          </w:r>
          <w:r>
            <w:rPr>
              <w:color w:val="auto"/>
              <w:highlight w:val="none"/>
            </w:rPr>
            <w:fldChar w:fldCharType="begin"/>
          </w:r>
          <w:r>
            <w:rPr>
              <w:color w:val="auto"/>
              <w:highlight w:val="none"/>
            </w:rPr>
            <w:instrText xml:space="preserve"> PAGEREF _Toc6327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_Toc5378 </w:instrText>
          </w:r>
          <w:r>
            <w:rPr>
              <w:color w:val="auto"/>
              <w:highlight w:val="none"/>
            </w:rPr>
            <w:fldChar w:fldCharType="separate"/>
          </w:r>
          <w:r>
            <w:rPr>
              <w:rFonts w:hint="eastAsia" w:ascii="Times New Roman" w:hAnsi="Times New Roman" w:eastAsia="宋体" w:cs="Times New Roman"/>
              <w:bCs/>
              <w:color w:val="auto"/>
              <w:szCs w:val="28"/>
              <w:highlight w:val="none"/>
            </w:rPr>
            <w:t>2.招标文件</w:t>
          </w:r>
          <w:r>
            <w:rPr>
              <w:color w:val="auto"/>
              <w:highlight w:val="none"/>
            </w:rPr>
            <w:tab/>
          </w:r>
          <w:r>
            <w:rPr>
              <w:color w:val="auto"/>
              <w:highlight w:val="none"/>
            </w:rPr>
            <w:fldChar w:fldCharType="begin"/>
          </w:r>
          <w:r>
            <w:rPr>
              <w:color w:val="auto"/>
              <w:highlight w:val="none"/>
            </w:rPr>
            <w:instrText xml:space="preserve"> PAGEREF _Toc5378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_Toc16206 </w:instrText>
          </w:r>
          <w:r>
            <w:rPr>
              <w:color w:val="auto"/>
              <w:highlight w:val="none"/>
            </w:rPr>
            <w:fldChar w:fldCharType="separate"/>
          </w:r>
          <w:r>
            <w:rPr>
              <w:rFonts w:hint="eastAsia" w:ascii="Times New Roman" w:hAnsi="Times New Roman" w:eastAsia="宋体" w:cs="Times New Roman"/>
              <w:bCs/>
              <w:color w:val="auto"/>
              <w:szCs w:val="28"/>
              <w:highlight w:val="none"/>
            </w:rPr>
            <w:t>3.投标文件</w:t>
          </w:r>
          <w:r>
            <w:rPr>
              <w:color w:val="auto"/>
              <w:highlight w:val="none"/>
            </w:rPr>
            <w:tab/>
          </w:r>
          <w:r>
            <w:rPr>
              <w:color w:val="auto"/>
              <w:highlight w:val="none"/>
            </w:rPr>
            <w:fldChar w:fldCharType="begin"/>
          </w:r>
          <w:r>
            <w:rPr>
              <w:color w:val="auto"/>
              <w:highlight w:val="none"/>
            </w:rPr>
            <w:instrText xml:space="preserve"> PAGEREF _Toc16206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_Toc8490 </w:instrText>
          </w:r>
          <w:r>
            <w:rPr>
              <w:color w:val="auto"/>
              <w:highlight w:val="none"/>
            </w:rPr>
            <w:fldChar w:fldCharType="separate"/>
          </w:r>
          <w:r>
            <w:rPr>
              <w:rFonts w:hint="eastAsia" w:ascii="Times New Roman" w:hAnsi="Times New Roman" w:eastAsia="宋体" w:cs="Times New Roman"/>
              <w:bCs/>
              <w:color w:val="auto"/>
              <w:szCs w:val="28"/>
              <w:highlight w:val="none"/>
            </w:rPr>
            <w:t>4. 投标</w:t>
          </w:r>
          <w:r>
            <w:rPr>
              <w:color w:val="auto"/>
              <w:highlight w:val="none"/>
            </w:rPr>
            <w:tab/>
          </w:r>
          <w:r>
            <w:rPr>
              <w:color w:val="auto"/>
              <w:highlight w:val="none"/>
            </w:rPr>
            <w:fldChar w:fldCharType="begin"/>
          </w:r>
          <w:r>
            <w:rPr>
              <w:color w:val="auto"/>
              <w:highlight w:val="none"/>
            </w:rPr>
            <w:instrText xml:space="preserve"> PAGEREF _Toc8490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_Toc7922 </w:instrText>
          </w:r>
          <w:r>
            <w:rPr>
              <w:color w:val="auto"/>
              <w:highlight w:val="none"/>
            </w:rPr>
            <w:fldChar w:fldCharType="separate"/>
          </w:r>
          <w:r>
            <w:rPr>
              <w:rFonts w:hint="eastAsia" w:ascii="Times New Roman" w:hAnsi="Times New Roman" w:eastAsia="宋体" w:cs="Times New Roman"/>
              <w:bCs/>
              <w:color w:val="auto"/>
              <w:szCs w:val="28"/>
              <w:highlight w:val="none"/>
            </w:rPr>
            <w:t>5. 开标</w:t>
          </w:r>
          <w:r>
            <w:rPr>
              <w:color w:val="auto"/>
              <w:highlight w:val="none"/>
            </w:rPr>
            <w:tab/>
          </w:r>
          <w:r>
            <w:rPr>
              <w:color w:val="auto"/>
              <w:highlight w:val="none"/>
            </w:rPr>
            <w:fldChar w:fldCharType="begin"/>
          </w:r>
          <w:r>
            <w:rPr>
              <w:color w:val="auto"/>
              <w:highlight w:val="none"/>
            </w:rPr>
            <w:instrText xml:space="preserve"> PAGEREF _Toc7922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_Toc25686 </w:instrText>
          </w:r>
          <w:r>
            <w:rPr>
              <w:color w:val="auto"/>
              <w:highlight w:val="none"/>
            </w:rPr>
            <w:fldChar w:fldCharType="separate"/>
          </w:r>
          <w:r>
            <w:rPr>
              <w:rFonts w:hint="eastAsia" w:ascii="Times New Roman" w:hAnsi="Times New Roman" w:eastAsia="宋体" w:cs="Times New Roman"/>
              <w:bCs/>
              <w:color w:val="auto"/>
              <w:szCs w:val="28"/>
              <w:highlight w:val="none"/>
            </w:rPr>
            <w:t>6. 评标</w:t>
          </w:r>
          <w:r>
            <w:rPr>
              <w:color w:val="auto"/>
              <w:highlight w:val="none"/>
            </w:rPr>
            <w:tab/>
          </w:r>
          <w:r>
            <w:rPr>
              <w:color w:val="auto"/>
              <w:highlight w:val="none"/>
            </w:rPr>
            <w:fldChar w:fldCharType="begin"/>
          </w:r>
          <w:r>
            <w:rPr>
              <w:color w:val="auto"/>
              <w:highlight w:val="none"/>
            </w:rPr>
            <w:instrText xml:space="preserve"> PAGEREF _Toc25686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_Toc8467 </w:instrText>
          </w:r>
          <w:r>
            <w:rPr>
              <w:color w:val="auto"/>
              <w:highlight w:val="none"/>
            </w:rPr>
            <w:fldChar w:fldCharType="separate"/>
          </w:r>
          <w:r>
            <w:rPr>
              <w:rFonts w:hint="eastAsia" w:ascii="Times New Roman" w:hAnsi="Times New Roman" w:eastAsia="宋体" w:cs="Times New Roman"/>
              <w:bCs/>
              <w:color w:val="auto"/>
              <w:szCs w:val="28"/>
              <w:highlight w:val="none"/>
            </w:rPr>
            <w:t>7. 合同授予</w:t>
          </w:r>
          <w:r>
            <w:rPr>
              <w:color w:val="auto"/>
              <w:highlight w:val="none"/>
            </w:rPr>
            <w:tab/>
          </w:r>
          <w:r>
            <w:rPr>
              <w:color w:val="auto"/>
              <w:highlight w:val="none"/>
            </w:rPr>
            <w:fldChar w:fldCharType="begin"/>
          </w:r>
          <w:r>
            <w:rPr>
              <w:color w:val="auto"/>
              <w:highlight w:val="none"/>
            </w:rPr>
            <w:instrText xml:space="preserve"> PAGEREF _Toc8467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_Toc30297 </w:instrText>
          </w:r>
          <w:r>
            <w:rPr>
              <w:color w:val="auto"/>
              <w:highlight w:val="none"/>
            </w:rPr>
            <w:fldChar w:fldCharType="separate"/>
          </w:r>
          <w:r>
            <w:rPr>
              <w:rFonts w:hint="eastAsia" w:ascii="Times New Roman" w:hAnsi="Times New Roman" w:eastAsia="宋体" w:cs="Times New Roman"/>
              <w:bCs/>
              <w:color w:val="auto"/>
              <w:szCs w:val="28"/>
              <w:highlight w:val="none"/>
            </w:rPr>
            <w:t>8.重新招标和不再招标</w:t>
          </w:r>
          <w:r>
            <w:rPr>
              <w:color w:val="auto"/>
              <w:highlight w:val="none"/>
            </w:rPr>
            <w:tab/>
          </w:r>
          <w:r>
            <w:rPr>
              <w:color w:val="auto"/>
              <w:highlight w:val="none"/>
            </w:rPr>
            <w:fldChar w:fldCharType="begin"/>
          </w:r>
          <w:r>
            <w:rPr>
              <w:color w:val="auto"/>
              <w:highlight w:val="none"/>
            </w:rPr>
            <w:instrText xml:space="preserve"> PAGEREF _Toc30297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_Toc21425 </w:instrText>
          </w:r>
          <w:r>
            <w:rPr>
              <w:color w:val="auto"/>
              <w:highlight w:val="none"/>
            </w:rPr>
            <w:fldChar w:fldCharType="separate"/>
          </w:r>
          <w:r>
            <w:rPr>
              <w:rFonts w:hint="eastAsia" w:ascii="Times New Roman" w:hAnsi="Times New Roman" w:eastAsia="宋体" w:cs="Times New Roman"/>
              <w:bCs/>
              <w:color w:val="auto"/>
              <w:szCs w:val="28"/>
              <w:highlight w:val="none"/>
            </w:rPr>
            <w:t>9.纪律和监督</w:t>
          </w:r>
          <w:r>
            <w:rPr>
              <w:color w:val="auto"/>
              <w:highlight w:val="none"/>
            </w:rPr>
            <w:tab/>
          </w:r>
          <w:r>
            <w:rPr>
              <w:color w:val="auto"/>
              <w:highlight w:val="none"/>
            </w:rPr>
            <w:fldChar w:fldCharType="begin"/>
          </w:r>
          <w:r>
            <w:rPr>
              <w:color w:val="auto"/>
              <w:highlight w:val="none"/>
            </w:rPr>
            <w:instrText xml:space="preserve"> PAGEREF _Toc21425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_Toc9135 </w:instrText>
          </w:r>
          <w:r>
            <w:rPr>
              <w:color w:val="auto"/>
              <w:highlight w:val="none"/>
            </w:rPr>
            <w:fldChar w:fldCharType="separate"/>
          </w:r>
          <w:r>
            <w:rPr>
              <w:rFonts w:hint="eastAsia" w:ascii="Times New Roman" w:hAnsi="Times New Roman" w:eastAsia="宋体" w:cs="Times New Roman"/>
              <w:bCs/>
              <w:color w:val="auto"/>
              <w:szCs w:val="28"/>
              <w:highlight w:val="none"/>
            </w:rPr>
            <w:t>10．需要补充的其他内容</w:t>
          </w:r>
          <w:r>
            <w:rPr>
              <w:color w:val="auto"/>
              <w:highlight w:val="none"/>
            </w:rPr>
            <w:tab/>
          </w:r>
          <w:r>
            <w:rPr>
              <w:color w:val="auto"/>
              <w:highlight w:val="none"/>
            </w:rPr>
            <w:fldChar w:fldCharType="begin"/>
          </w:r>
          <w:r>
            <w:rPr>
              <w:color w:val="auto"/>
              <w:highlight w:val="none"/>
            </w:rPr>
            <w:instrText xml:space="preserve"> PAGEREF _Toc9135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_Toc5656 </w:instrText>
          </w:r>
          <w:r>
            <w:rPr>
              <w:b/>
              <w:color w:val="auto"/>
              <w:highlight w:val="none"/>
            </w:rPr>
            <w:fldChar w:fldCharType="separate"/>
          </w:r>
          <w:r>
            <w:rPr>
              <w:rFonts w:hint="eastAsia" w:ascii="宋体" w:hAnsi="宋体" w:eastAsia="宋体" w:cs="宋体"/>
              <w:b/>
              <w:bCs/>
              <w:color w:val="auto"/>
              <w:szCs w:val="32"/>
              <w:highlight w:val="none"/>
            </w:rPr>
            <w:t>第三章  评标办法</w:t>
          </w:r>
          <w:r>
            <w:rPr>
              <w:b/>
              <w:color w:val="auto"/>
              <w:highlight w:val="none"/>
            </w:rPr>
            <w:tab/>
          </w:r>
          <w:r>
            <w:rPr>
              <w:b/>
              <w:color w:val="auto"/>
              <w:highlight w:val="none"/>
            </w:rPr>
            <w:fldChar w:fldCharType="begin"/>
          </w:r>
          <w:r>
            <w:rPr>
              <w:b/>
              <w:color w:val="auto"/>
              <w:highlight w:val="none"/>
            </w:rPr>
            <w:instrText xml:space="preserve"> PAGEREF _Toc5656 \h </w:instrText>
          </w:r>
          <w:r>
            <w:rPr>
              <w:b/>
              <w:color w:val="auto"/>
              <w:highlight w:val="none"/>
            </w:rPr>
            <w:fldChar w:fldCharType="separate"/>
          </w:r>
          <w:r>
            <w:rPr>
              <w:b/>
              <w:color w:val="auto"/>
              <w:highlight w:val="none"/>
            </w:rPr>
            <w:t>19</w:t>
          </w:r>
          <w:r>
            <w:rPr>
              <w:b/>
              <w:color w:val="auto"/>
              <w:highlight w:val="none"/>
            </w:rPr>
            <w:fldChar w:fldCharType="end"/>
          </w:r>
          <w:r>
            <w:rPr>
              <w:b/>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ind w:firstLine="400" w:firstLineChars="200"/>
            <w:textAlignment w:val="auto"/>
            <w:rPr>
              <w:b w:val="0"/>
              <w:bCs/>
              <w:color w:val="auto"/>
              <w:highlight w:val="none"/>
            </w:rPr>
          </w:pPr>
          <w:r>
            <w:rPr>
              <w:b w:val="0"/>
              <w:bCs/>
              <w:color w:val="auto"/>
              <w:highlight w:val="none"/>
            </w:rPr>
            <w:fldChar w:fldCharType="begin"/>
          </w:r>
          <w:r>
            <w:rPr>
              <w:b w:val="0"/>
              <w:bCs/>
              <w:color w:val="auto"/>
              <w:highlight w:val="none"/>
            </w:rPr>
            <w:instrText xml:space="preserve"> HYPERLINK \l _Toc2145 </w:instrText>
          </w:r>
          <w:r>
            <w:rPr>
              <w:b w:val="0"/>
              <w:bCs/>
              <w:color w:val="auto"/>
              <w:highlight w:val="none"/>
            </w:rPr>
            <w:fldChar w:fldCharType="separate"/>
          </w:r>
          <w:r>
            <w:rPr>
              <w:rFonts w:hint="eastAsia" w:ascii="宋体" w:hAnsi="宋体" w:eastAsia="宋体" w:cs="宋体"/>
              <w:b w:val="0"/>
              <w:bCs/>
              <w:color w:val="auto"/>
              <w:szCs w:val="30"/>
              <w:highlight w:val="none"/>
            </w:rPr>
            <w:t>评标办法前附表（综合评估法）</w:t>
          </w:r>
          <w:r>
            <w:rPr>
              <w:b w:val="0"/>
              <w:bCs/>
              <w:color w:val="auto"/>
              <w:highlight w:val="none"/>
            </w:rPr>
            <w:tab/>
          </w:r>
          <w:r>
            <w:rPr>
              <w:b w:val="0"/>
              <w:bCs/>
              <w:color w:val="auto"/>
              <w:highlight w:val="none"/>
            </w:rPr>
            <w:fldChar w:fldCharType="begin"/>
          </w:r>
          <w:r>
            <w:rPr>
              <w:b w:val="0"/>
              <w:bCs/>
              <w:color w:val="auto"/>
              <w:highlight w:val="none"/>
            </w:rPr>
            <w:instrText xml:space="preserve"> PAGEREF _Toc2145 \h </w:instrText>
          </w:r>
          <w:r>
            <w:rPr>
              <w:b w:val="0"/>
              <w:bCs/>
              <w:color w:val="auto"/>
              <w:highlight w:val="none"/>
            </w:rPr>
            <w:fldChar w:fldCharType="separate"/>
          </w:r>
          <w:r>
            <w:rPr>
              <w:b w:val="0"/>
              <w:bCs/>
              <w:color w:val="auto"/>
              <w:highlight w:val="none"/>
            </w:rPr>
            <w:t>19</w:t>
          </w:r>
          <w:r>
            <w:rPr>
              <w:b w:val="0"/>
              <w:bCs/>
              <w:color w:val="auto"/>
              <w:highlight w:val="none"/>
            </w:rPr>
            <w:fldChar w:fldCharType="end"/>
          </w:r>
          <w:r>
            <w:rPr>
              <w:b w:val="0"/>
              <w:bCs/>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ind w:firstLine="400" w:firstLineChars="200"/>
            <w:textAlignment w:val="auto"/>
            <w:rPr>
              <w:b w:val="0"/>
              <w:bCs/>
              <w:color w:val="auto"/>
              <w:highlight w:val="none"/>
            </w:rPr>
          </w:pPr>
          <w:r>
            <w:rPr>
              <w:b w:val="0"/>
              <w:bCs/>
              <w:color w:val="auto"/>
              <w:highlight w:val="none"/>
            </w:rPr>
            <w:fldChar w:fldCharType="begin"/>
          </w:r>
          <w:r>
            <w:rPr>
              <w:b w:val="0"/>
              <w:bCs/>
              <w:color w:val="auto"/>
              <w:highlight w:val="none"/>
            </w:rPr>
            <w:instrText xml:space="preserve"> HYPERLINK \l _Toc17134 </w:instrText>
          </w:r>
          <w:r>
            <w:rPr>
              <w:b w:val="0"/>
              <w:bCs/>
              <w:color w:val="auto"/>
              <w:highlight w:val="none"/>
            </w:rPr>
            <w:fldChar w:fldCharType="separate"/>
          </w:r>
          <w:r>
            <w:rPr>
              <w:rFonts w:hint="eastAsia" w:ascii="宋体" w:hAnsi="宋体" w:eastAsia="宋体" w:cs="宋体"/>
              <w:b w:val="0"/>
              <w:bCs/>
              <w:color w:val="auto"/>
              <w:highlight w:val="none"/>
            </w:rPr>
            <w:t>1. 评标方法（综合评估法）</w:t>
          </w:r>
          <w:r>
            <w:rPr>
              <w:b w:val="0"/>
              <w:bCs/>
              <w:color w:val="auto"/>
              <w:highlight w:val="none"/>
            </w:rPr>
            <w:tab/>
          </w:r>
          <w:r>
            <w:rPr>
              <w:b w:val="0"/>
              <w:bCs/>
              <w:color w:val="auto"/>
              <w:highlight w:val="none"/>
            </w:rPr>
            <w:fldChar w:fldCharType="begin"/>
          </w:r>
          <w:r>
            <w:rPr>
              <w:b w:val="0"/>
              <w:bCs/>
              <w:color w:val="auto"/>
              <w:highlight w:val="none"/>
            </w:rPr>
            <w:instrText xml:space="preserve"> PAGEREF _Toc17134 \h </w:instrText>
          </w:r>
          <w:r>
            <w:rPr>
              <w:b w:val="0"/>
              <w:bCs/>
              <w:color w:val="auto"/>
              <w:highlight w:val="none"/>
            </w:rPr>
            <w:fldChar w:fldCharType="separate"/>
          </w:r>
          <w:r>
            <w:rPr>
              <w:b w:val="0"/>
              <w:bCs/>
              <w:color w:val="auto"/>
              <w:highlight w:val="none"/>
            </w:rPr>
            <w:t>23</w:t>
          </w:r>
          <w:r>
            <w:rPr>
              <w:b w:val="0"/>
              <w:bCs/>
              <w:color w:val="auto"/>
              <w:highlight w:val="none"/>
            </w:rPr>
            <w:fldChar w:fldCharType="end"/>
          </w:r>
          <w:r>
            <w:rPr>
              <w:b w:val="0"/>
              <w:bCs/>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ind w:firstLine="400" w:firstLineChars="200"/>
            <w:textAlignment w:val="auto"/>
            <w:rPr>
              <w:b w:val="0"/>
              <w:bCs/>
              <w:color w:val="auto"/>
              <w:highlight w:val="none"/>
            </w:rPr>
          </w:pPr>
          <w:r>
            <w:rPr>
              <w:b w:val="0"/>
              <w:bCs/>
              <w:color w:val="auto"/>
              <w:highlight w:val="none"/>
            </w:rPr>
            <w:fldChar w:fldCharType="begin"/>
          </w:r>
          <w:r>
            <w:rPr>
              <w:b w:val="0"/>
              <w:bCs/>
              <w:color w:val="auto"/>
              <w:highlight w:val="none"/>
            </w:rPr>
            <w:instrText xml:space="preserve"> HYPERLINK \l _Toc21822 </w:instrText>
          </w:r>
          <w:r>
            <w:rPr>
              <w:b w:val="0"/>
              <w:bCs/>
              <w:color w:val="auto"/>
              <w:highlight w:val="none"/>
            </w:rPr>
            <w:fldChar w:fldCharType="separate"/>
          </w:r>
          <w:r>
            <w:rPr>
              <w:rFonts w:hint="eastAsia" w:ascii="宋体" w:hAnsi="宋体" w:eastAsia="宋体" w:cs="宋体"/>
              <w:b w:val="0"/>
              <w:bCs/>
              <w:color w:val="auto"/>
              <w:highlight w:val="none"/>
            </w:rPr>
            <w:t>2. 评审标准</w:t>
          </w:r>
          <w:r>
            <w:rPr>
              <w:b w:val="0"/>
              <w:bCs/>
              <w:color w:val="auto"/>
              <w:highlight w:val="none"/>
            </w:rPr>
            <w:tab/>
          </w:r>
          <w:r>
            <w:rPr>
              <w:b w:val="0"/>
              <w:bCs/>
              <w:color w:val="auto"/>
              <w:highlight w:val="none"/>
            </w:rPr>
            <w:fldChar w:fldCharType="begin"/>
          </w:r>
          <w:r>
            <w:rPr>
              <w:b w:val="0"/>
              <w:bCs/>
              <w:color w:val="auto"/>
              <w:highlight w:val="none"/>
            </w:rPr>
            <w:instrText xml:space="preserve"> PAGEREF _Toc21822 \h </w:instrText>
          </w:r>
          <w:r>
            <w:rPr>
              <w:b w:val="0"/>
              <w:bCs/>
              <w:color w:val="auto"/>
              <w:highlight w:val="none"/>
            </w:rPr>
            <w:fldChar w:fldCharType="separate"/>
          </w:r>
          <w:r>
            <w:rPr>
              <w:b w:val="0"/>
              <w:bCs/>
              <w:color w:val="auto"/>
              <w:highlight w:val="none"/>
            </w:rPr>
            <w:t>23</w:t>
          </w:r>
          <w:r>
            <w:rPr>
              <w:b w:val="0"/>
              <w:bCs/>
              <w:color w:val="auto"/>
              <w:highlight w:val="none"/>
            </w:rPr>
            <w:fldChar w:fldCharType="end"/>
          </w:r>
          <w:r>
            <w:rPr>
              <w:b w:val="0"/>
              <w:bCs/>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ind w:firstLine="400" w:firstLineChars="200"/>
            <w:textAlignment w:val="auto"/>
            <w:rPr>
              <w:b w:val="0"/>
              <w:bCs/>
              <w:color w:val="auto"/>
              <w:highlight w:val="none"/>
            </w:rPr>
          </w:pPr>
          <w:r>
            <w:rPr>
              <w:b w:val="0"/>
              <w:bCs/>
              <w:color w:val="auto"/>
              <w:highlight w:val="none"/>
            </w:rPr>
            <w:fldChar w:fldCharType="begin"/>
          </w:r>
          <w:r>
            <w:rPr>
              <w:b w:val="0"/>
              <w:bCs/>
              <w:color w:val="auto"/>
              <w:highlight w:val="none"/>
            </w:rPr>
            <w:instrText xml:space="preserve"> HYPERLINK \l _Toc23735 </w:instrText>
          </w:r>
          <w:r>
            <w:rPr>
              <w:b w:val="0"/>
              <w:bCs/>
              <w:color w:val="auto"/>
              <w:highlight w:val="none"/>
            </w:rPr>
            <w:fldChar w:fldCharType="separate"/>
          </w:r>
          <w:r>
            <w:rPr>
              <w:rFonts w:hint="eastAsia" w:ascii="宋体" w:hAnsi="宋体" w:eastAsia="宋体" w:cs="宋体"/>
              <w:b w:val="0"/>
              <w:bCs/>
              <w:color w:val="auto"/>
              <w:highlight w:val="none"/>
            </w:rPr>
            <w:t>3.  评标程序</w:t>
          </w:r>
          <w:r>
            <w:rPr>
              <w:b w:val="0"/>
              <w:bCs/>
              <w:color w:val="auto"/>
              <w:highlight w:val="none"/>
            </w:rPr>
            <w:tab/>
          </w:r>
          <w:r>
            <w:rPr>
              <w:b w:val="0"/>
              <w:bCs/>
              <w:color w:val="auto"/>
              <w:highlight w:val="none"/>
            </w:rPr>
            <w:fldChar w:fldCharType="begin"/>
          </w:r>
          <w:r>
            <w:rPr>
              <w:b w:val="0"/>
              <w:bCs/>
              <w:color w:val="auto"/>
              <w:highlight w:val="none"/>
            </w:rPr>
            <w:instrText xml:space="preserve"> PAGEREF _Toc23735 \h </w:instrText>
          </w:r>
          <w:r>
            <w:rPr>
              <w:b w:val="0"/>
              <w:bCs/>
              <w:color w:val="auto"/>
              <w:highlight w:val="none"/>
            </w:rPr>
            <w:fldChar w:fldCharType="separate"/>
          </w:r>
          <w:r>
            <w:rPr>
              <w:b w:val="0"/>
              <w:bCs/>
              <w:color w:val="auto"/>
              <w:highlight w:val="none"/>
            </w:rPr>
            <w:t>24</w:t>
          </w:r>
          <w:r>
            <w:rPr>
              <w:b w:val="0"/>
              <w:bCs/>
              <w:color w:val="auto"/>
              <w:highlight w:val="none"/>
            </w:rPr>
            <w:fldChar w:fldCharType="end"/>
          </w:r>
          <w:r>
            <w:rPr>
              <w:b w:val="0"/>
              <w:bCs/>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ind w:firstLine="400" w:firstLineChars="200"/>
            <w:textAlignment w:val="auto"/>
            <w:rPr>
              <w:b w:val="0"/>
              <w:bCs/>
              <w:color w:val="auto"/>
              <w:highlight w:val="none"/>
            </w:rPr>
          </w:pPr>
          <w:r>
            <w:rPr>
              <w:b w:val="0"/>
              <w:bCs/>
              <w:color w:val="auto"/>
              <w:highlight w:val="none"/>
            </w:rPr>
            <w:fldChar w:fldCharType="begin"/>
          </w:r>
          <w:r>
            <w:rPr>
              <w:b w:val="0"/>
              <w:bCs/>
              <w:color w:val="auto"/>
              <w:highlight w:val="none"/>
            </w:rPr>
            <w:instrText xml:space="preserve"> HYPERLINK \l _Toc18386 </w:instrText>
          </w:r>
          <w:r>
            <w:rPr>
              <w:b w:val="0"/>
              <w:bCs/>
              <w:color w:val="auto"/>
              <w:highlight w:val="none"/>
            </w:rPr>
            <w:fldChar w:fldCharType="separate"/>
          </w:r>
          <w:r>
            <w:rPr>
              <w:rFonts w:hint="eastAsia" w:ascii="宋体" w:hAnsi="宋体" w:eastAsia="宋体" w:cs="宋体"/>
              <w:b w:val="0"/>
              <w:bCs/>
              <w:color w:val="auto"/>
              <w:szCs w:val="21"/>
              <w:highlight w:val="none"/>
            </w:rPr>
            <w:t>附件：废标条件</w:t>
          </w:r>
          <w:r>
            <w:rPr>
              <w:b w:val="0"/>
              <w:bCs/>
              <w:color w:val="auto"/>
              <w:highlight w:val="none"/>
            </w:rPr>
            <w:tab/>
          </w:r>
          <w:r>
            <w:rPr>
              <w:b w:val="0"/>
              <w:bCs/>
              <w:color w:val="auto"/>
              <w:highlight w:val="none"/>
            </w:rPr>
            <w:fldChar w:fldCharType="begin"/>
          </w:r>
          <w:r>
            <w:rPr>
              <w:b w:val="0"/>
              <w:bCs/>
              <w:color w:val="auto"/>
              <w:highlight w:val="none"/>
            </w:rPr>
            <w:instrText xml:space="preserve"> PAGEREF _Toc18386 \h </w:instrText>
          </w:r>
          <w:r>
            <w:rPr>
              <w:b w:val="0"/>
              <w:bCs/>
              <w:color w:val="auto"/>
              <w:highlight w:val="none"/>
            </w:rPr>
            <w:fldChar w:fldCharType="separate"/>
          </w:r>
          <w:r>
            <w:rPr>
              <w:b w:val="0"/>
              <w:bCs/>
              <w:color w:val="auto"/>
              <w:highlight w:val="none"/>
            </w:rPr>
            <w:t>25</w:t>
          </w:r>
          <w:r>
            <w:rPr>
              <w:b w:val="0"/>
              <w:bCs/>
              <w:color w:val="auto"/>
              <w:highlight w:val="none"/>
            </w:rPr>
            <w:fldChar w:fldCharType="end"/>
          </w:r>
          <w:r>
            <w:rPr>
              <w:b w:val="0"/>
              <w:bCs/>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_Toc7542 </w:instrText>
          </w:r>
          <w:r>
            <w:rPr>
              <w:b/>
              <w:color w:val="auto"/>
              <w:highlight w:val="none"/>
            </w:rPr>
            <w:fldChar w:fldCharType="separate"/>
          </w:r>
          <w:r>
            <w:rPr>
              <w:rFonts w:hint="eastAsia" w:ascii="宋体" w:hAnsi="宋体" w:eastAsia="宋体" w:cs="宋体"/>
              <w:b/>
              <w:color w:val="auto"/>
              <w:szCs w:val="32"/>
              <w:highlight w:val="none"/>
              <w:lang w:eastAsia="zh-CN"/>
            </w:rPr>
            <w:t>第四章 合同</w:t>
          </w:r>
          <w:r>
            <w:rPr>
              <w:rFonts w:hint="eastAsia" w:ascii="宋体" w:hAnsi="宋体" w:eastAsia="宋体" w:cs="宋体"/>
              <w:b/>
              <w:color w:val="auto"/>
              <w:szCs w:val="32"/>
              <w:highlight w:val="none"/>
              <w:lang w:val="en-US" w:eastAsia="zh-CN"/>
            </w:rPr>
            <w:t>主要</w:t>
          </w:r>
          <w:r>
            <w:rPr>
              <w:rFonts w:hint="eastAsia" w:ascii="宋体" w:hAnsi="宋体" w:eastAsia="宋体" w:cs="宋体"/>
              <w:b/>
              <w:color w:val="auto"/>
              <w:szCs w:val="32"/>
              <w:highlight w:val="none"/>
              <w:lang w:eastAsia="zh-CN"/>
            </w:rPr>
            <w:t>条款</w:t>
          </w:r>
          <w:r>
            <w:rPr>
              <w:rFonts w:hint="eastAsia" w:ascii="宋体" w:hAnsi="宋体" w:eastAsia="宋体" w:cs="宋体"/>
              <w:b/>
              <w:color w:val="auto"/>
              <w:szCs w:val="32"/>
              <w:highlight w:val="none"/>
              <w:lang w:val="en-US" w:eastAsia="zh-CN"/>
            </w:rPr>
            <w:t>及格式</w:t>
          </w:r>
          <w:r>
            <w:rPr>
              <w:b/>
              <w:color w:val="auto"/>
              <w:highlight w:val="none"/>
            </w:rPr>
            <w:tab/>
          </w:r>
          <w:r>
            <w:rPr>
              <w:b/>
              <w:color w:val="auto"/>
              <w:highlight w:val="none"/>
            </w:rPr>
            <w:fldChar w:fldCharType="begin"/>
          </w:r>
          <w:r>
            <w:rPr>
              <w:b/>
              <w:color w:val="auto"/>
              <w:highlight w:val="none"/>
            </w:rPr>
            <w:instrText xml:space="preserve"> PAGEREF _Toc7542 \h </w:instrText>
          </w:r>
          <w:r>
            <w:rPr>
              <w:b/>
              <w:color w:val="auto"/>
              <w:highlight w:val="none"/>
            </w:rPr>
            <w:fldChar w:fldCharType="separate"/>
          </w:r>
          <w:r>
            <w:rPr>
              <w:b/>
              <w:color w:val="auto"/>
              <w:highlight w:val="none"/>
            </w:rPr>
            <w:t>26</w:t>
          </w:r>
          <w:r>
            <w:rPr>
              <w:b/>
              <w:color w:val="auto"/>
              <w:highlight w:val="none"/>
            </w:rPr>
            <w:fldChar w:fldCharType="end"/>
          </w:r>
          <w:r>
            <w:rPr>
              <w:b/>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_Toc10194 </w:instrText>
          </w:r>
          <w:r>
            <w:rPr>
              <w:b/>
              <w:color w:val="auto"/>
              <w:highlight w:val="none"/>
            </w:rPr>
            <w:fldChar w:fldCharType="separate"/>
          </w:r>
          <w:r>
            <w:rPr>
              <w:rFonts w:hint="eastAsia" w:ascii="宋体" w:hAnsi="宋体" w:eastAsia="宋体" w:cs="宋体"/>
              <w:b/>
              <w:color w:val="auto"/>
              <w:szCs w:val="32"/>
              <w:highlight w:val="none"/>
            </w:rPr>
            <w:t xml:space="preserve">第五章 </w:t>
          </w:r>
          <w:r>
            <w:rPr>
              <w:rFonts w:hint="eastAsia" w:ascii="宋体" w:hAnsi="宋体" w:eastAsia="宋体" w:cs="宋体"/>
              <w:b/>
              <w:bCs/>
              <w:color w:val="auto"/>
              <w:szCs w:val="32"/>
              <w:highlight w:val="none"/>
              <w:lang w:eastAsia="zh-CN"/>
            </w:rPr>
            <w:t>采购</w:t>
          </w:r>
          <w:r>
            <w:rPr>
              <w:rFonts w:hint="eastAsia" w:ascii="宋体" w:hAnsi="宋体" w:eastAsia="宋体" w:cs="宋体"/>
              <w:b/>
              <w:bCs/>
              <w:color w:val="auto"/>
              <w:szCs w:val="32"/>
              <w:highlight w:val="none"/>
              <w:lang w:val="en-US" w:eastAsia="zh-CN"/>
            </w:rPr>
            <w:t>需求</w:t>
          </w:r>
          <w:r>
            <w:rPr>
              <w:b/>
              <w:color w:val="auto"/>
              <w:highlight w:val="none"/>
            </w:rPr>
            <w:tab/>
          </w:r>
          <w:r>
            <w:rPr>
              <w:b/>
              <w:color w:val="auto"/>
              <w:highlight w:val="none"/>
            </w:rPr>
            <w:fldChar w:fldCharType="begin"/>
          </w:r>
          <w:r>
            <w:rPr>
              <w:b/>
              <w:color w:val="auto"/>
              <w:highlight w:val="none"/>
            </w:rPr>
            <w:instrText xml:space="preserve"> PAGEREF _Toc10194 \h </w:instrText>
          </w:r>
          <w:r>
            <w:rPr>
              <w:b/>
              <w:color w:val="auto"/>
              <w:highlight w:val="none"/>
            </w:rPr>
            <w:fldChar w:fldCharType="separate"/>
          </w:r>
          <w:r>
            <w:rPr>
              <w:b/>
              <w:color w:val="auto"/>
              <w:highlight w:val="none"/>
            </w:rPr>
            <w:t>30</w:t>
          </w:r>
          <w:r>
            <w:rPr>
              <w:b/>
              <w:color w:val="auto"/>
              <w:highlight w:val="none"/>
            </w:rPr>
            <w:fldChar w:fldCharType="end"/>
          </w:r>
          <w:r>
            <w:rPr>
              <w:b/>
              <w:color w:val="auto"/>
              <w:highlight w:val="none"/>
            </w:rPr>
            <w:fldChar w:fldCharType="end"/>
          </w:r>
        </w:p>
        <w:p>
          <w:pPr>
            <w:pStyle w:val="54"/>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b/>
              <w:color w:val="auto"/>
              <w:highlight w:val="none"/>
            </w:rPr>
          </w:pPr>
          <w:r>
            <w:rPr>
              <w:b/>
              <w:color w:val="auto"/>
              <w:highlight w:val="none"/>
            </w:rPr>
            <w:fldChar w:fldCharType="begin"/>
          </w:r>
          <w:r>
            <w:rPr>
              <w:b/>
              <w:color w:val="auto"/>
              <w:highlight w:val="none"/>
            </w:rPr>
            <w:instrText xml:space="preserve"> HYPERLINK \l _Toc21487 </w:instrText>
          </w:r>
          <w:r>
            <w:rPr>
              <w:b/>
              <w:color w:val="auto"/>
              <w:highlight w:val="none"/>
            </w:rPr>
            <w:fldChar w:fldCharType="separate"/>
          </w:r>
          <w:r>
            <w:rPr>
              <w:rFonts w:hint="eastAsia" w:ascii="宋体" w:hAnsi="宋体" w:eastAsia="宋体" w:cs="宋体"/>
              <w:b/>
              <w:color w:val="auto"/>
              <w:highlight w:val="none"/>
            </w:rPr>
            <w:t>第</w:t>
          </w:r>
          <w:r>
            <w:rPr>
              <w:rFonts w:hint="eastAsia" w:ascii="宋体" w:hAnsi="宋体" w:cs="宋体"/>
              <w:b/>
              <w:color w:val="auto"/>
              <w:highlight w:val="none"/>
              <w:lang w:val="en-US" w:eastAsia="zh-CN"/>
            </w:rPr>
            <w:t>六</w:t>
          </w:r>
          <w:r>
            <w:rPr>
              <w:rFonts w:hint="eastAsia" w:ascii="宋体" w:hAnsi="宋体" w:eastAsia="宋体" w:cs="宋体"/>
              <w:b/>
              <w:color w:val="auto"/>
              <w:highlight w:val="none"/>
            </w:rPr>
            <w:t>章  投标文件格式</w:t>
          </w:r>
          <w:r>
            <w:rPr>
              <w:b/>
              <w:color w:val="auto"/>
              <w:highlight w:val="none"/>
            </w:rPr>
            <w:tab/>
          </w:r>
          <w:r>
            <w:rPr>
              <w:b/>
              <w:color w:val="auto"/>
              <w:highlight w:val="none"/>
            </w:rPr>
            <w:fldChar w:fldCharType="begin"/>
          </w:r>
          <w:r>
            <w:rPr>
              <w:b/>
              <w:color w:val="auto"/>
              <w:highlight w:val="none"/>
            </w:rPr>
            <w:instrText xml:space="preserve"> PAGEREF _Toc21487 \h </w:instrText>
          </w:r>
          <w:r>
            <w:rPr>
              <w:b/>
              <w:color w:val="auto"/>
              <w:highlight w:val="none"/>
            </w:rPr>
            <w:fldChar w:fldCharType="separate"/>
          </w:r>
          <w:r>
            <w:rPr>
              <w:b/>
              <w:color w:val="auto"/>
              <w:highlight w:val="none"/>
            </w:rPr>
            <w:t>34</w:t>
          </w:r>
          <w:r>
            <w:rPr>
              <w:b/>
              <w:color w:val="auto"/>
              <w:highlight w:val="none"/>
            </w:rPr>
            <w:fldChar w:fldCharType="end"/>
          </w:r>
          <w:r>
            <w:rPr>
              <w:b/>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_Toc21724 </w:instrText>
          </w:r>
          <w:r>
            <w:rPr>
              <w:color w:val="auto"/>
              <w:highlight w:val="none"/>
            </w:rPr>
            <w:fldChar w:fldCharType="separate"/>
          </w:r>
          <w:r>
            <w:rPr>
              <w:rFonts w:hint="eastAsia" w:ascii="宋体" w:hAnsi="宋体" w:eastAsia="宋体" w:cs="宋体"/>
              <w:color w:val="auto"/>
              <w:szCs w:val="28"/>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_Toc21724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_Toc11990 </w:instrText>
          </w:r>
          <w:r>
            <w:rPr>
              <w:color w:val="auto"/>
              <w:highlight w:val="none"/>
            </w:rPr>
            <w:fldChar w:fldCharType="separate"/>
          </w:r>
          <w:r>
            <w:rPr>
              <w:rFonts w:hint="eastAsia" w:ascii="宋体" w:hAnsi="宋体" w:eastAsia="宋体" w:cs="宋体"/>
              <w:color w:val="auto"/>
              <w:szCs w:val="28"/>
              <w:highlight w:val="none"/>
            </w:rPr>
            <w:t>二、法人代表身份证明或附有法定代表人身份证明的授权委托书</w:t>
          </w:r>
          <w:r>
            <w:rPr>
              <w:color w:val="auto"/>
              <w:highlight w:val="none"/>
            </w:rPr>
            <w:tab/>
          </w:r>
          <w:r>
            <w:rPr>
              <w:color w:val="auto"/>
              <w:highlight w:val="none"/>
            </w:rPr>
            <w:fldChar w:fldCharType="begin"/>
          </w:r>
          <w:r>
            <w:rPr>
              <w:color w:val="auto"/>
              <w:highlight w:val="none"/>
            </w:rPr>
            <w:instrText xml:space="preserve"> PAGEREF _Toc11990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_Toc29522 </w:instrText>
          </w:r>
          <w:r>
            <w:rPr>
              <w:color w:val="auto"/>
              <w:highlight w:val="none"/>
            </w:rPr>
            <w:fldChar w:fldCharType="separate"/>
          </w:r>
          <w:r>
            <w:rPr>
              <w:rFonts w:hint="eastAsia"/>
              <w:color w:val="auto"/>
              <w:highlight w:val="none"/>
              <w:lang w:val="en-US" w:eastAsia="zh-CN"/>
            </w:rPr>
            <w:t>三</w:t>
          </w:r>
          <w:r>
            <w:rPr>
              <w:rFonts w:hint="eastAsia" w:ascii="宋体" w:hAnsi="宋体" w:eastAsia="宋体" w:cs="宋体"/>
              <w:color w:val="auto"/>
              <w:szCs w:val="28"/>
              <w:highlight w:val="none"/>
              <w:lang w:val="en-US" w:eastAsia="zh-CN"/>
            </w:rPr>
            <w:t>、拟投入人员情况表</w:t>
          </w:r>
          <w:r>
            <w:rPr>
              <w:color w:val="auto"/>
              <w:highlight w:val="none"/>
            </w:rPr>
            <w:tab/>
          </w:r>
          <w:r>
            <w:rPr>
              <w:color w:val="auto"/>
              <w:highlight w:val="none"/>
            </w:rPr>
            <w:fldChar w:fldCharType="begin"/>
          </w:r>
          <w:r>
            <w:rPr>
              <w:color w:val="auto"/>
              <w:highlight w:val="none"/>
            </w:rPr>
            <w:instrText xml:space="preserve"> PAGEREF _Toc29522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_Toc13460 </w:instrText>
          </w:r>
          <w:r>
            <w:rPr>
              <w:color w:val="auto"/>
              <w:highlight w:val="none"/>
            </w:rPr>
            <w:fldChar w:fldCharType="separate"/>
          </w:r>
          <w:r>
            <w:rPr>
              <w:rFonts w:hint="eastAsia" w:ascii="宋体" w:hAnsi="宋体" w:eastAsia="宋体" w:cs="宋体"/>
              <w:color w:val="auto"/>
              <w:szCs w:val="28"/>
              <w:highlight w:val="none"/>
              <w:lang w:val="en-US" w:eastAsia="zh-CN"/>
            </w:rPr>
            <w:t>四、</w:t>
          </w:r>
          <w:r>
            <w:rPr>
              <w:rFonts w:hint="eastAsia" w:ascii="宋体" w:hAnsi="宋体" w:eastAsia="宋体" w:cs="宋体"/>
              <w:color w:val="auto"/>
              <w:szCs w:val="28"/>
              <w:highlight w:val="none"/>
              <w:lang w:eastAsia="zh-CN"/>
            </w:rPr>
            <w:t>资格审查资料</w:t>
          </w:r>
          <w:r>
            <w:rPr>
              <w:color w:val="auto"/>
              <w:highlight w:val="none"/>
            </w:rPr>
            <w:tab/>
          </w:r>
          <w:r>
            <w:rPr>
              <w:color w:val="auto"/>
              <w:highlight w:val="none"/>
            </w:rPr>
            <w:fldChar w:fldCharType="begin"/>
          </w:r>
          <w:r>
            <w:rPr>
              <w:color w:val="auto"/>
              <w:highlight w:val="none"/>
            </w:rPr>
            <w:instrText xml:space="preserve"> PAGEREF _Toc13460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_Toc29403 </w:instrText>
          </w:r>
          <w:r>
            <w:rPr>
              <w:color w:val="auto"/>
              <w:highlight w:val="none"/>
            </w:rPr>
            <w:fldChar w:fldCharType="separate"/>
          </w:r>
          <w:r>
            <w:rPr>
              <w:rFonts w:hint="eastAsia" w:ascii="宋体" w:hAnsi="宋体" w:eastAsia="宋体" w:cs="宋体"/>
              <w:color w:val="auto"/>
              <w:szCs w:val="28"/>
              <w:highlight w:val="none"/>
              <w:lang w:val="en-US" w:eastAsia="zh-CN"/>
            </w:rPr>
            <w:t>五、技术方案</w:t>
          </w:r>
          <w:r>
            <w:rPr>
              <w:color w:val="auto"/>
              <w:highlight w:val="none"/>
            </w:rPr>
            <w:tab/>
          </w:r>
          <w:r>
            <w:rPr>
              <w:color w:val="auto"/>
              <w:highlight w:val="none"/>
            </w:rPr>
            <w:fldChar w:fldCharType="begin"/>
          </w:r>
          <w:r>
            <w:rPr>
              <w:color w:val="auto"/>
              <w:highlight w:val="none"/>
            </w:rPr>
            <w:instrText xml:space="preserve"> PAGEREF _Toc29403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82"/>
            <w:keepNext w:val="0"/>
            <w:keepLines w:val="0"/>
            <w:pageBreakBefore w:val="0"/>
            <w:tabs>
              <w:tab w:val="right" w:leader="dot" w:pos="8504"/>
            </w:tabs>
            <w:kinsoku/>
            <w:wordWrap/>
            <w:overflowPunct/>
            <w:topLinePunct w:val="0"/>
            <w:autoSpaceDE/>
            <w:autoSpaceDN/>
            <w:bidi w:val="0"/>
            <w:adjustRightInd/>
            <w:snapToGrid/>
            <w:spacing w:line="312" w:lineRule="auto"/>
            <w:textAlignment w:val="auto"/>
            <w:rPr>
              <w:color w:val="auto"/>
              <w:highlight w:val="none"/>
            </w:rPr>
          </w:pPr>
          <w:r>
            <w:rPr>
              <w:color w:val="auto"/>
              <w:highlight w:val="none"/>
            </w:rPr>
            <w:fldChar w:fldCharType="begin"/>
          </w:r>
          <w:r>
            <w:rPr>
              <w:color w:val="auto"/>
              <w:highlight w:val="none"/>
            </w:rPr>
            <w:instrText xml:space="preserve"> HYPERLINK \l _Toc26443 </w:instrText>
          </w:r>
          <w:r>
            <w:rPr>
              <w:color w:val="auto"/>
              <w:highlight w:val="none"/>
            </w:rPr>
            <w:fldChar w:fldCharType="separate"/>
          </w:r>
          <w:r>
            <w:rPr>
              <w:rFonts w:hint="eastAsia" w:ascii="宋体" w:hAnsi="宋体" w:eastAsia="宋体" w:cs="宋体"/>
              <w:color w:val="auto"/>
              <w:szCs w:val="28"/>
              <w:highlight w:val="none"/>
              <w:lang w:val="en-US" w:eastAsia="zh-CN"/>
            </w:rPr>
            <w:t>六、其他材料</w:t>
          </w:r>
          <w:r>
            <w:rPr>
              <w:color w:val="auto"/>
              <w:highlight w:val="none"/>
            </w:rPr>
            <w:tab/>
          </w:r>
          <w:r>
            <w:rPr>
              <w:color w:val="auto"/>
              <w:highlight w:val="none"/>
            </w:rPr>
            <w:fldChar w:fldCharType="begin"/>
          </w:r>
          <w:r>
            <w:rPr>
              <w:color w:val="auto"/>
              <w:highlight w:val="none"/>
            </w:rPr>
            <w:instrText xml:space="preserve"> PAGEREF _Toc26443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keepNext w:val="0"/>
            <w:keepLines w:val="0"/>
            <w:pageBreakBefore w:val="0"/>
            <w:kinsoku/>
            <w:wordWrap/>
            <w:overflowPunct/>
            <w:topLinePunct w:val="0"/>
            <w:autoSpaceDE/>
            <w:autoSpaceDN/>
            <w:bidi w:val="0"/>
            <w:adjustRightInd/>
            <w:snapToGrid/>
            <w:spacing w:line="312" w:lineRule="auto"/>
            <w:textAlignment w:val="auto"/>
            <w:rPr>
              <w:color w:val="auto"/>
              <w:highlight w:val="none"/>
            </w:rPr>
          </w:pPr>
          <w:r>
            <w:rPr>
              <w:b/>
              <w:color w:val="auto"/>
              <w:highlight w:val="none"/>
            </w:rPr>
            <w:fldChar w:fldCharType="end"/>
          </w:r>
        </w:p>
      </w:sdtContent>
    </w:sdt>
    <w:p>
      <w:pPr>
        <w:keepNext w:val="0"/>
        <w:keepLines w:val="0"/>
        <w:pageBreakBefore w:val="0"/>
        <w:widowControl w:val="0"/>
        <w:kinsoku/>
        <w:wordWrap/>
        <w:overflowPunct/>
        <w:topLinePunct w:val="0"/>
        <w:autoSpaceDE/>
        <w:autoSpaceDN/>
        <w:bidi w:val="0"/>
        <w:adjustRightInd/>
        <w:snapToGrid/>
        <w:spacing w:line="520" w:lineRule="exact"/>
        <w:ind w:firstLine="1606" w:firstLineChars="500"/>
        <w:jc w:val="both"/>
        <w:textAlignment w:val="auto"/>
        <w:rPr>
          <w:rFonts w:hint="eastAsia" w:ascii="宋体" w:hAnsi="宋体" w:eastAsia="宋体" w:cs="宋体"/>
          <w:b/>
          <w:bCs/>
          <w:color w:val="auto"/>
          <w:sz w:val="32"/>
          <w:szCs w:val="32"/>
          <w:highlight w:val="none"/>
        </w:rPr>
        <w:sectPr>
          <w:headerReference r:id="rId7" w:type="first"/>
          <w:footerReference r:id="rId9" w:type="first"/>
          <w:headerReference r:id="rId6" w:type="default"/>
          <w:footerReference r:id="rId8" w:type="default"/>
          <w:pgSz w:w="11906" w:h="16838"/>
          <w:pgMar w:top="1388" w:right="1701" w:bottom="1418" w:left="1701" w:header="851" w:footer="851"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1606" w:firstLineChars="500"/>
        <w:jc w:val="both"/>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致政府采购供应商和代理机构的一封信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尊敬的政府采购供应商、代理机构：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您好！非常感谢您一直以来对</w:t>
      </w:r>
      <w:r>
        <w:rPr>
          <w:rFonts w:hint="eastAsia" w:ascii="宋体" w:hAnsi="宋体" w:eastAsia="宋体" w:cs="宋体"/>
          <w:color w:val="auto"/>
          <w:sz w:val="21"/>
          <w:szCs w:val="21"/>
          <w:highlight w:val="none"/>
          <w:lang w:eastAsia="zh-CN"/>
        </w:rPr>
        <w:t>信阳市</w:t>
      </w:r>
      <w:r>
        <w:rPr>
          <w:rFonts w:hint="eastAsia" w:ascii="宋体" w:hAnsi="宋体" w:eastAsia="宋体" w:cs="宋体"/>
          <w:color w:val="auto"/>
          <w:sz w:val="21"/>
          <w:szCs w:val="21"/>
          <w:highlight w:val="none"/>
        </w:rPr>
        <w:t>政府采购活动的关心和支持！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近年来，</w:t>
      </w:r>
      <w:r>
        <w:rPr>
          <w:rFonts w:hint="eastAsia" w:ascii="宋体" w:hAnsi="宋体" w:eastAsia="宋体" w:cs="宋体"/>
          <w:color w:val="auto"/>
          <w:sz w:val="21"/>
          <w:szCs w:val="21"/>
          <w:highlight w:val="none"/>
          <w:lang w:eastAsia="zh-CN"/>
        </w:rPr>
        <w:t>信阳</w:t>
      </w:r>
      <w:r>
        <w:rPr>
          <w:rFonts w:hint="eastAsia" w:ascii="宋体" w:hAnsi="宋体" w:eastAsia="宋体" w:cs="宋体"/>
          <w:color w:val="auto"/>
          <w:sz w:val="21"/>
          <w:szCs w:val="21"/>
          <w:highlight w:val="none"/>
        </w:rPr>
        <w:t>市财政局坚持以“服务企业、服务市场、服务基层”为出发点，以规范制度为抓手，以便民利企为目标，通过完善政府采购制度，优化政府采购流程，压缩办理时限，持续提升政府采购电子化水平，推进政府采购工作高效、规范、阳光运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为持续优化信阳市政府采购领域营商环境，信阳市财政局成立优化营商环境工作领导小组，定期召开优化营商环境调度会、推进会，党组成员带头解决重大问题，带头完成节点任务，带头落实惠企政策，以工作机制创新推进工作延伸。一是持续为各交易主体提供优质服务。在法律职权内明确采购人主体责任，减少审批事项；汇编印发政府采购相关政策规定和政府采购操作指南及流程图，方便各交易主体参与我市政府采购活动；启用“不见面开标评标”系统，实现招标采购的全流程电子化。二是落实惠企政策。免收招标文件费用、投标保证金、履约保证金，货物类、服务类政府采购项目免收质量保证金，工程类政府采购项目收取不超过合同金额3%的质量保证金，且不得以现金形式收取，建议采购人根据项目实际情况免收质量保证金；给予中小微企业价格扣除优惠，货物服务采购项目给予小微企业报价的15%-20%（工程项目为5%）扣除优惠，用扣除后的价格参与评审；鼓励采购人提高首付款或预付款比例，首付款或预付款支付比例原则上不低于合同金额的50%，对于中小微企业，首付款或预付款支付比例可提高至不低于合同金额的70%；加大政府采购合同融资政策宣传，推进政府采购合同融资，为中标企业开辟融资“绿色通道”。三是设置政府采购项目服务专员，提供全流程服务。信阳市财政局在每个部门预算科室设立一名政府采购项目服务专员，全流程为中标供应商服务。在政府采购项目中，遇到任何问题均可以和服务专员联系，如采购人不按照规定签订合同、不按照合同约定对项目履约验收、不按照合同约定付款等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尽管做了一些工作，但我们深知，离贵公司的期望还有差距。恳请贵公司对我们的工作提出宝贵意见，并持续给予关注、支持和监督！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凡涉及信阳市政府采购领域营商环境的任何问题，贵公司均可通过专线电话03</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6699123</w:t>
      </w:r>
      <w:r>
        <w:rPr>
          <w:rFonts w:hint="eastAsia" w:ascii="宋体" w:hAnsi="宋体" w:eastAsia="宋体" w:cs="宋体"/>
          <w:color w:val="auto"/>
          <w:sz w:val="21"/>
          <w:szCs w:val="21"/>
          <w:highlight w:val="none"/>
          <w:lang w:eastAsia="zh-CN"/>
        </w:rPr>
        <w:t>、电子邮箱</w:t>
      </w:r>
      <w:r>
        <w:rPr>
          <w:rFonts w:hint="eastAsia" w:ascii="宋体" w:hAnsi="宋体" w:eastAsia="宋体" w:cs="宋体"/>
          <w:color w:val="auto"/>
          <w:sz w:val="21"/>
          <w:szCs w:val="21"/>
          <w:highlight w:val="none"/>
          <w:lang w:val="en-US" w:eastAsia="zh-CN"/>
        </w:rPr>
        <w:t>czyszb228</w:t>
      </w:r>
      <w:r>
        <w:rPr>
          <w:rFonts w:hint="eastAsia" w:ascii="宋体" w:hAnsi="宋体" w:eastAsia="宋体" w:cs="宋体"/>
          <w:color w:val="auto"/>
          <w:sz w:val="21"/>
          <w:szCs w:val="21"/>
          <w:highlight w:val="none"/>
          <w:lang w:eastAsia="zh-CN"/>
        </w:rPr>
        <w:t>@163.com，与信阳市财政</w:t>
      </w:r>
      <w:r>
        <w:rPr>
          <w:rFonts w:hint="eastAsia" w:ascii="宋体" w:hAnsi="宋体" w:eastAsia="宋体" w:cs="宋体"/>
          <w:b w:val="0"/>
          <w:bCs w:val="0"/>
          <w:color w:val="auto"/>
          <w:kern w:val="2"/>
          <w:sz w:val="21"/>
          <w:szCs w:val="21"/>
          <w:highlight w:val="none"/>
          <w:lang w:val="en-US" w:eastAsia="zh-CN" w:bidi="ar-SA"/>
        </w:rPr>
        <w:t>局优化营商环境办公室</w:t>
      </w:r>
      <w:r>
        <w:rPr>
          <w:rFonts w:hint="eastAsia" w:ascii="宋体" w:hAnsi="宋体" w:eastAsia="宋体" w:cs="宋体"/>
          <w:color w:val="auto"/>
          <w:sz w:val="21"/>
          <w:szCs w:val="21"/>
          <w:highlight w:val="none"/>
          <w:lang w:eastAsia="zh-CN"/>
        </w:rPr>
        <w:t>随时沟通交流</w:t>
      </w:r>
      <w:r>
        <w:rPr>
          <w:rFonts w:hint="eastAsia" w:ascii="宋体" w:hAnsi="宋体" w:eastAsia="宋体" w:cs="宋体"/>
          <w:b w:val="0"/>
          <w:bCs w:val="0"/>
          <w:color w:val="auto"/>
          <w:kern w:val="2"/>
          <w:sz w:val="21"/>
          <w:szCs w:val="21"/>
          <w:highlight w:val="none"/>
          <w:lang w:val="en-US" w:eastAsia="zh-CN" w:bidi="ar-SA"/>
        </w:rPr>
        <w:t>，我们将竭诚为各位供应商服务，全力解决贵公司遇到的困难。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再次感谢贵公司对</w:t>
      </w:r>
      <w:r>
        <w:rPr>
          <w:rFonts w:hint="eastAsia" w:ascii="宋体" w:hAnsi="宋体" w:eastAsia="宋体" w:cs="宋体"/>
          <w:color w:val="auto"/>
          <w:sz w:val="21"/>
          <w:szCs w:val="21"/>
          <w:highlight w:val="none"/>
          <w:lang w:eastAsia="zh-CN"/>
        </w:rPr>
        <w:t>信阳</w:t>
      </w:r>
      <w:r>
        <w:rPr>
          <w:rFonts w:hint="eastAsia" w:ascii="宋体" w:hAnsi="宋体" w:eastAsia="宋体" w:cs="宋体"/>
          <w:color w:val="auto"/>
          <w:sz w:val="21"/>
          <w:szCs w:val="21"/>
          <w:highlight w:val="none"/>
        </w:rPr>
        <w:t>市政府采购工作的关心和支持！</w:t>
      </w:r>
      <w:r>
        <w:rPr>
          <w:rFonts w:hint="eastAsia" w:ascii="宋体" w:hAnsi="宋体" w:eastAsia="宋体" w:cs="宋体"/>
          <w:color w:val="auto"/>
          <w:sz w:val="21"/>
          <w:szCs w:val="21"/>
          <w:highlight w:val="none"/>
          <w:lang w:eastAsia="zh-CN"/>
        </w:rPr>
        <w:t>让我们携起手来</w:t>
      </w:r>
      <w:r>
        <w:rPr>
          <w:rFonts w:hint="eastAsia" w:ascii="宋体" w:hAnsi="宋体" w:eastAsia="宋体" w:cs="宋体"/>
          <w:color w:val="auto"/>
          <w:sz w:val="21"/>
          <w:szCs w:val="21"/>
          <w:highlight w:val="none"/>
        </w:rPr>
        <w:t>为“美好生活看信阳”做出财政贡献！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3990" w:firstLineChars="190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信阳市财政局</w:t>
      </w:r>
    </w:p>
    <w:p>
      <w:pPr>
        <w:pStyle w:val="55"/>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2025年3月</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55"/>
        <w:jc w:val="center"/>
        <w:rPr>
          <w:rFonts w:hint="eastAsia" w:ascii="宋体" w:hAnsi="宋体" w:eastAsia="宋体" w:cs="宋体"/>
          <w:b/>
          <w:color w:val="auto"/>
          <w:spacing w:val="14"/>
          <w:sz w:val="44"/>
          <w:szCs w:val="44"/>
          <w:highlight w:val="none"/>
        </w:rPr>
      </w:pPr>
      <w:r>
        <w:rPr>
          <w:rFonts w:hint="eastAsia" w:ascii="宋体" w:hAnsi="宋体" w:eastAsia="宋体" w:cs="宋体"/>
          <w:b/>
          <w:color w:val="auto"/>
          <w:spacing w:val="14"/>
          <w:sz w:val="44"/>
          <w:szCs w:val="44"/>
          <w:highlight w:val="none"/>
        </w:rPr>
        <w:t>电子招投标特别提示</w:t>
      </w:r>
    </w:p>
    <w:p>
      <w:pPr>
        <w:spacing w:line="400" w:lineRule="exact"/>
        <w:rPr>
          <w:rFonts w:hint="eastAsia" w:ascii="宋体" w:hAnsi="宋体" w:eastAsia="宋体" w:cs="宋体"/>
          <w:b/>
          <w:bCs/>
          <w:color w:val="auto"/>
          <w:sz w:val="24"/>
          <w:highlight w:val="none"/>
        </w:rPr>
      </w:pPr>
    </w:p>
    <w:p>
      <w:pPr>
        <w:spacing w:line="360" w:lineRule="exact"/>
        <w:outlineLvl w:val="9"/>
        <w:rPr>
          <w:rFonts w:hint="eastAsia" w:ascii="宋体" w:hAnsi="宋体" w:eastAsia="宋体" w:cs="宋体"/>
          <w:b/>
          <w:bCs/>
          <w:color w:val="auto"/>
          <w:szCs w:val="21"/>
          <w:highlight w:val="none"/>
          <w:u w:val="double"/>
        </w:rPr>
      </w:pPr>
      <w:bookmarkStart w:id="5" w:name="_Toc17998"/>
      <w:r>
        <w:rPr>
          <w:rFonts w:hint="eastAsia" w:ascii="宋体" w:hAnsi="宋体" w:eastAsia="宋体" w:cs="宋体"/>
          <w:b/>
          <w:bCs/>
          <w:color w:val="auto"/>
          <w:szCs w:val="21"/>
          <w:highlight w:val="none"/>
          <w:u w:val="double"/>
        </w:rPr>
        <w:t>一、</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注册</w:t>
      </w:r>
      <w:bookmarkEnd w:id="5"/>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凡有意参加本项目的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，请</w:t>
      </w:r>
      <w:r>
        <w:rPr>
          <w:rFonts w:hint="eastAsia" w:ascii="宋体" w:hAnsi="宋体" w:cs="宋体"/>
          <w:color w:val="auto"/>
          <w:szCs w:val="21"/>
          <w:highlight w:val="none"/>
          <w:lang w:eastAsia="zh-CN"/>
        </w:rPr>
        <w:t>登录</w:t>
      </w:r>
      <w:r>
        <w:rPr>
          <w:rFonts w:hint="eastAsia" w:ascii="宋体" w:hAnsi="宋体" w:eastAsia="宋体" w:cs="宋体"/>
          <w:color w:val="auto"/>
          <w:szCs w:val="21"/>
          <w:highlight w:val="none"/>
        </w:rPr>
        <w:t>“全国公共资源交易平台（河南省·信阳市）（</w:t>
      </w:r>
      <w:r>
        <w:rPr>
          <w:rFonts w:hint="eastAsia" w:ascii="宋体" w:hAnsi="宋体" w:eastAsia="宋体" w:cs="宋体"/>
          <w:color w:val="auto"/>
          <w:szCs w:val="21"/>
          <w:highlight w:val="none"/>
          <w:lang w:eastAsia="zh-CN"/>
        </w:rPr>
        <w:t>https://ggzyjy.xinyang.gov.cn/</w:t>
      </w:r>
      <w:r>
        <w:rPr>
          <w:rFonts w:hint="eastAsia" w:ascii="宋体" w:hAnsi="宋体" w:eastAsia="宋体" w:cs="宋体"/>
          <w:color w:val="auto"/>
          <w:szCs w:val="21"/>
          <w:highlight w:val="none"/>
        </w:rPr>
        <w:t>）”网站进行交易主体自主注册，按网站公告通</w:t>
      </w:r>
      <w:r>
        <w:rPr>
          <w:rFonts w:hint="eastAsia" w:ascii="宋体" w:hAnsi="宋体" w:cs="宋体"/>
          <w:color w:val="auto"/>
          <w:szCs w:val="21"/>
          <w:highlight w:val="none"/>
          <w:lang w:eastAsia="zh-CN"/>
        </w:rPr>
        <w:t>知的</w:t>
      </w:r>
      <w:r>
        <w:rPr>
          <w:rFonts w:hint="eastAsia" w:ascii="宋体" w:hAnsi="宋体" w:eastAsia="宋体" w:cs="宋体"/>
          <w:color w:val="auto"/>
          <w:szCs w:val="21"/>
          <w:highlight w:val="none"/>
        </w:rPr>
        <w:t>关要求填报企业信息并上传有关原件扫描件至诚信库，不需携带原件到信阳市公共资源交易中心进行审核。</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应对所上传材料的真实性、合法性、有效性负责，其上传的信息将全部对外公示，接受社会监督。</w:t>
      </w:r>
    </w:p>
    <w:p>
      <w:pPr>
        <w:spacing w:line="360" w:lineRule="exact"/>
        <w:outlineLvl w:val="9"/>
        <w:rPr>
          <w:rFonts w:hint="eastAsia" w:ascii="宋体" w:hAnsi="宋体" w:eastAsia="宋体" w:cs="宋体"/>
          <w:b/>
          <w:bCs/>
          <w:color w:val="auto"/>
          <w:szCs w:val="21"/>
          <w:highlight w:val="none"/>
          <w:u w:val="double"/>
        </w:rPr>
      </w:pPr>
      <w:bookmarkStart w:id="6" w:name="_Toc25893"/>
      <w:r>
        <w:rPr>
          <w:rFonts w:hint="eastAsia" w:ascii="宋体" w:hAnsi="宋体" w:eastAsia="宋体" w:cs="宋体"/>
          <w:b/>
          <w:bCs/>
          <w:color w:val="auto"/>
          <w:szCs w:val="21"/>
          <w:highlight w:val="none"/>
          <w:u w:val="double"/>
        </w:rPr>
        <w:t>二、办理CA数字证书</w:t>
      </w:r>
      <w:bookmarkEnd w:id="6"/>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完成企业诚信库注册后，必须办理CA数字证书方可在网上办理招投标相关业务。</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根据《信阳市公共资源交易网》左侧下载中心有关办理CA数字证书的要求，准备好CA办理所需资料，到信阳市公共资源交易中心一楼CA窗口现场办理CA数字证书。</w:t>
      </w:r>
    </w:p>
    <w:p>
      <w:pPr>
        <w:spacing w:line="360" w:lineRule="exact"/>
        <w:outlineLvl w:val="9"/>
        <w:rPr>
          <w:rFonts w:hint="eastAsia" w:ascii="宋体" w:hAnsi="宋体" w:eastAsia="宋体" w:cs="宋体"/>
          <w:b/>
          <w:bCs/>
          <w:color w:val="auto"/>
          <w:szCs w:val="21"/>
          <w:highlight w:val="none"/>
          <w:u w:val="double"/>
        </w:rPr>
      </w:pPr>
      <w:bookmarkStart w:id="7" w:name="_Toc16492"/>
      <w:r>
        <w:rPr>
          <w:rFonts w:hint="eastAsia" w:ascii="宋体" w:hAnsi="宋体" w:eastAsia="宋体" w:cs="宋体"/>
          <w:b/>
          <w:bCs/>
          <w:color w:val="auto"/>
          <w:szCs w:val="21"/>
          <w:highlight w:val="none"/>
          <w:u w:val="double"/>
        </w:rPr>
        <w:t>三、招标（采购）文件获取方式</w:t>
      </w:r>
      <w:bookmarkEnd w:id="7"/>
    </w:p>
    <w:p>
      <w:pPr>
        <w:spacing w:line="3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凭CA数字证书</w:t>
      </w:r>
      <w:r>
        <w:rPr>
          <w:rFonts w:hint="eastAsia" w:ascii="宋体" w:hAnsi="宋体" w:cs="宋体"/>
          <w:color w:val="auto"/>
          <w:szCs w:val="21"/>
          <w:highlight w:val="none"/>
          <w:lang w:eastAsia="zh-CN"/>
        </w:rPr>
        <w:t>登录</w:t>
      </w:r>
      <w:r>
        <w:rPr>
          <w:rFonts w:hint="eastAsia" w:ascii="宋体" w:hAnsi="宋体" w:eastAsia="宋体" w:cs="宋体"/>
          <w:color w:val="auto"/>
          <w:szCs w:val="21"/>
          <w:highlight w:val="none"/>
        </w:rPr>
        <w:t>会员系统后，即可按网上提示免费下载招标（采购）文件及资料（操作程序详见信阳市公共资源交易中心网站下载中心栏目里投标人操作手册）。招标文件(*.XYZF格式)下载后需使用“信阳市投标文件制作工具软件”打开（该工具软件可在“全国公共资源交易平台（河南省·信阳市）（</w:t>
      </w:r>
      <w:r>
        <w:rPr>
          <w:rFonts w:hint="eastAsia" w:ascii="宋体" w:hAnsi="宋体" w:eastAsia="宋体" w:cs="宋体"/>
          <w:color w:val="auto"/>
          <w:szCs w:val="21"/>
          <w:highlight w:val="none"/>
          <w:lang w:eastAsia="zh-CN"/>
        </w:rPr>
        <w:t>https://ggzyjy.xinyang.gov.cn/</w:t>
      </w:r>
      <w:r>
        <w:rPr>
          <w:rFonts w:hint="eastAsia" w:ascii="宋体" w:hAnsi="宋体" w:eastAsia="宋体" w:cs="宋体"/>
          <w:color w:val="auto"/>
          <w:szCs w:val="21"/>
          <w:highlight w:val="none"/>
        </w:rPr>
        <w:t>）”网站下载中心栏目内下载或在招标文件领取页面下载）。</w:t>
      </w:r>
    </w:p>
    <w:p>
      <w:pPr>
        <w:tabs>
          <w:tab w:val="left" w:pos="0"/>
        </w:tabs>
        <w:spacing w:line="360" w:lineRule="exact"/>
        <w:outlineLvl w:val="9"/>
        <w:rPr>
          <w:rFonts w:hint="eastAsia" w:ascii="宋体" w:hAnsi="宋体" w:eastAsia="宋体" w:cs="宋体"/>
          <w:b/>
          <w:bCs/>
          <w:color w:val="auto"/>
          <w:szCs w:val="21"/>
          <w:highlight w:val="none"/>
          <w:u w:val="double"/>
        </w:rPr>
      </w:pPr>
      <w:bookmarkStart w:id="8" w:name="_Toc3428"/>
      <w:r>
        <w:rPr>
          <w:rFonts w:hint="eastAsia" w:ascii="宋体" w:hAnsi="宋体" w:eastAsia="宋体" w:cs="宋体"/>
          <w:b/>
          <w:bCs/>
          <w:color w:val="auto"/>
          <w:szCs w:val="21"/>
          <w:highlight w:val="none"/>
          <w:u w:val="double"/>
        </w:rPr>
        <w:t>四、投标（响应）文件制作</w:t>
      </w:r>
      <w:bookmarkEnd w:id="8"/>
    </w:p>
    <w:p>
      <w:pPr>
        <w:tabs>
          <w:tab w:val="left" w:pos="0"/>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投标（响应）文件应使用信阳市公共资源交易系统投标文件制作专用工具软件编制，投标（响应）文件格式为“*.XYTF”。</w:t>
      </w:r>
    </w:p>
    <w:p>
      <w:pPr>
        <w:tabs>
          <w:tab w:val="left" w:pos="0"/>
        </w:tabs>
        <w:spacing w:line="36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须在投标（响应）文件递交截止时间前制作并提交。</w:t>
      </w:r>
    </w:p>
    <w:p>
      <w:pPr>
        <w:pStyle w:val="9"/>
        <w:spacing w:line="360" w:lineRule="exact"/>
        <w:outlineLvl w:val="9"/>
        <w:rPr>
          <w:rFonts w:hint="eastAsia" w:ascii="宋体" w:hAnsi="宋体" w:eastAsia="宋体" w:cs="宋体"/>
          <w:b/>
          <w:bCs/>
          <w:color w:val="auto"/>
          <w:szCs w:val="21"/>
          <w:highlight w:val="none"/>
        </w:rPr>
      </w:pPr>
      <w:bookmarkStart w:id="9" w:name="_Toc14213"/>
      <w:r>
        <w:rPr>
          <w:rFonts w:hint="eastAsia" w:ascii="宋体" w:hAnsi="宋体" w:eastAsia="宋体" w:cs="宋体"/>
          <w:b/>
          <w:bCs/>
          <w:color w:val="auto"/>
          <w:szCs w:val="21"/>
          <w:highlight w:val="none"/>
          <w:u w:val="double"/>
        </w:rPr>
        <w:t>五、投标（响应）文件的签字和盖章要求</w:t>
      </w:r>
      <w:bookmarkEnd w:id="9"/>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1、投标文件（响应）格式中所有要求</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加盖公章的地方都须加盖</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 CA 印章。</w:t>
      </w:r>
    </w:p>
    <w:p>
      <w:pPr>
        <w:adjustRightInd w:val="0"/>
        <w:snapToGrid w:val="0"/>
        <w:spacing w:line="360" w:lineRule="exact"/>
        <w:ind w:left="-126" w:leftChars="-60" w:firstLine="525" w:firstLineChars="25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2、投标文件（响应）格式中所有要求法定代表人或其委托代理人签字或盖章的地方</w:t>
      </w:r>
      <w:r>
        <w:rPr>
          <w:rFonts w:hint="eastAsia" w:ascii="宋体" w:hAnsi="宋体" w:eastAsia="宋体" w:cs="宋体"/>
          <w:b/>
          <w:bCs/>
          <w:color w:val="auto"/>
          <w:szCs w:val="21"/>
          <w:highlight w:val="none"/>
        </w:rPr>
        <w:t>（不含授权委托书委托人签字）</w:t>
      </w:r>
      <w:r>
        <w:rPr>
          <w:rFonts w:hint="eastAsia" w:ascii="宋体" w:hAnsi="宋体" w:eastAsia="宋体" w:cs="宋体"/>
          <w:color w:val="auto"/>
          <w:szCs w:val="21"/>
          <w:highlight w:val="none"/>
        </w:rPr>
        <w:t>都须加盖法定代表人</w:t>
      </w:r>
      <w:r>
        <w:rPr>
          <w:rFonts w:hint="eastAsia" w:ascii="宋体" w:hAnsi="宋体" w:eastAsia="宋体" w:cs="宋体"/>
          <w:b/>
          <w:bCs/>
          <w:color w:val="auto"/>
          <w:szCs w:val="21"/>
          <w:highlight w:val="none"/>
        </w:rPr>
        <w:t>CA 印章。</w:t>
      </w:r>
    </w:p>
    <w:p>
      <w:pPr>
        <w:pStyle w:val="9"/>
        <w:spacing w:line="360" w:lineRule="exact"/>
        <w:outlineLvl w:val="9"/>
        <w:rPr>
          <w:rFonts w:hint="eastAsia" w:ascii="宋体" w:hAnsi="宋体" w:eastAsia="宋体" w:cs="宋体"/>
          <w:b/>
          <w:bCs/>
          <w:color w:val="auto"/>
          <w:szCs w:val="21"/>
          <w:highlight w:val="none"/>
          <w:u w:val="double"/>
        </w:rPr>
      </w:pPr>
      <w:bookmarkStart w:id="10" w:name="_Toc15796"/>
      <w:r>
        <w:rPr>
          <w:rFonts w:hint="eastAsia" w:ascii="宋体" w:hAnsi="宋体" w:eastAsia="宋体" w:cs="宋体"/>
          <w:b/>
          <w:bCs/>
          <w:color w:val="auto"/>
          <w:szCs w:val="21"/>
          <w:highlight w:val="none"/>
          <w:u w:val="double"/>
        </w:rPr>
        <w:t>六、投标文件份数</w:t>
      </w:r>
      <w:bookmarkEnd w:id="10"/>
    </w:p>
    <w:p>
      <w:pPr>
        <w:adjustRightInd w:val="0"/>
        <w:snapToGrid w:val="0"/>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加密的电子投标（响应）文件壹份（*.XYTF 格式，在会员系统指定位置上传）。</w:t>
      </w:r>
    </w:p>
    <w:p>
      <w:pPr>
        <w:pStyle w:val="9"/>
        <w:spacing w:line="360" w:lineRule="exact"/>
        <w:outlineLvl w:val="9"/>
        <w:rPr>
          <w:rFonts w:hint="eastAsia" w:ascii="宋体" w:hAnsi="宋体" w:eastAsia="宋体" w:cs="宋体"/>
          <w:b/>
          <w:bCs/>
          <w:color w:val="auto"/>
          <w:szCs w:val="21"/>
          <w:highlight w:val="none"/>
          <w:u w:val="double"/>
        </w:rPr>
      </w:pPr>
      <w:bookmarkStart w:id="11" w:name="_Toc13921"/>
      <w:r>
        <w:rPr>
          <w:rFonts w:hint="eastAsia" w:ascii="宋体" w:hAnsi="宋体" w:eastAsia="宋体" w:cs="宋体"/>
          <w:b/>
          <w:bCs/>
          <w:color w:val="auto"/>
          <w:szCs w:val="21"/>
          <w:highlight w:val="none"/>
          <w:u w:val="double"/>
        </w:rPr>
        <w:t>七、投标（响应）文件的递交</w:t>
      </w:r>
      <w:bookmarkEnd w:id="11"/>
    </w:p>
    <w:p>
      <w:pPr>
        <w:adjustRightInd w:val="0"/>
        <w:snapToGrid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1、电子投标（响应）文件的递交</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各投标（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人应在投标截止时间前上传加密的电子投标（响应）文件（*.XYTF）到会员系统的指定位置。上传的电子投标文件应使用投标人CA数字证书认证并加密。上传时必须得到交易系统“上传成功”的确认回复后方为上传成功。请</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在上传前务必认真检查上传投标（响应）文件是否完整、正确。</w:t>
      </w:r>
    </w:p>
    <w:p>
      <w:pP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2、除电子投标（响应）文件外，不再接受任何纸质文件、资料原件等。</w:t>
      </w:r>
    </w:p>
    <w:p>
      <w:pPr>
        <w:spacing w:line="360" w:lineRule="exact"/>
        <w:outlineLvl w:val="9"/>
        <w:rPr>
          <w:rFonts w:hint="eastAsia" w:ascii="宋体" w:hAnsi="宋体" w:eastAsia="宋体" w:cs="宋体"/>
          <w:b/>
          <w:bCs/>
          <w:color w:val="auto"/>
          <w:szCs w:val="21"/>
          <w:highlight w:val="none"/>
          <w:u w:val="double"/>
        </w:rPr>
      </w:pPr>
      <w:bookmarkStart w:id="12" w:name="_Toc8153"/>
      <w:r>
        <w:rPr>
          <w:rFonts w:hint="eastAsia" w:ascii="宋体" w:hAnsi="宋体" w:eastAsia="宋体" w:cs="宋体"/>
          <w:b/>
          <w:bCs/>
          <w:color w:val="auto"/>
          <w:szCs w:val="21"/>
          <w:highlight w:val="none"/>
          <w:u w:val="double"/>
        </w:rPr>
        <w:t>八、澄清与变更</w:t>
      </w:r>
      <w:bookmarkEnd w:id="12"/>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疑问，以书面形式（包括信函、电报、传真等可以有形表现所载内容的形式），要求招标人（采购人）对招标（采购）文件予以澄清。澄清或修改的内容在信阳市公共资源交易系统“变更公告”或“答疑文件”菜单进行发布，</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应在投标（响应）文件递交截止时间前及时查看澄清或修改内容，因投标人（采购人）未及时查看而造成的后果自负。</w:t>
      </w:r>
    </w:p>
    <w:p>
      <w:pPr>
        <w:widowControl/>
        <w:spacing w:line="360" w:lineRule="exact"/>
        <w:jc w:val="left"/>
        <w:outlineLvl w:val="9"/>
        <w:rPr>
          <w:rFonts w:hint="eastAsia" w:ascii="宋体" w:hAnsi="宋体" w:eastAsia="宋体" w:cs="宋体"/>
          <w:b/>
          <w:bCs/>
          <w:color w:val="auto"/>
          <w:szCs w:val="21"/>
          <w:highlight w:val="none"/>
          <w:u w:val="double"/>
        </w:rPr>
      </w:pPr>
      <w:bookmarkStart w:id="13" w:name="_Toc18794"/>
      <w:bookmarkStart w:id="14" w:name="OLE_LINK7"/>
      <w:r>
        <w:rPr>
          <w:rFonts w:hint="eastAsia" w:ascii="宋体" w:hAnsi="宋体" w:eastAsia="宋体" w:cs="宋体"/>
          <w:b/>
          <w:bCs/>
          <w:color w:val="auto"/>
          <w:szCs w:val="21"/>
          <w:highlight w:val="none"/>
          <w:u w:val="double"/>
        </w:rPr>
        <w:t>九、其他注意事项</w:t>
      </w:r>
      <w:bookmarkEnd w:id="13"/>
      <w:r>
        <w:rPr>
          <w:rFonts w:hint="eastAsia" w:ascii="宋体" w:hAnsi="宋体" w:eastAsia="宋体" w:cs="宋体"/>
          <w:b/>
          <w:bCs/>
          <w:color w:val="auto"/>
          <w:szCs w:val="21"/>
          <w:highlight w:val="none"/>
          <w:u w:val="double"/>
        </w:rPr>
        <w:t xml:space="preserve"> </w:t>
      </w:r>
    </w:p>
    <w:p>
      <w:pPr>
        <w:widowControl/>
        <w:spacing w:line="360" w:lineRule="exact"/>
        <w:jc w:val="left"/>
        <w:rPr>
          <w:rFonts w:hint="eastAsia" w:ascii="宋体" w:hAnsi="宋体" w:eastAsia="宋体" w:cs="宋体"/>
          <w:color w:val="auto"/>
          <w:highlight w:val="none"/>
        </w:rPr>
      </w:pPr>
      <w:r>
        <w:rPr>
          <w:rFonts w:hint="eastAsia" w:ascii="宋体" w:hAnsi="宋体" w:eastAsia="宋体" w:cs="宋体"/>
          <w:b/>
          <w:bCs/>
          <w:color w:val="auto"/>
          <w:szCs w:val="21"/>
          <w:highlight w:val="none"/>
          <w:u w:val="double"/>
        </w:rPr>
        <w:t>1、</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编制投标文件时，涉及的营业执照、资质、获奖、社保、纳税等固定内容可在交易中心主体信用信息中录入</w:t>
      </w:r>
      <w:r>
        <w:rPr>
          <w:rFonts w:hint="eastAsia" w:ascii="宋体" w:hAnsi="宋体" w:eastAsia="宋体" w:cs="宋体"/>
          <w:b/>
          <w:bCs/>
          <w:color w:val="auto"/>
          <w:szCs w:val="21"/>
          <w:highlight w:val="none"/>
          <w:u w:val="double"/>
          <w:lang w:eastAsia="zh-CN"/>
        </w:rPr>
        <w:t>。</w:t>
      </w:r>
      <w:r>
        <w:rPr>
          <w:rFonts w:hint="eastAsia" w:ascii="宋体" w:hAnsi="宋体" w:eastAsia="宋体" w:cs="宋体"/>
          <w:b/>
          <w:bCs/>
          <w:color w:val="auto"/>
          <w:szCs w:val="21"/>
          <w:highlight w:val="none"/>
          <w:u w:val="double"/>
        </w:rPr>
        <w:t>投标人编制投标文件时，涉及营业执照、资质、业绩、获奖、人员、财务、社保、纳税、各类证书等内容，须扫描编制在投标文件内。评委评审只需依法对投标文件进行评审，并以投标文件的响应为唯一评审依据，不再比对主体信用信息。</w:t>
      </w:r>
    </w:p>
    <w:p>
      <w:pPr>
        <w:widowControl/>
        <w:spacing w:line="360" w:lineRule="exact"/>
        <w:jc w:val="left"/>
        <w:rPr>
          <w:rFonts w:hint="eastAsia" w:ascii="宋体" w:hAnsi="宋体" w:eastAsia="宋体" w:cs="宋体"/>
          <w:b/>
          <w:bCs/>
          <w:color w:val="auto"/>
          <w:szCs w:val="21"/>
          <w:highlight w:val="none"/>
          <w:u w:val="double"/>
          <w:lang w:val="en-US" w:eastAsia="zh-CN"/>
        </w:rPr>
      </w:pPr>
      <w:r>
        <w:rPr>
          <w:rFonts w:hint="eastAsia" w:ascii="宋体" w:hAnsi="宋体" w:eastAsia="宋体" w:cs="宋体"/>
          <w:b/>
          <w:bCs/>
          <w:color w:val="auto"/>
          <w:szCs w:val="21"/>
          <w:highlight w:val="none"/>
          <w:u w:val="double"/>
          <w:lang w:val="en-US" w:eastAsia="zh-CN"/>
        </w:rPr>
        <w:t>2、采购人或代理机构在发布中标公告或候选人公示时需同时将中标人或第一中标候选人投标文件中</w:t>
      </w:r>
      <w:r>
        <w:rPr>
          <w:rFonts w:hint="eastAsia" w:ascii="宋体" w:hAnsi="宋体" w:cs="宋体"/>
          <w:b/>
          <w:bCs/>
          <w:color w:val="auto"/>
          <w:szCs w:val="21"/>
          <w:highlight w:val="none"/>
          <w:u w:val="double"/>
          <w:lang w:val="en-US" w:eastAsia="zh-CN"/>
        </w:rPr>
        <w:t>涉及到的</w:t>
      </w:r>
      <w:r>
        <w:rPr>
          <w:rFonts w:hint="eastAsia" w:ascii="宋体" w:hAnsi="宋体" w:eastAsia="宋体" w:cs="宋体"/>
          <w:b/>
          <w:bCs/>
          <w:color w:val="auto"/>
          <w:szCs w:val="21"/>
          <w:highlight w:val="none"/>
          <w:u w:val="double"/>
          <w:lang w:val="en-US" w:eastAsia="zh-CN"/>
        </w:rPr>
        <w:t>营业执照、资质、业绩、获奖、认证证书、检验检测报告同时公告（涉及</w:t>
      </w:r>
      <w:r>
        <w:rPr>
          <w:rFonts w:hint="eastAsia" w:ascii="宋体" w:hAnsi="宋体" w:cs="宋体"/>
          <w:b/>
          <w:bCs/>
          <w:color w:val="auto"/>
          <w:szCs w:val="21"/>
          <w:highlight w:val="none"/>
          <w:u w:val="double"/>
          <w:lang w:val="en-US" w:eastAsia="zh-CN"/>
        </w:rPr>
        <w:t>投标人</w:t>
      </w:r>
      <w:r>
        <w:rPr>
          <w:rFonts w:hint="eastAsia" w:ascii="宋体" w:hAnsi="宋体" w:eastAsia="宋体" w:cs="宋体"/>
          <w:b/>
          <w:bCs/>
          <w:color w:val="auto"/>
          <w:szCs w:val="21"/>
          <w:highlight w:val="none"/>
          <w:u w:val="double"/>
          <w:lang w:val="en-US" w:eastAsia="zh-CN"/>
        </w:rPr>
        <w:t>商业机密除外），强化社会监督。（2021版添加修订）。</w:t>
      </w:r>
    </w:p>
    <w:p>
      <w:pPr>
        <w:widowControl/>
        <w:spacing w:line="360" w:lineRule="exact"/>
        <w:jc w:val="left"/>
        <w:rPr>
          <w:rFonts w:hint="eastAsia" w:ascii="宋体" w:hAnsi="宋体" w:eastAsia="宋体" w:cs="宋体"/>
          <w:b/>
          <w:bCs/>
          <w:color w:val="auto"/>
          <w:szCs w:val="21"/>
          <w:highlight w:val="none"/>
          <w:u w:val="double"/>
          <w:lang w:val="en-US" w:eastAsia="zh-CN"/>
        </w:rPr>
      </w:pPr>
      <w:r>
        <w:rPr>
          <w:rFonts w:hint="eastAsia" w:ascii="宋体" w:hAnsi="宋体" w:eastAsia="宋体" w:cs="宋体"/>
          <w:b/>
          <w:bCs/>
          <w:color w:val="auto"/>
          <w:szCs w:val="21"/>
          <w:highlight w:val="none"/>
          <w:u w:val="double"/>
          <w:lang w:val="en-US" w:eastAsia="zh-CN"/>
        </w:rPr>
        <w:t>3、中标企业认为投标文件中资料涉及商业秘密的，可以要求代理机构对相关信息模糊处理后公示（2021版添加修订）。</w:t>
      </w:r>
    </w:p>
    <w:p>
      <w:pPr>
        <w:widowControl/>
        <w:spacing w:line="360" w:lineRule="exact"/>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4、潜在</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有异议的，可以在公告发布之日起七个工作日内，以书面形式同时向采购人与招标代理机构提交质疑函和必要的证明材料。质疑函应当包括下列内容：（一）</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的姓名或者名称、地址、邮编、联系人及联系电话；（二）质疑项目的名称、编号；（三）具体、明确的质疑事项和与质疑事项相关的请求；（四）事实依据；（五）必要的法律依据；（六）提出质疑的日期。</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为自然人的，应当由本人签字；</w:t>
      </w:r>
      <w:r>
        <w:rPr>
          <w:rFonts w:hint="eastAsia" w:ascii="宋体" w:hAnsi="宋体" w:cs="宋体"/>
          <w:b/>
          <w:bCs/>
          <w:color w:val="auto"/>
          <w:szCs w:val="21"/>
          <w:highlight w:val="none"/>
          <w:u w:val="double"/>
          <w:lang w:eastAsia="zh-CN"/>
        </w:rPr>
        <w:t>投标人</w:t>
      </w:r>
      <w:r>
        <w:rPr>
          <w:rFonts w:hint="eastAsia" w:ascii="宋体" w:hAnsi="宋体" w:eastAsia="宋体" w:cs="宋体"/>
          <w:b/>
          <w:bCs/>
          <w:color w:val="auto"/>
          <w:szCs w:val="21"/>
          <w:highlight w:val="none"/>
          <w:u w:val="double"/>
        </w:rPr>
        <w:t>为法人或者其他组织的，应当由法定代表人、主要负责人，或者其授权代表签字或者盖章，并加盖公章。（企业营业执照复印件及本人身份证复印件（加盖单位公章）一并提交），以质疑函接收确认日期作为受理时间；逾期未提交或未按照要求提交的质疑函将不予受理。</w:t>
      </w:r>
    </w:p>
    <w:bookmarkEnd w:id="14"/>
    <w:p>
      <w:pPr>
        <w:widowControl/>
        <w:spacing w:line="360" w:lineRule="exact"/>
        <w:jc w:val="left"/>
        <w:outlineLvl w:val="9"/>
        <w:rPr>
          <w:rFonts w:hint="eastAsia" w:ascii="宋体" w:hAnsi="宋体" w:eastAsia="宋体" w:cs="宋体"/>
          <w:b/>
          <w:bCs/>
          <w:color w:val="auto"/>
          <w:szCs w:val="21"/>
          <w:highlight w:val="none"/>
          <w:u w:val="double"/>
        </w:rPr>
      </w:pPr>
      <w:bookmarkStart w:id="15" w:name="_Toc14717"/>
      <w:r>
        <w:rPr>
          <w:rFonts w:hint="eastAsia" w:ascii="宋体" w:hAnsi="宋体" w:eastAsia="宋体" w:cs="宋体"/>
          <w:b/>
          <w:bCs/>
          <w:color w:val="auto"/>
          <w:szCs w:val="21"/>
          <w:highlight w:val="none"/>
          <w:u w:val="double"/>
        </w:rPr>
        <w:t>十、特别提醒</w:t>
      </w:r>
      <w:bookmarkEnd w:id="15"/>
    </w:p>
    <w:p>
      <w:pPr>
        <w:widowControl/>
        <w:spacing w:line="360" w:lineRule="exact"/>
        <w:jc w:val="left"/>
        <w:rPr>
          <w:rFonts w:hint="eastAsia" w:ascii="宋体" w:hAnsi="宋体" w:eastAsia="宋体" w:cs="宋体"/>
          <w:b/>
          <w:bCs/>
          <w:color w:val="auto"/>
          <w:szCs w:val="21"/>
          <w:highlight w:val="none"/>
          <w:u w:val="double"/>
        </w:rPr>
      </w:pPr>
      <w:r>
        <w:rPr>
          <w:rFonts w:hint="eastAsia" w:ascii="宋体" w:hAnsi="宋体" w:eastAsia="宋体" w:cs="宋体"/>
          <w:b/>
          <w:bCs/>
          <w:color w:val="auto"/>
          <w:szCs w:val="21"/>
          <w:highlight w:val="none"/>
          <w:u w:val="double"/>
        </w:rPr>
        <w:t>5、投标文件中的扫描件，在确保清晰的前提下，每张最好控制在 500kb 内，生成的加密电子投标文件最好不要超过50MB。</w:t>
      </w:r>
    </w:p>
    <w:p>
      <w:pPr>
        <w:pStyle w:val="27"/>
        <w:ind w:firstLine="211"/>
        <w:rPr>
          <w:rFonts w:hint="eastAsia" w:ascii="宋体" w:hAnsi="宋体" w:eastAsia="宋体" w:cs="宋体"/>
          <w:b/>
          <w:bCs/>
          <w:color w:val="auto"/>
          <w:szCs w:val="21"/>
          <w:highlight w:val="none"/>
          <w:u w:val="double"/>
        </w:rPr>
      </w:pPr>
    </w:p>
    <w:p>
      <w:pPr>
        <w:pStyle w:val="28"/>
        <w:ind w:firstLine="422"/>
        <w:rPr>
          <w:rFonts w:hint="eastAsia" w:ascii="宋体" w:hAnsi="宋体" w:eastAsia="宋体" w:cs="宋体"/>
          <w:b/>
          <w:bCs/>
          <w:color w:val="auto"/>
          <w:sz w:val="21"/>
          <w:szCs w:val="21"/>
          <w:highlight w:val="none"/>
          <w:u w:val="double"/>
        </w:rPr>
      </w:pPr>
    </w:p>
    <w:p>
      <w:pPr>
        <w:pStyle w:val="54"/>
        <w:tabs>
          <w:tab w:val="right" w:leader="dot" w:pos="9240"/>
        </w:tabs>
        <w:spacing w:beforeAutospacing="0" w:afterAutospacing="0" w:line="480" w:lineRule="auto"/>
        <w:ind w:firstLine="422" w:firstLineChars="200"/>
        <w:jc w:val="both"/>
        <w:rPr>
          <w:rFonts w:hint="eastAsia" w:ascii="宋体" w:hAnsi="宋体" w:eastAsia="宋体" w:cs="宋体"/>
          <w:b/>
          <w:bCs/>
          <w:color w:val="auto"/>
          <w:sz w:val="21"/>
          <w:szCs w:val="21"/>
          <w:highlight w:val="none"/>
        </w:rPr>
      </w:pPr>
    </w:p>
    <w:p>
      <w:pPr>
        <w:pStyle w:val="54"/>
        <w:tabs>
          <w:tab w:val="right" w:leader="dot" w:pos="9240"/>
        </w:tabs>
        <w:spacing w:beforeAutospacing="0" w:afterAutospacing="0" w:line="480" w:lineRule="auto"/>
        <w:ind w:firstLine="480" w:firstLineChars="200"/>
        <w:jc w:val="both"/>
        <w:rPr>
          <w:rFonts w:hint="eastAsia" w:ascii="宋体" w:hAnsi="宋体" w:eastAsia="宋体" w:cs="宋体"/>
          <w:color w:val="auto"/>
          <w:sz w:val="24"/>
          <w:highlight w:val="none"/>
        </w:rPr>
      </w:pPr>
    </w:p>
    <w:p>
      <w:pPr>
        <w:pStyle w:val="54"/>
        <w:tabs>
          <w:tab w:val="right" w:leader="dot" w:pos="9240"/>
        </w:tabs>
        <w:spacing w:beforeAutospacing="0" w:afterAutospacing="0"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color w:val="auto"/>
          <w:sz w:val="24"/>
          <w:highlight w:val="none"/>
        </w:rPr>
        <w:br w:type="page"/>
      </w:r>
      <w:bookmarkStart w:id="16" w:name="_Toc1755"/>
      <w:bookmarkStart w:id="17" w:name="_Toc32700"/>
      <w:r>
        <w:rPr>
          <w:rFonts w:hint="eastAsia" w:ascii="宋体" w:hAnsi="宋体" w:eastAsia="宋体" w:cs="宋体"/>
          <w:b/>
          <w:color w:val="auto"/>
          <w:sz w:val="28"/>
          <w:szCs w:val="28"/>
          <w:highlight w:val="none"/>
        </w:rPr>
        <w:t>第一章 招标公告</w:t>
      </w:r>
      <w:bookmarkEnd w:id="16"/>
      <w:bookmarkEnd w:id="17"/>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项目概况</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left="0" w:right="0" w:firstLine="420" w:firstLineChars="200"/>
        <w:textAlignment w:val="auto"/>
        <w:rPr>
          <w:rFonts w:hint="eastAsia" w:ascii="宋体" w:hAnsi="宋体" w:eastAsia="宋体" w:cs="宋体"/>
          <w:b w:val="0"/>
          <w:bCs/>
          <w:color w:val="auto"/>
          <w:sz w:val="21"/>
          <w:szCs w:val="21"/>
          <w:highlight w:val="none"/>
          <w:lang w:eastAsia="zh-CN"/>
        </w:rPr>
      </w:pPr>
      <w:r>
        <w:rPr>
          <w:rFonts w:hint="eastAsia" w:cs="宋体"/>
          <w:b w:val="0"/>
          <w:bCs/>
          <w:color w:val="auto"/>
          <w:sz w:val="21"/>
          <w:szCs w:val="21"/>
          <w:highlight w:val="none"/>
          <w:lang w:eastAsia="zh-CN"/>
        </w:rPr>
        <w:t>信阳市羊山新区民政局羊山新区养老服务中心运营服务项目</w:t>
      </w:r>
      <w:r>
        <w:rPr>
          <w:rFonts w:hint="eastAsia" w:ascii="宋体" w:hAnsi="宋体" w:eastAsia="宋体" w:cs="宋体"/>
          <w:b w:val="0"/>
          <w:bCs/>
          <w:color w:val="auto"/>
          <w:sz w:val="21"/>
          <w:szCs w:val="21"/>
          <w:highlight w:val="none"/>
          <w:lang w:eastAsia="zh-CN"/>
        </w:rPr>
        <w:t>潜在投标人应</w:t>
      </w:r>
      <w:r>
        <w:rPr>
          <w:rFonts w:hint="eastAsia" w:cs="宋体"/>
          <w:b w:val="0"/>
          <w:bCs/>
          <w:color w:val="auto"/>
          <w:sz w:val="21"/>
          <w:szCs w:val="21"/>
          <w:highlight w:val="none"/>
          <w:lang w:eastAsia="zh-CN"/>
        </w:rPr>
        <w:t>登录</w:t>
      </w:r>
      <w:r>
        <w:rPr>
          <w:rFonts w:hint="eastAsia" w:ascii="宋体" w:hAnsi="宋体" w:eastAsia="宋体" w:cs="宋体"/>
          <w:b w:val="0"/>
          <w:bCs/>
          <w:color w:val="auto"/>
          <w:sz w:val="21"/>
          <w:szCs w:val="21"/>
          <w:highlight w:val="none"/>
          <w:lang w:eastAsia="zh-CN"/>
        </w:rPr>
        <w:t>“全国公共资源交易平台（河南省</w:t>
      </w:r>
      <w:r>
        <w:rPr>
          <w:rFonts w:hint="eastAsia" w:ascii="宋体" w:hAnsi="宋体" w:eastAsia="宋体" w:cs="宋体"/>
          <w:b w:val="0"/>
          <w:bCs/>
          <w:color w:val="auto"/>
          <w:sz w:val="21"/>
          <w:szCs w:val="21"/>
          <w:highlight w:val="none"/>
          <w:lang w:val="en-US" w:eastAsia="zh-CN"/>
        </w:rPr>
        <w:t>·信阳市）</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https://ggzyjy.xinyang.gov.cn</w:t>
      </w:r>
      <w:r>
        <w:rPr>
          <w:rFonts w:hint="eastAsia" w:ascii="宋体" w:hAnsi="宋体" w:eastAsia="宋体" w:cs="宋体"/>
          <w:b w:val="0"/>
          <w:bCs/>
          <w:color w:val="auto"/>
          <w:sz w:val="21"/>
          <w:szCs w:val="21"/>
          <w:highlight w:val="none"/>
        </w:rPr>
        <w:t>）”网站，凭办理的企业身份认证锁（CA数字证书）</w:t>
      </w:r>
      <w:r>
        <w:rPr>
          <w:rFonts w:hint="eastAsia" w:cs="宋体"/>
          <w:b w:val="0"/>
          <w:bCs/>
          <w:color w:val="auto"/>
          <w:sz w:val="21"/>
          <w:szCs w:val="21"/>
          <w:highlight w:val="none"/>
          <w:lang w:eastAsia="zh-CN"/>
        </w:rPr>
        <w:t>登录</w:t>
      </w:r>
      <w:r>
        <w:rPr>
          <w:rFonts w:hint="eastAsia" w:ascii="宋体" w:hAnsi="宋体" w:eastAsia="宋体" w:cs="宋体"/>
          <w:b w:val="0"/>
          <w:bCs/>
          <w:color w:val="auto"/>
          <w:sz w:val="21"/>
          <w:szCs w:val="21"/>
          <w:highlight w:val="none"/>
        </w:rPr>
        <w:t>会员系统进行网上投标</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eastAsia="zh-CN"/>
        </w:rPr>
        <w:t>获取招标文件，并于202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年</w:t>
      </w: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月</w:t>
      </w:r>
      <w:r>
        <w:rPr>
          <w:rFonts w:hint="eastAsia"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日</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分（北京时间）</w:t>
      </w:r>
      <w:r>
        <w:rPr>
          <w:rFonts w:hint="eastAsia" w:ascii="宋体" w:hAnsi="宋体" w:eastAsia="宋体" w:cs="宋体"/>
          <w:b w:val="0"/>
          <w:bCs/>
          <w:color w:val="auto"/>
          <w:sz w:val="21"/>
          <w:szCs w:val="21"/>
          <w:highlight w:val="none"/>
          <w:lang w:eastAsia="zh-CN"/>
        </w:rPr>
        <w:t>前递交投标文件。</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2" w:firstLineChars="200"/>
        <w:textAlignment w:val="auto"/>
        <w:outlineLvl w:val="1"/>
        <w:rPr>
          <w:rFonts w:hint="eastAsia" w:ascii="宋体" w:hAnsi="宋体" w:eastAsia="宋体" w:cs="宋体"/>
          <w:b/>
          <w:bCs w:val="0"/>
          <w:color w:val="auto"/>
          <w:sz w:val="21"/>
          <w:szCs w:val="21"/>
          <w:highlight w:val="none"/>
          <w:lang w:eastAsia="zh-CN"/>
        </w:rPr>
      </w:pPr>
      <w:bookmarkStart w:id="18" w:name="_Toc23083"/>
      <w:r>
        <w:rPr>
          <w:rFonts w:hint="eastAsia" w:ascii="宋体" w:hAnsi="宋体" w:eastAsia="宋体" w:cs="宋体"/>
          <w:b/>
          <w:bCs w:val="0"/>
          <w:color w:val="auto"/>
          <w:sz w:val="21"/>
          <w:szCs w:val="21"/>
          <w:highlight w:val="none"/>
          <w:lang w:eastAsia="zh-CN"/>
        </w:rPr>
        <w:t>一、项目基本情况</w:t>
      </w:r>
      <w:bookmarkEnd w:id="18"/>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项目编号：</w:t>
      </w:r>
      <w:r>
        <w:rPr>
          <w:rFonts w:hint="eastAsia" w:ascii="宋体" w:hAnsi="宋体" w:eastAsia="宋体" w:cs="宋体"/>
          <w:b w:val="0"/>
          <w:bCs/>
          <w:color w:val="auto"/>
          <w:sz w:val="21"/>
          <w:szCs w:val="21"/>
          <w:highlight w:val="none"/>
          <w:lang w:val="en-US" w:eastAsia="zh-CN"/>
        </w:rPr>
        <w:t>羊</w:t>
      </w:r>
      <w:r>
        <w:rPr>
          <w:rFonts w:hint="eastAsia" w:ascii="宋体" w:hAnsi="宋体" w:eastAsia="宋体" w:cs="宋体"/>
          <w:b w:val="0"/>
          <w:bCs/>
          <w:color w:val="auto"/>
          <w:sz w:val="21"/>
          <w:szCs w:val="21"/>
          <w:highlight w:val="none"/>
        </w:rPr>
        <w:t>财公开招标-202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w:t>
      </w:r>
      <w:r>
        <w:rPr>
          <w:rFonts w:hint="eastAsia" w:cs="宋体"/>
          <w:b w:val="0"/>
          <w:bCs/>
          <w:color w:val="auto"/>
          <w:sz w:val="21"/>
          <w:szCs w:val="21"/>
          <w:highlight w:val="none"/>
          <w:lang w:val="en-US" w:eastAsia="zh-CN"/>
        </w:rPr>
        <w:t>9</w:t>
      </w:r>
      <w:r>
        <w:rPr>
          <w:rFonts w:hint="eastAsia" w:ascii="宋体" w:hAnsi="宋体" w:eastAsia="宋体" w:cs="宋体"/>
          <w:b w:val="0"/>
          <w:bCs/>
          <w:color w:val="auto"/>
          <w:kern w:val="2"/>
          <w:sz w:val="21"/>
          <w:szCs w:val="21"/>
          <w:highlight w:val="none"/>
        </w:rPr>
        <w:t>。</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2、项目名称：</w:t>
      </w:r>
      <w:bookmarkStart w:id="19" w:name="OLE_LINK1"/>
      <w:r>
        <w:rPr>
          <w:rFonts w:hint="eastAsia" w:cs="宋体"/>
          <w:b w:val="0"/>
          <w:bCs/>
          <w:color w:val="auto"/>
          <w:sz w:val="21"/>
          <w:szCs w:val="21"/>
          <w:highlight w:val="none"/>
          <w:lang w:eastAsia="zh-CN"/>
        </w:rPr>
        <w:t>信阳市羊山新区民政局羊山新区养老服务中心运营服务项目</w:t>
      </w:r>
      <w:bookmarkEnd w:id="19"/>
      <w:r>
        <w:rPr>
          <w:rFonts w:hint="eastAsia" w:ascii="宋体" w:hAnsi="宋体" w:eastAsia="宋体" w:cs="宋体"/>
          <w:b w:val="0"/>
          <w:bCs/>
          <w:color w:val="auto"/>
          <w:sz w:val="21"/>
          <w:szCs w:val="21"/>
          <w:highlight w:val="none"/>
          <w:lang w:val="en-US" w:eastAsia="zh-CN"/>
        </w:rPr>
        <w:t>。</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3、采购方式：公开招标。</w:t>
      </w:r>
    </w:p>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ind w:firstLine="420" w:firstLineChars="200"/>
        <w:jc w:val="both"/>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4、预算金额：</w:t>
      </w:r>
      <w:r>
        <w:rPr>
          <w:rFonts w:hint="eastAsia" w:cs="宋体"/>
          <w:b w:val="0"/>
          <w:bCs/>
          <w:color w:val="auto"/>
          <w:sz w:val="21"/>
          <w:szCs w:val="21"/>
          <w:highlight w:val="none"/>
          <w:lang w:val="en-US" w:eastAsia="zh-CN"/>
        </w:rPr>
        <w:t>2000000.00</w:t>
      </w:r>
      <w:r>
        <w:rPr>
          <w:rFonts w:hint="eastAsia" w:ascii="宋体" w:hAnsi="宋体" w:eastAsia="宋体" w:cs="宋体"/>
          <w:b w:val="0"/>
          <w:bCs/>
          <w:color w:val="auto"/>
          <w:sz w:val="21"/>
          <w:szCs w:val="21"/>
          <w:highlight w:val="none"/>
          <w:lang w:val="en-US" w:eastAsia="zh-CN"/>
        </w:rPr>
        <w:t>元</w:t>
      </w:r>
    </w:p>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ind w:firstLine="840" w:firstLineChars="400"/>
        <w:jc w:val="both"/>
        <w:textAlignment w:val="auto"/>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最高限价：</w:t>
      </w:r>
      <w:r>
        <w:rPr>
          <w:rFonts w:hint="eastAsia" w:ascii="宋体" w:hAnsi="宋体" w:eastAsia="宋体" w:cs="宋体"/>
          <w:b w:val="0"/>
          <w:bCs/>
          <w:color w:val="auto"/>
          <w:sz w:val="21"/>
          <w:szCs w:val="21"/>
          <w:highlight w:val="none"/>
          <w:lang w:val="en-US" w:eastAsia="zh-CN"/>
        </w:rPr>
        <w:t>2000000.00</w:t>
      </w:r>
      <w:r>
        <w:rPr>
          <w:rFonts w:hint="eastAsia" w:cs="宋体"/>
          <w:b w:val="0"/>
          <w:bCs/>
          <w:color w:val="auto"/>
          <w:sz w:val="21"/>
          <w:szCs w:val="21"/>
          <w:highlight w:val="none"/>
          <w:lang w:val="en-US" w:eastAsia="zh-CN"/>
        </w:rPr>
        <w:t>元</w:t>
      </w:r>
    </w:p>
    <w:tbl>
      <w:tblPr>
        <w:tblStyle w:val="3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850"/>
        <w:gridCol w:w="2672"/>
        <w:gridCol w:w="207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95" w:type="dxa"/>
            <w:noWrap w:val="0"/>
            <w:vAlign w:val="top"/>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850" w:type="dxa"/>
            <w:noWrap w:val="0"/>
            <w:vAlign w:val="top"/>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包号</w:t>
            </w:r>
          </w:p>
        </w:tc>
        <w:tc>
          <w:tcPr>
            <w:tcW w:w="2672" w:type="dxa"/>
            <w:noWrap w:val="0"/>
            <w:vAlign w:val="top"/>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包名称</w:t>
            </w:r>
          </w:p>
        </w:tc>
        <w:tc>
          <w:tcPr>
            <w:tcW w:w="2076" w:type="dxa"/>
            <w:noWrap w:val="0"/>
            <w:vAlign w:val="top"/>
          </w:tcPr>
          <w:p>
            <w:pPr>
              <w:pStyle w:val="25"/>
              <w:spacing w:before="0" w:beforeAutospacing="0" w:after="0" w:afterAutospacing="0" w:line="312"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rPr>
              <w:t>包预算（元）</w:t>
            </w:r>
          </w:p>
        </w:tc>
        <w:tc>
          <w:tcPr>
            <w:tcW w:w="1815" w:type="dxa"/>
            <w:noWrap w:val="0"/>
            <w:vAlign w:val="top"/>
          </w:tcPr>
          <w:p>
            <w:pPr>
              <w:pStyle w:val="25"/>
              <w:spacing w:before="0" w:beforeAutospacing="0" w:after="0" w:afterAutospacing="0" w:line="312"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95" w:type="dxa"/>
            <w:noWrap w:val="0"/>
            <w:vAlign w:val="center"/>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850" w:type="dxa"/>
            <w:noWrap w:val="0"/>
            <w:vAlign w:val="center"/>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羊</w:t>
            </w:r>
            <w:r>
              <w:rPr>
                <w:rFonts w:hint="eastAsia" w:ascii="宋体" w:hAnsi="宋体" w:eastAsia="宋体" w:cs="宋体"/>
                <w:b w:val="0"/>
                <w:bCs/>
                <w:color w:val="auto"/>
                <w:sz w:val="21"/>
                <w:szCs w:val="21"/>
                <w:highlight w:val="none"/>
              </w:rPr>
              <w:t>财公开招标-202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w:t>
            </w:r>
            <w:r>
              <w:rPr>
                <w:rFonts w:hint="eastAsia" w:cs="宋体"/>
                <w:b w:val="0"/>
                <w:bCs/>
                <w:color w:val="auto"/>
                <w:sz w:val="21"/>
                <w:szCs w:val="21"/>
                <w:highlight w:val="none"/>
                <w:lang w:val="en-US" w:eastAsia="zh-CN"/>
              </w:rPr>
              <w:t>9-1</w:t>
            </w:r>
          </w:p>
        </w:tc>
        <w:tc>
          <w:tcPr>
            <w:tcW w:w="2672" w:type="dxa"/>
            <w:noWrap w:val="0"/>
            <w:vAlign w:val="center"/>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eastAsia" w:ascii="宋体" w:hAnsi="宋体" w:eastAsia="宋体" w:cs="宋体"/>
                <w:color w:val="auto"/>
                <w:sz w:val="21"/>
                <w:szCs w:val="21"/>
                <w:highlight w:val="none"/>
                <w:vertAlign w:val="baseline"/>
                <w:lang w:val="en-US"/>
              </w:rPr>
            </w:pPr>
            <w:r>
              <w:rPr>
                <w:rFonts w:hint="eastAsia" w:cs="宋体"/>
                <w:color w:val="auto"/>
                <w:sz w:val="21"/>
                <w:szCs w:val="21"/>
                <w:highlight w:val="none"/>
                <w:vertAlign w:val="baseline"/>
                <w:lang w:val="en-US" w:eastAsia="zh-CN"/>
              </w:rPr>
              <w:t>信阳市羊山新区民政局羊山新区养老服务中心运营服务项目</w:t>
            </w:r>
          </w:p>
        </w:tc>
        <w:tc>
          <w:tcPr>
            <w:tcW w:w="2076" w:type="dxa"/>
            <w:noWrap w:val="0"/>
            <w:vAlign w:val="center"/>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2000000.00</w:t>
            </w:r>
          </w:p>
        </w:tc>
        <w:tc>
          <w:tcPr>
            <w:tcW w:w="1815" w:type="dxa"/>
            <w:noWrap w:val="0"/>
            <w:vAlign w:val="center"/>
          </w:tcPr>
          <w:p>
            <w:pPr>
              <w:pStyle w:val="25"/>
              <w:keepNext w:val="0"/>
              <w:keepLines w:val="0"/>
              <w:pageBreakBefore w:val="0"/>
              <w:widowControl w:val="0"/>
              <w:kinsoku/>
              <w:overflowPunct/>
              <w:topLinePunct w:val="0"/>
              <w:autoSpaceDE/>
              <w:autoSpaceDN/>
              <w:bidi w:val="0"/>
              <w:adjustRightInd/>
              <w:snapToGrid/>
              <w:spacing w:before="0" w:beforeLines="0" w:beforeAutospacing="0" w:after="0" w:afterLines="0" w:afterAutospacing="0" w:line="312" w:lineRule="auto"/>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2000000.00</w:t>
            </w:r>
          </w:p>
        </w:tc>
      </w:tr>
    </w:tbl>
    <w:p>
      <w:pPr>
        <w:pStyle w:val="46"/>
        <w:keepNext w:val="0"/>
        <w:keepLines w:val="0"/>
        <w:pageBreakBefore w:val="0"/>
        <w:widowControl w:val="0"/>
        <w:tabs>
          <w:tab w:val="left" w:pos="540"/>
        </w:tabs>
        <w:kinsoku/>
        <w:wordWrap/>
        <w:overflowPunct/>
        <w:topLinePunct w:val="0"/>
        <w:autoSpaceDE/>
        <w:autoSpaceDN/>
        <w:bidi w:val="0"/>
        <w:adjustRightInd/>
        <w:snapToGrid/>
        <w:spacing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5、采购需求：</w:t>
      </w:r>
    </w:p>
    <w:p>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firstLineChars="200"/>
        <w:contextualSpacing/>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5.1采购范围：选取一家</w:t>
      </w:r>
      <w:r>
        <w:rPr>
          <w:rFonts w:hint="eastAsia" w:ascii="宋体" w:hAnsi="宋体" w:eastAsia="宋体" w:cs="宋体"/>
          <w:color w:val="auto"/>
          <w:sz w:val="21"/>
          <w:szCs w:val="21"/>
          <w:highlight w:val="none"/>
        </w:rPr>
        <w:t>运营商，</w:t>
      </w:r>
      <w:r>
        <w:rPr>
          <w:rFonts w:hint="eastAsia" w:ascii="宋体" w:hAnsi="宋体" w:eastAsia="宋体" w:cs="宋体"/>
          <w:color w:val="auto"/>
          <w:sz w:val="21"/>
          <w:szCs w:val="21"/>
          <w:highlight w:val="none"/>
          <w:lang w:val="en-US" w:eastAsia="zh-CN"/>
        </w:rPr>
        <w:t>按养老服务设施公建民营模式</w:t>
      </w:r>
      <w:r>
        <w:rPr>
          <w:rFonts w:hint="eastAsia" w:ascii="宋体" w:hAnsi="宋体" w:cs="宋体"/>
          <w:color w:val="auto"/>
          <w:sz w:val="21"/>
          <w:szCs w:val="21"/>
          <w:highlight w:val="none"/>
          <w:lang w:val="en-US" w:eastAsia="zh-CN"/>
        </w:rPr>
        <w:t>开展养老服务，</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vertAlign w:val="baseline"/>
          <w:lang w:val="en-US" w:eastAsia="zh-CN"/>
        </w:rPr>
        <w:t>羊山新区养老服务中心</w:t>
      </w:r>
      <w:r>
        <w:rPr>
          <w:rFonts w:hint="eastAsia" w:ascii="宋体" w:hAnsi="宋体" w:eastAsia="宋体" w:cs="宋体"/>
          <w:color w:val="auto"/>
          <w:sz w:val="21"/>
          <w:szCs w:val="21"/>
          <w:highlight w:val="none"/>
          <w:lang w:val="en-US" w:eastAsia="zh-CN"/>
        </w:rPr>
        <w:t>养老服务设施</w:t>
      </w:r>
      <w:r>
        <w:rPr>
          <w:rFonts w:hint="eastAsia" w:ascii="宋体" w:hAnsi="宋体" w:eastAsia="宋体" w:cs="宋体"/>
          <w:color w:val="auto"/>
          <w:sz w:val="21"/>
          <w:szCs w:val="21"/>
          <w:highlight w:val="none"/>
        </w:rPr>
        <w:t>运营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并独立承担运营管理等风险。</w:t>
      </w:r>
      <w:r>
        <w:rPr>
          <w:rFonts w:hint="eastAsia" w:ascii="宋体" w:hAnsi="宋体" w:cs="宋体"/>
          <w:color w:val="auto"/>
          <w:sz w:val="21"/>
          <w:szCs w:val="21"/>
          <w:highlight w:val="none"/>
          <w:lang w:val="en-US" w:eastAsia="zh-CN"/>
        </w:rPr>
        <w:t>养老服务内容包括为老年人提供生活照料、医养康复护理、精神慰藉、文化娱乐、居家服务等。具体服务内容详见招标文件第五章“采购需求”。</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5.2服务期限：运营期限10年，分为培育期3年，成长期3年，发展期4年三个阶段。</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5.3服务地点：</w:t>
      </w:r>
      <w:r>
        <w:rPr>
          <w:rFonts w:hint="eastAsia" w:ascii="宋体" w:hAnsi="宋体" w:cs="宋体"/>
          <w:color w:val="auto"/>
          <w:sz w:val="21"/>
          <w:szCs w:val="21"/>
          <w:highlight w:val="none"/>
          <w:lang w:val="en-US" w:eastAsia="zh-CN"/>
        </w:rPr>
        <w:t>信阳市</w:t>
      </w:r>
      <w:r>
        <w:rPr>
          <w:rFonts w:hint="eastAsia" w:ascii="宋体" w:hAnsi="宋体" w:eastAsia="宋体" w:cs="宋体"/>
          <w:color w:val="auto"/>
          <w:sz w:val="21"/>
          <w:szCs w:val="21"/>
          <w:highlight w:val="none"/>
        </w:rPr>
        <w:t>羊山新区养老服务中心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新五大道与景龙街交叉口西北角</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p>
    <w:p>
      <w:pPr>
        <w:pStyle w:val="27"/>
        <w:keepNext w:val="0"/>
        <w:keepLines w:val="0"/>
        <w:pageBreakBefore w:val="0"/>
        <w:kinsoku/>
        <w:wordWrap/>
        <w:overflowPunct/>
        <w:topLinePunct w:val="0"/>
        <w:autoSpaceDE/>
        <w:autoSpaceDN/>
        <w:bidi w:val="0"/>
        <w:adjustRightInd/>
        <w:snapToGrid/>
        <w:spacing w:after="0"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5.4质量要求：符合国家或行业规定的合格标准，满足采购人需求。</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5.5资金来源：</w:t>
      </w:r>
      <w:r>
        <w:rPr>
          <w:rFonts w:hint="eastAsia" w:ascii="宋体" w:hAnsi="宋体" w:eastAsia="宋体" w:cs="宋体"/>
          <w:color w:val="auto"/>
          <w:sz w:val="21"/>
          <w:szCs w:val="21"/>
          <w:highlight w:val="none"/>
          <w:u w:val="none"/>
          <w:lang w:val="en-US" w:eastAsia="zh-CN"/>
        </w:rPr>
        <w:t>运营商自筹</w:t>
      </w:r>
      <w:r>
        <w:rPr>
          <w:rFonts w:hint="eastAsia" w:ascii="宋体" w:hAnsi="宋体" w:cs="宋体"/>
          <w:color w:val="auto"/>
          <w:sz w:val="21"/>
          <w:szCs w:val="21"/>
          <w:highlight w:val="none"/>
          <w:u w:val="none"/>
          <w:lang w:val="en-US" w:eastAsia="zh-CN"/>
        </w:rPr>
        <w:t>，已落实。</w:t>
      </w:r>
    </w:p>
    <w:p>
      <w:pPr>
        <w:pStyle w:val="27"/>
        <w:keepNext w:val="0"/>
        <w:keepLines w:val="0"/>
        <w:pageBreakBefore w:val="0"/>
        <w:kinsoku/>
        <w:wordWrap/>
        <w:overflowPunct/>
        <w:topLinePunct w:val="0"/>
        <w:autoSpaceDE/>
        <w:autoSpaceDN/>
        <w:bidi w:val="0"/>
        <w:adjustRightInd/>
        <w:snapToGrid/>
        <w:spacing w:after="0"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5.6标段划分：本项目分为1个标段。</w:t>
      </w:r>
    </w:p>
    <w:p>
      <w:pPr>
        <w:pStyle w:val="27"/>
        <w:keepNext w:val="0"/>
        <w:keepLines w:val="0"/>
        <w:pageBreakBefore w:val="0"/>
        <w:kinsoku/>
        <w:wordWrap/>
        <w:overflowPunct/>
        <w:topLinePunct w:val="0"/>
        <w:autoSpaceDE/>
        <w:autoSpaceDN/>
        <w:bidi w:val="0"/>
        <w:adjustRightInd/>
        <w:snapToGrid/>
        <w:spacing w:after="0"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注：预算金额及最高限价仅作为本项目挂接河南省电子化政府采购系统要求所设置，不作为本项目采购标的实际预算价及最高限价。</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6、合同履行期限：</w:t>
      </w:r>
      <w:bookmarkStart w:id="20" w:name="OLE_LINK12"/>
      <w:r>
        <w:rPr>
          <w:rFonts w:hint="eastAsia" w:ascii="宋体" w:hAnsi="宋体" w:eastAsia="宋体" w:cs="宋体"/>
          <w:color w:val="auto"/>
          <w:sz w:val="21"/>
          <w:szCs w:val="21"/>
          <w:highlight w:val="none"/>
          <w:lang w:val="en-US" w:eastAsia="zh-CN"/>
        </w:rPr>
        <w:t>10年</w:t>
      </w:r>
      <w:bookmarkEnd w:id="20"/>
      <w:r>
        <w:rPr>
          <w:rFonts w:hint="eastAsia" w:ascii="宋体" w:hAnsi="宋体" w:eastAsia="宋体" w:cs="宋体"/>
          <w:color w:val="auto"/>
          <w:sz w:val="21"/>
          <w:szCs w:val="21"/>
          <w:highlight w:val="none"/>
          <w:lang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7、本项目是否接受联合体投标：</w:t>
      </w:r>
      <w:r>
        <w:rPr>
          <w:rFonts w:hint="eastAsia" w:cs="宋体"/>
          <w:color w:val="auto"/>
          <w:sz w:val="21"/>
          <w:szCs w:val="21"/>
          <w:highlight w:val="none"/>
          <w:lang w:val="en-US" w:eastAsia="zh-CN"/>
        </w:rPr>
        <w:t>否</w:t>
      </w:r>
      <w:r>
        <w:rPr>
          <w:rFonts w:hint="eastAsia" w:ascii="宋体" w:hAnsi="宋体" w:eastAsia="宋体" w:cs="宋体"/>
          <w:color w:val="auto"/>
          <w:sz w:val="21"/>
          <w:szCs w:val="21"/>
          <w:highlight w:val="none"/>
          <w:lang w:val="en-US" w:eastAsia="zh-CN"/>
        </w:rPr>
        <w:t>。</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8、是否专门面向中小企业：否。</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21" w:name="_Toc12654"/>
      <w:r>
        <w:rPr>
          <w:rFonts w:hint="eastAsia" w:ascii="宋体" w:hAnsi="宋体" w:eastAsia="宋体" w:cs="宋体"/>
          <w:b/>
          <w:bCs/>
          <w:color w:val="auto"/>
          <w:sz w:val="21"/>
          <w:szCs w:val="21"/>
          <w:highlight w:val="none"/>
          <w:lang w:val="en-US" w:eastAsia="zh-CN"/>
        </w:rPr>
        <w:t>二、申请人资格要求：</w:t>
      </w:r>
      <w:bookmarkEnd w:id="21"/>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1、满足</w:t>
      </w:r>
      <w:r>
        <w:rPr>
          <w:rFonts w:hint="eastAsia" w:ascii="宋体" w:hAnsi="宋体" w:eastAsia="宋体" w:cs="宋体"/>
          <w:color w:val="auto"/>
          <w:sz w:val="21"/>
          <w:szCs w:val="21"/>
          <w:highlight w:val="none"/>
        </w:rPr>
        <w:t>《中华人民共和国政府采购法》第二十二条规定</w:t>
      </w:r>
      <w:r>
        <w:rPr>
          <w:rFonts w:hint="eastAsia" w:cs="宋体"/>
          <w:color w:val="auto"/>
          <w:sz w:val="21"/>
          <w:szCs w:val="21"/>
          <w:highlight w:val="none"/>
          <w:lang w:eastAsia="zh-CN"/>
        </w:rPr>
        <w:t>；</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2、落实政府采购政策满足的资格要求：本项目非专门面向中小企业采购</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该项目符合《政府采购促进中小企业发展管理办法》（财库</w:t>
      </w:r>
      <w:r>
        <w:rPr>
          <w:rFonts w:hint="eastAsia" w:cs="宋体"/>
          <w:color w:val="auto"/>
          <w:sz w:val="21"/>
          <w:szCs w:val="21"/>
          <w:highlight w:val="none"/>
          <w:lang w:val="en-US" w:eastAsia="zh-CN"/>
        </w:rPr>
        <w:t>〔2020〕46号</w:t>
      </w:r>
      <w:r>
        <w:rPr>
          <w:rFonts w:hint="eastAsia" w:ascii="宋体" w:hAnsi="宋体" w:eastAsia="宋体" w:cs="宋体"/>
          <w:color w:val="auto"/>
          <w:sz w:val="21"/>
          <w:szCs w:val="21"/>
          <w:highlight w:val="none"/>
          <w:lang w:val="en-US" w:eastAsia="zh-CN"/>
        </w:rPr>
        <w:t>）第六条第三款之规定：按照本办法规定预留采购份额无法确保充分供应、充分竞争，或者存在可能影响政府采购项目实现的情形。本项目落实节约能源、保护环境、扶持不发达地区和少数民族地区、促进中小微企业、监狱企业及残疾人福利性单位发展等政府采购政策。</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本项目 适用 信用承诺（详见下述要求）。</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（一）在本项目政府采购活动中，投标人在投标时，可对照资格要求进行</w:t>
      </w:r>
      <w:r>
        <w:rPr>
          <w:rFonts w:hint="eastAsia" w:ascii="宋体" w:hAnsi="宋体" w:eastAsia="宋体" w:cs="宋体"/>
          <w:b w:val="0"/>
          <w:bCs w:val="0"/>
          <w:color w:val="auto"/>
          <w:sz w:val="21"/>
          <w:szCs w:val="21"/>
          <w:highlight w:val="none"/>
          <w:lang w:val="en-US" w:eastAsia="zh-CN"/>
        </w:rPr>
        <w:t>自主核对，确定符合资格要求的，可按照规定提供相关承诺</w:t>
      </w:r>
      <w:bookmarkStart w:id="22" w:name="OLE_LINK6"/>
      <w:r>
        <w:rPr>
          <w:rFonts w:hint="eastAsia" w:ascii="宋体" w:hAnsi="宋体" w:eastAsia="宋体" w:cs="宋体"/>
          <w:b w:val="0"/>
          <w:bCs w:val="0"/>
          <w:color w:val="auto"/>
          <w:sz w:val="21"/>
          <w:szCs w:val="21"/>
          <w:highlight w:val="none"/>
          <w:lang w:val="en-US" w:eastAsia="zh-CN"/>
        </w:rPr>
        <w:t>函</w:t>
      </w:r>
      <w:bookmarkEnd w:id="22"/>
      <w:r>
        <w:rPr>
          <w:rFonts w:hint="eastAsia" w:ascii="宋体" w:hAnsi="宋体" w:eastAsia="宋体" w:cs="宋体"/>
          <w:b w:val="0"/>
          <w:bCs w:val="0"/>
          <w:color w:val="auto"/>
          <w:sz w:val="21"/>
          <w:szCs w:val="21"/>
          <w:highlight w:val="none"/>
          <w:lang w:val="en-US" w:eastAsia="zh-CN"/>
        </w:rPr>
        <w:t>（详见招标文件格式“资格审查资料”附件），投标人只需在资格审查环节提供满足相应条件的书面承诺书，不再需要提供以下证明材料：</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①符合国家相关规定的财务状况报告（2024年度财务审计报告或其基本开户银行出具的资信证明）；</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②依法缴纳税收的证明材料（</w:t>
      </w:r>
      <w:r>
        <w:rPr>
          <w:rFonts w:hint="eastAsia" w:cs="宋体"/>
          <w:color w:val="auto"/>
          <w:sz w:val="21"/>
          <w:szCs w:val="21"/>
          <w:highlight w:val="none"/>
          <w:lang w:val="en-US" w:eastAsia="zh-CN"/>
        </w:rPr>
        <w:t>提供开标前12个月内任意6个月纳税证明，新成立公司不足6个月的，按已缴纳月份提供。如依法免税的，须提供相关部门出具的证明文件</w:t>
      </w:r>
      <w:r>
        <w:rPr>
          <w:rFonts w:hint="eastAsia" w:ascii="宋体" w:hAnsi="宋体" w:eastAsia="宋体" w:cs="宋体"/>
          <w:color w:val="auto"/>
          <w:sz w:val="21"/>
          <w:szCs w:val="21"/>
          <w:highlight w:val="none"/>
          <w:lang w:val="en-US" w:eastAsia="zh-CN"/>
        </w:rPr>
        <w:t>）；</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③依法缴纳社会保障资金的证明材料（提供开标前12个月内任意6个月缴纳社会保障证明，新成立公司不足6个月的，按已缴纳月份提供</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不需要缴纳社会保障资金的投标人，须提供相关部门出具的证明文件）；</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④具备履行政府采购合同所必需的设备和专业技术能力的证明材料（提供履行合同的营业执照或其他组织证明文件</w:t>
      </w:r>
      <w:r>
        <w:rPr>
          <w:rFonts w:hint="eastAsia"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自然人的身份证明及承诺函）；</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⑤参加政府采购活动前三年内在经营活动中没有重大违法记录的证明材料（提供声明函）</w:t>
      </w:r>
      <w:r>
        <w:rPr>
          <w:rFonts w:hint="eastAsia" w:cs="宋体"/>
          <w:color w:val="auto"/>
          <w:sz w:val="21"/>
          <w:szCs w:val="21"/>
          <w:highlight w:val="none"/>
          <w:lang w:val="en-US" w:eastAsia="zh-CN"/>
        </w:rPr>
        <w:t>。</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（二）投标人在中标后，应将上述由信用承诺函替代的证明材料提交采购人（采购代理机构）核验</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经核验无误后，由采购人发出中标通知书。采购人、采购代理机构在发布中标结果公告时，资格证明材料需同其他要求发布的文件一起发布。</w:t>
      </w:r>
    </w:p>
    <w:p>
      <w:pPr>
        <w:pStyle w:val="25"/>
        <w:keepNext w:val="0"/>
        <w:keepLines w:val="0"/>
        <w:pageBreakBefore w:val="0"/>
        <w:widowControl w:val="0"/>
        <w:kinsoku/>
        <w:wordWrap w:val="0"/>
        <w:overflowPunct/>
        <w:topLinePunct/>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根据《关于在政府采购活动中查询及使用信用记录有关问题的通知》财库〔2016〕125号文件和豫财购〔2016〕15号文件的规定，投标人应提供“信用中国”网站（www.creditchina.gov.cn）查询“失信被执行人”和“重大税收违法失信主体”；中国政府采购网（www.ccgp.gov.cn）查询“政府采购严重违法失信行为记录名单”渠道查询自身信用记录，提供查询网页截图，查询截止时点为：从公告发布之日起至投标截止之日止；</w:t>
      </w:r>
    </w:p>
    <w:p>
      <w:pPr>
        <w:pStyle w:val="25"/>
        <w:keepNext w:val="0"/>
        <w:keepLines w:val="0"/>
        <w:pageBreakBefore w:val="0"/>
        <w:widowControl w:val="0"/>
        <w:kinsoku/>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单位负责人为同一人或者存在直接控股、管理关系的不同单位，不得同时参加同一合同项下的政府采购活动。</w:t>
      </w:r>
    </w:p>
    <w:p>
      <w:pPr>
        <w:pStyle w:val="51"/>
        <w:keepNext w:val="0"/>
        <w:keepLines w:val="0"/>
        <w:pageBreakBefore w:val="0"/>
        <w:numPr>
          <w:ilvl w:val="0"/>
          <w:numId w:val="0"/>
        </w:numPr>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sz w:val="21"/>
          <w:szCs w:val="21"/>
          <w:highlight w:val="none"/>
          <w:lang w:eastAsia="zh-CN"/>
        </w:rPr>
      </w:pPr>
      <w:bookmarkStart w:id="23" w:name="_Toc28095"/>
      <w:r>
        <w:rPr>
          <w:rFonts w:hint="eastAsia" w:ascii="宋体" w:hAnsi="宋体" w:eastAsia="宋体" w:cs="宋体"/>
          <w:b/>
          <w:bCs/>
          <w:color w:val="auto"/>
          <w:kern w:val="0"/>
          <w:sz w:val="21"/>
          <w:szCs w:val="21"/>
          <w:highlight w:val="none"/>
          <w:lang w:eastAsia="zh-CN"/>
        </w:rPr>
        <w:t>三、获取采购文件</w:t>
      </w:r>
      <w:bookmarkEnd w:id="23"/>
      <w:r>
        <w:rPr>
          <w:rFonts w:hint="eastAsia" w:ascii="宋体" w:hAnsi="宋体" w:eastAsia="宋体" w:cs="宋体"/>
          <w:b/>
          <w:bCs/>
          <w:color w:val="auto"/>
          <w:kern w:val="0"/>
          <w:sz w:val="21"/>
          <w:szCs w:val="21"/>
          <w:highlight w:val="none"/>
          <w:lang w:eastAsia="zh-CN"/>
        </w:rPr>
        <w:t>：</w:t>
      </w:r>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w:t>
      </w:r>
      <w:r>
        <w:rPr>
          <w:rFonts w:hint="eastAsia" w:ascii="宋体" w:hAnsi="宋体" w:eastAsia="宋体" w:cs="宋体"/>
          <w:b w:val="0"/>
          <w:bCs/>
          <w:color w:val="auto"/>
          <w:sz w:val="21"/>
          <w:szCs w:val="21"/>
          <w:highlight w:val="none"/>
          <w:lang w:val="en-US" w:eastAsia="zh-CN"/>
        </w:rPr>
        <w:t>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lang w:val="en-US" w:eastAsia="zh-CN"/>
        </w:rPr>
        <w:t>日00时</w:t>
      </w:r>
      <w:r>
        <w:rPr>
          <w:rFonts w:hint="eastAsia" w:cs="宋体"/>
          <w:b w:val="0"/>
          <w:bCs/>
          <w:color w:val="auto"/>
          <w:sz w:val="21"/>
          <w:szCs w:val="21"/>
          <w:highlight w:val="none"/>
          <w:lang w:val="en-US" w:eastAsia="zh-CN"/>
        </w:rPr>
        <w:t>0</w:t>
      </w:r>
      <w:r>
        <w:rPr>
          <w:rFonts w:hint="eastAsia" w:ascii="宋体" w:hAnsi="宋体" w:eastAsia="宋体" w:cs="宋体"/>
          <w:b w:val="0"/>
          <w:bCs/>
          <w:color w:val="auto"/>
          <w:sz w:val="21"/>
          <w:szCs w:val="21"/>
          <w:highlight w:val="none"/>
          <w:lang w:val="en-US" w:eastAsia="zh-CN"/>
        </w:rPr>
        <w:t>0分至202</w:t>
      </w:r>
      <w:r>
        <w:rPr>
          <w:rFonts w:hint="eastAsia"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年</w:t>
      </w:r>
      <w:r>
        <w:rPr>
          <w:rFonts w:hint="eastAsia"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月</w:t>
      </w:r>
      <w:r>
        <w:rPr>
          <w:rFonts w:hint="eastAsia" w:cs="宋体"/>
          <w:b w:val="0"/>
          <w:bCs/>
          <w:color w:val="auto"/>
          <w:sz w:val="21"/>
          <w:szCs w:val="21"/>
          <w:highlight w:val="none"/>
          <w:lang w:val="en-US" w:eastAsia="zh-CN"/>
        </w:rPr>
        <w:t>16</w:t>
      </w:r>
      <w:r>
        <w:rPr>
          <w:rFonts w:hint="eastAsia" w:ascii="宋体" w:hAnsi="宋体" w:eastAsia="宋体" w:cs="宋体"/>
          <w:b w:val="0"/>
          <w:bCs/>
          <w:color w:val="auto"/>
          <w:sz w:val="21"/>
          <w:szCs w:val="21"/>
          <w:highlight w:val="none"/>
          <w:lang w:val="en-US" w:eastAsia="zh-CN"/>
        </w:rPr>
        <w:t>日23时59分</w:t>
      </w:r>
      <w:r>
        <w:rPr>
          <w:rFonts w:hint="eastAsia" w:ascii="宋体" w:hAnsi="宋体" w:eastAsia="宋体" w:cs="宋体"/>
          <w:color w:val="auto"/>
          <w:sz w:val="21"/>
          <w:szCs w:val="21"/>
          <w:highlight w:val="none"/>
          <w:lang w:val="en-US" w:eastAsia="zh-CN"/>
        </w:rPr>
        <w:t>（北京时间）；</w:t>
      </w:r>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地点：登录“全国公共资源交易平台（河南省·信阳市）（https://ggzyjy.xinyang.gov.cn/）”网站，凭办理的企业身份认证锁（CA数字证书）登录会员系统进行网上投标；</w:t>
      </w:r>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投标企业登录“全国公共资源交易平台（河南省·信阳市）（https://ggzyjy.xinyang.gov.cn）”网站进行交易主体注册。自行选择CA数字证书服务商，线上、线下办理CA数字证书。供应商凭CA数字证书登录会员系统后下载招标文件(*.XYZF格式)，下载后需使用“信阳市投标文件制作工具软件”打开。</w:t>
      </w:r>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4、售价：0元。</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kern w:val="0"/>
          <w:sz w:val="21"/>
          <w:szCs w:val="21"/>
          <w:highlight w:val="none"/>
        </w:rPr>
      </w:pPr>
      <w:bookmarkStart w:id="24" w:name="_Toc4460"/>
      <w:r>
        <w:rPr>
          <w:rFonts w:hint="eastAsia" w:ascii="宋体" w:hAnsi="宋体" w:eastAsia="宋体" w:cs="宋体"/>
          <w:b/>
          <w:bCs/>
          <w:color w:val="auto"/>
          <w:kern w:val="0"/>
          <w:sz w:val="21"/>
          <w:szCs w:val="21"/>
          <w:highlight w:val="none"/>
          <w:lang w:eastAsia="zh-CN"/>
        </w:rPr>
        <w:t>四、</w:t>
      </w:r>
      <w:r>
        <w:rPr>
          <w:rFonts w:hint="eastAsia" w:ascii="宋体" w:hAnsi="宋体" w:eastAsia="宋体" w:cs="宋体"/>
          <w:b/>
          <w:bCs/>
          <w:color w:val="auto"/>
          <w:kern w:val="0"/>
          <w:sz w:val="21"/>
          <w:szCs w:val="21"/>
          <w:highlight w:val="none"/>
          <w:lang w:val="en-US" w:eastAsia="zh-CN"/>
        </w:rPr>
        <w:t>投标</w:t>
      </w:r>
      <w:r>
        <w:rPr>
          <w:rFonts w:hint="eastAsia" w:ascii="宋体" w:hAnsi="宋体" w:eastAsia="宋体" w:cs="宋体"/>
          <w:b/>
          <w:bCs/>
          <w:color w:val="auto"/>
          <w:kern w:val="0"/>
          <w:sz w:val="21"/>
          <w:szCs w:val="21"/>
          <w:highlight w:val="none"/>
          <w:lang w:eastAsia="zh-CN"/>
        </w:rPr>
        <w:t>文件提交</w:t>
      </w:r>
      <w:r>
        <w:rPr>
          <w:rFonts w:hint="eastAsia" w:ascii="宋体" w:hAnsi="宋体" w:eastAsia="宋体" w:cs="宋体"/>
          <w:b/>
          <w:bCs/>
          <w:color w:val="auto"/>
          <w:kern w:val="0"/>
          <w:sz w:val="21"/>
          <w:szCs w:val="21"/>
          <w:highlight w:val="none"/>
        </w:rPr>
        <w:t>：</w:t>
      </w:r>
      <w:bookmarkEnd w:id="24"/>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eastAsia="宋体" w:cs="宋体"/>
          <w:b w:val="0"/>
          <w:bCs/>
          <w:color w:val="auto"/>
          <w:sz w:val="21"/>
          <w:szCs w:val="21"/>
          <w:highlight w:val="none"/>
          <w:lang w:eastAsia="zh-CN"/>
        </w:rPr>
        <w:t>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年</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月</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eastAsia="zh-CN"/>
        </w:rPr>
        <w:t>日</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必须在投标截止时间前通过信阳市公共资源交易中心电子招投标系统上传加密的电子</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(*.XYTF格式</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注：</w:t>
      </w:r>
      <w:r>
        <w:rPr>
          <w:rFonts w:hint="eastAsia" w:ascii="宋体" w:hAnsi="宋体" w:eastAsia="宋体" w:cs="宋体"/>
          <w:color w:val="auto"/>
          <w:kern w:val="0"/>
          <w:sz w:val="21"/>
          <w:szCs w:val="21"/>
          <w:highlight w:val="none"/>
        </w:rPr>
        <w:t>加密电子</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逾期上传采购人不予受理</w:t>
      </w:r>
      <w:r>
        <w:rPr>
          <w:rFonts w:hint="eastAsia" w:ascii="宋体" w:hAnsi="宋体" w:eastAsia="宋体" w:cs="宋体"/>
          <w:color w:val="auto"/>
          <w:kern w:val="0"/>
          <w:sz w:val="21"/>
          <w:szCs w:val="21"/>
          <w:highlight w:val="none"/>
          <w:lang w:eastAsia="zh-CN"/>
        </w:rPr>
        <w:t>。</w:t>
      </w:r>
    </w:p>
    <w:p>
      <w:pPr>
        <w:keepNext w:val="0"/>
        <w:keepLines w:val="0"/>
        <w:pageBreakBefore w:val="0"/>
        <w:numPr>
          <w:ilvl w:val="0"/>
          <w:numId w:val="0"/>
        </w:numPr>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kern w:val="0"/>
          <w:sz w:val="21"/>
          <w:szCs w:val="21"/>
          <w:highlight w:val="none"/>
          <w:lang w:eastAsia="zh-CN"/>
        </w:rPr>
      </w:pPr>
      <w:bookmarkStart w:id="25" w:name="_Toc32696"/>
      <w:r>
        <w:rPr>
          <w:rFonts w:hint="eastAsia" w:ascii="宋体" w:hAnsi="宋体" w:eastAsia="宋体" w:cs="宋体"/>
          <w:b/>
          <w:bCs/>
          <w:color w:val="auto"/>
          <w:kern w:val="0"/>
          <w:sz w:val="21"/>
          <w:szCs w:val="21"/>
          <w:highlight w:val="none"/>
          <w:lang w:eastAsia="zh-CN"/>
        </w:rPr>
        <w:t>五、投标文件</w:t>
      </w:r>
      <w:r>
        <w:rPr>
          <w:rFonts w:hint="eastAsia" w:ascii="宋体" w:hAnsi="宋体" w:eastAsia="宋体" w:cs="宋体"/>
          <w:b/>
          <w:bCs/>
          <w:color w:val="auto"/>
          <w:kern w:val="0"/>
          <w:sz w:val="21"/>
          <w:szCs w:val="21"/>
          <w:highlight w:val="none"/>
        </w:rPr>
        <w:t>的开启</w:t>
      </w:r>
      <w:r>
        <w:rPr>
          <w:rFonts w:hint="eastAsia" w:ascii="宋体" w:hAnsi="宋体" w:eastAsia="宋体" w:cs="宋体"/>
          <w:b/>
          <w:bCs/>
          <w:color w:val="auto"/>
          <w:kern w:val="0"/>
          <w:sz w:val="21"/>
          <w:szCs w:val="21"/>
          <w:highlight w:val="none"/>
          <w:lang w:eastAsia="zh-CN"/>
        </w:rPr>
        <w:t>：</w:t>
      </w:r>
      <w:bookmarkEnd w:id="25"/>
    </w:p>
    <w:p>
      <w:pPr>
        <w:pStyle w:val="25"/>
        <w:keepNext w:val="0"/>
        <w:keepLines w:val="0"/>
        <w:pageBreakBefore w:val="0"/>
        <w:widowControl w:val="0"/>
        <w:tabs>
          <w:tab w:val="left" w:pos="2400"/>
          <w:tab w:val="left" w:pos="3460"/>
          <w:tab w:val="left" w:pos="7689"/>
          <w:tab w:val="left" w:pos="7737"/>
        </w:tabs>
        <w:kinsoku/>
        <w:wordWrap w:val="0"/>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时间：</w:t>
      </w:r>
      <w:r>
        <w:rPr>
          <w:rFonts w:hint="eastAsia" w:ascii="宋体" w:hAnsi="宋体" w:eastAsia="宋体" w:cs="宋体"/>
          <w:b w:val="0"/>
          <w:bCs/>
          <w:color w:val="auto"/>
          <w:sz w:val="21"/>
          <w:szCs w:val="21"/>
          <w:highlight w:val="none"/>
          <w:lang w:eastAsia="zh-CN"/>
        </w:rPr>
        <w:t>202</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eastAsia="zh-CN"/>
        </w:rPr>
        <w:t>年</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eastAsia="zh-CN"/>
        </w:rPr>
        <w:t>月</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eastAsia="zh-CN"/>
        </w:rPr>
        <w:t>日</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时</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lang w:eastAsia="zh-CN"/>
        </w:rPr>
        <w:t>分</w:t>
      </w:r>
      <w:r>
        <w:rPr>
          <w:rFonts w:hint="eastAsia" w:ascii="宋体" w:hAnsi="宋体" w:eastAsia="宋体" w:cs="宋体"/>
          <w:color w:val="auto"/>
          <w:sz w:val="21"/>
          <w:szCs w:val="21"/>
          <w:highlight w:val="none"/>
        </w:rPr>
        <w:t>（北京时间）；</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2、地点：信阳市公共资源交易中心</w:t>
      </w:r>
      <w:r>
        <w:rPr>
          <w:rFonts w:hint="eastAsia" w:ascii="宋体" w:hAnsi="宋体" w:eastAsia="宋体" w:cs="宋体"/>
          <w:b w:val="0"/>
          <w:bCs/>
          <w:color w:val="auto"/>
          <w:kern w:val="0"/>
          <w:sz w:val="21"/>
          <w:szCs w:val="21"/>
          <w:highlight w:val="none"/>
          <w:lang w:val="en-US" w:eastAsia="zh-CN" w:bidi="ar-SA"/>
        </w:rPr>
        <w:t>第</w:t>
      </w:r>
      <w:r>
        <w:rPr>
          <w:rFonts w:hint="eastAsia" w:ascii="宋体" w:hAnsi="宋体" w:cs="宋体"/>
          <w:b w:val="0"/>
          <w:bCs/>
          <w:color w:val="auto"/>
          <w:kern w:val="0"/>
          <w:sz w:val="21"/>
          <w:szCs w:val="21"/>
          <w:highlight w:val="none"/>
          <w:u w:val="single"/>
          <w:lang w:val="en-US" w:eastAsia="zh-CN" w:bidi="ar-SA"/>
        </w:rPr>
        <w:t xml:space="preserve"> 四 </w:t>
      </w:r>
      <w:r>
        <w:rPr>
          <w:rFonts w:hint="eastAsia" w:ascii="宋体" w:hAnsi="宋体" w:eastAsia="宋体" w:cs="宋体"/>
          <w:b w:val="0"/>
          <w:bCs/>
          <w:color w:val="auto"/>
          <w:kern w:val="0"/>
          <w:sz w:val="21"/>
          <w:szCs w:val="21"/>
          <w:highlight w:val="none"/>
          <w:lang w:val="en-US" w:eastAsia="zh-CN" w:bidi="ar-SA"/>
        </w:rPr>
        <w:t>开标厅</w:t>
      </w:r>
      <w:r>
        <w:rPr>
          <w:rFonts w:hint="eastAsia" w:ascii="宋体" w:hAnsi="宋体" w:cs="宋体"/>
          <w:b w:val="0"/>
          <w:bCs/>
          <w:color w:val="auto"/>
          <w:kern w:val="0"/>
          <w:sz w:val="21"/>
          <w:szCs w:val="21"/>
          <w:highlight w:val="none"/>
          <w:lang w:val="en-US" w:eastAsia="zh-CN" w:bidi="ar-SA"/>
        </w:rPr>
        <w:t>。</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kern w:val="0"/>
          <w:sz w:val="21"/>
          <w:szCs w:val="21"/>
          <w:highlight w:val="none"/>
        </w:rPr>
      </w:pPr>
      <w:bookmarkStart w:id="26" w:name="_Toc16205"/>
      <w:r>
        <w:rPr>
          <w:rFonts w:hint="eastAsia" w:ascii="宋体" w:hAnsi="宋体" w:eastAsia="宋体" w:cs="宋体"/>
          <w:b/>
          <w:bCs/>
          <w:color w:val="auto"/>
          <w:kern w:val="0"/>
          <w:sz w:val="21"/>
          <w:szCs w:val="21"/>
          <w:highlight w:val="none"/>
          <w:lang w:eastAsia="zh-CN"/>
        </w:rPr>
        <w:t>六</w:t>
      </w:r>
      <w:r>
        <w:rPr>
          <w:rFonts w:hint="eastAsia" w:ascii="宋体" w:hAnsi="宋体" w:eastAsia="宋体" w:cs="宋体"/>
          <w:b/>
          <w:bCs/>
          <w:color w:val="auto"/>
          <w:kern w:val="0"/>
          <w:sz w:val="21"/>
          <w:szCs w:val="21"/>
          <w:highlight w:val="none"/>
        </w:rPr>
        <w:t>、发布公告的媒介及</w:t>
      </w:r>
      <w:r>
        <w:rPr>
          <w:rFonts w:hint="eastAsia" w:ascii="宋体" w:hAnsi="宋体" w:eastAsia="宋体" w:cs="宋体"/>
          <w:b/>
          <w:bCs/>
          <w:color w:val="auto"/>
          <w:kern w:val="0"/>
          <w:sz w:val="21"/>
          <w:szCs w:val="21"/>
          <w:highlight w:val="none"/>
          <w:lang w:eastAsia="zh-CN"/>
        </w:rPr>
        <w:t>招标</w:t>
      </w:r>
      <w:r>
        <w:rPr>
          <w:rFonts w:hint="eastAsia" w:ascii="宋体" w:hAnsi="宋体" w:eastAsia="宋体" w:cs="宋体"/>
          <w:b/>
          <w:bCs/>
          <w:color w:val="auto"/>
          <w:kern w:val="0"/>
          <w:sz w:val="21"/>
          <w:szCs w:val="21"/>
          <w:highlight w:val="none"/>
        </w:rPr>
        <w:t>公告期限：</w:t>
      </w:r>
      <w:bookmarkEnd w:id="26"/>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本次</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公告在</w:t>
      </w:r>
      <w:bookmarkStart w:id="27" w:name="OLE_LINK10"/>
      <w:r>
        <w:rPr>
          <w:rFonts w:hint="eastAsia" w:ascii="宋体" w:hAnsi="宋体" w:eastAsia="宋体" w:cs="宋体"/>
          <w:color w:val="auto"/>
          <w:kern w:val="0"/>
          <w:sz w:val="21"/>
          <w:szCs w:val="21"/>
          <w:highlight w:val="none"/>
        </w:rPr>
        <w:t>《河南省政府采购网》《中国招标投标公共服务平台》</w:t>
      </w:r>
      <w:r>
        <w:rPr>
          <w:rFonts w:hint="eastAsia" w:ascii="宋体" w:hAnsi="宋体" w:eastAsia="宋体" w:cs="宋体"/>
          <w:color w:val="auto"/>
          <w:kern w:val="0"/>
          <w:sz w:val="21"/>
          <w:szCs w:val="21"/>
          <w:highlight w:val="none"/>
          <w:lang w:val="en-US" w:eastAsia="zh-CN"/>
        </w:rPr>
        <w:t>和</w:t>
      </w:r>
      <w:r>
        <w:rPr>
          <w:rFonts w:hint="eastAsia" w:ascii="宋体" w:hAnsi="宋体" w:eastAsia="宋体" w:cs="宋体"/>
          <w:color w:val="auto"/>
          <w:kern w:val="0"/>
          <w:sz w:val="21"/>
          <w:szCs w:val="21"/>
          <w:highlight w:val="none"/>
        </w:rPr>
        <w:t>《全国公共资源交易平台（河南省·信阳市）》</w:t>
      </w:r>
      <w:bookmarkEnd w:id="27"/>
      <w:r>
        <w:rPr>
          <w:rFonts w:hint="eastAsia" w:ascii="宋体" w:hAnsi="宋体" w:eastAsia="宋体" w:cs="宋体"/>
          <w:color w:val="auto"/>
          <w:kern w:val="0"/>
          <w:sz w:val="21"/>
          <w:szCs w:val="21"/>
          <w:highlight w:val="none"/>
        </w:rPr>
        <w:t>上发布</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招标公告期限为五个工作日</w:t>
      </w:r>
      <w:r>
        <w:rPr>
          <w:rFonts w:hint="eastAsia" w:ascii="宋体" w:hAnsi="宋体" w:eastAsia="宋体" w:cs="宋体"/>
          <w:color w:val="auto"/>
          <w:kern w:val="0"/>
          <w:sz w:val="21"/>
          <w:szCs w:val="21"/>
          <w:highlight w:val="none"/>
        </w:rPr>
        <w:t>。</w:t>
      </w:r>
    </w:p>
    <w:p>
      <w:pPr>
        <w:pStyle w:val="9"/>
        <w:keepNext w:val="0"/>
        <w:keepLines w:val="0"/>
        <w:pageBreakBefore w:val="0"/>
        <w:numPr>
          <w:ilvl w:val="0"/>
          <w:numId w:val="0"/>
        </w:numPr>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sz w:val="21"/>
          <w:szCs w:val="21"/>
          <w:highlight w:val="none"/>
          <w:lang w:val="en-US" w:eastAsia="zh-CN"/>
        </w:rPr>
      </w:pPr>
      <w:bookmarkStart w:id="28" w:name="_Toc24023"/>
      <w:r>
        <w:rPr>
          <w:rFonts w:hint="eastAsia" w:ascii="宋体" w:hAnsi="宋体" w:eastAsia="宋体" w:cs="宋体"/>
          <w:b/>
          <w:bCs/>
          <w:color w:val="auto"/>
          <w:sz w:val="21"/>
          <w:szCs w:val="21"/>
          <w:highlight w:val="none"/>
          <w:lang w:val="en-US" w:eastAsia="zh-CN"/>
        </w:rPr>
        <w:t>七、其他补充事宜：</w:t>
      </w:r>
      <w:bookmarkEnd w:id="28"/>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1、本项目采用“不见面开标”交易方式，不见面开标大厅网址为</w:t>
      </w:r>
      <w:r>
        <w:rPr>
          <w:rFonts w:hint="eastAsia" w:ascii="宋体" w:hAnsi="宋体" w:eastAsia="宋体" w:cs="宋体"/>
          <w:color w:val="auto"/>
          <w:kern w:val="0"/>
          <w:sz w:val="21"/>
          <w:szCs w:val="21"/>
          <w:highlight w:val="none"/>
          <w:u w:val="none"/>
          <w:lang w:val="en-US" w:eastAsia="zh-CN" w:bidi="ar-SA"/>
        </w:rPr>
        <w:t>https://ggzyjy.xinyang.gov.cn/BidOpening/bidhall/xinyang/login.html，投标人无需寄送和递交非加密的电子投标文件，无需到现场参加开标会议，无需到达现场提交原件资料。</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2、投标人应当在投标截止时间前，使用投标人CA数字证书登录不见面开标大厅，在线签到并准时参加开标活动，并在规定时间内完成投标文件解密、答疑澄清等。</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3、逾期解密或者没有准时在线参加开标活动导致的一切后果投标人自行承担。</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4、不见面开标服务的具体事宜，请查阅信阳市公共资源交易中心网站首页—下载中心—信阳市不见面开标大厅系统操作手册。</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5.监督部门：</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监督单位：信阳市羊山新区财政金融局</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联系电话：0376-6651556</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6、本项目采购代理服务费：80000.00元</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特别提示：投标人应当在投标截止时间前，使用投标人CA数字证书登录不见面开标大厅，在线签到并准时参加开标活动，并在规定时间内完成投标文件解密等。如有答疑澄清系统会自动提醒，请投标人在开标当天时刻关注并刷新业务系统，在规定时间内完成答疑澄清，逾期后果自负。投标人在线签到时，应如实准确</w:t>
      </w:r>
      <w:r>
        <w:rPr>
          <w:rFonts w:hint="eastAsia" w:ascii="宋体" w:hAnsi="宋体" w:cs="宋体"/>
          <w:b/>
          <w:bCs/>
          <w:color w:val="auto"/>
          <w:kern w:val="0"/>
          <w:sz w:val="21"/>
          <w:szCs w:val="21"/>
          <w:highlight w:val="none"/>
          <w:lang w:val="en-US" w:eastAsia="zh-CN" w:bidi="ar-SA"/>
        </w:rPr>
        <w:t>地</w:t>
      </w:r>
      <w:r>
        <w:rPr>
          <w:rFonts w:hint="eastAsia" w:ascii="宋体" w:hAnsi="宋体" w:eastAsia="宋体" w:cs="宋体"/>
          <w:b/>
          <w:bCs/>
          <w:color w:val="auto"/>
          <w:kern w:val="0"/>
          <w:sz w:val="21"/>
          <w:szCs w:val="21"/>
          <w:highlight w:val="none"/>
          <w:lang w:val="en-US" w:eastAsia="zh-CN" w:bidi="ar-SA"/>
        </w:rPr>
        <w:t>填写授权委托人的联系电话，开标当天请务必保证电话保持畅通。</w:t>
      </w:r>
    </w:p>
    <w:p>
      <w:pPr>
        <w:keepNext w:val="0"/>
        <w:keepLines w:val="0"/>
        <w:pageBreakBefore w:val="0"/>
        <w:kinsoku/>
        <w:overflowPunct/>
        <w:topLinePunct w:val="0"/>
        <w:autoSpaceDE/>
        <w:autoSpaceDN/>
        <w:bidi w:val="0"/>
        <w:adjustRightInd/>
        <w:snapToGrid/>
        <w:spacing w:before="0" w:beforeAutospacing="0" w:afterAutospacing="0" w:line="312" w:lineRule="auto"/>
        <w:ind w:right="0" w:firstLine="422" w:firstLineChars="200"/>
        <w:textAlignment w:val="auto"/>
        <w:outlineLvl w:val="1"/>
        <w:rPr>
          <w:rFonts w:hint="eastAsia" w:ascii="宋体" w:hAnsi="宋体" w:eastAsia="宋体" w:cs="宋体"/>
          <w:b/>
          <w:bCs/>
          <w:color w:val="auto"/>
          <w:kern w:val="0"/>
          <w:sz w:val="21"/>
          <w:szCs w:val="21"/>
          <w:highlight w:val="none"/>
        </w:rPr>
      </w:pPr>
      <w:bookmarkStart w:id="29" w:name="_Toc13385"/>
      <w:r>
        <w:rPr>
          <w:rFonts w:hint="eastAsia" w:ascii="宋体" w:hAnsi="宋体" w:eastAsia="宋体" w:cs="宋体"/>
          <w:b/>
          <w:bCs/>
          <w:color w:val="auto"/>
          <w:kern w:val="0"/>
          <w:sz w:val="21"/>
          <w:szCs w:val="21"/>
          <w:highlight w:val="none"/>
          <w:lang w:eastAsia="zh-CN"/>
        </w:rPr>
        <w:t>八</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凡对本次招标提出询问，请按照以下方式联系</w:t>
      </w:r>
      <w:r>
        <w:rPr>
          <w:rFonts w:hint="eastAsia" w:ascii="宋体" w:hAnsi="宋体" w:eastAsia="宋体" w:cs="宋体"/>
          <w:b/>
          <w:bCs/>
          <w:color w:val="auto"/>
          <w:kern w:val="0"/>
          <w:sz w:val="21"/>
          <w:szCs w:val="21"/>
          <w:highlight w:val="none"/>
        </w:rPr>
        <w:t>：</w:t>
      </w:r>
      <w:bookmarkEnd w:id="29"/>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1.采购人</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采购人：</w:t>
      </w:r>
      <w:bookmarkStart w:id="30" w:name="OLE_LINK5"/>
      <w:r>
        <w:rPr>
          <w:rFonts w:hint="eastAsia" w:ascii="宋体" w:hAnsi="宋体" w:eastAsia="宋体" w:cs="宋体"/>
          <w:bCs/>
          <w:color w:val="auto"/>
          <w:szCs w:val="21"/>
          <w:highlight w:val="none"/>
          <w:lang w:val="en-US" w:eastAsia="zh-CN"/>
        </w:rPr>
        <w:t>信阳市羊山新区民政局</w:t>
      </w:r>
      <w:bookmarkEnd w:id="30"/>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地  址：河南省信阳市羊山新区二十四大街招商大厦10楼1005室</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联系人：徐涛</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联系电话：</w:t>
      </w:r>
      <w:bookmarkStart w:id="31" w:name="OLE_LINK8"/>
      <w:r>
        <w:rPr>
          <w:rFonts w:hint="eastAsia" w:ascii="宋体" w:hAnsi="宋体" w:eastAsia="宋体" w:cs="宋体"/>
          <w:bCs/>
          <w:color w:val="auto"/>
          <w:szCs w:val="21"/>
          <w:highlight w:val="none"/>
          <w:lang w:val="en-US" w:eastAsia="zh-CN"/>
        </w:rPr>
        <w:t>15737642929</w:t>
      </w:r>
      <w:bookmarkEnd w:id="31"/>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2.采购代理机构</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采购代理机构：河南明祥工程咨询有限公司</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地址：</w:t>
      </w:r>
      <w:r>
        <w:rPr>
          <w:rFonts w:hint="eastAsia" w:ascii="宋体" w:hAnsi="宋体" w:cs="宋体"/>
          <w:bCs/>
          <w:color w:val="auto"/>
          <w:szCs w:val="21"/>
          <w:highlight w:val="none"/>
          <w:lang w:val="en-US" w:eastAsia="zh-CN"/>
        </w:rPr>
        <w:t>河南省信阳市新七大道中乐百花大厦26楼</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联系人：楚潇杰</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联系电话：18737693532</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3.项目联系人</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联系人：楚潇杰</w:t>
      </w:r>
    </w:p>
    <w:p>
      <w:pPr>
        <w:pStyle w:val="56"/>
        <w:keepNext w:val="0"/>
        <w:keepLines w:val="0"/>
        <w:pageBreakBefore w:val="0"/>
        <w:kinsoku/>
        <w:overflowPunct/>
        <w:topLinePunct w:val="0"/>
        <w:autoSpaceDE/>
        <w:autoSpaceDN/>
        <w:bidi w:val="0"/>
        <w:adjustRightInd/>
        <w:snapToGrid/>
        <w:spacing w:before="0" w:beforeAutospacing="0" w:afterAutospacing="0" w:line="312" w:lineRule="auto"/>
        <w:ind w:right="0" w:firstLine="482"/>
        <w:textAlignment w:val="auto"/>
        <w:rPr>
          <w:rFonts w:hint="eastAsia" w:ascii="宋体" w:hAnsi="宋体" w:eastAsia="宋体" w:cs="宋体"/>
          <w:bCs/>
          <w:color w:val="auto"/>
          <w:kern w:val="0"/>
          <w:sz w:val="21"/>
          <w:szCs w:val="21"/>
          <w:highlight w:val="none"/>
          <w:shd w:val="clear" w:color="auto" w:fill="FFFFFF"/>
        </w:rPr>
      </w:pPr>
      <w:r>
        <w:rPr>
          <w:rFonts w:hint="eastAsia" w:ascii="宋体" w:hAnsi="宋体" w:eastAsia="宋体" w:cs="宋体"/>
          <w:bCs/>
          <w:color w:val="auto"/>
          <w:szCs w:val="21"/>
          <w:highlight w:val="none"/>
          <w:lang w:val="en-US" w:eastAsia="zh-CN"/>
        </w:rPr>
        <w:t>联系电话：18737693532</w:t>
      </w:r>
    </w:p>
    <w:p>
      <w:pPr>
        <w:pStyle w:val="56"/>
        <w:adjustRightInd/>
        <w:spacing w:before="0" w:beforeAutospacing="0" w:afterAutospacing="0" w:line="440" w:lineRule="atLeast"/>
        <w:ind w:right="0" w:firstLine="482"/>
        <w:textAlignment w:val="auto"/>
        <w:rPr>
          <w:rFonts w:hint="eastAsia" w:ascii="宋体" w:hAnsi="宋体" w:eastAsia="宋体" w:cs="宋体"/>
          <w:bCs/>
          <w:color w:val="auto"/>
          <w:kern w:val="0"/>
          <w:sz w:val="21"/>
          <w:szCs w:val="21"/>
          <w:highlight w:val="none"/>
          <w:shd w:val="clear" w:color="auto" w:fill="FFFFFF"/>
        </w:rPr>
      </w:pPr>
    </w:p>
    <w:p>
      <w:pPr>
        <w:pStyle w:val="56"/>
        <w:adjustRightInd/>
        <w:spacing w:before="0" w:beforeAutospacing="0" w:afterAutospacing="0" w:line="440" w:lineRule="atLeast"/>
        <w:ind w:right="0" w:firstLine="482"/>
        <w:jc w:val="center"/>
        <w:textAlignment w:val="auto"/>
        <w:outlineLvl w:val="0"/>
        <w:rPr>
          <w:rFonts w:hint="eastAsia" w:ascii="宋体" w:hAnsi="宋体" w:eastAsia="宋体" w:cs="宋体"/>
          <w:b/>
          <w:color w:val="auto"/>
          <w:sz w:val="32"/>
          <w:szCs w:val="32"/>
          <w:highlight w:val="none"/>
          <w:lang w:eastAsia="zh-CN"/>
        </w:rPr>
      </w:pPr>
      <w:r>
        <w:rPr>
          <w:rFonts w:hint="eastAsia" w:ascii="宋体" w:hAnsi="宋体" w:eastAsia="宋体" w:cs="宋体"/>
          <w:bCs/>
          <w:color w:val="auto"/>
          <w:kern w:val="0"/>
          <w:sz w:val="21"/>
          <w:szCs w:val="21"/>
          <w:highlight w:val="none"/>
          <w:shd w:val="clear" w:color="auto" w:fill="FFFFFF"/>
        </w:rPr>
        <w:br w:type="page"/>
      </w:r>
      <w:bookmarkStart w:id="32" w:name="_Toc31979"/>
      <w:bookmarkStart w:id="33" w:name="_Toc4270"/>
      <w:r>
        <w:rPr>
          <w:rFonts w:hint="eastAsia" w:ascii="宋体" w:hAnsi="宋体" w:eastAsia="宋体" w:cs="宋体"/>
          <w:b/>
          <w:color w:val="auto"/>
          <w:kern w:val="0"/>
          <w:sz w:val="32"/>
          <w:szCs w:val="32"/>
          <w:highlight w:val="none"/>
          <w:lang w:val="zh-CN"/>
        </w:rPr>
        <w:t>第二章</w:t>
      </w:r>
      <w:r>
        <w:rPr>
          <w:rFonts w:hint="eastAsia" w:ascii="宋体" w:hAnsi="宋体" w:cs="宋体"/>
          <w:b/>
          <w:color w:val="auto"/>
          <w:kern w:val="0"/>
          <w:sz w:val="32"/>
          <w:szCs w:val="32"/>
          <w:highlight w:val="none"/>
          <w:lang w:val="en-US" w:eastAsia="zh-CN"/>
        </w:rPr>
        <w:t xml:space="preserve"> </w:t>
      </w:r>
      <w:r>
        <w:rPr>
          <w:rFonts w:hint="eastAsia" w:ascii="宋体" w:hAnsi="宋体" w:eastAsia="宋体" w:cs="宋体"/>
          <w:b/>
          <w:color w:val="auto"/>
          <w:sz w:val="32"/>
          <w:szCs w:val="32"/>
          <w:highlight w:val="none"/>
          <w:lang w:eastAsia="zh-CN"/>
        </w:rPr>
        <w:t>投标人须知</w:t>
      </w:r>
      <w:bookmarkEnd w:id="32"/>
      <w:bookmarkEnd w:id="33"/>
    </w:p>
    <w:p>
      <w:pPr>
        <w:pStyle w:val="56"/>
        <w:adjustRightInd/>
        <w:spacing w:before="0" w:beforeAutospacing="0" w:afterAutospacing="0" w:line="440" w:lineRule="atLeast"/>
        <w:ind w:right="0" w:firstLine="482"/>
        <w:jc w:val="center"/>
        <w:textAlignment w:val="auto"/>
        <w:outlineLvl w:val="1"/>
        <w:rPr>
          <w:rFonts w:hint="eastAsia" w:ascii="宋体" w:hAnsi="宋体" w:eastAsia="宋体" w:cs="宋体"/>
          <w:b/>
          <w:color w:val="auto"/>
          <w:kern w:val="0"/>
          <w:sz w:val="28"/>
          <w:szCs w:val="28"/>
          <w:highlight w:val="none"/>
        </w:rPr>
      </w:pPr>
      <w:bookmarkStart w:id="34" w:name="_Toc22671"/>
      <w:r>
        <w:rPr>
          <w:rFonts w:hint="eastAsia" w:ascii="宋体" w:hAnsi="宋体" w:eastAsia="宋体" w:cs="宋体"/>
          <w:b/>
          <w:color w:val="auto"/>
          <w:kern w:val="0"/>
          <w:sz w:val="28"/>
          <w:szCs w:val="28"/>
          <w:highlight w:val="none"/>
          <w:lang w:eastAsia="zh-CN"/>
        </w:rPr>
        <w:t>投标人须知</w:t>
      </w:r>
      <w:r>
        <w:rPr>
          <w:rFonts w:hint="eastAsia" w:ascii="宋体" w:hAnsi="宋体" w:eastAsia="宋体" w:cs="宋体"/>
          <w:b/>
          <w:color w:val="auto"/>
          <w:kern w:val="0"/>
          <w:sz w:val="28"/>
          <w:szCs w:val="28"/>
          <w:highlight w:val="none"/>
        </w:rPr>
        <w:t>前附表</w:t>
      </w:r>
      <w:bookmarkEnd w:id="34"/>
    </w:p>
    <w:tbl>
      <w:tblPr>
        <w:tblStyle w:val="29"/>
        <w:tblW w:w="100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7"/>
        <w:gridCol w:w="2140"/>
        <w:gridCol w:w="70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条款号</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条 款 名 称</w:t>
            </w:r>
          </w:p>
        </w:tc>
        <w:tc>
          <w:tcPr>
            <w:tcW w:w="7051"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7051" w:type="dxa"/>
            <w:vAlign w:val="center"/>
          </w:tcPr>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采购人：信阳市羊山新区民政局</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地址：河南省信阳市羊山新区二十四大街招商大厦10楼1005室</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联系人：徐涛</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联系电话：15737642929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7051" w:type="dxa"/>
            <w:vAlign w:val="center"/>
          </w:tcPr>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采购代理机构：河南明祥工程咨询有限公司</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地址：河南省信阳市新七大道中乐百花大厦26楼</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联系人：楚潇杰</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联系电话：18737693532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lang w:eastAsia="zh-CN"/>
              </w:rPr>
            </w:pPr>
            <w:bookmarkStart w:id="35" w:name="OLE_LINK2"/>
            <w:r>
              <w:rPr>
                <w:rFonts w:hint="eastAsia" w:ascii="宋体" w:hAnsi="宋体" w:cs="宋体"/>
                <w:color w:val="auto"/>
                <w:highlight w:val="none"/>
                <w:lang w:eastAsia="zh-CN"/>
              </w:rPr>
              <w:t>信阳市羊山新区民政局羊山新区养老服务中心运营服务项目</w:t>
            </w:r>
            <w:bookmarkEnd w:id="3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r>
              <w:rPr>
                <w:rFonts w:hint="eastAsia" w:ascii="宋体" w:hAnsi="宋体" w:cs="宋体"/>
                <w:color w:val="auto"/>
                <w:highlight w:val="none"/>
                <w:lang w:val="en-US" w:eastAsia="zh-CN"/>
              </w:rPr>
              <w:t>5</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1"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r>
              <w:rPr>
                <w:rFonts w:hint="eastAsia" w:ascii="宋体" w:hAnsi="宋体" w:cs="宋体"/>
                <w:color w:val="auto"/>
                <w:highlight w:val="none"/>
                <w:lang w:val="en-US" w:eastAsia="zh-CN"/>
              </w:rPr>
              <w:t>6</w:t>
            </w:r>
          </w:p>
        </w:tc>
        <w:tc>
          <w:tcPr>
            <w:tcW w:w="2140" w:type="dxa"/>
            <w:vAlign w:val="center"/>
          </w:tcPr>
          <w:p>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最</w:t>
            </w:r>
            <w:r>
              <w:rPr>
                <w:rFonts w:hint="eastAsia" w:ascii="宋体" w:hAnsi="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lang w:val="en-US" w:eastAsia="zh-CN"/>
              </w:rPr>
              <w:t>限价</w:t>
            </w:r>
          </w:p>
        </w:tc>
        <w:tc>
          <w:tcPr>
            <w:tcW w:w="7051" w:type="dxa"/>
            <w:vAlign w:val="center"/>
          </w:tcPr>
          <w:p>
            <w:pPr>
              <w:keepNext w:val="0"/>
              <w:keepLines w:val="0"/>
              <w:pageBreakBefore w:val="0"/>
              <w:widowControl w:val="0"/>
              <w:kinsoku/>
              <w:wordWrap/>
              <w:overflowPunct/>
              <w:topLinePunct w:val="0"/>
              <w:bidi w:val="0"/>
              <w:snapToGrid/>
              <w:spacing w:line="312" w:lineRule="auto"/>
              <w:textAlignment w:val="auto"/>
              <w:rPr>
                <w:rFonts w:hint="default" w:ascii="宋体" w:hAnsi="宋体" w:cs="宋体"/>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运营商自筹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出资比例</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exac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采购范围</w:t>
            </w:r>
          </w:p>
        </w:tc>
        <w:tc>
          <w:tcPr>
            <w:tcW w:w="7051"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12" w:lineRule="auto"/>
              <w:contextualSpacing/>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en-US" w:eastAsia="zh-CN"/>
              </w:rPr>
              <w:t>选取一家</w:t>
            </w:r>
            <w:r>
              <w:rPr>
                <w:rFonts w:hint="eastAsia" w:ascii="宋体" w:hAnsi="宋体" w:eastAsia="宋体" w:cs="宋体"/>
                <w:color w:val="auto"/>
                <w:sz w:val="21"/>
                <w:szCs w:val="21"/>
                <w:highlight w:val="none"/>
              </w:rPr>
              <w:t>运营商，</w:t>
            </w:r>
            <w:r>
              <w:rPr>
                <w:rFonts w:hint="eastAsia" w:ascii="宋体" w:hAnsi="宋体" w:eastAsia="宋体" w:cs="宋体"/>
                <w:color w:val="auto"/>
                <w:sz w:val="21"/>
                <w:szCs w:val="21"/>
                <w:highlight w:val="none"/>
                <w:lang w:val="en-US" w:eastAsia="zh-CN"/>
              </w:rPr>
              <w:t>按养老服务设施公建民营模式</w:t>
            </w:r>
            <w:r>
              <w:rPr>
                <w:rFonts w:hint="eastAsia" w:ascii="宋体" w:hAnsi="宋体" w:cs="宋体"/>
                <w:color w:val="auto"/>
                <w:sz w:val="21"/>
                <w:szCs w:val="21"/>
                <w:highlight w:val="none"/>
                <w:lang w:val="en-US" w:eastAsia="zh-CN"/>
              </w:rPr>
              <w:t>开展养老服务，</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vertAlign w:val="baseline"/>
                <w:lang w:val="en-US" w:eastAsia="zh-CN"/>
              </w:rPr>
              <w:t>羊山新区养老服务中心</w:t>
            </w:r>
            <w:r>
              <w:rPr>
                <w:rFonts w:hint="eastAsia" w:ascii="宋体" w:hAnsi="宋体" w:eastAsia="宋体" w:cs="宋体"/>
                <w:color w:val="auto"/>
                <w:sz w:val="21"/>
                <w:szCs w:val="21"/>
                <w:highlight w:val="none"/>
                <w:lang w:val="en-US" w:eastAsia="zh-CN"/>
              </w:rPr>
              <w:t>养老服务设施</w:t>
            </w:r>
            <w:r>
              <w:rPr>
                <w:rFonts w:hint="eastAsia" w:ascii="宋体" w:hAnsi="宋体" w:eastAsia="宋体" w:cs="宋体"/>
                <w:color w:val="auto"/>
                <w:sz w:val="21"/>
                <w:szCs w:val="21"/>
                <w:highlight w:val="none"/>
              </w:rPr>
              <w:t>运营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并独立承担运营管理等风险。</w:t>
            </w:r>
            <w:r>
              <w:rPr>
                <w:rFonts w:hint="eastAsia" w:ascii="宋体" w:hAnsi="宋体" w:cs="宋体"/>
                <w:color w:val="auto"/>
                <w:sz w:val="21"/>
                <w:szCs w:val="21"/>
                <w:highlight w:val="none"/>
                <w:lang w:val="en-US" w:eastAsia="zh-CN"/>
              </w:rPr>
              <w:t>养老服务内容包括为老年人提供生活照料、医养康复护理、精神慰藉、文化娱乐、居家服务等。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服务期限</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运营期限10年，分为培育期3年，成长期3年，发展期4年三个阶段。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质量要求</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符合国家或行业规定的合格标准，满足采购人需求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847" w:type="dxa"/>
            <w:vAlign w:val="center"/>
          </w:tcPr>
          <w:p>
            <w:pPr>
              <w:pStyle w:val="27"/>
              <w:keepNext w:val="0"/>
              <w:keepLines w:val="0"/>
              <w:pageBreakBefore w:val="0"/>
              <w:kinsoku/>
              <w:wordWrap/>
              <w:overflowPunct/>
              <w:topLinePunct w:val="0"/>
              <w:bidi w:val="0"/>
              <w:spacing w:beforeAutospacing="0" w:afterAutospacing="0" w:line="312"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投标人资格</w:t>
            </w:r>
          </w:p>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要求</w:t>
            </w:r>
          </w:p>
        </w:tc>
        <w:tc>
          <w:tcPr>
            <w:tcW w:w="7051" w:type="dxa"/>
            <w:vAlign w:val="center"/>
          </w:tcPr>
          <w:p>
            <w:pPr>
              <w:keepNext w:val="0"/>
              <w:keepLines w:val="0"/>
              <w:pageBreakBefore w:val="0"/>
              <w:kinsoku/>
              <w:wordWrap/>
              <w:overflowPunct/>
              <w:topLinePunct w:val="0"/>
              <w:bidi w:val="0"/>
              <w:spacing w:line="312"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1、投标人必须符合《中华人民共和国政府采购法》第二十二条之规定：</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1）</w:t>
            </w:r>
            <w:r>
              <w:rPr>
                <w:rFonts w:hint="eastAsia" w:ascii="宋体" w:hAnsi="宋体" w:cs="宋体"/>
                <w:color w:val="auto"/>
                <w:highlight w:val="none"/>
                <w:lang w:val="en-US" w:eastAsia="zh-CN"/>
              </w:rPr>
              <w:t>有效的营业执照或其他组织证明文件，自然人的身份证明</w:t>
            </w:r>
            <w:r>
              <w:rPr>
                <w:rFonts w:hint="eastAsia" w:ascii="宋体" w:hAnsi="宋体" w:eastAsia="宋体" w:cs="宋体"/>
                <w:color w:val="auto"/>
                <w:highlight w:val="none"/>
              </w:rPr>
              <w:t>；</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具有良好的商业信誉和健全的财务会计制度（2024年度财务审计报告或其基本开户银行出具的资信证明）；</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（3）依法缴纳税收的证明材料（</w:t>
            </w:r>
            <w:r>
              <w:rPr>
                <w:rFonts w:hint="eastAsia" w:ascii="宋体" w:hAnsi="宋体" w:cs="宋体"/>
                <w:color w:val="auto"/>
                <w:highlight w:val="none"/>
                <w:lang w:val="en-US" w:eastAsia="zh-CN"/>
              </w:rPr>
              <w:t>提供开标前12个月内任意6个月纳税证明，新成立公司不足6个月的，按已缴纳月份提供。如依法免税的，提供相关部门出具的证明文件</w:t>
            </w:r>
            <w:r>
              <w:rPr>
                <w:rFonts w:hint="eastAsia" w:ascii="宋体" w:hAnsi="宋体" w:eastAsia="宋体" w:cs="宋体"/>
                <w:color w:val="auto"/>
                <w:highlight w:val="none"/>
                <w:lang w:val="en-US" w:eastAsia="zh-CN"/>
              </w:rPr>
              <w:t>）；</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（4）依法缴纳社会保障资金的证明材料（提供开标前12个月内任意6个月缴纳社会保障证明，新成立公司不足</w:t>
            </w:r>
            <w:r>
              <w:rPr>
                <w:rFonts w:hint="eastAsia" w:ascii="宋体" w:hAnsi="宋体" w:eastAsia="宋体" w:cs="宋体"/>
                <w:color w:val="auto"/>
                <w:sz w:val="21"/>
                <w:szCs w:val="21"/>
                <w:highlight w:val="none"/>
                <w:lang w:val="en-US" w:eastAsia="zh-CN"/>
              </w:rPr>
              <w:t>6个月</w:t>
            </w:r>
            <w:r>
              <w:rPr>
                <w:rFonts w:hint="eastAsia" w:ascii="宋体" w:hAnsi="宋体" w:eastAsia="宋体" w:cs="宋体"/>
                <w:color w:val="auto"/>
                <w:highlight w:val="none"/>
                <w:lang w:val="en-US" w:eastAsia="zh-CN"/>
              </w:rPr>
              <w:t>的，按已缴纳月份提供</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不需要缴纳社会保障资金的投标人，提供相关部门出具的证明文件）；</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（5）具备履行政府采购合同所必需的设备和专业技术能力的证明材料（提供履行合同的营业执照或其他组织证明文件</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自然人的身份证明及承诺函）；</w:t>
            </w:r>
          </w:p>
          <w:p>
            <w:pPr>
              <w:keepNext w:val="0"/>
              <w:keepLines w:val="0"/>
              <w:pageBreakBefore w:val="0"/>
              <w:kinsoku/>
              <w:wordWrap/>
              <w:overflowPunct/>
              <w:topLinePunct w:val="0"/>
              <w:bidi w:val="0"/>
              <w:spacing w:line="312"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（6）参加政府采购活动前三年内在经营活动中没有重大违法记录的证明材料（提供声明函）；</w:t>
            </w:r>
          </w:p>
          <w:p>
            <w:pPr>
              <w:keepNext w:val="0"/>
              <w:keepLines w:val="0"/>
              <w:pageBreakBefore w:val="0"/>
              <w:kinsoku/>
              <w:wordWrap/>
              <w:overflowPunct/>
              <w:topLinePunct w:val="0"/>
              <w:bidi w:val="0"/>
              <w:spacing w:line="312" w:lineRule="auto"/>
              <w:textAlignment w:val="auto"/>
              <w:rPr>
                <w:rFonts w:hint="eastAsia"/>
                <w:color w:val="auto"/>
                <w:highlight w:val="none"/>
                <w:lang w:val="en-US" w:eastAsia="zh-CN"/>
              </w:rPr>
            </w:pPr>
            <w:r>
              <w:rPr>
                <w:rFonts w:hint="eastAsia"/>
                <w:color w:val="auto"/>
                <w:highlight w:val="none"/>
                <w:lang w:val="en-US" w:eastAsia="zh-CN"/>
              </w:rPr>
              <w:t>注：在本项目政府采购活动中，投标人在投标时，可对照资格要求进行自主核对，确定符合资格要求的，可按照规定提供相关承诺函（详见招标文件格式“ 资格审查资料”附件），投标人只需在资格审查环节提供满足相应条件的书面承诺书，投标文件中不再需要提供以上证明材料；</w:t>
            </w:r>
          </w:p>
          <w:p>
            <w:pPr>
              <w:keepNext w:val="0"/>
              <w:keepLines w:val="0"/>
              <w:pageBreakBefore w:val="0"/>
              <w:kinsoku/>
              <w:wordWrap/>
              <w:overflowPunct/>
              <w:topLinePunct w:val="0"/>
              <w:bidi w:val="0"/>
              <w:spacing w:line="312"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highlight w:val="none"/>
                <w:lang w:val="en-US" w:eastAsia="zh-CN"/>
              </w:rPr>
              <w:t>2、信用要求：</w:t>
            </w:r>
            <w:r>
              <w:rPr>
                <w:rFonts w:hint="eastAsia" w:ascii="Times New Roman" w:hAnsi="Times New Roman" w:eastAsia="宋体" w:cs="Times New Roman"/>
                <w:color w:val="auto"/>
                <w:highlight w:val="none"/>
                <w:lang w:val="en-US" w:eastAsia="zh-CN"/>
              </w:rPr>
              <w:t>根据《关于在政府采购活动中查询及使用信用记录有关问题的通知》财库〔2016〕125号文件和豫财购〔2016〕15号文件的规定，投标人应提供“信用中国”网站（www.creditchina.gov.cn）查询“失信被执行人”和“重大税收违法失信主体”；中国政府采购网（www.ccgp.gov.cn）查询“政府采购严重违法失信行为记录名单”渠道查询自身信用记录，提供查询网页截图，查询截止时点为：从公告发布之日起至投标截止之日止；</w:t>
            </w:r>
          </w:p>
          <w:p>
            <w:pPr>
              <w:keepNext w:val="0"/>
              <w:keepLines w:val="0"/>
              <w:pageBreakBefore w:val="0"/>
              <w:numPr>
                <w:ilvl w:val="0"/>
                <w:numId w:val="0"/>
              </w:numPr>
              <w:kinsoku/>
              <w:wordWrap/>
              <w:overflowPunct/>
              <w:topLinePunct w:val="0"/>
              <w:bidi w:val="0"/>
              <w:spacing w:beforeAutospacing="0" w:afterAutospacing="0" w:line="312"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其他要求：</w:t>
            </w:r>
            <w:r>
              <w:rPr>
                <w:rFonts w:hint="eastAsia" w:ascii="宋体" w:hAnsi="宋体" w:cs="宋体"/>
                <w:color w:val="auto"/>
                <w:sz w:val="21"/>
                <w:szCs w:val="21"/>
                <w:highlight w:val="none"/>
              </w:rPr>
              <w:t>单位负责人为同一人或者存在直接控股、管理关系的不同单位，不得同时参加同一合同项下的政府采购活动（提供加盖</w:t>
            </w:r>
            <w:r>
              <w:rPr>
                <w:rFonts w:hint="eastAsia" w:ascii="宋体" w:hAnsi="宋体" w:cs="宋体"/>
                <w:color w:val="auto"/>
                <w:sz w:val="21"/>
                <w:szCs w:val="21"/>
                <w:highlight w:val="none"/>
                <w:lang w:val="en-US" w:eastAsia="zh-CN"/>
              </w:rPr>
              <w:t>投标人</w:t>
            </w:r>
            <w:r>
              <w:rPr>
                <w:rFonts w:hint="eastAsia" w:ascii="宋体" w:hAnsi="宋体" w:cs="宋体"/>
                <w:color w:val="auto"/>
                <w:sz w:val="21"/>
                <w:szCs w:val="21"/>
                <w:highlight w:val="none"/>
              </w:rPr>
              <w:t>公章的“国家企业信用信息公示系统”中公示的公司基础信息包含股东及出资信息）。</w:t>
            </w:r>
          </w:p>
          <w:p>
            <w:pPr>
              <w:keepNext w:val="0"/>
              <w:keepLines w:val="0"/>
              <w:pageBreakBefore w:val="0"/>
              <w:kinsoku/>
              <w:wordWrap/>
              <w:overflowPunct/>
              <w:topLinePunct w:val="0"/>
              <w:bidi w:val="0"/>
              <w:spacing w:beforeAutospacing="0" w:afterAutospacing="0" w:line="312"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注：以上所示资格审查资料必须按照要求提供，未提供或提供资料不符合要求的视为不满足资格要求。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不接受</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接受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不召开</w:t>
            </w:r>
          </w:p>
          <w:p>
            <w:pPr>
              <w:keepNext w:val="0"/>
              <w:keepLines w:val="0"/>
              <w:pageBreakBefore w:val="0"/>
              <w:kinsoku/>
              <w:wordWrap/>
              <w:overflowPunct/>
              <w:topLinePunct w:val="0"/>
              <w:bidi w:val="0"/>
              <w:spacing w:beforeAutospacing="0" w:afterAutospacing="0" w:line="312" w:lineRule="auto"/>
              <w:textAlignment w:val="auto"/>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□召开，召开时间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召开地点：/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分  包</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不允许</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构成招标文件的其他材料</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有关补遗书等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要求澄清招标文件的截止时间</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b w:val="0"/>
                <w:bCs/>
                <w:color w:val="auto"/>
                <w:kern w:val="0"/>
                <w:sz w:val="21"/>
                <w:szCs w:val="21"/>
                <w:highlight w:val="none"/>
                <w:lang w:val="en-US" w:eastAsia="zh-CN" w:bidi="ar-SA"/>
              </w:rPr>
              <w:t>202</w:t>
            </w:r>
            <w:r>
              <w:rPr>
                <w:rFonts w:hint="eastAsia" w:ascii="宋体" w:hAnsi="宋体" w:cs="宋体"/>
                <w:b w:val="0"/>
                <w:bCs/>
                <w:color w:val="auto"/>
                <w:kern w:val="0"/>
                <w:sz w:val="21"/>
                <w:szCs w:val="21"/>
                <w:highlight w:val="none"/>
                <w:lang w:val="en-US" w:eastAsia="zh-CN" w:bidi="ar-SA"/>
              </w:rPr>
              <w:t>5</w:t>
            </w:r>
            <w:r>
              <w:rPr>
                <w:rFonts w:hint="eastAsia" w:ascii="宋体" w:hAnsi="宋体" w:eastAsia="宋体" w:cs="宋体"/>
                <w:b w:val="0"/>
                <w:bCs/>
                <w:color w:val="auto"/>
                <w:kern w:val="0"/>
                <w:sz w:val="21"/>
                <w:szCs w:val="21"/>
                <w:highlight w:val="none"/>
                <w:lang w:val="en-US" w:eastAsia="zh-CN" w:bidi="ar-SA"/>
              </w:rPr>
              <w:t>年</w:t>
            </w:r>
            <w:r>
              <w:rPr>
                <w:rFonts w:hint="eastAsia" w:ascii="宋体" w:hAnsi="宋体" w:cs="宋体"/>
                <w:b w:val="0"/>
                <w:bCs/>
                <w:color w:val="auto"/>
                <w:kern w:val="0"/>
                <w:sz w:val="21"/>
                <w:szCs w:val="21"/>
                <w:highlight w:val="none"/>
                <w:lang w:val="en-US" w:eastAsia="zh-CN" w:bidi="ar-SA"/>
              </w:rPr>
              <w:t>6</w:t>
            </w:r>
            <w:r>
              <w:rPr>
                <w:rFonts w:hint="eastAsia" w:ascii="宋体" w:hAnsi="宋体" w:eastAsia="宋体" w:cs="宋体"/>
                <w:b w:val="0"/>
                <w:bCs/>
                <w:color w:val="auto"/>
                <w:kern w:val="0"/>
                <w:sz w:val="21"/>
                <w:szCs w:val="21"/>
                <w:highlight w:val="none"/>
                <w:lang w:val="en-US" w:eastAsia="zh-CN" w:bidi="ar-SA"/>
              </w:rPr>
              <w:t>月</w:t>
            </w:r>
            <w:r>
              <w:rPr>
                <w:rFonts w:hint="eastAsia" w:ascii="宋体" w:hAnsi="宋体" w:cs="宋体"/>
                <w:b w:val="0"/>
                <w:bCs/>
                <w:color w:val="auto"/>
                <w:kern w:val="0"/>
                <w:sz w:val="21"/>
                <w:szCs w:val="21"/>
                <w:highlight w:val="none"/>
                <w:lang w:val="en-US" w:eastAsia="zh-CN" w:bidi="ar-SA"/>
              </w:rPr>
              <w:t>30</w:t>
            </w:r>
            <w:r>
              <w:rPr>
                <w:rFonts w:hint="eastAsia" w:ascii="宋体" w:hAnsi="宋体" w:eastAsia="宋体" w:cs="宋体"/>
                <w:b w:val="0"/>
                <w:bCs/>
                <w:color w:val="auto"/>
                <w:kern w:val="0"/>
                <w:sz w:val="21"/>
                <w:szCs w:val="21"/>
                <w:highlight w:val="none"/>
                <w:lang w:val="en-US" w:eastAsia="zh-CN" w:bidi="ar-SA"/>
              </w:rPr>
              <w:t>日</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确认收到招标文件澄清的时间</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在收到相应澄清文件后</w:t>
            </w:r>
            <w:r>
              <w:rPr>
                <w:rFonts w:hint="eastAsia" w:ascii="宋体" w:hAnsi="宋体" w:eastAsia="宋体" w:cs="宋体"/>
                <w:color w:val="auto"/>
                <w:highlight w:val="none"/>
                <w:u w:val="single"/>
              </w:rPr>
              <w:t>24</w:t>
            </w:r>
            <w:r>
              <w:rPr>
                <w:rFonts w:hint="eastAsia" w:ascii="宋体" w:hAnsi="宋体" w:eastAsia="宋体" w:cs="宋体"/>
                <w:color w:val="auto"/>
                <w:highlight w:val="none"/>
              </w:rPr>
              <w:t>小时内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highlight w:val="none"/>
              </w:rPr>
              <w:t>确认收到招标文件修改的时间</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在收到相应修改文件后</w:t>
            </w:r>
            <w:r>
              <w:rPr>
                <w:rFonts w:hint="eastAsia" w:ascii="宋体" w:hAnsi="宋体" w:eastAsia="宋体" w:cs="宋体"/>
                <w:color w:val="auto"/>
                <w:highlight w:val="none"/>
                <w:u w:val="single"/>
              </w:rPr>
              <w:t>24</w:t>
            </w:r>
            <w:r>
              <w:rPr>
                <w:rFonts w:hint="eastAsia" w:ascii="宋体" w:hAnsi="宋体" w:eastAsia="宋体" w:cs="宋体"/>
                <w:color w:val="auto"/>
                <w:highlight w:val="none"/>
              </w:rPr>
              <w:t>小时内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构成投标文件的其他材料</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投标人认为</w:t>
            </w:r>
            <w:r>
              <w:rPr>
                <w:rFonts w:hint="eastAsia" w:ascii="宋体" w:hAnsi="宋体" w:cs="宋体"/>
                <w:color w:val="auto"/>
                <w:highlight w:val="none"/>
                <w:lang w:eastAsia="zh-CN"/>
              </w:rPr>
              <w:t>其他</w:t>
            </w:r>
            <w:r>
              <w:rPr>
                <w:rFonts w:hint="eastAsia" w:ascii="宋体" w:hAnsi="宋体" w:eastAsia="宋体" w:cs="宋体"/>
                <w:color w:val="auto"/>
                <w:highlight w:val="none"/>
              </w:rPr>
              <w:t>所需要补充的内容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自投标截止之日起60日历天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不允许</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签字和（或）盖章要求</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符合招标文件 第六章 投标文件格式有关签字盖章的要求。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3.7.4</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投标文件份数及其他要求</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加密的电子投标文件壹份（*.XYTF 格式，在会员系统指定位置上传）</w:t>
            </w:r>
            <w:r>
              <w:rPr>
                <w:rFonts w:hint="eastAsia" w:ascii="宋体" w:hAnsi="宋体" w:eastAsia="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开标时间：同投标截止时间</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开标地点：</w:t>
            </w:r>
            <w:r>
              <w:rPr>
                <w:rFonts w:hint="eastAsia" w:ascii="宋体" w:hAnsi="宋体" w:eastAsia="宋体" w:cs="宋体"/>
                <w:color w:val="auto"/>
                <w:szCs w:val="21"/>
                <w:highlight w:val="none"/>
              </w:rPr>
              <w:t>信阳市公共资源交易中</w:t>
            </w:r>
            <w:r>
              <w:rPr>
                <w:rFonts w:hint="eastAsia" w:ascii="宋体" w:hAnsi="宋体" w:eastAsia="宋体" w:cs="宋体"/>
                <w:b w:val="0"/>
                <w:bCs/>
                <w:color w:val="auto"/>
                <w:kern w:val="0"/>
                <w:sz w:val="21"/>
                <w:szCs w:val="21"/>
                <w:highlight w:val="none"/>
                <w:lang w:val="en-US" w:eastAsia="zh-CN" w:bidi="ar-SA"/>
              </w:rPr>
              <w:t>心第</w:t>
            </w:r>
            <w:r>
              <w:rPr>
                <w:rFonts w:hint="eastAsia" w:ascii="宋体" w:hAnsi="宋体" w:cs="宋体"/>
                <w:b w:val="0"/>
                <w:bCs/>
                <w:color w:val="auto"/>
                <w:kern w:val="0"/>
                <w:sz w:val="21"/>
                <w:szCs w:val="21"/>
                <w:highlight w:val="none"/>
                <w:u w:val="single"/>
                <w:lang w:val="en-US" w:eastAsia="zh-CN" w:bidi="ar-SA"/>
              </w:rPr>
              <w:t xml:space="preserve"> 四 </w:t>
            </w:r>
            <w:r>
              <w:rPr>
                <w:rFonts w:hint="eastAsia" w:ascii="宋体" w:hAnsi="宋体" w:eastAsia="宋体" w:cs="宋体"/>
                <w:b w:val="0"/>
                <w:bCs/>
                <w:color w:val="auto"/>
                <w:kern w:val="0"/>
                <w:sz w:val="21"/>
                <w:szCs w:val="21"/>
                <w:highlight w:val="none"/>
                <w:lang w:val="en-US" w:eastAsia="zh-CN" w:bidi="ar-SA"/>
              </w:rPr>
              <w:t>开标厅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评标委员会构成：</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5</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人，其中业主评委</w:t>
            </w:r>
            <w:r>
              <w:rPr>
                <w:rFonts w:hint="eastAsia" w:ascii="宋体" w:hAnsi="宋体" w:cs="宋体"/>
                <w:color w:val="auto"/>
                <w:highlight w:val="none"/>
                <w:u w:val="single"/>
                <w:lang w:val="en-US" w:eastAsia="zh-CN"/>
              </w:rPr>
              <w:t xml:space="preserve"> 1 </w:t>
            </w:r>
            <w:r>
              <w:rPr>
                <w:rFonts w:hint="eastAsia" w:ascii="宋体" w:hAnsi="宋体" w:eastAsia="宋体" w:cs="宋体"/>
                <w:color w:val="auto"/>
                <w:highlight w:val="none"/>
              </w:rPr>
              <w:t>人，技术、经济类专家</w:t>
            </w:r>
            <w:r>
              <w:rPr>
                <w:rFonts w:hint="eastAsia" w:ascii="宋体" w:hAnsi="宋体" w:cs="宋体"/>
                <w:color w:val="auto"/>
                <w:highlight w:val="none"/>
                <w:u w:val="single"/>
                <w:lang w:val="en-US" w:eastAsia="zh-CN"/>
              </w:rPr>
              <w:t xml:space="preserve"> 4 </w:t>
            </w:r>
            <w:r>
              <w:rPr>
                <w:rFonts w:hint="eastAsia" w:ascii="宋体" w:hAnsi="宋体" w:eastAsia="宋体" w:cs="宋体"/>
                <w:color w:val="auto"/>
                <w:highlight w:val="none"/>
              </w:rPr>
              <w:t>人；</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评标专家确定方式：</w:t>
            </w:r>
            <w:r>
              <w:rPr>
                <w:rFonts w:hint="eastAsia" w:ascii="宋体" w:hAnsi="宋体" w:eastAsia="宋体" w:cs="宋体"/>
                <w:color w:val="auto"/>
                <w:kern w:val="0"/>
                <w:sz w:val="21"/>
                <w:szCs w:val="21"/>
                <w:highlight w:val="none"/>
              </w:rPr>
              <w:t>专家从</w:t>
            </w:r>
            <w:r>
              <w:rPr>
                <w:rFonts w:hint="eastAsia" w:ascii="宋体" w:hAnsi="宋体" w:eastAsia="宋体" w:cs="宋体"/>
                <w:color w:val="auto"/>
                <w:kern w:val="0"/>
                <w:sz w:val="21"/>
                <w:szCs w:val="21"/>
                <w:highlight w:val="none"/>
                <w:lang w:eastAsia="zh-CN"/>
              </w:rPr>
              <w:t>政府采购</w:t>
            </w:r>
            <w:r>
              <w:rPr>
                <w:rFonts w:hint="eastAsia" w:ascii="宋体" w:hAnsi="宋体" w:eastAsia="宋体" w:cs="宋体"/>
                <w:color w:val="auto"/>
                <w:kern w:val="0"/>
                <w:sz w:val="21"/>
                <w:szCs w:val="21"/>
                <w:highlight w:val="none"/>
              </w:rPr>
              <w:t>专家库中随机抽取</w:t>
            </w:r>
            <w:r>
              <w:rPr>
                <w:rFonts w:hint="eastAsia" w:ascii="宋体" w:hAnsi="宋体" w:eastAsia="宋体" w:cs="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7051" w:type="dxa"/>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□是</w:t>
            </w:r>
          </w:p>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否，推荐的中标候选人数：3名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p>
        </w:tc>
        <w:tc>
          <w:tcPr>
            <w:tcW w:w="2140" w:type="dxa"/>
            <w:vAlign w:val="center"/>
          </w:tcPr>
          <w:p>
            <w:pPr>
              <w:keepNext w:val="0"/>
              <w:keepLines w:val="0"/>
              <w:pageBreakBefore w:val="0"/>
              <w:kinsoku/>
              <w:wordWrap/>
              <w:overflowPunct/>
              <w:topLinePunct w:val="0"/>
              <w:autoSpaceDE w:val="0"/>
              <w:autoSpaceDN w:val="0"/>
              <w:bidi w:val="0"/>
              <w:adjustRightInd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履约担保</w:t>
            </w:r>
          </w:p>
        </w:tc>
        <w:tc>
          <w:tcPr>
            <w:tcW w:w="7051" w:type="dxa"/>
            <w:vAlign w:val="center"/>
          </w:tcPr>
          <w:p>
            <w:pPr>
              <w:keepNext w:val="0"/>
              <w:keepLines w:val="0"/>
              <w:pageBreakBefore w:val="0"/>
              <w:kinsoku/>
              <w:wordWrap/>
              <w:overflowPunct/>
              <w:topLinePunct w:val="0"/>
              <w:autoSpaceDE w:val="0"/>
              <w:autoSpaceDN w:val="0"/>
              <w:bidi w:val="0"/>
              <w:adjustRightInd w:val="0"/>
              <w:spacing w:beforeAutospacing="0" w:afterAutospacing="0" w:line="312"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38" w:type="dxa"/>
            <w:gridSpan w:val="3"/>
            <w:vAlign w:val="center"/>
          </w:tcPr>
          <w:p>
            <w:pPr>
              <w:keepNext w:val="0"/>
              <w:keepLines w:val="0"/>
              <w:pageBreakBefore w:val="0"/>
              <w:kinsoku/>
              <w:wordWrap/>
              <w:overflowPunct/>
              <w:topLinePunct w:val="0"/>
              <w:bidi w:val="0"/>
              <w:spacing w:beforeAutospacing="0" w:afterAutospacing="0"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10.  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10.1</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投标报价</w:t>
            </w:r>
          </w:p>
        </w:tc>
        <w:tc>
          <w:tcPr>
            <w:tcW w:w="7051" w:type="dxa"/>
            <w:vAlign w:val="center"/>
          </w:tcPr>
          <w:p>
            <w:pPr>
              <w:keepNext w:val="0"/>
              <w:keepLines w:val="0"/>
              <w:pageBreakBefore w:val="0"/>
              <w:tabs>
                <w:tab w:val="left" w:pos="1980"/>
                <w:tab w:val="left" w:pos="4320"/>
              </w:tabs>
              <w:kinsoku/>
              <w:wordWrap/>
              <w:overflowPunct/>
              <w:topLinePunct w:val="0"/>
              <w:bidi w:val="0"/>
              <w:spacing w:beforeAutospacing="0" w:afterAutospacing="0" w:line="312" w:lineRule="auto"/>
              <w:jc w:val="left"/>
              <w:textAlignment w:val="auto"/>
              <w:rPr>
                <w:rFonts w:hint="eastAsia"/>
                <w:color w:val="auto"/>
                <w:highlight w:val="none"/>
                <w:lang w:val="en-US" w:eastAsia="zh-CN"/>
              </w:rPr>
            </w:pPr>
            <w:r>
              <w:rPr>
                <w:rFonts w:hint="eastAsia"/>
                <w:color w:val="auto"/>
                <w:highlight w:val="none"/>
                <w:lang w:val="en-US" w:eastAsia="zh-CN"/>
              </w:rPr>
              <w:t>投标报价以设施使用费进行报价，投标人承接本项目需向采购人缴纳设施使用费，本项目设施使用费采用</w:t>
            </w:r>
            <w:r>
              <w:rPr>
                <w:rFonts w:hint="eastAsia"/>
                <w:b/>
                <w:bCs/>
                <w:color w:val="auto"/>
                <w:highlight w:val="none"/>
                <w:lang w:val="en-US" w:eastAsia="zh-CN"/>
              </w:rPr>
              <w:t>固定报价方式。</w:t>
            </w:r>
          </w:p>
          <w:p>
            <w:pPr>
              <w:keepNext w:val="0"/>
              <w:keepLines w:val="0"/>
              <w:pageBreakBefore w:val="0"/>
              <w:tabs>
                <w:tab w:val="left" w:pos="1980"/>
                <w:tab w:val="left" w:pos="4320"/>
              </w:tabs>
              <w:kinsoku/>
              <w:wordWrap/>
              <w:overflowPunct/>
              <w:topLinePunct w:val="0"/>
              <w:bidi w:val="0"/>
              <w:spacing w:beforeAutospacing="0" w:afterAutospacing="0" w:line="312" w:lineRule="auto"/>
              <w:jc w:val="left"/>
              <w:textAlignment w:val="auto"/>
              <w:rPr>
                <w:rFonts w:hint="eastAsia"/>
                <w:color w:val="auto"/>
                <w:highlight w:val="none"/>
                <w:lang w:val="en-US" w:eastAsia="zh-CN"/>
              </w:rPr>
            </w:pPr>
            <w:r>
              <w:rPr>
                <w:rFonts w:hint="eastAsia"/>
                <w:b/>
                <w:bCs/>
                <w:color w:val="auto"/>
                <w:highlight w:val="none"/>
                <w:lang w:val="en-US" w:eastAsia="zh-CN"/>
              </w:rPr>
              <w:t>投标报价：</w:t>
            </w:r>
            <w:r>
              <w:rPr>
                <w:rFonts w:hint="eastAsia"/>
                <w:color w:val="auto"/>
                <w:highlight w:val="none"/>
                <w:lang w:val="en-US" w:eastAsia="zh-CN"/>
              </w:rPr>
              <w:t>设施使用费10年运营期内分阶段缴纳。第1、2、3年为培育期，免缴纳设施使用费；第4、5、6年为成长期，每年按中心初始投入固定资产评估后的数值总额的90%，向委托方缴纳每年1.5%的设施使用费；第7、8、9、10 年为发展期，每年按中心初始投入固定资产评估后的数值总额的1.5%向委托方缴纳设施使用费。</w:t>
            </w:r>
          </w:p>
          <w:p>
            <w:pPr>
              <w:keepNext w:val="0"/>
              <w:keepLines w:val="0"/>
              <w:pageBreakBefore w:val="0"/>
              <w:tabs>
                <w:tab w:val="left" w:pos="1980"/>
                <w:tab w:val="left" w:pos="4320"/>
              </w:tabs>
              <w:kinsoku/>
              <w:wordWrap/>
              <w:overflowPunct/>
              <w:topLinePunct w:val="0"/>
              <w:bidi w:val="0"/>
              <w:spacing w:beforeAutospacing="0" w:afterAutospacing="0" w:line="312" w:lineRule="auto"/>
              <w:jc w:val="left"/>
              <w:textAlignment w:val="auto"/>
              <w:rPr>
                <w:rFonts w:hint="eastAsia"/>
                <w:b/>
                <w:bCs/>
                <w:color w:val="auto"/>
                <w:highlight w:val="none"/>
                <w:lang w:val="en-US" w:eastAsia="zh-CN"/>
              </w:rPr>
            </w:pPr>
            <w:r>
              <w:rPr>
                <w:rFonts w:hint="eastAsia"/>
                <w:b/>
                <w:bCs/>
                <w:color w:val="auto"/>
                <w:highlight w:val="none"/>
                <w:lang w:val="en-US" w:eastAsia="zh-CN"/>
              </w:rPr>
              <w:t>注：1.初始投入固定资产评估总额约为6900.00万元（按财政评审后的工程决算价及其他应纳入固定资产评估的费用总和计算）；</w:t>
            </w:r>
          </w:p>
          <w:p>
            <w:pPr>
              <w:pStyle w:val="27"/>
              <w:ind w:firstLine="422" w:firstLineChars="200"/>
              <w:rPr>
                <w:rFonts w:hint="default"/>
                <w:color w:val="auto"/>
                <w:highlight w:val="none"/>
                <w:lang w:val="en-US" w:eastAsia="zh-CN"/>
              </w:rPr>
            </w:pPr>
            <w:r>
              <w:rPr>
                <w:rFonts w:hint="eastAsia" w:ascii="宋体" w:hAnsi="宋体" w:cs="宋体"/>
                <w:b/>
                <w:bCs/>
                <w:color w:val="auto"/>
                <w:highlight w:val="none"/>
                <w:lang w:val="en-US" w:eastAsia="zh-CN"/>
              </w:rPr>
              <w:t>2.本项目投标报价为固定报价，未按要求报价或随意更改（高于或低于最高限价）报价的按无效投标处理。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shd w:val="clear" w:color="auto" w:fill="auto"/>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10.1</w:t>
            </w:r>
          </w:p>
        </w:tc>
        <w:tc>
          <w:tcPr>
            <w:tcW w:w="2140" w:type="dxa"/>
            <w:shd w:val="clear" w:color="auto" w:fill="auto"/>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1"/>
                <w:szCs w:val="21"/>
                <w:highlight w:val="none"/>
              </w:rPr>
              <w:t>知识产权</w:t>
            </w:r>
          </w:p>
        </w:tc>
        <w:tc>
          <w:tcPr>
            <w:tcW w:w="7051" w:type="dxa"/>
            <w:shd w:val="clear" w:color="auto" w:fill="auto"/>
            <w:vAlign w:val="center"/>
          </w:tcPr>
          <w:p>
            <w:pPr>
              <w:keepNext w:val="0"/>
              <w:keepLines w:val="0"/>
              <w:pageBreakBefore w:val="0"/>
              <w:tabs>
                <w:tab w:val="left" w:pos="1980"/>
                <w:tab w:val="left" w:pos="4320"/>
              </w:tabs>
              <w:kinsoku/>
              <w:wordWrap/>
              <w:overflowPunct/>
              <w:topLinePunct w:val="0"/>
              <w:bidi w:val="0"/>
              <w:spacing w:beforeAutospacing="0" w:afterAutospacing="0" w:line="312" w:lineRule="auto"/>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构成本招标文件各个组成部分的文件，未经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书面同意，投标人不得擅自复印和用于非本招标项目所需的其他目的。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全部或者部分使用未中标人投标文件中的技术成果或技术方案时，需征得其书面同意，并不得擅自复印或提供给第三人。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10.2</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解释权</w:t>
            </w:r>
          </w:p>
        </w:tc>
        <w:tc>
          <w:tcPr>
            <w:tcW w:w="7051" w:type="dxa"/>
            <w:vAlign w:val="center"/>
          </w:tcPr>
          <w:p>
            <w:pPr>
              <w:keepNext w:val="0"/>
              <w:keepLines w:val="0"/>
              <w:pageBreakBefore w:val="0"/>
              <w:tabs>
                <w:tab w:val="left" w:pos="1980"/>
                <w:tab w:val="left" w:pos="4320"/>
              </w:tabs>
              <w:kinsoku/>
              <w:wordWrap/>
              <w:overflowPunct/>
              <w:topLinePunct w:val="0"/>
              <w:bidi w:val="0"/>
              <w:spacing w:beforeAutospacing="0" w:afterAutospacing="0" w:line="312" w:lineRule="auto"/>
              <w:jc w:val="left"/>
              <w:textAlignment w:val="auto"/>
              <w:rPr>
                <w:rFonts w:hint="eastAsia" w:ascii="宋体" w:hAnsi="宋体" w:eastAsia="宋体" w:cs="宋体"/>
                <w:b w:val="0"/>
                <w:bCs w:val="0"/>
                <w:color w:val="auto"/>
                <w:szCs w:val="21"/>
                <w:highlight w:val="none"/>
                <w:lang w:val="en-US" w:eastAsia="zh-CN"/>
              </w:rPr>
            </w:pPr>
            <w:r>
              <w:rPr>
                <w:rFonts w:hint="eastAsia" w:ascii="宋体" w:hAnsi="宋体" w:eastAsia="宋体" w:cs="宋体"/>
                <w:color w:val="auto"/>
                <w:sz w:val="21"/>
                <w:szCs w:val="21"/>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投标邀请书、投标人须知、评标办法、投标文件格式的先后顺序解释；同一组成文件中就同一事项的规定或约定不一致的，以编排顺序在后者为准；同一组成文件不同版本之间有不一致的，以形成时间在后者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47"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2140" w:type="dxa"/>
            <w:vAlign w:val="center"/>
          </w:tcPr>
          <w:p>
            <w:pPr>
              <w:keepNext w:val="0"/>
              <w:keepLines w:val="0"/>
              <w:pageBreakBefore w:val="0"/>
              <w:kinsoku/>
              <w:wordWrap/>
              <w:overflowPunct/>
              <w:topLinePunct w:val="0"/>
              <w:bidi w:val="0"/>
              <w:spacing w:beforeAutospacing="0" w:afterAutospacing="0" w:line="312"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代理服务费</w:t>
            </w:r>
          </w:p>
        </w:tc>
        <w:tc>
          <w:tcPr>
            <w:tcW w:w="7051" w:type="dxa"/>
            <w:vAlign w:val="center"/>
          </w:tcPr>
          <w:p>
            <w:pPr>
              <w:keepNext w:val="0"/>
              <w:keepLines w:val="0"/>
              <w:pageBreakBefore w:val="0"/>
              <w:numPr>
                <w:ilvl w:val="0"/>
                <w:numId w:val="4"/>
              </w:numPr>
              <w:kinsoku/>
              <w:wordWrap/>
              <w:overflowPunct/>
              <w:topLinePunct w:val="0"/>
              <w:bidi w:val="0"/>
              <w:spacing w:line="312" w:lineRule="auto"/>
              <w:textAlignment w:val="auto"/>
              <w:rPr>
                <w:rFonts w:hint="eastAsia"/>
                <w:color w:val="auto"/>
                <w:highlight w:val="none"/>
                <w:lang w:val="en-US" w:eastAsia="zh-CN"/>
              </w:rPr>
            </w:pPr>
            <w:r>
              <w:rPr>
                <w:rFonts w:hint="eastAsia"/>
                <w:color w:val="auto"/>
                <w:highlight w:val="none"/>
                <w:lang w:val="en-US" w:eastAsia="zh-CN"/>
              </w:rPr>
              <w:t>采购代理服务费：80000.00元；</w:t>
            </w:r>
          </w:p>
          <w:p>
            <w:pPr>
              <w:keepNext w:val="0"/>
              <w:keepLines w:val="0"/>
              <w:pageBreakBefore w:val="0"/>
              <w:numPr>
                <w:ilvl w:val="0"/>
                <w:numId w:val="4"/>
              </w:numPr>
              <w:kinsoku/>
              <w:wordWrap/>
              <w:overflowPunct/>
              <w:topLinePunct w:val="0"/>
              <w:bidi w:val="0"/>
              <w:spacing w:line="312" w:lineRule="auto"/>
              <w:textAlignment w:val="auto"/>
              <w:rPr>
                <w:rFonts w:hint="eastAsia"/>
                <w:color w:val="auto"/>
                <w:highlight w:val="none"/>
                <w:lang w:val="en-US" w:eastAsia="zh-CN"/>
              </w:rPr>
            </w:pPr>
            <w:r>
              <w:rPr>
                <w:rFonts w:hint="eastAsia"/>
                <w:color w:val="auto"/>
                <w:highlight w:val="none"/>
                <w:lang w:val="en-US" w:eastAsia="zh-CN"/>
              </w:rPr>
              <w:t>本项目代理服务费按不高于“豫招协〔2023〕002号”规定的收费标准收取，中标人在领取中标通知书时向采购代理机构一次性付清。本项目中标服务费的收取按差额定率累进法计算，单标段合计上限不得超过10万元；</w:t>
            </w:r>
          </w:p>
          <w:p>
            <w:pPr>
              <w:keepNext w:val="0"/>
              <w:keepLines w:val="0"/>
              <w:pageBreakBefore w:val="0"/>
              <w:numPr>
                <w:ilvl w:val="0"/>
                <w:numId w:val="0"/>
              </w:numPr>
              <w:kinsoku/>
              <w:wordWrap/>
              <w:overflowPunct/>
              <w:topLinePunct w:val="0"/>
              <w:bidi w:val="0"/>
              <w:spacing w:line="312" w:lineRule="auto"/>
              <w:textAlignment w:val="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3.收费标准：</w:t>
            </w:r>
            <w:r>
              <w:rPr>
                <w:rFonts w:hint="eastAsia" w:ascii="Times New Roman" w:hAnsi="Times New Roman" w:eastAsia="宋体" w:cs="Times New Roman"/>
                <w:color w:val="auto"/>
                <w:highlight w:val="none"/>
                <w:lang w:val="en-US" w:eastAsia="zh-CN"/>
              </w:rPr>
              <w:t>①预算金额的100万(含</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以下部分费率为1.7%；</w:t>
            </w:r>
          </w:p>
          <w:p>
            <w:pPr>
              <w:keepNext w:val="0"/>
              <w:keepLines w:val="0"/>
              <w:pageBreakBefore w:val="0"/>
              <w:numPr>
                <w:ilvl w:val="0"/>
                <w:numId w:val="0"/>
              </w:numPr>
              <w:kinsoku/>
              <w:wordWrap/>
              <w:overflowPunct/>
              <w:topLinePunct w:val="0"/>
              <w:bidi w:val="0"/>
              <w:spacing w:line="312" w:lineRule="auto"/>
              <w:ind w:firstLine="1050" w:firstLineChars="5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②预算金额的100万-500（含）部分费率为1.2%；</w:t>
            </w:r>
          </w:p>
          <w:p>
            <w:pPr>
              <w:keepNext w:val="0"/>
              <w:keepLines w:val="0"/>
              <w:pageBreakBefore w:val="0"/>
              <w:numPr>
                <w:ilvl w:val="0"/>
                <w:numId w:val="0"/>
              </w:numPr>
              <w:kinsoku/>
              <w:wordWrap/>
              <w:overflowPunct/>
              <w:topLinePunct w:val="0"/>
              <w:bidi w:val="0"/>
              <w:spacing w:line="312" w:lineRule="auto"/>
              <w:ind w:firstLine="1050" w:firstLineChars="500"/>
              <w:textAlignment w:val="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③预算金额的500万-1000万（含）部分费率为0.7</w:t>
            </w:r>
            <w:r>
              <w:rPr>
                <w:rFonts w:hint="eastAsia" w:cs="Times New Roman"/>
                <w:color w:val="auto"/>
                <w:highlight w:val="none"/>
                <w:lang w:val="en-US" w:eastAsia="zh-CN"/>
              </w:rPr>
              <w:t>%</w:t>
            </w:r>
            <w:r>
              <w:rPr>
                <w:rFonts w:hint="eastAsia" w:ascii="Times New Roman" w:hAnsi="Times New Roman" w:eastAsia="宋体"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47" w:type="dxa"/>
            <w:vMerge w:val="restart"/>
            <w:vAlign w:val="center"/>
          </w:tcPr>
          <w:p>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color w:val="auto"/>
                <w:highlight w:val="none"/>
                <w:lang w:val="en-US" w:eastAsia="zh-CN"/>
              </w:rPr>
            </w:pPr>
            <w:bookmarkStart w:id="36" w:name="_Toc472429272"/>
            <w:bookmarkStart w:id="37" w:name="_Toc472337627"/>
            <w:r>
              <w:rPr>
                <w:rFonts w:hint="eastAsia" w:ascii="宋体" w:hAnsi="宋体" w:eastAsia="宋体" w:cs="宋体"/>
                <w:color w:val="auto"/>
                <w:kern w:val="0"/>
                <w:sz w:val="21"/>
                <w:szCs w:val="21"/>
                <w:highlight w:val="none"/>
                <w:lang w:val="en-US" w:eastAsia="zh-CN"/>
              </w:rPr>
              <w:t>其他补充内容</w:t>
            </w:r>
          </w:p>
        </w:tc>
        <w:tc>
          <w:tcPr>
            <w:tcW w:w="2140" w:type="dxa"/>
            <w:vAlign w:val="center"/>
          </w:tcPr>
          <w:p>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1"/>
                <w:szCs w:val="21"/>
                <w:highlight w:val="none"/>
                <w:lang w:val="en-US" w:eastAsia="zh-CN"/>
              </w:rPr>
              <w:t>标书雷同性分析</w:t>
            </w:r>
          </w:p>
        </w:tc>
        <w:tc>
          <w:tcPr>
            <w:tcW w:w="7051" w:type="dxa"/>
            <w:vAlign w:val="center"/>
          </w:tcPr>
          <w:p>
            <w:pPr>
              <w:keepNext w:val="0"/>
              <w:keepLines w:val="0"/>
              <w:pageBreakBefore w:val="0"/>
              <w:kinsoku/>
              <w:wordWrap/>
              <w:overflowPunct/>
              <w:topLinePunct w:val="0"/>
              <w:autoSpaceDE w:val="0"/>
              <w:autoSpaceDN w:val="0"/>
              <w:bidi w:val="0"/>
              <w:adjustRightInd w:val="0"/>
              <w:spacing w:line="312"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文件制作机器码、文件创建标识码有相同的按废标处理。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7" w:type="dxa"/>
            <w:vMerge w:val="continue"/>
            <w:vAlign w:val="center"/>
          </w:tcPr>
          <w:p>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color w:val="auto"/>
                <w:kern w:val="0"/>
                <w:sz w:val="21"/>
                <w:szCs w:val="21"/>
                <w:highlight w:val="none"/>
                <w:lang w:val="en-US" w:eastAsia="zh-CN"/>
              </w:rPr>
            </w:pPr>
          </w:p>
        </w:tc>
        <w:tc>
          <w:tcPr>
            <w:tcW w:w="9191" w:type="dxa"/>
            <w:gridSpan w:val="2"/>
            <w:vAlign w:val="center"/>
          </w:tcPr>
          <w:p>
            <w:pPr>
              <w:keepNext w:val="0"/>
              <w:keepLines w:val="0"/>
              <w:pageBreakBefore w:val="0"/>
              <w:kinsoku/>
              <w:wordWrap/>
              <w:overflowPunct/>
              <w:topLinePunct w:val="0"/>
              <w:autoSpaceDE w:val="0"/>
              <w:autoSpaceDN w:val="0"/>
              <w:bidi w:val="0"/>
              <w:adjustRightInd w:val="0"/>
              <w:spacing w:line="312"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1、本项目所属行业归类：其他未列明行业</w:t>
            </w:r>
            <w:r>
              <w:rPr>
                <w:rFonts w:hint="eastAsia" w:ascii="宋体" w:hAnsi="宋体" w:cs="宋体"/>
                <w:b/>
                <w:bCs/>
                <w:color w:val="auto"/>
                <w:sz w:val="21"/>
                <w:szCs w:val="21"/>
                <w:highlight w:val="none"/>
                <w:lang w:val="en-US" w:eastAsia="zh-CN"/>
              </w:rPr>
              <w:t>；</w:t>
            </w:r>
          </w:p>
          <w:p>
            <w:pPr>
              <w:keepNext w:val="0"/>
              <w:keepLines w:val="0"/>
              <w:pageBreakBefore w:val="0"/>
              <w:kinsoku/>
              <w:wordWrap/>
              <w:overflowPunct/>
              <w:topLinePunct w:val="0"/>
              <w:autoSpaceDE w:val="0"/>
              <w:autoSpaceDN w:val="0"/>
              <w:bidi w:val="0"/>
              <w:adjustRightInd w:val="0"/>
              <w:spacing w:line="312" w:lineRule="auto"/>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2、中标单位中标后需提供同电子投标文件完全一致的纸质版投标文件</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0038" w:type="dxa"/>
            <w:gridSpan w:val="3"/>
            <w:vAlign w:val="center"/>
          </w:tcPr>
          <w:p>
            <w:pPr>
              <w:keepNext w:val="0"/>
              <w:keepLines w:val="0"/>
              <w:pageBreakBefore w:val="0"/>
              <w:kinsoku/>
              <w:wordWrap/>
              <w:overflowPunct/>
              <w:topLinePunct w:val="0"/>
              <w:autoSpaceDE w:val="0"/>
              <w:autoSpaceDN w:val="0"/>
              <w:bidi w:val="0"/>
              <w:adjustRightInd w:val="0"/>
              <w:spacing w:line="312" w:lineRule="auto"/>
              <w:jc w:val="both"/>
              <w:textAlignment w:val="auto"/>
              <w:rPr>
                <w:rFonts w:hint="eastAsia" w:ascii="宋体" w:hAnsi="宋体" w:cs="宋体"/>
                <w:b/>
                <w:bCs/>
                <w:color w:val="FF0000"/>
                <w:kern w:val="0"/>
                <w:sz w:val="21"/>
                <w:szCs w:val="21"/>
                <w:highlight w:val="none"/>
                <w:lang w:val="en-US" w:eastAsia="zh-CN"/>
              </w:rPr>
            </w:pPr>
            <w:bookmarkStart w:id="38" w:name="_Toc6327"/>
            <w:r>
              <w:rPr>
                <w:rFonts w:hint="eastAsia" w:ascii="宋体" w:hAnsi="宋体" w:cs="宋体"/>
                <w:b/>
                <w:bCs/>
                <w:color w:val="FF0000"/>
                <w:kern w:val="0"/>
                <w:sz w:val="21"/>
                <w:szCs w:val="21"/>
                <w:highlight w:val="none"/>
                <w:lang w:val="en-US" w:eastAsia="zh-CN"/>
              </w:rPr>
              <w:t>特别提示：</w:t>
            </w:r>
          </w:p>
          <w:p>
            <w:pPr>
              <w:keepNext w:val="0"/>
              <w:keepLines w:val="0"/>
              <w:pageBreakBefore w:val="0"/>
              <w:kinsoku/>
              <w:wordWrap/>
              <w:overflowPunct/>
              <w:topLinePunct w:val="0"/>
              <w:autoSpaceDE w:val="0"/>
              <w:autoSpaceDN w:val="0"/>
              <w:bidi w:val="0"/>
              <w:adjustRightInd w:val="0"/>
              <w:spacing w:line="312" w:lineRule="auto"/>
              <w:jc w:val="both"/>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FF0000"/>
                <w:kern w:val="0"/>
                <w:sz w:val="21"/>
                <w:szCs w:val="21"/>
                <w:highlight w:val="none"/>
                <w:lang w:val="en-US" w:eastAsia="zh-CN"/>
              </w:rPr>
              <w:t>由于系统原因无法更改“开标一览表—投标总价（元/％）”格式，投标人填写系统内“开标一览表—投标总价（元/％）”时，统一填写“1.5”。</w:t>
            </w:r>
          </w:p>
        </w:tc>
      </w:tr>
      <w:bookmarkEnd w:id="36"/>
      <w:bookmarkEnd w:id="37"/>
    </w:tbl>
    <w:p>
      <w:pPr>
        <w:bidi w:val="0"/>
        <w:outlineLvl w:val="1"/>
        <w:rPr>
          <w:rFonts w:hint="eastAsia"/>
          <w:color w:val="auto"/>
          <w:sz w:val="28"/>
          <w:szCs w:val="28"/>
          <w:highlight w:val="none"/>
        </w:rPr>
      </w:pPr>
      <w:r>
        <w:rPr>
          <w:rFonts w:hint="eastAsia"/>
          <w:color w:val="auto"/>
          <w:sz w:val="28"/>
          <w:szCs w:val="28"/>
          <w:highlight w:val="none"/>
        </w:rPr>
        <w:t>1. 总则</w:t>
      </w:r>
      <w:bookmarkEnd w:id="38"/>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39" w:name="_Toc472337628"/>
      <w:bookmarkEnd w:id="39"/>
      <w:bookmarkStart w:id="40" w:name="_Toc472429273"/>
      <w:bookmarkEnd w:id="40"/>
      <w:bookmarkStart w:id="41" w:name="_Toc31298"/>
      <w:bookmarkStart w:id="42" w:name="_Toc17395"/>
      <w:r>
        <w:rPr>
          <w:rFonts w:hint="eastAsia" w:ascii="宋体" w:hAnsi="宋体" w:eastAsia="宋体" w:cs="宋体"/>
          <w:color w:val="auto"/>
          <w:highlight w:val="none"/>
        </w:rPr>
        <w:t>1.1  项目概况</w:t>
      </w:r>
      <w:bookmarkEnd w:id="41"/>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根据《中华人民共和国政府采购法</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中华人民共和国政府采购法实施条例》等有关</w:t>
      </w:r>
      <w:r>
        <w:rPr>
          <w:rFonts w:hint="eastAsia" w:ascii="宋体" w:hAnsi="宋体" w:cs="宋体"/>
          <w:color w:val="auto"/>
          <w:szCs w:val="21"/>
          <w:highlight w:val="none"/>
          <w:lang w:eastAsia="zh-CN"/>
        </w:rPr>
        <w:t>法律法规</w:t>
      </w:r>
      <w:r>
        <w:rPr>
          <w:rFonts w:hint="eastAsia" w:ascii="宋体" w:hAnsi="宋体" w:eastAsia="宋体" w:cs="宋体"/>
          <w:color w:val="auto"/>
          <w:szCs w:val="21"/>
          <w:highlight w:val="none"/>
        </w:rPr>
        <w:t>和规章的规定，本招标项目已具备招标条件，现对本项目进行招标。</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本招标项目采购人：见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本招标项目采购代理机构：见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  本招标项目名称：见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本招标</w:t>
      </w:r>
      <w:r>
        <w:rPr>
          <w:rFonts w:hint="eastAsia" w:ascii="宋体" w:hAnsi="宋体" w:eastAsia="宋体" w:cs="宋体"/>
          <w:color w:val="auto"/>
          <w:szCs w:val="21"/>
          <w:highlight w:val="none"/>
          <w:lang w:val="en-US" w:eastAsia="zh-CN"/>
        </w:rPr>
        <w:t>采购方式</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本招标</w:t>
      </w:r>
      <w:r>
        <w:rPr>
          <w:rFonts w:hint="eastAsia" w:ascii="宋体" w:hAnsi="宋体" w:eastAsia="宋体" w:cs="宋体"/>
          <w:b w:val="0"/>
          <w:bCs w:val="0"/>
          <w:color w:val="auto"/>
          <w:sz w:val="21"/>
          <w:szCs w:val="21"/>
          <w:highlight w:val="none"/>
          <w:lang w:val="en-US" w:eastAsia="zh-CN"/>
        </w:rPr>
        <w:t>最</w:t>
      </w:r>
      <w:r>
        <w:rPr>
          <w:rFonts w:hint="eastAsia" w:ascii="宋体" w:hAnsi="宋体" w:cs="宋体"/>
          <w:b w:val="0"/>
          <w:bCs w:val="0"/>
          <w:color w:val="auto"/>
          <w:sz w:val="21"/>
          <w:szCs w:val="21"/>
          <w:highlight w:val="none"/>
          <w:lang w:val="en-US" w:eastAsia="zh-CN"/>
        </w:rPr>
        <w:t>高</w:t>
      </w:r>
      <w:r>
        <w:rPr>
          <w:rFonts w:hint="eastAsia" w:ascii="宋体" w:hAnsi="宋体" w:eastAsia="宋体" w:cs="宋体"/>
          <w:b w:val="0"/>
          <w:bCs w:val="0"/>
          <w:color w:val="auto"/>
          <w:sz w:val="21"/>
          <w:szCs w:val="21"/>
          <w:highlight w:val="none"/>
          <w:lang w:val="en-US" w:eastAsia="zh-CN"/>
        </w:rPr>
        <w:t>限价</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43" w:name="_Toc472337629"/>
      <w:bookmarkEnd w:id="43"/>
      <w:bookmarkStart w:id="44" w:name="_Toc472429274"/>
      <w:bookmarkEnd w:id="44"/>
      <w:bookmarkStart w:id="45" w:name="_Toc29888"/>
      <w:bookmarkStart w:id="46" w:name="_Toc4182"/>
      <w:r>
        <w:rPr>
          <w:rFonts w:hint="eastAsia" w:ascii="宋体" w:hAnsi="宋体" w:eastAsia="宋体" w:cs="宋体"/>
          <w:color w:val="auto"/>
          <w:highlight w:val="none"/>
        </w:rPr>
        <w:t>1.2  资金来源和落实情况</w:t>
      </w:r>
      <w:bookmarkEnd w:id="45"/>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1.2.l  本招标项目的资金来源：见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本招标项目的出资比例：见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本招标项目的资金落实情况：见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lang w:val="en-US"/>
        </w:rPr>
      </w:pPr>
      <w:bookmarkStart w:id="47" w:name="_Toc472429275"/>
      <w:bookmarkEnd w:id="47"/>
      <w:bookmarkStart w:id="48" w:name="_Toc472337630"/>
      <w:bookmarkEnd w:id="48"/>
      <w:bookmarkStart w:id="49" w:name="_Toc31796"/>
      <w:bookmarkStart w:id="50" w:name="_Toc19797"/>
      <w:r>
        <w:rPr>
          <w:rFonts w:hint="eastAsia" w:ascii="宋体" w:hAnsi="宋体" w:eastAsia="宋体" w:cs="宋体"/>
          <w:color w:val="auto"/>
          <w:highlight w:val="none"/>
        </w:rPr>
        <w:t xml:space="preserve">1.3  </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范围、</w:t>
      </w:r>
      <w:r>
        <w:rPr>
          <w:rFonts w:hint="eastAsia" w:ascii="宋体" w:hAnsi="宋体" w:eastAsia="宋体" w:cs="宋体"/>
          <w:color w:val="auto"/>
          <w:highlight w:val="none"/>
          <w:lang w:eastAsia="zh-CN"/>
        </w:rPr>
        <w:t>服务期限、</w:t>
      </w:r>
      <w:r>
        <w:rPr>
          <w:rFonts w:hint="eastAsia" w:ascii="宋体" w:hAnsi="宋体" w:eastAsia="宋体" w:cs="宋体"/>
          <w:color w:val="auto"/>
          <w:highlight w:val="none"/>
          <w:lang w:val="en-US" w:eastAsia="zh-CN"/>
        </w:rPr>
        <w:t>质量要求</w:t>
      </w:r>
      <w:bookmarkEnd w:id="49"/>
      <w:bookmarkEnd w:id="50"/>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本次采购范围：见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1.3.2  </w:t>
      </w:r>
      <w:r>
        <w:rPr>
          <w:rFonts w:hint="eastAsia" w:ascii="宋体" w:hAnsi="宋体" w:eastAsia="宋体" w:cs="宋体"/>
          <w:color w:val="auto"/>
          <w:szCs w:val="21"/>
          <w:highlight w:val="none"/>
        </w:rPr>
        <w:t>本项目的</w:t>
      </w:r>
      <w:r>
        <w:rPr>
          <w:rFonts w:hint="eastAsia" w:ascii="宋体" w:hAnsi="宋体" w:eastAsia="宋体" w:cs="宋体"/>
          <w:color w:val="auto"/>
          <w:szCs w:val="21"/>
          <w:highlight w:val="none"/>
          <w:lang w:eastAsia="zh-CN"/>
        </w:rPr>
        <w:t>服务期限</w:t>
      </w:r>
      <w:r>
        <w:rPr>
          <w:rFonts w:hint="eastAsia" w:ascii="宋体" w:hAnsi="宋体" w:eastAsia="宋体" w:cs="宋体"/>
          <w:color w:val="auto"/>
          <w:szCs w:val="21"/>
          <w:highlight w:val="none"/>
        </w:rPr>
        <w:t>：见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1.3.3  本项目的质量要求：见投标人须知前附表。</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51" w:name="_Toc472337631"/>
      <w:bookmarkEnd w:id="51"/>
      <w:bookmarkStart w:id="52" w:name="_Toc472429276"/>
      <w:bookmarkEnd w:id="52"/>
      <w:bookmarkStart w:id="53" w:name="_Toc21309"/>
      <w:bookmarkStart w:id="54" w:name="_Toc19091"/>
      <w:r>
        <w:rPr>
          <w:rFonts w:hint="eastAsia" w:ascii="宋体" w:hAnsi="宋体" w:eastAsia="宋体" w:cs="宋体"/>
          <w:color w:val="auto"/>
          <w:highlight w:val="none"/>
        </w:rPr>
        <w:t xml:space="preserve">1.4  </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资格要求</w:t>
      </w:r>
      <w:bookmarkEnd w:id="53"/>
      <w:bookmarkEnd w:id="54"/>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bookmarkStart w:id="55" w:name="_Toc472429277"/>
      <w:bookmarkStart w:id="56" w:name="_Toc472337632"/>
      <w:r>
        <w:rPr>
          <w:rFonts w:hint="eastAsia" w:ascii="宋体" w:hAnsi="宋体" w:eastAsia="宋体" w:cs="宋体"/>
          <w:color w:val="auto"/>
          <w:szCs w:val="21"/>
          <w:highlight w:val="none"/>
          <w:lang w:val="en-US" w:eastAsia="zh-CN"/>
        </w:rPr>
        <w:t>1.4.1</w:t>
      </w:r>
      <w:r>
        <w:rPr>
          <w:rFonts w:hint="eastAsia" w:ascii="宋体" w:hAnsi="宋体" w:eastAsia="宋体" w:cs="宋体"/>
          <w:color w:val="auto"/>
          <w:szCs w:val="21"/>
          <w:highlight w:val="none"/>
        </w:rPr>
        <w:t>投标人资格要求：见投标人须知前附表。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合格的投标人不应有违法行为，在近三年内无不良经营行为。投标人如果在本次招标投标活动中，被有关管理部门认定有违法行为，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有权拒绝其投标、取消其中标资格。</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投标人不得存在下列情形：</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不具有独立法人资格的附属机构（单位）；</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（2）被责令停业的；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（3）被暂停或取消投标资格的；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（4）财产被接管或冻结的；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（5）在最近三年内有骗取中标或严重违约的；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（6）在招标活动中曾出现过违规违纪行为的。</w:t>
      </w:r>
    </w:p>
    <w:bookmarkEnd w:id="55"/>
    <w:bookmarkEnd w:id="56"/>
    <w:p>
      <w:pPr>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b/>
          <w:color w:val="auto"/>
          <w:highlight w:val="none"/>
        </w:rPr>
      </w:pPr>
      <w:r>
        <w:rPr>
          <w:rFonts w:hint="eastAsia" w:ascii="宋体" w:hAnsi="宋体" w:eastAsia="宋体" w:cs="宋体"/>
          <w:b/>
          <w:color w:val="auto"/>
          <w:highlight w:val="none"/>
        </w:rPr>
        <w:t>1.5  费用承担</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投标人准备和参加投标活动发生的费用自理。</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57" w:name="_Toc472429278"/>
      <w:bookmarkEnd w:id="57"/>
      <w:bookmarkStart w:id="58" w:name="_Toc472337633"/>
      <w:bookmarkEnd w:id="58"/>
      <w:bookmarkStart w:id="59" w:name="_Toc20326"/>
      <w:bookmarkStart w:id="60" w:name="_Toc9751"/>
      <w:r>
        <w:rPr>
          <w:rFonts w:hint="eastAsia" w:ascii="宋体" w:hAnsi="宋体" w:eastAsia="宋体" w:cs="宋体"/>
          <w:color w:val="auto"/>
          <w:highlight w:val="none"/>
        </w:rPr>
        <w:t>1.6  保密</w:t>
      </w:r>
      <w:bookmarkEnd w:id="59"/>
      <w:bookmarkEnd w:id="60"/>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参与招标投标活动的各方应对招标文件和投标文件中的商业和技术等秘密保密，违者应</w:t>
      </w:r>
    </w:p>
    <w:p>
      <w:pPr>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对由此造成的后果承担法律责任。</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61" w:name="_Toc472429279"/>
      <w:bookmarkEnd w:id="61"/>
      <w:bookmarkStart w:id="62" w:name="_Toc472337634"/>
      <w:bookmarkEnd w:id="62"/>
      <w:bookmarkStart w:id="63" w:name="_Toc15051"/>
      <w:bookmarkStart w:id="64" w:name="_Toc2561"/>
      <w:r>
        <w:rPr>
          <w:rFonts w:hint="eastAsia" w:ascii="宋体" w:hAnsi="宋体" w:eastAsia="宋体" w:cs="宋体"/>
          <w:color w:val="auto"/>
          <w:highlight w:val="none"/>
        </w:rPr>
        <w:t>1.7  语言文字</w:t>
      </w:r>
      <w:bookmarkEnd w:id="63"/>
      <w:bookmarkEnd w:id="64"/>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除专用术语外，与招标投标有关的语言均使用中文。必要时专用术语应附有中文注释。</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65" w:name="_Toc472337635"/>
      <w:bookmarkEnd w:id="65"/>
      <w:bookmarkStart w:id="66" w:name="_Toc472429280"/>
      <w:bookmarkEnd w:id="66"/>
      <w:bookmarkStart w:id="67" w:name="_Toc27218"/>
      <w:bookmarkStart w:id="68" w:name="_Toc28139"/>
      <w:r>
        <w:rPr>
          <w:rFonts w:hint="eastAsia" w:ascii="宋体" w:hAnsi="宋体" w:eastAsia="宋体" w:cs="宋体"/>
          <w:color w:val="auto"/>
          <w:highlight w:val="none"/>
        </w:rPr>
        <w:t>1.8  计量单位</w:t>
      </w:r>
      <w:bookmarkEnd w:id="67"/>
      <w:bookmarkEnd w:id="68"/>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所有计量均采用中华人民共和国法定计量单位。</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69" w:name="_Toc472429282"/>
      <w:bookmarkEnd w:id="69"/>
      <w:bookmarkStart w:id="70" w:name="_Toc472337637"/>
      <w:bookmarkEnd w:id="70"/>
      <w:bookmarkStart w:id="71" w:name="_Toc30161"/>
      <w:bookmarkStart w:id="72" w:name="_Toc5853"/>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投标预备会</w:t>
      </w:r>
      <w:bookmarkEnd w:id="71"/>
      <w:bookmarkEnd w:id="72"/>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不召开</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73" w:name="_Toc472337638"/>
      <w:bookmarkEnd w:id="73"/>
      <w:bookmarkStart w:id="74" w:name="_Toc472429283"/>
      <w:bookmarkEnd w:id="74"/>
      <w:bookmarkStart w:id="75" w:name="_Toc5042"/>
      <w:bookmarkStart w:id="76" w:name="_Toc1401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 xml:space="preserve"> 分包</w:t>
      </w:r>
      <w:bookmarkEnd w:id="75"/>
      <w:bookmarkEnd w:id="76"/>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投标人在中标后不得将中标项目进行分包。</w:t>
      </w:r>
    </w:p>
    <w:p>
      <w:pPr>
        <w:bidi w:val="0"/>
        <w:outlineLvl w:val="1"/>
        <w:rPr>
          <w:rFonts w:hint="eastAsia" w:ascii="Times New Roman" w:hAnsi="Times New Roman" w:eastAsia="宋体" w:cs="Times New Roman"/>
          <w:b/>
          <w:bCs/>
          <w:color w:val="auto"/>
          <w:sz w:val="28"/>
          <w:szCs w:val="28"/>
          <w:highlight w:val="none"/>
        </w:rPr>
      </w:pPr>
      <w:bookmarkStart w:id="77" w:name="_Toc472337640"/>
      <w:bookmarkEnd w:id="77"/>
      <w:bookmarkStart w:id="78" w:name="_Toc472429285"/>
      <w:bookmarkEnd w:id="78"/>
      <w:bookmarkStart w:id="79" w:name="_Toc5378"/>
      <w:r>
        <w:rPr>
          <w:rFonts w:hint="eastAsia" w:ascii="Times New Roman" w:hAnsi="Times New Roman" w:eastAsia="宋体" w:cs="Times New Roman"/>
          <w:b/>
          <w:bCs/>
          <w:color w:val="auto"/>
          <w:sz w:val="28"/>
          <w:szCs w:val="28"/>
          <w:highlight w:val="none"/>
        </w:rPr>
        <w:t>2.招标文件</w:t>
      </w:r>
      <w:bookmarkEnd w:id="79"/>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80" w:name="_Toc472429286"/>
      <w:bookmarkEnd w:id="80"/>
      <w:bookmarkStart w:id="81" w:name="_Toc472337641"/>
      <w:bookmarkEnd w:id="81"/>
      <w:bookmarkStart w:id="82" w:name="_Toc22641"/>
      <w:bookmarkStart w:id="83" w:name="_Toc27672"/>
      <w:r>
        <w:rPr>
          <w:rFonts w:hint="eastAsia" w:ascii="宋体" w:hAnsi="宋体" w:eastAsia="宋体" w:cs="宋体"/>
          <w:color w:val="auto"/>
          <w:highlight w:val="none"/>
        </w:rPr>
        <w:t>2.1  招标文件的组成</w:t>
      </w:r>
      <w:bookmarkEnd w:id="82"/>
      <w:bookmarkEnd w:id="83"/>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本招标文件包括：</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招标公告；</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评标办法；</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合同主要条款及格式</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采购需求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投标文件格式：</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前附表规定的其他材料。</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根据本章第l.10款、第2.2款和第2.3款对招标文件所作的澄清、修改，构成招标文件的组成部分。</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84" w:name="_Toc472337642"/>
      <w:bookmarkEnd w:id="84"/>
      <w:bookmarkStart w:id="85" w:name="_Toc472429287"/>
      <w:bookmarkEnd w:id="85"/>
      <w:bookmarkStart w:id="86" w:name="_Toc13474"/>
      <w:bookmarkStart w:id="87" w:name="_Toc20084"/>
      <w:r>
        <w:rPr>
          <w:rFonts w:hint="eastAsia" w:ascii="宋体" w:hAnsi="宋体" w:eastAsia="宋体" w:cs="宋体"/>
          <w:color w:val="auto"/>
          <w:highlight w:val="none"/>
        </w:rPr>
        <w:t>2.2  招标文件的澄清</w:t>
      </w:r>
      <w:bookmarkEnd w:id="86"/>
      <w:bookmarkEnd w:id="87"/>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jc w:val="distribute"/>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2.2.1投标人应仔细阅读和检查招标文件的全部内容。如发现缺页或附件不全，应及时向采购人提出，以便补齐。如有疑问，应在</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前附表规定的时间前以书面形式(包</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括信函、电报、传真等可以有形地表现所载内容的形式，下同</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，要求采购人对招标文件予以澄清。</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招标文件的澄清将在</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规定的投标截止时间15天前在信阳市公共资源交易系统“变更公告”或“答疑文件”将澄清内容予以发布，但不指明澄清问题的来源。如果澄清发出的时间距投标截止时间不足15天的，并且澄清的内容可能影响投标文件编制的，将相应延长投标截止时间。</w:t>
      </w:r>
    </w:p>
    <w:p>
      <w:pPr>
        <w:pStyle w:val="27"/>
        <w:keepNext w:val="0"/>
        <w:keepLines w:val="0"/>
        <w:pageBreakBefore w:val="0"/>
        <w:widowControl w:val="0"/>
        <w:kinsoku/>
        <w:wordWrap/>
        <w:overflowPunct/>
        <w:topLinePunct w:val="0"/>
        <w:autoSpaceDE/>
        <w:autoSpaceDN/>
        <w:bidi w:val="0"/>
        <w:adjustRightInd/>
        <w:snapToGrid/>
        <w:spacing w:beforeAutospacing="0" w:after="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投标人应在投标文件递交截止时间前及时查看澄清内容，因投标人未及时查看而造成的后果自负。</w:t>
      </w:r>
    </w:p>
    <w:p>
      <w:pPr>
        <w:pStyle w:val="27"/>
        <w:keepNext w:val="0"/>
        <w:keepLines w:val="0"/>
        <w:pageBreakBefore w:val="0"/>
        <w:widowControl w:val="0"/>
        <w:kinsoku/>
        <w:wordWrap/>
        <w:overflowPunct/>
        <w:topLinePunct w:val="0"/>
        <w:autoSpaceDE/>
        <w:autoSpaceDN/>
        <w:bidi w:val="0"/>
        <w:adjustRightInd/>
        <w:snapToGrid/>
        <w:spacing w:beforeAutospacing="0" w:after="0" w:afterAutospacing="0"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2.2.4 除非采购人认为确有必要答复，否则，采购人有权拒绝回复投标人在本章第2.2.1项规定的时间后的任何澄清要求。</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88" w:name="_Toc472337643"/>
      <w:bookmarkEnd w:id="88"/>
      <w:bookmarkStart w:id="89" w:name="_Toc472429288"/>
      <w:bookmarkEnd w:id="89"/>
      <w:bookmarkStart w:id="90" w:name="_Toc18040"/>
      <w:bookmarkStart w:id="91" w:name="_Toc10589"/>
      <w:r>
        <w:rPr>
          <w:rFonts w:hint="eastAsia" w:ascii="宋体" w:hAnsi="宋体" w:eastAsia="宋体" w:cs="宋体"/>
          <w:color w:val="auto"/>
          <w:highlight w:val="none"/>
        </w:rPr>
        <w:t>2.3  招标文件的修改</w:t>
      </w:r>
      <w:bookmarkEnd w:id="90"/>
      <w:bookmarkEnd w:id="91"/>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在投标截止时间15天前，招标人可以修改招标文件。如有修改，应在信阳市公共资源交易系统“变更公告”或“答疑文件”将修改内容予以发布。如果修改的内容可能影响投标文件编制且发出的时间距投标截止时间不足15天</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，相应延长投标截止时间。</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2.3.2当招标文件的澄清、修改、补充等在同一内容的表述上不一致时，以最后在信阳市公共资源交易系统发出的文件为准。</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2.3.3投标人应在投标文件递交截止时间前及时查看修改内容，因投标人未及时查看而造成的后果自负。</w:t>
      </w:r>
    </w:p>
    <w:p>
      <w:pPr>
        <w:bidi w:val="0"/>
        <w:outlineLvl w:val="1"/>
        <w:rPr>
          <w:rFonts w:hint="eastAsia" w:ascii="Times New Roman" w:hAnsi="Times New Roman" w:eastAsia="宋体" w:cs="Times New Roman"/>
          <w:b/>
          <w:bCs/>
          <w:color w:val="auto"/>
          <w:sz w:val="28"/>
          <w:szCs w:val="28"/>
          <w:highlight w:val="none"/>
        </w:rPr>
      </w:pPr>
      <w:bookmarkStart w:id="92" w:name="_Toc472429289"/>
      <w:bookmarkEnd w:id="92"/>
      <w:bookmarkStart w:id="93" w:name="_Toc472337644"/>
      <w:bookmarkEnd w:id="93"/>
      <w:bookmarkStart w:id="94" w:name="_Toc16206"/>
      <w:r>
        <w:rPr>
          <w:rFonts w:hint="eastAsia" w:ascii="Times New Roman" w:hAnsi="Times New Roman" w:eastAsia="宋体" w:cs="Times New Roman"/>
          <w:b/>
          <w:bCs/>
          <w:color w:val="auto"/>
          <w:sz w:val="28"/>
          <w:szCs w:val="28"/>
          <w:highlight w:val="none"/>
        </w:rPr>
        <w:t>3.投标文件</w:t>
      </w:r>
      <w:bookmarkEnd w:id="94"/>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95" w:name="_Toc472337645"/>
      <w:bookmarkEnd w:id="95"/>
      <w:bookmarkStart w:id="96" w:name="_Toc472429290"/>
      <w:bookmarkEnd w:id="96"/>
      <w:bookmarkStart w:id="97" w:name="_Toc14229"/>
      <w:bookmarkStart w:id="98" w:name="_Toc9146"/>
      <w:r>
        <w:rPr>
          <w:rFonts w:hint="eastAsia" w:ascii="宋体" w:hAnsi="宋体" w:eastAsia="宋体" w:cs="宋体"/>
          <w:color w:val="auto"/>
          <w:highlight w:val="none"/>
        </w:rPr>
        <w:t>3.1  投标文件的组成</w:t>
      </w:r>
      <w:bookmarkEnd w:id="97"/>
      <w:bookmarkEnd w:id="98"/>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投标文件应包括下列内容：</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投标函及投标函附录 </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法人代表身份证明或附有法定代表人身份证明的授权委托书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）拟</w:t>
      </w:r>
      <w:r>
        <w:rPr>
          <w:rFonts w:hint="eastAsia" w:ascii="宋体" w:hAnsi="宋体" w:cs="宋体"/>
          <w:color w:val="auto"/>
          <w:szCs w:val="21"/>
          <w:highlight w:val="none"/>
          <w:lang w:val="en-US" w:eastAsia="zh-CN"/>
        </w:rPr>
        <w:t>投入</w:t>
      </w:r>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人员情况表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资格审查资料</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lang w:eastAsia="zh-CN"/>
        </w:rPr>
        <w:t>方案</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其他材料</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投标人在评标过程中作出的符合法律法规和招标文件规定的澄清确认，构成投标文件的组成部分。</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99" w:name="_Toc472337646"/>
      <w:bookmarkEnd w:id="99"/>
      <w:bookmarkStart w:id="100" w:name="_Toc472429291"/>
      <w:bookmarkEnd w:id="100"/>
      <w:bookmarkStart w:id="101" w:name="_Toc32234"/>
      <w:bookmarkStart w:id="102" w:name="_Toc22041"/>
      <w:r>
        <w:rPr>
          <w:rFonts w:hint="eastAsia" w:ascii="宋体" w:hAnsi="宋体" w:eastAsia="宋体" w:cs="宋体"/>
          <w:color w:val="auto"/>
          <w:highlight w:val="none"/>
        </w:rPr>
        <w:t>3.2  投标报价</w:t>
      </w:r>
      <w:bookmarkEnd w:id="101"/>
      <w:bookmarkEnd w:id="102"/>
    </w:p>
    <w:p>
      <w:pPr>
        <w:keepNext w:val="0"/>
        <w:keepLines w:val="0"/>
        <w:pageBreakBefore w:val="0"/>
        <w:kinsoku/>
        <w:wordWrap/>
        <w:overflowPunct/>
        <w:topLinePunct w:val="0"/>
        <w:autoSpaceDE/>
        <w:autoSpaceDN/>
        <w:bidi w:val="0"/>
        <w:spacing w:beforeAutospacing="0" w:afterAutospacing="0" w:line="312"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t>投标报价以设施使用费进行报价，投标人承接本项目需向采购人缴纳设施使用费，本项目设施使用费采用固定报价方式，投标人按招标文件规定要求进行固定报价。</w:t>
      </w:r>
      <w:r>
        <w:rPr>
          <w:rFonts w:hint="eastAsia"/>
          <w:color w:val="auto"/>
          <w:highlight w:val="none"/>
          <w:lang w:val="en-US" w:eastAsia="zh-CN"/>
        </w:rPr>
        <w:t>设施使用费10年运营期内分阶段缴纳。第1、2、3年为培育期，免缴纳设施使用费；第4、5、6年为成长期，每年按中心初始投入固定资产评估后的数值总额的90%，向委托方缴纳每年1.5% 的设施使用费；第7、8、9、10 年为发展期，每年按中心初始投入固定资产评估后的数值总额的1.5%向委托方缴纳的设施使用费。</w:t>
      </w:r>
    </w:p>
    <w:p>
      <w:pPr>
        <w:keepNext w:val="0"/>
        <w:keepLines w:val="0"/>
        <w:pageBreakBefore w:val="0"/>
        <w:kinsoku/>
        <w:wordWrap/>
        <w:overflowPunct/>
        <w:topLinePunct w:val="0"/>
        <w:autoSpaceDE/>
        <w:autoSpaceDN/>
        <w:bidi w:val="0"/>
        <w:spacing w:beforeAutospacing="0" w:afterAutospacing="0" w:line="312" w:lineRule="auto"/>
        <w:ind w:firstLine="420" w:firstLineChars="200"/>
        <w:jc w:val="left"/>
        <w:rPr>
          <w:rFonts w:hint="eastAsia" w:ascii="宋体" w:hAnsi="宋体" w:eastAsia="宋体" w:cs="宋体"/>
          <w:b/>
          <w:bCs w:val="0"/>
          <w:color w:val="auto"/>
          <w:kern w:val="0"/>
          <w:szCs w:val="21"/>
          <w:highlight w:val="none"/>
        </w:rPr>
      </w:pPr>
      <w:r>
        <w:rPr>
          <w:rFonts w:hint="eastAsia" w:ascii="宋体" w:hAnsi="宋体" w:cs="宋体"/>
          <w:color w:val="auto"/>
          <w:highlight w:val="none"/>
          <w:lang w:val="en-US" w:eastAsia="zh-CN"/>
        </w:rPr>
        <w:t>注：初始投入固定资产评估总额约为6900.00万元（按财政评审后的工程决算价及其他应纳入固定资产评估的费用总和计算）</w:t>
      </w:r>
      <w:r>
        <w:rPr>
          <w:rFonts w:hint="eastAsia" w:ascii="宋体" w:hAnsi="宋体" w:cs="宋体"/>
          <w:b/>
          <w:bCs/>
          <w:color w:val="auto"/>
          <w:highlight w:val="none"/>
          <w:lang w:val="en-US" w:eastAsia="zh-CN"/>
        </w:rPr>
        <w:t>。</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03" w:name="_Toc472429292"/>
      <w:bookmarkEnd w:id="103"/>
      <w:bookmarkStart w:id="104" w:name="_Toc472337647"/>
      <w:bookmarkEnd w:id="104"/>
      <w:bookmarkStart w:id="105" w:name="_Toc10844"/>
      <w:bookmarkStart w:id="106" w:name="_Toc5495"/>
      <w:r>
        <w:rPr>
          <w:rFonts w:hint="eastAsia" w:ascii="宋体" w:hAnsi="宋体" w:eastAsia="宋体" w:cs="宋体"/>
          <w:color w:val="auto"/>
          <w:highlight w:val="none"/>
        </w:rPr>
        <w:t>3.3  投标有效期</w:t>
      </w:r>
      <w:bookmarkEnd w:id="105"/>
      <w:bookmarkEnd w:id="106"/>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出现特殊情况需要延长投标有效期的，采购人以书面形式通知所有投标人延长投标有效期。投标人同意延长的，不得要求或被允许修改或撤销其投标文件；投标人拒绝延长的，其投标失效。</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lang w:val="en-US" w:eastAsia="zh-CN"/>
        </w:rPr>
      </w:pPr>
      <w:bookmarkStart w:id="107" w:name="_Toc23727"/>
      <w:bookmarkStart w:id="108" w:name="_Toc13263"/>
      <w:r>
        <w:rPr>
          <w:rFonts w:hint="eastAsia" w:ascii="宋体" w:hAnsi="宋体" w:eastAsia="宋体" w:cs="宋体"/>
          <w:color w:val="auto"/>
          <w:highlight w:val="none"/>
          <w:lang w:val="en-US" w:eastAsia="zh-CN"/>
        </w:rPr>
        <w:t>3.4  投标保证金：</w:t>
      </w:r>
      <w:bookmarkEnd w:id="107"/>
      <w:bookmarkEnd w:id="108"/>
    </w:p>
    <w:p>
      <w:pPr>
        <w:pStyle w:val="21"/>
        <w:keepNext w:val="0"/>
        <w:keepLines w:val="0"/>
        <w:pageBreakBefore w:val="0"/>
        <w:kinsoku/>
        <w:wordWrap/>
        <w:overflowPunct/>
        <w:topLinePunct w:val="0"/>
        <w:autoSpaceDE/>
        <w:autoSpaceDN/>
        <w:bidi w:val="0"/>
        <w:spacing w:beforeAutospacing="0" w:afterAutospacing="0" w:line="312" w:lineRule="auto"/>
        <w:ind w:firstLine="420" w:firstLineChars="200"/>
        <w:outlineLvl w:val="9"/>
        <w:rPr>
          <w:rFonts w:hint="eastAsia" w:ascii="宋体" w:hAnsi="宋体" w:eastAsia="宋体" w:cs="宋体"/>
          <w:b w:val="0"/>
          <w:bCs w:val="0"/>
          <w:color w:val="auto"/>
          <w:highlight w:val="none"/>
          <w:lang w:val="en-US" w:eastAsia="zh-CN"/>
        </w:rPr>
      </w:pPr>
      <w:bookmarkStart w:id="109" w:name="_Toc9389"/>
      <w:bookmarkStart w:id="110" w:name="_Toc31709"/>
      <w:r>
        <w:rPr>
          <w:rFonts w:hint="eastAsia" w:ascii="宋体" w:hAnsi="宋体" w:eastAsia="宋体" w:cs="宋体"/>
          <w:b w:val="0"/>
          <w:bCs w:val="0"/>
          <w:color w:val="auto"/>
          <w:highlight w:val="none"/>
          <w:lang w:val="en-US" w:eastAsia="zh-CN"/>
        </w:rPr>
        <w:t>无。</w:t>
      </w:r>
      <w:bookmarkEnd w:id="109"/>
      <w:bookmarkEnd w:id="110"/>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lang w:val="en-US" w:eastAsia="zh-CN"/>
        </w:rPr>
      </w:pPr>
      <w:bookmarkStart w:id="111" w:name="_Toc472429294"/>
      <w:bookmarkEnd w:id="111"/>
      <w:bookmarkStart w:id="112" w:name="_Toc472337649"/>
      <w:bookmarkEnd w:id="112"/>
      <w:bookmarkStart w:id="113" w:name="_Toc24067"/>
      <w:bookmarkStart w:id="114" w:name="_Toc20770"/>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资格审查资料</w:t>
      </w:r>
      <w:bookmarkEnd w:id="113"/>
      <w:bookmarkEnd w:id="114"/>
      <w:r>
        <w:rPr>
          <w:rFonts w:hint="eastAsia" w:ascii="宋体" w:hAnsi="宋体" w:eastAsia="宋体" w:cs="宋体"/>
          <w:color w:val="auto"/>
          <w:highlight w:val="none"/>
          <w:lang w:val="en-US" w:eastAsia="zh-CN"/>
        </w:rPr>
        <w:t xml:space="preserve">  </w:t>
      </w:r>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3.5.1“投标人基本情况表”应附投标人</w:t>
      </w:r>
      <w:r>
        <w:rPr>
          <w:rFonts w:hint="eastAsia" w:ascii="宋体" w:hAnsi="宋体" w:eastAsia="宋体" w:cs="宋体"/>
          <w:color w:val="auto"/>
          <w:szCs w:val="21"/>
          <w:highlight w:val="none"/>
          <w:lang w:val="en-US" w:eastAsia="zh-CN"/>
        </w:rPr>
        <w:t>营业执照或其他组织证明文件，自然人的身份证明</w:t>
      </w:r>
      <w:r>
        <w:rPr>
          <w:rFonts w:hint="eastAsia" w:ascii="宋体" w:hAnsi="宋体" w:eastAsia="宋体" w:cs="宋体"/>
          <w:color w:val="auto"/>
          <w:szCs w:val="21"/>
          <w:highlight w:val="none"/>
        </w:rPr>
        <w:t>等材料。</w:t>
      </w:r>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 按照“投标人须知前附表”1.4.1要求，提供其他相关材料。</w:t>
      </w:r>
    </w:p>
    <w:p>
      <w:pPr>
        <w:pStyle w:val="21"/>
        <w:keepNext w:val="0"/>
        <w:keepLines w:val="0"/>
        <w:pageBreakBefore w:val="0"/>
        <w:shd w:val="clear" w:color="auto" w:fill="auto"/>
        <w:kinsoku/>
        <w:wordWrap/>
        <w:overflowPunct/>
        <w:topLinePunct w:val="0"/>
        <w:autoSpaceDE/>
        <w:autoSpaceDN/>
        <w:bidi w:val="0"/>
        <w:spacing w:beforeAutospacing="0" w:afterAutospacing="0" w:line="312" w:lineRule="auto"/>
        <w:rPr>
          <w:rFonts w:hint="default" w:ascii="宋体" w:hAnsi="宋体" w:eastAsia="宋体" w:cs="宋体"/>
          <w:color w:val="auto"/>
          <w:highlight w:val="none"/>
          <w:lang w:val="en-US" w:eastAsia="zh-CN"/>
        </w:rPr>
      </w:pPr>
      <w:bookmarkStart w:id="115" w:name="_Toc13188"/>
      <w:bookmarkStart w:id="116" w:name="_Toc17656"/>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备选投标方案</w:t>
      </w:r>
      <w:bookmarkEnd w:id="115"/>
      <w:bookmarkEnd w:id="116"/>
      <w:r>
        <w:rPr>
          <w:rFonts w:hint="eastAsia" w:ascii="宋体" w:hAnsi="宋体" w:cs="宋体"/>
          <w:color w:val="auto"/>
          <w:highlight w:val="none"/>
          <w:lang w:eastAsia="zh-CN"/>
        </w:rPr>
        <w:t>（</w:t>
      </w:r>
      <w:r>
        <w:rPr>
          <w:rFonts w:hint="eastAsia" w:ascii="宋体" w:hAnsi="宋体" w:cs="宋体"/>
          <w:color w:val="auto"/>
          <w:highlight w:val="none"/>
          <w:lang w:val="en-US" w:eastAsia="zh-CN"/>
        </w:rPr>
        <w:t>不允许</w:t>
      </w:r>
      <w:r>
        <w:rPr>
          <w:rFonts w:hint="eastAsia" w:ascii="宋体" w:hAnsi="宋体" w:cs="宋体"/>
          <w:color w:val="auto"/>
          <w:highlight w:val="none"/>
          <w:lang w:eastAsia="zh-CN"/>
        </w:rPr>
        <w:t>）</w:t>
      </w:r>
    </w:p>
    <w:p>
      <w:pPr>
        <w:keepNext w:val="0"/>
        <w:keepLines w:val="0"/>
        <w:pageBreakBefore w:val="0"/>
        <w:kinsoku/>
        <w:wordWrap/>
        <w:overflowPunct/>
        <w:topLinePunct w:val="0"/>
        <w:autoSpaceDE/>
        <w:autoSpaceDN/>
        <w:bidi w:val="0"/>
        <w:spacing w:beforeAutospacing="0" w:afterAutospacing="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投标人不得递交备选投标方案，否则其投标将被否决。</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17" w:name="_Toc472429295"/>
      <w:bookmarkEnd w:id="117"/>
      <w:bookmarkStart w:id="118" w:name="_Toc472337650"/>
      <w:bookmarkEnd w:id="118"/>
      <w:bookmarkStart w:id="119" w:name="_Toc20004"/>
      <w:bookmarkStart w:id="120" w:name="_Toc23223"/>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xml:space="preserve">  投标文件的编制</w:t>
      </w:r>
      <w:bookmarkEnd w:id="119"/>
      <w:bookmarkEnd w:id="120"/>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Cs w:val="21"/>
          <w:highlight w:val="none"/>
        </w:rPr>
      </w:pPr>
      <w:bookmarkStart w:id="121" w:name="_Toc2479"/>
      <w:bookmarkStart w:id="122" w:name="_Toc516822640"/>
      <w:bookmarkStart w:id="123" w:name="_Toc14215"/>
      <w:bookmarkStart w:id="124" w:name="_Toc3460"/>
      <w:r>
        <w:rPr>
          <w:rFonts w:hint="eastAsia" w:ascii="宋体" w:hAnsi="宋体" w:eastAsia="宋体" w:cs="宋体"/>
          <w:color w:val="auto"/>
          <w:szCs w:val="21"/>
          <w:highlight w:val="none"/>
        </w:rPr>
        <w:t>3.7.1投标文件应按第六章“投标文件格式”进行编写，如有必要，可以增加附页，作为投标文件的组成部分。其中，投标附录在满足招标文件实质性要求的基础上，可以提出比招标文件要求更有利于采购人的承诺。</w:t>
      </w:r>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 投标文件应当对招标文件有关服务期限、</w:t>
      </w:r>
      <w:r>
        <w:rPr>
          <w:rFonts w:hint="eastAsia" w:ascii="宋体" w:hAnsi="宋体" w:eastAsia="宋体" w:cs="宋体"/>
          <w:color w:val="auto"/>
          <w:szCs w:val="21"/>
          <w:highlight w:val="none"/>
          <w:lang w:val="en-US" w:eastAsia="zh-CN"/>
        </w:rPr>
        <w:t>质量要求</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投标有效期、采购范围作出响应。</w:t>
      </w:r>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3.7.3投标文件应使用信阳市公共资源交易系统投标文件制作专用工具软件编制，投标文件格式为“*.XYTF”。电子投标文件签字或盖章的具体要求见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须在投标文件递交截止时间前制作并提交。</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 投标文件份数见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bookmarkEnd w:id="121"/>
    <w:bookmarkEnd w:id="122"/>
    <w:bookmarkEnd w:id="123"/>
    <w:bookmarkEnd w:id="124"/>
    <w:p>
      <w:pPr>
        <w:bidi w:val="0"/>
        <w:outlineLvl w:val="1"/>
        <w:rPr>
          <w:rFonts w:hint="eastAsia" w:ascii="Times New Roman" w:hAnsi="Times New Roman" w:eastAsia="宋体" w:cs="Times New Roman"/>
          <w:b/>
          <w:bCs/>
          <w:color w:val="auto"/>
          <w:sz w:val="28"/>
          <w:szCs w:val="28"/>
          <w:highlight w:val="none"/>
        </w:rPr>
      </w:pPr>
      <w:bookmarkStart w:id="125" w:name="_Toc8490"/>
      <w:r>
        <w:rPr>
          <w:rFonts w:hint="eastAsia" w:ascii="Times New Roman" w:hAnsi="Times New Roman" w:eastAsia="宋体" w:cs="Times New Roman"/>
          <w:b/>
          <w:bCs/>
          <w:color w:val="auto"/>
          <w:sz w:val="28"/>
          <w:szCs w:val="28"/>
          <w:highlight w:val="none"/>
        </w:rPr>
        <w:t>4. 投标</w:t>
      </w:r>
      <w:bookmarkEnd w:id="125"/>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26" w:name="_Toc472429297"/>
      <w:bookmarkEnd w:id="126"/>
      <w:bookmarkStart w:id="127" w:name="_Toc472337652"/>
      <w:bookmarkEnd w:id="127"/>
      <w:bookmarkStart w:id="128" w:name="_Toc25714"/>
      <w:bookmarkStart w:id="129" w:name="_Toc15738"/>
      <w:bookmarkStart w:id="130" w:name="_Toc472337658"/>
      <w:bookmarkStart w:id="131" w:name="_Toc472429303"/>
      <w:r>
        <w:rPr>
          <w:rFonts w:hint="eastAsia" w:ascii="宋体" w:hAnsi="宋体" w:eastAsia="宋体" w:cs="宋体"/>
          <w:color w:val="auto"/>
          <w:highlight w:val="none"/>
        </w:rPr>
        <w:t>4.1  投标文件的密封和标识</w:t>
      </w:r>
      <w:bookmarkEnd w:id="128"/>
      <w:bookmarkEnd w:id="129"/>
    </w:p>
    <w:p>
      <w:pPr>
        <w:pStyle w:val="27"/>
        <w:keepNext w:val="0"/>
        <w:keepLines w:val="0"/>
        <w:pageBreakBefore w:val="0"/>
        <w:kinsoku/>
        <w:wordWrap/>
        <w:overflowPunct/>
        <w:topLinePunct w:val="0"/>
        <w:autoSpaceDE/>
        <w:autoSpaceDN/>
        <w:bidi w:val="0"/>
        <w:spacing w:beforeAutospacing="0" w:after="0" w:afterAutospacing="0" w:line="312" w:lineRule="auto"/>
        <w:ind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4.1.1 网上上传的电子投标文件应使用投标人数字证书认证并加密。</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32" w:name="_Toc472337653"/>
      <w:bookmarkEnd w:id="132"/>
      <w:bookmarkStart w:id="133" w:name="_Toc472429298"/>
      <w:bookmarkEnd w:id="133"/>
      <w:bookmarkStart w:id="134" w:name="_Toc19195"/>
      <w:bookmarkStart w:id="135" w:name="_Toc3494"/>
      <w:r>
        <w:rPr>
          <w:rFonts w:hint="eastAsia" w:ascii="宋体" w:hAnsi="宋体" w:eastAsia="宋体" w:cs="宋体"/>
          <w:color w:val="auto"/>
          <w:highlight w:val="none"/>
        </w:rPr>
        <w:t>4.2  投标文件的递交</w:t>
      </w:r>
      <w:bookmarkEnd w:id="134"/>
      <w:bookmarkEnd w:id="135"/>
    </w:p>
    <w:p>
      <w:pPr>
        <w:pStyle w:val="21"/>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b w:val="0"/>
          <w:bCs w:val="0"/>
          <w:color w:val="auto"/>
          <w:szCs w:val="21"/>
          <w:highlight w:val="none"/>
        </w:rPr>
      </w:pPr>
      <w:bookmarkStart w:id="136" w:name="_Toc21523"/>
      <w:bookmarkStart w:id="137" w:name="_Toc21362"/>
      <w:bookmarkStart w:id="138" w:name="_Toc472429299"/>
      <w:bookmarkStart w:id="139" w:name="_Toc472337654"/>
      <w:r>
        <w:rPr>
          <w:rFonts w:hint="eastAsia" w:ascii="宋体" w:hAnsi="宋体" w:eastAsia="宋体" w:cs="宋体"/>
          <w:b w:val="0"/>
          <w:bCs w:val="0"/>
          <w:color w:val="auto"/>
          <w:szCs w:val="21"/>
          <w:highlight w:val="none"/>
        </w:rPr>
        <w:t>4.2.1电子投标文件的递交</w:t>
      </w:r>
      <w:bookmarkEnd w:id="136"/>
      <w:bookmarkEnd w:id="137"/>
    </w:p>
    <w:p>
      <w:pPr>
        <w:pStyle w:val="21"/>
        <w:keepNext w:val="0"/>
        <w:keepLines w:val="0"/>
        <w:pageBreakBefore w:val="0"/>
        <w:kinsoku/>
        <w:wordWrap/>
        <w:overflowPunct/>
        <w:topLinePunct w:val="0"/>
        <w:autoSpaceDE/>
        <w:autoSpaceDN/>
        <w:bidi w:val="0"/>
        <w:spacing w:beforeAutospacing="0" w:afterAutospacing="0" w:line="312" w:lineRule="auto"/>
        <w:ind w:firstLine="420" w:firstLineChars="200"/>
        <w:outlineLvl w:val="9"/>
        <w:rPr>
          <w:rFonts w:hint="eastAsia" w:ascii="宋体" w:hAnsi="宋体" w:eastAsia="宋体" w:cs="宋体"/>
          <w:b w:val="0"/>
          <w:bCs w:val="0"/>
          <w:color w:val="auto"/>
          <w:szCs w:val="21"/>
          <w:highlight w:val="none"/>
        </w:rPr>
      </w:pPr>
      <w:bookmarkStart w:id="140" w:name="_Toc10528"/>
      <w:bookmarkStart w:id="141" w:name="_Toc21262"/>
      <w:r>
        <w:rPr>
          <w:rFonts w:hint="eastAsia" w:ascii="宋体" w:hAnsi="宋体" w:eastAsia="宋体" w:cs="宋体"/>
          <w:b w:val="0"/>
          <w:bCs w:val="0"/>
          <w:color w:val="auto"/>
          <w:szCs w:val="21"/>
          <w:highlight w:val="none"/>
        </w:rPr>
        <w:t>各</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应在投标截止时间前上传加密的电子投标文件（*.XYTF）到会员系统的指定位置。上传的电子投标文件应使用投标人CA数字证书认证并加密。上传时必须得到交易系统“上传成功”的确认回复后方为上传成功。请</w:t>
      </w:r>
      <w:r>
        <w:rPr>
          <w:rFonts w:hint="eastAsia" w:ascii="宋体" w:hAnsi="宋体" w:eastAsia="宋体" w:cs="宋体"/>
          <w:b w:val="0"/>
          <w:bCs w:val="0"/>
          <w:color w:val="auto"/>
          <w:szCs w:val="21"/>
          <w:highlight w:val="none"/>
          <w:lang w:eastAsia="zh-CN"/>
        </w:rPr>
        <w:t>投标人</w:t>
      </w:r>
      <w:r>
        <w:rPr>
          <w:rFonts w:hint="eastAsia" w:ascii="宋体" w:hAnsi="宋体" w:eastAsia="宋体" w:cs="宋体"/>
          <w:b w:val="0"/>
          <w:bCs w:val="0"/>
          <w:color w:val="auto"/>
          <w:szCs w:val="21"/>
          <w:highlight w:val="none"/>
        </w:rPr>
        <w:t>在上传前务必认真检查上传投标文件是否完整、正确。</w:t>
      </w:r>
      <w:bookmarkEnd w:id="140"/>
      <w:bookmarkEnd w:id="141"/>
    </w:p>
    <w:bookmarkEnd w:id="138"/>
    <w:bookmarkEnd w:id="139"/>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42" w:name="_Toc17764"/>
      <w:bookmarkStart w:id="143" w:name="_Toc9640"/>
      <w:r>
        <w:rPr>
          <w:rFonts w:hint="eastAsia" w:ascii="宋体" w:hAnsi="宋体" w:eastAsia="宋体" w:cs="宋体"/>
          <w:color w:val="auto"/>
          <w:highlight w:val="none"/>
        </w:rPr>
        <w:t>4.3  投标文件的修改与撤回</w:t>
      </w:r>
      <w:bookmarkEnd w:id="142"/>
      <w:bookmarkEnd w:id="143"/>
    </w:p>
    <w:p>
      <w:pPr>
        <w:pStyle w:val="27"/>
        <w:keepNext w:val="0"/>
        <w:keepLines w:val="0"/>
        <w:pageBreakBefore w:val="0"/>
        <w:kinsoku/>
        <w:wordWrap/>
        <w:overflowPunct/>
        <w:topLinePunct w:val="0"/>
        <w:autoSpaceDE/>
        <w:autoSpaceDN/>
        <w:bidi w:val="0"/>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4.3.1 在第一章“招标公告”规定的投标截止时间前，</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可以多次修改或撤回已递交的投标文件，最终投标文件以投标截止时间前完成上传至信阳市公共资源交易中心交易系统最后一份投标文件为准。</w:t>
      </w:r>
    </w:p>
    <w:p>
      <w:pPr>
        <w:pStyle w:val="27"/>
        <w:keepNext w:val="0"/>
        <w:keepLines w:val="0"/>
        <w:pageBreakBefore w:val="0"/>
        <w:kinsoku/>
        <w:wordWrap/>
        <w:overflowPunct/>
        <w:topLinePunct w:val="0"/>
        <w:autoSpaceDE/>
        <w:autoSpaceDN/>
        <w:bidi w:val="0"/>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4.3.2修改的投标文件应按照本章第3.7条、第4.2条规定进行编制和递交。</w:t>
      </w:r>
    </w:p>
    <w:p>
      <w:pPr>
        <w:bidi w:val="0"/>
        <w:outlineLvl w:val="1"/>
        <w:rPr>
          <w:rFonts w:hint="eastAsia" w:ascii="Times New Roman" w:hAnsi="Times New Roman" w:eastAsia="宋体" w:cs="Times New Roman"/>
          <w:b/>
          <w:bCs/>
          <w:color w:val="auto"/>
          <w:sz w:val="28"/>
          <w:szCs w:val="28"/>
          <w:highlight w:val="none"/>
        </w:rPr>
      </w:pPr>
      <w:bookmarkStart w:id="144" w:name="_Toc7922"/>
      <w:r>
        <w:rPr>
          <w:rFonts w:hint="eastAsia" w:ascii="Times New Roman" w:hAnsi="Times New Roman" w:eastAsia="宋体" w:cs="Times New Roman"/>
          <w:b/>
          <w:bCs/>
          <w:color w:val="auto"/>
          <w:sz w:val="28"/>
          <w:szCs w:val="28"/>
          <w:highlight w:val="none"/>
        </w:rPr>
        <w:t>5. 开标</w:t>
      </w:r>
      <w:bookmarkEnd w:id="144"/>
    </w:p>
    <w:p>
      <w:pPr>
        <w:keepNext w:val="0"/>
        <w:keepLines w:val="0"/>
        <w:pageBreakBefore w:val="0"/>
        <w:kinsoku/>
        <w:wordWrap/>
        <w:overflowPunct/>
        <w:topLinePunct w:val="0"/>
        <w:autoSpaceDE/>
        <w:autoSpaceDN/>
        <w:bidi w:val="0"/>
        <w:spacing w:beforeAutospacing="0" w:afterAutospacing="0" w:line="312" w:lineRule="auto"/>
        <w:outlineLvl w:val="1"/>
        <w:rPr>
          <w:rFonts w:hint="eastAsia" w:ascii="宋体" w:hAnsi="宋体" w:eastAsia="宋体" w:cs="宋体"/>
          <w:b/>
          <w:bCs/>
          <w:color w:val="auto"/>
          <w:sz w:val="21"/>
          <w:szCs w:val="21"/>
          <w:highlight w:val="none"/>
        </w:rPr>
      </w:pPr>
      <w:bookmarkStart w:id="145" w:name="_Toc163"/>
      <w:bookmarkStart w:id="146" w:name="_Toc31101"/>
      <w:r>
        <w:rPr>
          <w:rFonts w:hint="eastAsia" w:ascii="宋体" w:hAnsi="宋体" w:eastAsia="宋体" w:cs="宋体"/>
          <w:b/>
          <w:bCs/>
          <w:color w:val="auto"/>
          <w:sz w:val="21"/>
          <w:szCs w:val="21"/>
          <w:highlight w:val="none"/>
        </w:rPr>
        <w:t xml:space="preserve">5.1 </w:t>
      </w:r>
      <w:r>
        <w:rPr>
          <w:rFonts w:hint="eastAsia" w:ascii="宋体" w:hAnsi="宋体" w:eastAsia="宋体" w:cs="宋体"/>
          <w:b/>
          <w:bCs/>
          <w:color w:val="auto"/>
          <w:sz w:val="21"/>
          <w:szCs w:val="21"/>
          <w:highlight w:val="none"/>
          <w:lang w:eastAsia="zh-CN"/>
        </w:rPr>
        <w:t>开标时间</w:t>
      </w:r>
      <w:r>
        <w:rPr>
          <w:rFonts w:hint="eastAsia" w:ascii="宋体" w:hAnsi="宋体" w:eastAsia="宋体" w:cs="宋体"/>
          <w:b/>
          <w:bCs/>
          <w:color w:val="auto"/>
          <w:sz w:val="21"/>
          <w:szCs w:val="21"/>
          <w:highlight w:val="none"/>
        </w:rPr>
        <w:t>和地点</w:t>
      </w:r>
      <w:bookmarkEnd w:id="145"/>
      <w:bookmarkEnd w:id="146"/>
    </w:p>
    <w:p>
      <w:pPr>
        <w:keepNext w:val="0"/>
        <w:keepLines w:val="0"/>
        <w:pageBreakBefore w:val="0"/>
        <w:kinsoku/>
        <w:wordWrap/>
        <w:overflowPunct/>
        <w:topLinePunct w:val="0"/>
        <w:autoSpaceDE/>
        <w:autoSpaceDN/>
        <w:bidi w:val="0"/>
        <w:spacing w:beforeAutospacing="0" w:afterAutospacing="0"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采购人在本章规定的投标截止时间（</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时间）和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须知前附表规定的地点开标。</w:t>
      </w:r>
    </w:p>
    <w:p>
      <w:pPr>
        <w:keepNext w:val="0"/>
        <w:keepLines w:val="0"/>
        <w:pageBreakBefore w:val="0"/>
        <w:kinsoku/>
        <w:wordWrap/>
        <w:overflowPunct/>
        <w:topLinePunct w:val="0"/>
        <w:autoSpaceDE/>
        <w:autoSpaceDN/>
        <w:bidi w:val="0"/>
        <w:spacing w:beforeAutospacing="0" w:afterAutospacing="0" w:line="312"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 xml:space="preserve">5.1.2 </w:t>
      </w:r>
      <w:r>
        <w:rPr>
          <w:rFonts w:hint="eastAsia" w:ascii="宋体" w:hAnsi="宋体" w:eastAsia="宋体" w:cs="宋体"/>
          <w:b/>
          <w:bCs/>
          <w:color w:val="auto"/>
          <w:sz w:val="21"/>
          <w:szCs w:val="21"/>
          <w:highlight w:val="none"/>
          <w:lang w:val="en-US" w:eastAsia="zh-CN"/>
        </w:rPr>
        <w:t xml:space="preserve">本项目采用“不见面开标”交易方式，不见面开标大厅网址为 </w:t>
      </w:r>
      <w:r>
        <w:rPr>
          <w:rFonts w:hint="eastAsia" w:ascii="宋体" w:hAnsi="宋体" w:eastAsia="宋体" w:cs="宋体"/>
          <w:b/>
          <w:bCs/>
          <w:color w:val="auto"/>
          <w:sz w:val="21"/>
          <w:szCs w:val="21"/>
          <w:highlight w:val="none"/>
          <w:u w:val="none"/>
          <w:lang w:val="en-US" w:eastAsia="zh-CN"/>
        </w:rPr>
        <w:t>https://ggzyjy.xinyang.gov.cn/BidOpening/bidhall/xinyang/login.html，投标人无需寄送和递交</w:t>
      </w:r>
      <w:r>
        <w:rPr>
          <w:rFonts w:hint="eastAsia" w:ascii="宋体" w:hAnsi="宋体" w:eastAsia="宋体" w:cs="宋体"/>
          <w:b/>
          <w:bCs/>
          <w:color w:val="auto"/>
          <w:sz w:val="21"/>
          <w:szCs w:val="21"/>
          <w:highlight w:val="none"/>
          <w:u w:val="none"/>
        </w:rPr>
        <w:t>非加密的电子投标文件</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无需到现场参加开标会议，无需到达现场提交原件资料。</w:t>
      </w:r>
    </w:p>
    <w:p>
      <w:pPr>
        <w:keepNext w:val="0"/>
        <w:keepLines w:val="0"/>
        <w:pageBreakBefore w:val="0"/>
        <w:kinsoku/>
        <w:wordWrap/>
        <w:overflowPunct/>
        <w:topLinePunct w:val="0"/>
        <w:autoSpaceDE/>
        <w:autoSpaceDN/>
        <w:bidi w:val="0"/>
        <w:spacing w:beforeAutospacing="0" w:afterAutospacing="0" w:line="312"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应当在投标截止时间前，使用投标人CA数字证书登录不见面开标大厅，在线签到并准时参加开标活动，并在规定时间内完成投标文件解密等。如有答疑澄清系统会自动提醒，请投标人在开标当天时刻关注并刷新业务系统，在规定时间内完成答疑澄清，逾期后果自负。投标人在线签到时，应如实准确</w:t>
      </w:r>
      <w:r>
        <w:rPr>
          <w:rFonts w:hint="eastAsia" w:ascii="宋体" w:hAnsi="宋体" w:cs="宋体"/>
          <w:b/>
          <w:bCs/>
          <w:color w:val="auto"/>
          <w:sz w:val="21"/>
          <w:szCs w:val="21"/>
          <w:highlight w:val="none"/>
          <w:lang w:val="en-US" w:eastAsia="zh-CN"/>
        </w:rPr>
        <w:t>地</w:t>
      </w:r>
      <w:r>
        <w:rPr>
          <w:rFonts w:hint="eastAsia" w:ascii="宋体" w:hAnsi="宋体" w:eastAsia="宋体" w:cs="宋体"/>
          <w:b/>
          <w:bCs/>
          <w:color w:val="auto"/>
          <w:sz w:val="21"/>
          <w:szCs w:val="21"/>
          <w:highlight w:val="none"/>
          <w:lang w:val="en-US" w:eastAsia="zh-CN"/>
        </w:rPr>
        <w:t>填写授权委托人的联系电话，开标当天请务必保证电话保持畅通。</w:t>
      </w:r>
    </w:p>
    <w:p>
      <w:pPr>
        <w:keepNext w:val="0"/>
        <w:keepLines w:val="0"/>
        <w:pageBreakBefore w:val="0"/>
        <w:kinsoku/>
        <w:wordWrap/>
        <w:overflowPunct/>
        <w:topLinePunct w:val="0"/>
        <w:autoSpaceDE/>
        <w:autoSpaceDN/>
        <w:bidi w:val="0"/>
        <w:spacing w:beforeAutospacing="0" w:afterAutospacing="0" w:line="312"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需在解密开始后10分钟内完成解密（当投标人过多时，解密时间可以适当延长）。在投标文件解密过程中，因投标人原因（如投标人准备不到位、电脑网络问题等），造成无法及时解密的，将被退回投标文件。</w:t>
      </w:r>
    </w:p>
    <w:p>
      <w:pPr>
        <w:keepNext w:val="0"/>
        <w:keepLines w:val="0"/>
        <w:pageBreakBefore w:val="0"/>
        <w:kinsoku/>
        <w:wordWrap/>
        <w:overflowPunct/>
        <w:topLinePunct w:val="0"/>
        <w:autoSpaceDE/>
        <w:autoSpaceDN/>
        <w:bidi w:val="0"/>
        <w:spacing w:beforeAutospacing="0" w:afterAutospacing="0" w:line="312"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不见面开标服务的具体事宜，请查阅信阳市公共资源交易中心网站首页—下载中心—信阳市不见面开标大厅系统操作手册 。</w:t>
      </w:r>
    </w:p>
    <w:p>
      <w:pPr>
        <w:keepNext w:val="0"/>
        <w:keepLines w:val="0"/>
        <w:pageBreakBefore w:val="0"/>
        <w:kinsoku/>
        <w:wordWrap/>
        <w:overflowPunct/>
        <w:topLinePunct w:val="0"/>
        <w:autoSpaceDE/>
        <w:autoSpaceDN/>
        <w:bidi w:val="0"/>
        <w:spacing w:beforeAutospacing="0" w:afterAutospacing="0" w:line="312"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w:t>
      </w:r>
      <w:r>
        <w:rPr>
          <w:rFonts w:hint="eastAsia" w:ascii="宋体" w:hAnsi="宋体" w:eastAsia="宋体" w:cs="宋体"/>
          <w:b/>
          <w:bCs/>
          <w:color w:val="auto"/>
          <w:sz w:val="21"/>
          <w:szCs w:val="21"/>
          <w:highlight w:val="none"/>
          <w:lang w:eastAsia="zh-CN"/>
        </w:rPr>
        <w:t>过程中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投标人</w:t>
      </w:r>
      <w:r>
        <w:rPr>
          <w:rFonts w:hint="eastAsia" w:ascii="宋体" w:hAnsi="宋体" w:eastAsia="宋体" w:cs="宋体"/>
          <w:b/>
          <w:bCs/>
          <w:color w:val="auto"/>
          <w:sz w:val="21"/>
          <w:szCs w:val="21"/>
          <w:highlight w:val="none"/>
        </w:rPr>
        <w:t>如有异议，须</w:t>
      </w:r>
      <w:r>
        <w:rPr>
          <w:rFonts w:hint="eastAsia" w:ascii="宋体" w:hAnsi="宋体" w:eastAsia="宋体" w:cs="宋体"/>
          <w:b/>
          <w:bCs/>
          <w:color w:val="auto"/>
          <w:sz w:val="21"/>
          <w:szCs w:val="21"/>
          <w:highlight w:val="none"/>
          <w:lang w:eastAsia="zh-CN"/>
        </w:rPr>
        <w:t>在开标结束前</w:t>
      </w:r>
      <w:r>
        <w:rPr>
          <w:rFonts w:hint="eastAsia" w:ascii="宋体" w:hAnsi="宋体" w:eastAsia="宋体" w:cs="宋体"/>
          <w:b/>
          <w:bCs/>
          <w:color w:val="auto"/>
          <w:sz w:val="21"/>
          <w:szCs w:val="21"/>
          <w:highlight w:val="none"/>
        </w:rPr>
        <w:t>通过系统提出，否则视同</w:t>
      </w:r>
      <w:r>
        <w:rPr>
          <w:rFonts w:hint="eastAsia" w:ascii="宋体" w:hAnsi="宋体" w:eastAsia="宋体" w:cs="宋体"/>
          <w:b/>
          <w:bCs/>
          <w:color w:val="auto"/>
          <w:sz w:val="21"/>
          <w:szCs w:val="21"/>
          <w:highlight w:val="none"/>
          <w:lang w:eastAsia="zh-CN"/>
        </w:rPr>
        <w:t>认可</w:t>
      </w:r>
      <w:r>
        <w:rPr>
          <w:rFonts w:hint="eastAsia" w:ascii="宋体" w:hAnsi="宋体" w:eastAsia="宋体" w:cs="宋体"/>
          <w:b/>
          <w:bCs/>
          <w:color w:val="auto"/>
          <w:sz w:val="21"/>
          <w:szCs w:val="21"/>
          <w:highlight w:val="none"/>
        </w:rPr>
        <w:t>开标记录</w:t>
      </w:r>
      <w:r>
        <w:rPr>
          <w:rFonts w:hint="eastAsia" w:ascii="宋体" w:hAnsi="宋体" w:eastAsia="宋体" w:cs="宋体"/>
          <w:b/>
          <w:bCs/>
          <w:color w:val="auto"/>
          <w:sz w:val="21"/>
          <w:szCs w:val="21"/>
          <w:highlight w:val="none"/>
          <w:lang w:eastAsia="zh-CN"/>
        </w:rPr>
        <w:t>。开标结束后，</w:t>
      </w:r>
      <w:r>
        <w:rPr>
          <w:rFonts w:hint="eastAsia" w:ascii="宋体" w:hAnsi="宋体" w:eastAsia="宋体" w:cs="宋体"/>
          <w:b/>
          <w:bCs/>
          <w:color w:val="auto"/>
          <w:sz w:val="21"/>
          <w:szCs w:val="21"/>
          <w:highlight w:val="none"/>
        </w:rPr>
        <w:t>对开标记录</w:t>
      </w:r>
      <w:r>
        <w:rPr>
          <w:rFonts w:hint="eastAsia" w:ascii="宋体" w:hAnsi="宋体" w:eastAsia="宋体" w:cs="宋体"/>
          <w:b/>
          <w:bCs/>
          <w:color w:val="auto"/>
          <w:sz w:val="21"/>
          <w:szCs w:val="21"/>
          <w:highlight w:val="none"/>
          <w:lang w:eastAsia="zh-CN"/>
        </w:rPr>
        <w:t>的</w:t>
      </w:r>
      <w:r>
        <w:rPr>
          <w:rFonts w:hint="eastAsia" w:ascii="宋体" w:hAnsi="宋体" w:eastAsia="宋体" w:cs="宋体"/>
          <w:b/>
          <w:bCs/>
          <w:color w:val="auto"/>
          <w:sz w:val="21"/>
          <w:szCs w:val="21"/>
          <w:highlight w:val="none"/>
        </w:rPr>
        <w:t>任何异议</w:t>
      </w:r>
      <w:r>
        <w:rPr>
          <w:rFonts w:hint="eastAsia" w:ascii="宋体" w:hAnsi="宋体" w:eastAsia="宋体" w:cs="宋体"/>
          <w:b/>
          <w:bCs/>
          <w:color w:val="auto"/>
          <w:sz w:val="21"/>
          <w:szCs w:val="21"/>
          <w:highlight w:val="none"/>
          <w:lang w:eastAsia="zh-CN"/>
        </w:rPr>
        <w:t>不再接受</w:t>
      </w:r>
      <w:r>
        <w:rPr>
          <w:rFonts w:hint="eastAsia" w:ascii="宋体" w:hAnsi="宋体" w:eastAsia="宋体" w:cs="宋体"/>
          <w:b/>
          <w:bCs/>
          <w:color w:val="auto"/>
          <w:sz w:val="21"/>
          <w:szCs w:val="21"/>
          <w:highlight w:val="none"/>
        </w:rPr>
        <w:t>。</w:t>
      </w:r>
    </w:p>
    <w:bookmarkEnd w:id="130"/>
    <w:bookmarkEnd w:id="131"/>
    <w:p>
      <w:pPr>
        <w:bidi w:val="0"/>
        <w:outlineLvl w:val="1"/>
        <w:rPr>
          <w:rFonts w:hint="eastAsia" w:ascii="Times New Roman" w:hAnsi="Times New Roman" w:eastAsia="宋体" w:cs="Times New Roman"/>
          <w:b/>
          <w:bCs/>
          <w:color w:val="auto"/>
          <w:sz w:val="28"/>
          <w:szCs w:val="28"/>
          <w:highlight w:val="none"/>
        </w:rPr>
      </w:pPr>
      <w:bookmarkStart w:id="147" w:name="_Toc25686"/>
      <w:r>
        <w:rPr>
          <w:rFonts w:hint="eastAsia" w:ascii="Times New Roman" w:hAnsi="Times New Roman" w:eastAsia="宋体" w:cs="Times New Roman"/>
          <w:b/>
          <w:bCs/>
          <w:color w:val="auto"/>
          <w:sz w:val="28"/>
          <w:szCs w:val="28"/>
          <w:highlight w:val="none"/>
        </w:rPr>
        <w:t>6. 评标</w:t>
      </w:r>
      <w:bookmarkEnd w:id="147"/>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48" w:name="_Toc472337659"/>
      <w:bookmarkEnd w:id="148"/>
      <w:bookmarkStart w:id="149" w:name="_Toc472429304"/>
      <w:bookmarkEnd w:id="149"/>
      <w:bookmarkStart w:id="150" w:name="_Toc24053"/>
      <w:bookmarkStart w:id="151" w:name="_Toc2711"/>
      <w:r>
        <w:rPr>
          <w:rFonts w:hint="eastAsia" w:ascii="宋体" w:hAnsi="宋体" w:eastAsia="宋体" w:cs="宋体"/>
          <w:color w:val="auto"/>
          <w:highlight w:val="none"/>
        </w:rPr>
        <w:t>6.1  评标委员会</w:t>
      </w:r>
      <w:bookmarkEnd w:id="150"/>
      <w:bookmarkEnd w:id="151"/>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6.l.1  评标由采购人依法组建的评标委员会负责。评标委员会由采购人代表，以及有关技术、经济等方面的专家组成。评标委员会成员人数以及技术、经济等方面专家的确定方式见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6.l.2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采购人或投标人的主要负责人的近亲属；</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项目主管部门或者行政监督部门的人员；</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与投标人有经济利益关系，可能影响对投标公正评审的；</w:t>
      </w:r>
    </w:p>
    <w:p>
      <w:pPr>
        <w:keepNext w:val="0"/>
        <w:keepLines w:val="0"/>
        <w:pageBreakBefore w:val="0"/>
        <w:kinsoku/>
        <w:wordWrap/>
        <w:overflowPunct/>
        <w:topLinePunct w:val="0"/>
        <w:autoSpaceDE/>
        <w:autoSpaceDN/>
        <w:bidi w:val="0"/>
        <w:spacing w:beforeAutospacing="0" w:afterAutospacing="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曾因在招标、评标以及其他与招标投标有关活动中从事违法行为</w:t>
      </w:r>
      <w:r>
        <w:rPr>
          <w:rFonts w:hint="eastAsia" w:ascii="宋体" w:hAnsi="宋体" w:eastAsia="宋体" w:cs="宋体"/>
          <w:color w:val="auto"/>
          <w:szCs w:val="21"/>
          <w:highlight w:val="none"/>
          <w:lang w:eastAsia="zh-CN"/>
        </w:rPr>
        <w:t>而</w:t>
      </w:r>
      <w:r>
        <w:rPr>
          <w:rFonts w:hint="eastAsia" w:ascii="宋体" w:hAnsi="宋体" w:eastAsia="宋体" w:cs="宋体"/>
          <w:color w:val="auto"/>
          <w:szCs w:val="21"/>
          <w:highlight w:val="none"/>
        </w:rPr>
        <w:t>受过行政处罚或刑事处罚的；</w:t>
      </w:r>
    </w:p>
    <w:p>
      <w:pPr>
        <w:pStyle w:val="27"/>
        <w:keepNext w:val="0"/>
        <w:keepLines w:val="0"/>
        <w:pageBreakBefore w:val="0"/>
        <w:kinsoku/>
        <w:wordWrap/>
        <w:overflowPunct/>
        <w:topLinePunct w:val="0"/>
        <w:autoSpaceDE/>
        <w:autoSpaceDN/>
        <w:bidi w:val="0"/>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（5）与投标人有其他利害关系。</w:t>
      </w:r>
    </w:p>
    <w:p>
      <w:pPr>
        <w:pStyle w:val="27"/>
        <w:keepNext w:val="0"/>
        <w:keepLines w:val="0"/>
        <w:pageBreakBefore w:val="0"/>
        <w:kinsoku/>
        <w:wordWrap/>
        <w:overflowPunct/>
        <w:topLinePunct w:val="0"/>
        <w:autoSpaceDE/>
        <w:autoSpaceDN/>
        <w:bidi w:val="0"/>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6.1.3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评标过程中，评标委员会成员有回避事由、擅离职守或者因健康等原因不能继续评标的，采购人有权更换。被更换的评标委员会成员作出的评审结论无效，由更换后的评标委员会成员重新进行评审。</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52" w:name="_Toc472337660"/>
      <w:bookmarkEnd w:id="152"/>
      <w:bookmarkStart w:id="153" w:name="_Toc472429305"/>
      <w:bookmarkEnd w:id="153"/>
      <w:bookmarkStart w:id="154" w:name="_Toc32440"/>
      <w:bookmarkStart w:id="155" w:name="_Toc8373"/>
      <w:r>
        <w:rPr>
          <w:rFonts w:hint="eastAsia" w:ascii="宋体" w:hAnsi="宋体" w:eastAsia="宋体" w:cs="宋体"/>
          <w:color w:val="auto"/>
          <w:highlight w:val="none"/>
        </w:rPr>
        <w:t>6.2  评标原则</w:t>
      </w:r>
      <w:bookmarkEnd w:id="154"/>
      <w:bookmarkEnd w:id="155"/>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56" w:name="_Toc472337661"/>
      <w:bookmarkEnd w:id="156"/>
      <w:bookmarkStart w:id="157" w:name="_Toc472429306"/>
      <w:bookmarkEnd w:id="157"/>
      <w:bookmarkStart w:id="158" w:name="_Toc3305"/>
      <w:bookmarkStart w:id="159" w:name="_Toc32553"/>
      <w:r>
        <w:rPr>
          <w:rFonts w:hint="eastAsia" w:ascii="宋体" w:hAnsi="宋体" w:eastAsia="宋体" w:cs="宋体"/>
          <w:color w:val="auto"/>
          <w:highlight w:val="none"/>
        </w:rPr>
        <w:t>6.3  评标</w:t>
      </w:r>
      <w:bookmarkEnd w:id="158"/>
      <w:bookmarkEnd w:id="159"/>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pPr>
        <w:bidi w:val="0"/>
        <w:outlineLvl w:val="1"/>
        <w:rPr>
          <w:rFonts w:hint="eastAsia" w:ascii="Times New Roman" w:hAnsi="Times New Roman" w:eastAsia="宋体" w:cs="Times New Roman"/>
          <w:b/>
          <w:bCs/>
          <w:color w:val="auto"/>
          <w:sz w:val="28"/>
          <w:szCs w:val="28"/>
          <w:highlight w:val="none"/>
        </w:rPr>
      </w:pPr>
      <w:bookmarkStart w:id="160" w:name="_Toc472429307"/>
      <w:bookmarkEnd w:id="160"/>
      <w:bookmarkStart w:id="161" w:name="_Toc472337662"/>
      <w:bookmarkEnd w:id="161"/>
      <w:bookmarkStart w:id="162" w:name="_Toc8467"/>
      <w:r>
        <w:rPr>
          <w:rFonts w:hint="eastAsia" w:ascii="Times New Roman" w:hAnsi="Times New Roman" w:eastAsia="宋体" w:cs="Times New Roman"/>
          <w:b/>
          <w:bCs/>
          <w:color w:val="auto"/>
          <w:sz w:val="28"/>
          <w:szCs w:val="28"/>
          <w:highlight w:val="none"/>
        </w:rPr>
        <w:t>7. 合同授予</w:t>
      </w:r>
      <w:bookmarkEnd w:id="162"/>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63" w:name="_Toc472429308"/>
      <w:bookmarkEnd w:id="163"/>
      <w:bookmarkStart w:id="164" w:name="_Toc472337663"/>
      <w:bookmarkEnd w:id="164"/>
      <w:bookmarkStart w:id="165" w:name="_Toc31566"/>
      <w:bookmarkStart w:id="166" w:name="_Toc27895"/>
      <w:r>
        <w:rPr>
          <w:rFonts w:hint="eastAsia" w:ascii="宋体" w:hAnsi="宋体" w:eastAsia="宋体" w:cs="宋体"/>
          <w:color w:val="auto"/>
          <w:highlight w:val="none"/>
        </w:rPr>
        <w:t>7.1  定标方式</w:t>
      </w:r>
      <w:bookmarkEnd w:id="165"/>
      <w:bookmarkEnd w:id="166"/>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前附表规定评标委员会直接确定中标人外，采购人依据评标委员会推荐的中标候选人确定中标人，评标委员会推荐中标候选人的人数见</w:t>
      </w:r>
      <w:r>
        <w:rPr>
          <w:rFonts w:hint="eastAsia" w:ascii="宋体" w:hAnsi="宋体" w:eastAsia="宋体" w:cs="宋体"/>
          <w:color w:val="auto"/>
          <w:szCs w:val="21"/>
          <w:highlight w:val="none"/>
          <w:lang w:eastAsia="zh-CN"/>
        </w:rPr>
        <w:t>投标人须知</w:t>
      </w:r>
      <w:r>
        <w:rPr>
          <w:rFonts w:hint="eastAsia" w:ascii="宋体" w:hAnsi="宋体" w:eastAsia="宋体" w:cs="宋体"/>
          <w:color w:val="auto"/>
          <w:szCs w:val="21"/>
          <w:highlight w:val="none"/>
        </w:rPr>
        <w:t>前附表。</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67" w:name="_Toc472429309"/>
      <w:bookmarkEnd w:id="167"/>
      <w:bookmarkStart w:id="168" w:name="_Toc472337664"/>
      <w:bookmarkEnd w:id="168"/>
      <w:bookmarkStart w:id="169" w:name="_Toc30743"/>
      <w:bookmarkStart w:id="170" w:name="_Toc31394"/>
      <w:r>
        <w:rPr>
          <w:rFonts w:hint="eastAsia" w:ascii="宋体" w:hAnsi="宋体" w:eastAsia="宋体" w:cs="宋体"/>
          <w:color w:val="auto"/>
          <w:highlight w:val="none"/>
        </w:rPr>
        <w:t>7.2  中标通知</w:t>
      </w:r>
      <w:bookmarkEnd w:id="169"/>
      <w:bookmarkEnd w:id="170"/>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在本章第3.3款规定的投标有效期内，采购人以书面形式向中标人发出中标通知书，同时将中标结果通知未中标的投标人。</w:t>
      </w:r>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lang w:eastAsia="zh-CN"/>
        </w:rPr>
      </w:pPr>
      <w:bookmarkStart w:id="171" w:name="_Toc472337665"/>
      <w:bookmarkEnd w:id="171"/>
      <w:bookmarkStart w:id="172" w:name="_Toc472429310"/>
      <w:bookmarkEnd w:id="172"/>
      <w:bookmarkStart w:id="173" w:name="_Toc12928"/>
      <w:bookmarkStart w:id="174" w:name="_Toc10446"/>
      <w:r>
        <w:rPr>
          <w:rFonts w:hint="eastAsia" w:ascii="宋体" w:hAnsi="宋体" w:eastAsia="宋体" w:cs="宋体"/>
          <w:color w:val="auto"/>
          <w:highlight w:val="none"/>
        </w:rPr>
        <w:t xml:space="preserve">7.3  </w:t>
      </w:r>
      <w:r>
        <w:rPr>
          <w:rFonts w:hint="eastAsia" w:ascii="宋体" w:hAnsi="宋体" w:eastAsia="宋体" w:cs="宋体"/>
          <w:color w:val="auto"/>
          <w:kern w:val="0"/>
          <w:szCs w:val="21"/>
          <w:highlight w:val="none"/>
        </w:rPr>
        <w:t>履约担保</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lang w:val="en-US" w:eastAsia="zh-CN"/>
        </w:rPr>
        <w:t>无</w:t>
      </w:r>
      <w:r>
        <w:rPr>
          <w:rFonts w:hint="eastAsia" w:ascii="宋体" w:hAnsi="宋体" w:eastAsia="宋体" w:cs="宋体"/>
          <w:color w:val="auto"/>
          <w:highlight w:val="none"/>
          <w:lang w:eastAsia="zh-CN"/>
        </w:rPr>
        <w:t>。</w:t>
      </w:r>
      <w:bookmarkEnd w:id="173"/>
      <w:bookmarkEnd w:id="174"/>
    </w:p>
    <w:p>
      <w:pPr>
        <w:pStyle w:val="21"/>
        <w:keepNext w:val="0"/>
        <w:keepLines w:val="0"/>
        <w:pageBreakBefore w:val="0"/>
        <w:kinsoku/>
        <w:wordWrap/>
        <w:overflowPunct/>
        <w:topLinePunct w:val="0"/>
        <w:autoSpaceDE/>
        <w:autoSpaceDN/>
        <w:bidi w:val="0"/>
        <w:spacing w:beforeAutospacing="0" w:afterAutospacing="0" w:line="312" w:lineRule="auto"/>
        <w:rPr>
          <w:rFonts w:hint="eastAsia" w:ascii="宋体" w:hAnsi="宋体" w:eastAsia="宋体" w:cs="宋体"/>
          <w:color w:val="auto"/>
          <w:highlight w:val="none"/>
        </w:rPr>
      </w:pPr>
      <w:bookmarkStart w:id="175" w:name="_Toc472429311"/>
      <w:bookmarkEnd w:id="175"/>
      <w:bookmarkStart w:id="176" w:name="_Toc472337666"/>
      <w:bookmarkEnd w:id="176"/>
      <w:bookmarkStart w:id="177" w:name="_Toc14165"/>
      <w:bookmarkStart w:id="178" w:name="_Toc18118"/>
      <w:r>
        <w:rPr>
          <w:rFonts w:hint="eastAsia" w:ascii="宋体" w:hAnsi="宋体" w:eastAsia="宋体" w:cs="宋体"/>
          <w:color w:val="auto"/>
          <w:highlight w:val="none"/>
        </w:rPr>
        <w:t>7.4  签订合同</w:t>
      </w:r>
      <w:bookmarkEnd w:id="177"/>
      <w:bookmarkEnd w:id="178"/>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7.4.1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和中标人应当自中标通知书发出之日起</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天内，根据招标文件和中标人的投标文件订立书面合同。中标人无正当理由拒签合同的，</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取消其中标资格。</w:t>
      </w:r>
    </w:p>
    <w:p>
      <w:pPr>
        <w:keepNext w:val="0"/>
        <w:keepLines w:val="0"/>
        <w:pageBreakBefore w:val="0"/>
        <w:kinsoku/>
        <w:wordWrap/>
        <w:overflowPunct/>
        <w:topLinePunct w:val="0"/>
        <w:autoSpaceDE/>
        <w:autoSpaceDN/>
        <w:bidi w:val="0"/>
        <w:snapToGrid/>
        <w:spacing w:line="312" w:lineRule="auto"/>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.4.2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发出中标通知书后，采购人无正当理由拒签合同的，给中标人造成损失的，应当赔偿损失。</w:t>
      </w:r>
    </w:p>
    <w:p>
      <w:pPr>
        <w:bidi w:val="0"/>
        <w:outlineLvl w:val="1"/>
        <w:rPr>
          <w:rFonts w:hint="eastAsia" w:ascii="Times New Roman" w:hAnsi="Times New Roman" w:eastAsia="宋体" w:cs="Times New Roman"/>
          <w:b/>
          <w:bCs/>
          <w:color w:val="auto"/>
          <w:sz w:val="28"/>
          <w:szCs w:val="28"/>
          <w:highlight w:val="none"/>
        </w:rPr>
      </w:pPr>
      <w:bookmarkStart w:id="179" w:name="_Toc30297"/>
      <w:bookmarkStart w:id="180" w:name="_Toc15038"/>
      <w:r>
        <w:rPr>
          <w:rFonts w:hint="eastAsia" w:ascii="Times New Roman" w:hAnsi="Times New Roman" w:eastAsia="宋体" w:cs="Times New Roman"/>
          <w:b/>
          <w:bCs/>
          <w:color w:val="auto"/>
          <w:sz w:val="28"/>
          <w:szCs w:val="28"/>
          <w:highlight w:val="none"/>
        </w:rPr>
        <w:t>8.重新招标和不再招标</w:t>
      </w:r>
      <w:bookmarkEnd w:id="179"/>
      <w:bookmarkEnd w:id="180"/>
    </w:p>
    <w:p>
      <w:pPr>
        <w:keepNext w:val="0"/>
        <w:keepLines w:val="0"/>
        <w:pageBreakBefore w:val="0"/>
        <w:kinsoku/>
        <w:wordWrap/>
        <w:overflowPunct/>
        <w:topLinePunct w:val="0"/>
        <w:autoSpaceDE/>
        <w:autoSpaceDN/>
        <w:bidi w:val="0"/>
        <w:spacing w:line="312" w:lineRule="auto"/>
        <w:ind w:firstLine="211" w:firstLine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8.1重新招标 </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将重新招标：</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（2）通过资格审查的投标人不足三家的；</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（3）经评标委员会评审后否决所有投标的。</w:t>
      </w:r>
    </w:p>
    <w:p>
      <w:pPr>
        <w:keepNext w:val="0"/>
        <w:keepLines w:val="0"/>
        <w:pageBreakBefore w:val="0"/>
        <w:kinsoku/>
        <w:wordWrap/>
        <w:overflowPunct/>
        <w:topLinePunct w:val="0"/>
        <w:autoSpaceDE/>
        <w:autoSpaceDN/>
        <w:bidi w:val="0"/>
        <w:spacing w:line="312"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8.2不再招标</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废标后，除采购任务取消情形外，应当重新组织招标；需要采取</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方式采购的，应当在采购活动开始前获得设区的市、自治州以上人民政府采购监督管理部门或者政府有关部门批准。</w:t>
      </w:r>
    </w:p>
    <w:p>
      <w:pPr>
        <w:bidi w:val="0"/>
        <w:outlineLvl w:val="1"/>
        <w:rPr>
          <w:rFonts w:hint="eastAsia" w:ascii="Times New Roman" w:hAnsi="Times New Roman" w:eastAsia="宋体" w:cs="Times New Roman"/>
          <w:b/>
          <w:bCs/>
          <w:color w:val="auto"/>
          <w:sz w:val="28"/>
          <w:szCs w:val="28"/>
          <w:highlight w:val="none"/>
        </w:rPr>
      </w:pPr>
      <w:bookmarkStart w:id="181" w:name="_Toc21425"/>
      <w:bookmarkStart w:id="182" w:name="_Toc31870"/>
      <w:bookmarkStart w:id="183" w:name="_Toc278027740"/>
      <w:r>
        <w:rPr>
          <w:rFonts w:hint="eastAsia" w:ascii="Times New Roman" w:hAnsi="Times New Roman" w:eastAsia="宋体" w:cs="Times New Roman"/>
          <w:b/>
          <w:bCs/>
          <w:color w:val="auto"/>
          <w:sz w:val="28"/>
          <w:szCs w:val="28"/>
          <w:highlight w:val="none"/>
        </w:rPr>
        <w:t>9.纪律和监督</w:t>
      </w:r>
      <w:bookmarkEnd w:id="181"/>
      <w:bookmarkEnd w:id="182"/>
      <w:bookmarkEnd w:id="183"/>
    </w:p>
    <w:p>
      <w:pPr>
        <w:keepNext w:val="0"/>
        <w:keepLines w:val="0"/>
        <w:pageBreakBefore w:val="0"/>
        <w:widowControl/>
        <w:kinsoku/>
        <w:wordWrap/>
        <w:overflowPunct/>
        <w:topLinePunct w:val="0"/>
        <w:autoSpaceDE/>
        <w:autoSpaceDN/>
        <w:bidi w:val="0"/>
        <w:snapToGrid/>
        <w:spacing w:line="312"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9.1对</w:t>
      </w:r>
      <w:r>
        <w:rPr>
          <w:rFonts w:hint="eastAsia" w:ascii="宋体" w:hAnsi="宋体" w:eastAsia="宋体" w:cs="宋体"/>
          <w:b/>
          <w:color w:val="auto"/>
          <w:sz w:val="21"/>
          <w:szCs w:val="21"/>
          <w:highlight w:val="none"/>
          <w:lang w:eastAsia="zh-CN"/>
        </w:rPr>
        <w:t>采购人</w:t>
      </w:r>
      <w:r>
        <w:rPr>
          <w:rFonts w:hint="eastAsia" w:ascii="宋体" w:hAnsi="宋体" w:eastAsia="宋体" w:cs="宋体"/>
          <w:b/>
          <w:color w:val="auto"/>
          <w:sz w:val="21"/>
          <w:szCs w:val="21"/>
          <w:highlight w:val="none"/>
        </w:rPr>
        <w:t>的纪律要求</w:t>
      </w:r>
    </w:p>
    <w:p>
      <w:pPr>
        <w:keepNext w:val="0"/>
        <w:keepLines w:val="0"/>
        <w:pageBreakBefore w:val="0"/>
        <w:widowControl/>
        <w:kinsoku/>
        <w:wordWrap/>
        <w:overflowPunct/>
        <w:topLinePunct w:val="0"/>
        <w:autoSpaceDE/>
        <w:autoSpaceDN/>
        <w:bidi w:val="0"/>
        <w:snapToGrid/>
        <w:spacing w:line="312"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采购人</w:t>
      </w:r>
      <w:r>
        <w:rPr>
          <w:rFonts w:hint="eastAsia" w:ascii="宋体" w:hAnsi="宋体" w:cs="宋体"/>
          <w:bCs/>
          <w:color w:val="auto"/>
          <w:sz w:val="21"/>
          <w:szCs w:val="21"/>
          <w:highlight w:val="none"/>
          <w:lang w:eastAsia="zh-CN"/>
        </w:rPr>
        <w:t>不得泄露</w:t>
      </w:r>
      <w:r>
        <w:rPr>
          <w:rFonts w:hint="eastAsia" w:ascii="宋体" w:hAnsi="宋体" w:eastAsia="宋体" w:cs="宋体"/>
          <w:bCs/>
          <w:color w:val="auto"/>
          <w:sz w:val="21"/>
          <w:szCs w:val="21"/>
          <w:highlight w:val="none"/>
        </w:rPr>
        <w:t>招标投标活动中应当保密的情况和资料，不得与投标人串通损害国家利益、社会公共利益或者他人合法权益。</w:t>
      </w:r>
    </w:p>
    <w:p>
      <w:pPr>
        <w:keepNext w:val="0"/>
        <w:keepLines w:val="0"/>
        <w:pageBreakBefore w:val="0"/>
        <w:widowControl/>
        <w:kinsoku/>
        <w:wordWrap/>
        <w:overflowPunct/>
        <w:topLinePunct w:val="0"/>
        <w:autoSpaceDE/>
        <w:autoSpaceDN/>
        <w:bidi w:val="0"/>
        <w:snapToGrid/>
        <w:spacing w:line="312"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9.2对投标人的纪律要求</w:t>
      </w:r>
    </w:p>
    <w:p>
      <w:pPr>
        <w:keepNext w:val="0"/>
        <w:keepLines w:val="0"/>
        <w:pageBreakBefore w:val="0"/>
        <w:widowControl/>
        <w:kinsoku/>
        <w:wordWrap/>
        <w:overflowPunct/>
        <w:topLinePunct w:val="0"/>
        <w:autoSpaceDE/>
        <w:autoSpaceDN/>
        <w:bidi w:val="0"/>
        <w:snapToGrid/>
        <w:spacing w:line="312" w:lineRule="auto"/>
        <w:ind w:left="0" w:leftChars="0" w:firstLine="408" w:firstLineChars="200"/>
        <w:jc w:val="left"/>
        <w:textAlignment w:val="auto"/>
        <w:rPr>
          <w:rFonts w:hint="eastAsia" w:ascii="宋体" w:hAnsi="宋体" w:eastAsia="宋体" w:cs="宋体"/>
          <w:bCs/>
          <w:color w:val="auto"/>
          <w:spacing w:val="-3"/>
          <w:sz w:val="21"/>
          <w:szCs w:val="21"/>
          <w:highlight w:val="none"/>
        </w:rPr>
      </w:pPr>
      <w:r>
        <w:rPr>
          <w:rFonts w:hint="eastAsia" w:ascii="宋体" w:hAnsi="宋体" w:eastAsia="宋体" w:cs="宋体"/>
          <w:bCs/>
          <w:color w:val="auto"/>
          <w:spacing w:val="-3"/>
          <w:sz w:val="21"/>
          <w:szCs w:val="21"/>
          <w:highlight w:val="none"/>
        </w:rPr>
        <w:t>投标人不得相互串通投标或者与</w:t>
      </w:r>
      <w:r>
        <w:rPr>
          <w:rFonts w:hint="eastAsia" w:ascii="宋体" w:hAnsi="宋体" w:eastAsia="宋体" w:cs="宋体"/>
          <w:bCs/>
          <w:color w:val="auto"/>
          <w:spacing w:val="-3"/>
          <w:sz w:val="21"/>
          <w:szCs w:val="21"/>
          <w:highlight w:val="none"/>
          <w:lang w:eastAsia="zh-CN"/>
        </w:rPr>
        <w:t>采购人</w:t>
      </w:r>
      <w:r>
        <w:rPr>
          <w:rFonts w:hint="eastAsia" w:ascii="宋体" w:hAnsi="宋体" w:eastAsia="宋体" w:cs="宋体"/>
          <w:bCs/>
          <w:color w:val="auto"/>
          <w:spacing w:val="-3"/>
          <w:sz w:val="21"/>
          <w:szCs w:val="21"/>
          <w:highlight w:val="none"/>
        </w:rPr>
        <w:t>串通投标，不得向</w:t>
      </w:r>
      <w:r>
        <w:rPr>
          <w:rFonts w:hint="eastAsia" w:ascii="宋体" w:hAnsi="宋体" w:eastAsia="宋体" w:cs="宋体"/>
          <w:bCs/>
          <w:color w:val="auto"/>
          <w:spacing w:val="-3"/>
          <w:sz w:val="21"/>
          <w:szCs w:val="21"/>
          <w:highlight w:val="none"/>
          <w:lang w:eastAsia="zh-CN"/>
        </w:rPr>
        <w:t>采购人</w:t>
      </w:r>
      <w:r>
        <w:rPr>
          <w:rFonts w:hint="eastAsia" w:ascii="宋体" w:hAnsi="宋体" w:eastAsia="宋体" w:cs="宋体"/>
          <w:bCs/>
          <w:color w:val="auto"/>
          <w:spacing w:val="-3"/>
          <w:sz w:val="21"/>
          <w:szCs w:val="21"/>
          <w:highlight w:val="none"/>
        </w:rPr>
        <w:t>或者评标委员会成员行贿谋取中标，不得以他人名义投标或者以其他方式弄虚作假骗取中标；投标人不得以任何方式干扰、影响评标工作。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napToGrid/>
        <w:spacing w:line="312"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9.3对评标委员会成员的纪律要求</w:t>
      </w:r>
    </w:p>
    <w:p>
      <w:pPr>
        <w:keepNext w:val="0"/>
        <w:keepLines w:val="0"/>
        <w:pageBreakBefore w:val="0"/>
        <w:widowControl/>
        <w:kinsoku/>
        <w:wordWrap/>
        <w:overflowPunct/>
        <w:topLinePunct w:val="0"/>
        <w:autoSpaceDE/>
        <w:autoSpaceDN/>
        <w:bidi w:val="0"/>
        <w:snapToGrid/>
        <w:spacing w:line="312"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评标委员会成员不得收受他人的财物或者其他好处，不得向他人</w:t>
      </w:r>
      <w:r>
        <w:rPr>
          <w:rFonts w:hint="eastAsia" w:ascii="宋体" w:hAnsi="宋体" w:eastAsia="宋体" w:cs="宋体"/>
          <w:bCs/>
          <w:color w:val="auto"/>
          <w:sz w:val="21"/>
          <w:szCs w:val="21"/>
          <w:highlight w:val="none"/>
          <w:lang w:eastAsia="zh-CN"/>
        </w:rPr>
        <w:t>透露</w:t>
      </w:r>
      <w:r>
        <w:rPr>
          <w:rFonts w:hint="eastAsia" w:ascii="宋体" w:hAnsi="宋体" w:eastAsia="宋体" w:cs="宋体"/>
          <w:bCs/>
          <w:color w:val="auto"/>
          <w:sz w:val="21"/>
          <w:szCs w:val="21"/>
          <w:highlight w:val="none"/>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kinsoku/>
        <w:wordWrap/>
        <w:overflowPunct/>
        <w:topLinePunct w:val="0"/>
        <w:autoSpaceDE/>
        <w:autoSpaceDN/>
        <w:bidi w:val="0"/>
        <w:snapToGrid/>
        <w:spacing w:line="312"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9.4对与评标活动有关的工作人员的纪律要求</w:t>
      </w:r>
    </w:p>
    <w:p>
      <w:pPr>
        <w:keepNext w:val="0"/>
        <w:keepLines w:val="0"/>
        <w:pageBreakBefore w:val="0"/>
        <w:widowControl/>
        <w:kinsoku/>
        <w:wordWrap/>
        <w:overflowPunct/>
        <w:topLinePunct w:val="0"/>
        <w:autoSpaceDE/>
        <w:autoSpaceDN/>
        <w:bidi w:val="0"/>
        <w:snapToGrid/>
        <w:spacing w:line="312"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与评标活动有关的工作人员不得收受他人的财物或者其他好处，不得向他人</w:t>
      </w:r>
      <w:r>
        <w:rPr>
          <w:rFonts w:hint="eastAsia" w:ascii="宋体" w:hAnsi="宋体" w:eastAsia="宋体" w:cs="宋体"/>
          <w:bCs/>
          <w:color w:val="auto"/>
          <w:sz w:val="21"/>
          <w:szCs w:val="21"/>
          <w:highlight w:val="none"/>
          <w:lang w:eastAsia="zh-CN"/>
        </w:rPr>
        <w:t>透露</w:t>
      </w:r>
      <w:r>
        <w:rPr>
          <w:rFonts w:hint="eastAsia" w:ascii="宋体" w:hAnsi="宋体" w:eastAsia="宋体" w:cs="宋体"/>
          <w:bCs/>
          <w:color w:val="auto"/>
          <w:sz w:val="21"/>
          <w:szCs w:val="21"/>
          <w:highlight w:val="none"/>
        </w:rPr>
        <w:t>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kinsoku/>
        <w:wordWrap/>
        <w:overflowPunct/>
        <w:topLinePunct w:val="0"/>
        <w:autoSpaceDE/>
        <w:autoSpaceDN/>
        <w:bidi w:val="0"/>
        <w:snapToGrid/>
        <w:spacing w:line="312" w:lineRule="auto"/>
        <w:ind w:left="0" w:leftChars="0" w:firstLine="422"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9.5投诉、质疑</w:t>
      </w:r>
    </w:p>
    <w:p>
      <w:pPr>
        <w:keepNext w:val="0"/>
        <w:keepLines w:val="0"/>
        <w:pageBreakBefore w:val="0"/>
        <w:widowControl/>
        <w:kinsoku/>
        <w:wordWrap/>
        <w:overflowPunct/>
        <w:topLinePunct w:val="0"/>
        <w:autoSpaceDE/>
        <w:autoSpaceDN/>
        <w:bidi w:val="0"/>
        <w:snapToGrid/>
        <w:spacing w:line="312" w:lineRule="auto"/>
        <w:ind w:left="0" w:leftChars="0"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投标人和其他利害关系人认为本次招标活动违反</w:t>
      </w:r>
      <w:r>
        <w:rPr>
          <w:rFonts w:hint="eastAsia" w:ascii="宋体" w:hAnsi="宋体" w:cs="宋体"/>
          <w:bCs/>
          <w:color w:val="auto"/>
          <w:sz w:val="21"/>
          <w:szCs w:val="21"/>
          <w:highlight w:val="none"/>
          <w:lang w:eastAsia="zh-CN"/>
        </w:rPr>
        <w:t>法律法规</w:t>
      </w:r>
      <w:r>
        <w:rPr>
          <w:rFonts w:hint="eastAsia" w:ascii="宋体" w:hAnsi="宋体" w:eastAsia="宋体" w:cs="宋体"/>
          <w:bCs/>
          <w:color w:val="auto"/>
          <w:sz w:val="21"/>
          <w:szCs w:val="21"/>
          <w:highlight w:val="none"/>
        </w:rPr>
        <w:t>和规章规定的，有权向有关行政监督部门投诉。</w:t>
      </w:r>
    </w:p>
    <w:p>
      <w:pPr>
        <w:keepNext w:val="0"/>
        <w:keepLines w:val="0"/>
        <w:pageBreakBefore w:val="0"/>
        <w:widowControl/>
        <w:kinsoku/>
        <w:wordWrap/>
        <w:overflowPunct/>
        <w:topLinePunct w:val="0"/>
        <w:autoSpaceDE/>
        <w:autoSpaceDN/>
        <w:bidi w:val="0"/>
        <w:snapToGrid/>
        <w:spacing w:line="312" w:lineRule="auto"/>
        <w:ind w:left="0" w:leftChars="0" w:firstLine="420" w:firstLineChars="200"/>
        <w:jc w:val="left"/>
        <w:textAlignment w:val="auto"/>
        <w:rPr>
          <w:rFonts w:hint="eastAsia" w:ascii="宋体" w:hAnsi="宋体" w:eastAsia="宋体" w:cs="宋体"/>
          <w:b w:val="0"/>
          <w:bCs/>
          <w:color w:val="auto"/>
          <w:szCs w:val="21"/>
          <w:highlight w:val="none"/>
        </w:rPr>
      </w:pP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对采购文件、采购过程、中标或者成交结果的质疑，可以在知道或者应知其权益受到损害之日起7个工作日内，以书面形式一次性向采购人或采购</w:t>
      </w:r>
      <w:r>
        <w:rPr>
          <w:rFonts w:hint="eastAsia" w:ascii="宋体" w:hAnsi="宋体" w:eastAsia="宋体" w:cs="宋体"/>
          <w:bCs/>
          <w:color w:val="auto"/>
          <w:szCs w:val="21"/>
          <w:highlight w:val="none"/>
          <w:lang w:eastAsia="zh-CN"/>
        </w:rPr>
        <w:t>代理</w:t>
      </w:r>
      <w:r>
        <w:rPr>
          <w:rFonts w:hint="eastAsia" w:ascii="宋体" w:hAnsi="宋体" w:eastAsia="宋体" w:cs="宋体"/>
          <w:bCs/>
          <w:color w:val="auto"/>
          <w:szCs w:val="21"/>
          <w:highlight w:val="none"/>
        </w:rPr>
        <w:t>机构提出质疑。采购人或采购</w:t>
      </w:r>
      <w:r>
        <w:rPr>
          <w:rFonts w:hint="eastAsia" w:ascii="宋体" w:hAnsi="宋体" w:eastAsia="宋体" w:cs="宋体"/>
          <w:bCs/>
          <w:color w:val="auto"/>
          <w:szCs w:val="21"/>
          <w:highlight w:val="none"/>
          <w:lang w:eastAsia="zh-CN"/>
        </w:rPr>
        <w:t>代理</w:t>
      </w:r>
      <w:r>
        <w:rPr>
          <w:rFonts w:hint="eastAsia" w:ascii="宋体" w:hAnsi="宋体" w:eastAsia="宋体" w:cs="宋体"/>
          <w:bCs/>
          <w:color w:val="auto"/>
          <w:szCs w:val="21"/>
          <w:highlight w:val="none"/>
        </w:rPr>
        <w:t>机构不接受</w:t>
      </w:r>
      <w:r>
        <w:rPr>
          <w:rFonts w:hint="eastAsia" w:ascii="宋体" w:hAnsi="宋体" w:eastAsia="宋体" w:cs="宋体"/>
          <w:bCs/>
          <w:color w:val="auto"/>
          <w:szCs w:val="21"/>
          <w:highlight w:val="none"/>
          <w:lang w:eastAsia="zh-CN"/>
        </w:rPr>
        <w:t>投标人</w:t>
      </w:r>
      <w:r>
        <w:rPr>
          <w:rFonts w:hint="eastAsia" w:ascii="宋体" w:hAnsi="宋体" w:eastAsia="宋体" w:cs="宋体"/>
          <w:bCs/>
          <w:color w:val="auto"/>
          <w:szCs w:val="21"/>
          <w:highlight w:val="none"/>
        </w:rPr>
        <w:t>对同一采购环节的多次质疑。</w:t>
      </w:r>
      <w:bookmarkStart w:id="184" w:name="_Toc472429321"/>
      <w:bookmarkEnd w:id="184"/>
      <w:bookmarkStart w:id="185" w:name="_Toc472337676"/>
      <w:bookmarkEnd w:id="185"/>
    </w:p>
    <w:p>
      <w:pPr>
        <w:bidi w:val="0"/>
        <w:outlineLvl w:val="1"/>
        <w:rPr>
          <w:rFonts w:hint="eastAsia" w:ascii="Times New Roman" w:hAnsi="Times New Roman" w:eastAsia="宋体" w:cs="Times New Roman"/>
          <w:b/>
          <w:bCs/>
          <w:color w:val="auto"/>
          <w:sz w:val="28"/>
          <w:szCs w:val="28"/>
          <w:highlight w:val="none"/>
        </w:rPr>
      </w:pPr>
      <w:bookmarkStart w:id="186" w:name="_Toc9135"/>
      <w:r>
        <w:rPr>
          <w:rFonts w:hint="eastAsia" w:ascii="Times New Roman" w:hAnsi="Times New Roman" w:eastAsia="宋体" w:cs="Times New Roman"/>
          <w:b/>
          <w:bCs/>
          <w:color w:val="auto"/>
          <w:sz w:val="28"/>
          <w:szCs w:val="28"/>
          <w:highlight w:val="none"/>
        </w:rPr>
        <w:t>10．需要补充的其他内容</w:t>
      </w:r>
      <w:bookmarkEnd w:id="186"/>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10.1</w:t>
      </w:r>
      <w:r>
        <w:rPr>
          <w:rFonts w:hint="eastAsia" w:ascii="宋体" w:hAnsi="宋体" w:eastAsia="宋体" w:cs="宋体"/>
          <w:bCs/>
          <w:color w:val="auto"/>
          <w:szCs w:val="21"/>
          <w:highlight w:val="none"/>
        </w:rPr>
        <w:t>需要补充的其他内容：见投标人须知前附表。</w:t>
      </w:r>
      <w:bookmarkStart w:id="187" w:name="_Toc339618705"/>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10.2需要落实的政府采购政策</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10.2.1小型微型企业认定及评标价格评审</w:t>
      </w:r>
    </w:p>
    <w:tbl>
      <w:tblPr>
        <w:tblStyle w:val="2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561"/>
        <w:gridCol w:w="1492"/>
        <w:gridCol w:w="2273"/>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98"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内容</w:t>
            </w:r>
          </w:p>
        </w:tc>
        <w:tc>
          <w:tcPr>
            <w:tcW w:w="1561"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大型企业</w:t>
            </w:r>
          </w:p>
        </w:tc>
        <w:tc>
          <w:tcPr>
            <w:tcW w:w="1492"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中型企业</w:t>
            </w:r>
          </w:p>
        </w:tc>
        <w:tc>
          <w:tcPr>
            <w:tcW w:w="2273"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小型企业</w:t>
            </w:r>
          </w:p>
        </w:tc>
        <w:tc>
          <w:tcPr>
            <w:tcW w:w="2279"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98"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投标价格=</w:t>
            </w:r>
          </w:p>
        </w:tc>
        <w:tc>
          <w:tcPr>
            <w:tcW w:w="1561"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w:t>
            </w:r>
          </w:p>
        </w:tc>
        <w:tc>
          <w:tcPr>
            <w:tcW w:w="1492"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w:t>
            </w:r>
          </w:p>
        </w:tc>
        <w:tc>
          <w:tcPr>
            <w:tcW w:w="2273"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投标报价×（1</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w:t>
            </w:r>
          </w:p>
        </w:tc>
        <w:tc>
          <w:tcPr>
            <w:tcW w:w="2279" w:type="dxa"/>
            <w:noWrap w:val="0"/>
            <w:vAlign w:val="center"/>
          </w:tcPr>
          <w:p>
            <w:pPr>
              <w:keepNext w:val="0"/>
              <w:keepLines w:val="0"/>
              <w:pageBreakBefore w:val="0"/>
              <w:widowControl/>
              <w:kinsoku/>
              <w:wordWrap/>
              <w:overflowPunct/>
              <w:topLinePunct w:val="0"/>
              <w:autoSpaceDE/>
              <w:autoSpaceDN/>
              <w:bidi w:val="0"/>
              <w:spacing w:line="312" w:lineRule="auto"/>
              <w:jc w:val="center"/>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投标报价×（1</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w:t>
            </w:r>
          </w:p>
        </w:tc>
      </w:tr>
    </w:tbl>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10.2.2根据《政府采购促进中小企业发展管理办法》（财库</w:t>
      </w:r>
      <w:r>
        <w:rPr>
          <w:rFonts w:hint="eastAsia" w:ascii="宋体" w:hAnsi="宋体" w:cs="宋体"/>
          <w:bCs/>
          <w:color w:val="auto"/>
          <w:szCs w:val="21"/>
          <w:highlight w:val="none"/>
          <w:lang w:val="en-US" w:eastAsia="zh-CN"/>
        </w:rPr>
        <w:t>〔2020〕46号</w:t>
      </w:r>
      <w:r>
        <w:rPr>
          <w:rFonts w:hint="eastAsia" w:ascii="宋体" w:hAnsi="宋体" w:eastAsia="宋体" w:cs="宋体"/>
          <w:bCs/>
          <w:color w:val="auto"/>
          <w:szCs w:val="21"/>
          <w:highlight w:val="none"/>
          <w:lang w:val="en-US" w:eastAsia="zh-CN"/>
        </w:rPr>
        <w:t>）的规定、“关于进一步加大政府采购支持中小企业力度的通知”的规定、《工业和信息化部、国家统计局、国家发展和改革委员会、财政部关于印发中小企业划型标准规定的通知》（工信部联企业</w:t>
      </w:r>
      <w:r>
        <w:rPr>
          <w:rFonts w:hint="eastAsia" w:ascii="宋体" w:hAnsi="宋体" w:cs="宋体"/>
          <w:bCs/>
          <w:color w:val="auto"/>
          <w:szCs w:val="21"/>
          <w:highlight w:val="none"/>
          <w:lang w:val="en-US" w:eastAsia="zh-CN"/>
        </w:rPr>
        <w:t>〔2011〕300号</w:t>
      </w:r>
      <w:r>
        <w:rPr>
          <w:rFonts w:hint="eastAsia" w:ascii="宋体" w:hAnsi="宋体" w:eastAsia="宋体" w:cs="宋体"/>
          <w:bCs/>
          <w:color w:val="auto"/>
          <w:szCs w:val="21"/>
          <w:highlight w:val="none"/>
          <w:lang w:val="en-US" w:eastAsia="zh-CN"/>
        </w:rPr>
        <w:t>）、河南省财政厅河南省工业和信息化厅《关于政府采购促进小型微型企业发展的实施意见》（豫财购</w:t>
      </w:r>
      <w:r>
        <w:rPr>
          <w:rFonts w:hint="eastAsia" w:ascii="宋体" w:hAnsi="宋体" w:cs="宋体"/>
          <w:bCs/>
          <w:color w:val="auto"/>
          <w:szCs w:val="21"/>
          <w:highlight w:val="none"/>
          <w:lang w:val="en-US" w:eastAsia="zh-CN"/>
        </w:rPr>
        <w:t>〔2013〕14号</w:t>
      </w:r>
      <w:r>
        <w:rPr>
          <w:rFonts w:hint="eastAsia" w:ascii="宋体" w:hAnsi="宋体" w:eastAsia="宋体" w:cs="宋体"/>
          <w:bCs/>
          <w:color w:val="auto"/>
          <w:szCs w:val="21"/>
          <w:highlight w:val="none"/>
          <w:lang w:val="en-US" w:eastAsia="zh-CN"/>
        </w:rPr>
        <w:t>）文件规定，本项目对小型和微型企业的价格给予1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%的</w:t>
      </w:r>
      <w:r>
        <w:rPr>
          <w:rFonts w:hint="eastAsia" w:ascii="宋体" w:hAnsi="宋体" w:cs="宋体"/>
          <w:color w:val="auto"/>
          <w:sz w:val="21"/>
          <w:szCs w:val="21"/>
          <w:highlight w:val="none"/>
          <w:lang w:val="en-US" w:eastAsia="zh-CN"/>
        </w:rPr>
        <w:t>增加</w:t>
      </w:r>
      <w:r>
        <w:rPr>
          <w:rFonts w:hint="eastAsia" w:ascii="宋体" w:hAnsi="宋体" w:eastAsia="宋体" w:cs="宋体"/>
          <w:bCs/>
          <w:color w:val="auto"/>
          <w:szCs w:val="21"/>
          <w:highlight w:val="none"/>
          <w:lang w:val="en-US" w:eastAsia="zh-CN"/>
        </w:rPr>
        <w:t>，用扣除后的价格参与评审。</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10.2.3根据财政部、司法部联合印发《关于政府采购支持监狱企业发展有关问题的通知》（财库</w:t>
      </w:r>
      <w:r>
        <w:rPr>
          <w:rFonts w:hint="eastAsia" w:ascii="宋体" w:hAnsi="宋体" w:cs="宋体"/>
          <w:bCs/>
          <w:color w:val="auto"/>
          <w:szCs w:val="21"/>
          <w:highlight w:val="none"/>
          <w:lang w:val="en-US" w:eastAsia="zh-CN"/>
        </w:rPr>
        <w:t>〔2014〕68号</w:t>
      </w:r>
      <w:r>
        <w:rPr>
          <w:rFonts w:hint="eastAsia" w:ascii="宋体" w:hAnsi="宋体" w:eastAsia="宋体" w:cs="宋体"/>
          <w:bCs/>
          <w:color w:val="auto"/>
          <w:szCs w:val="21"/>
          <w:highlight w:val="none"/>
          <w:lang w:val="en-US" w:eastAsia="zh-CN"/>
        </w:rPr>
        <w:t>）文件规定，凡监狱企业参加政府采购活动视同小型、微型企业，享受评审价格扣除的政府采购优惠政策。此次若有监狱企业参加投标的其报价享受1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lang w:val="en-US" w:eastAsia="zh-CN"/>
        </w:rPr>
        <w:t>%的价格</w:t>
      </w:r>
      <w:r>
        <w:rPr>
          <w:rFonts w:hint="eastAsia" w:ascii="宋体" w:hAnsi="宋体" w:cs="宋体"/>
          <w:color w:val="auto"/>
          <w:sz w:val="21"/>
          <w:szCs w:val="21"/>
          <w:highlight w:val="none"/>
          <w:lang w:val="en-US" w:eastAsia="zh-CN"/>
        </w:rPr>
        <w:t>增加</w:t>
      </w:r>
      <w:r>
        <w:rPr>
          <w:rFonts w:hint="eastAsia" w:ascii="宋体" w:hAnsi="宋体" w:eastAsia="宋体" w:cs="宋体"/>
          <w:bCs/>
          <w:color w:val="auto"/>
          <w:szCs w:val="21"/>
          <w:highlight w:val="none"/>
          <w:lang w:val="en-US" w:eastAsia="zh-CN"/>
        </w:rPr>
        <w:t>，但必须提供由省级以上监狱管理局、戒毒管理局（含新疆生产建设兵团）出具的属于监狱企业的证明文件，否则评审时不予价格</w:t>
      </w:r>
      <w:r>
        <w:rPr>
          <w:rFonts w:hint="eastAsia" w:ascii="宋体" w:hAnsi="宋体" w:cs="宋体"/>
          <w:color w:val="auto"/>
          <w:sz w:val="21"/>
          <w:szCs w:val="21"/>
          <w:highlight w:val="none"/>
          <w:lang w:val="en-US" w:eastAsia="zh-CN"/>
        </w:rPr>
        <w:t>增加</w:t>
      </w:r>
      <w:r>
        <w:rPr>
          <w:rFonts w:hint="eastAsia" w:ascii="宋体" w:hAnsi="宋体" w:eastAsia="宋体" w:cs="宋体"/>
          <w:bCs/>
          <w:color w:val="auto"/>
          <w:szCs w:val="21"/>
          <w:highlight w:val="none"/>
          <w:lang w:val="en-US" w:eastAsia="zh-CN"/>
        </w:rPr>
        <w:t>优惠。</w:t>
      </w:r>
    </w:p>
    <w:p>
      <w:pPr>
        <w:keepNext w:val="0"/>
        <w:keepLines w:val="0"/>
        <w:pageBreakBefore w:val="0"/>
        <w:widowControl/>
        <w:kinsoku/>
        <w:wordWrap/>
        <w:overflowPunct/>
        <w:topLinePunct w:val="0"/>
        <w:autoSpaceDE/>
        <w:autoSpaceDN/>
        <w:bidi w:val="0"/>
        <w:spacing w:line="312" w:lineRule="auto"/>
        <w:ind w:firstLine="420" w:firstLineChars="200"/>
        <w:jc w:val="lef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10.2.4根据财库</w:t>
      </w:r>
      <w:r>
        <w:rPr>
          <w:rFonts w:hint="eastAsia" w:ascii="宋体" w:hAnsi="宋体" w:cs="宋体"/>
          <w:bCs/>
          <w:color w:val="auto"/>
          <w:szCs w:val="21"/>
          <w:highlight w:val="none"/>
          <w:lang w:val="en-US" w:eastAsia="zh-CN"/>
        </w:rPr>
        <w:t>〔2017〕141号</w:t>
      </w:r>
      <w:r>
        <w:rPr>
          <w:rFonts w:hint="eastAsia" w:ascii="宋体" w:hAnsi="宋体" w:eastAsia="宋体" w:cs="宋体"/>
          <w:bCs/>
          <w:color w:val="auto"/>
          <w:szCs w:val="21"/>
          <w:highlight w:val="none"/>
          <w:lang w:val="en-US" w:eastAsia="zh-CN"/>
        </w:rPr>
        <w:t>文件规定，在政府采购活动中，残疾人福利性单位视同小型、微型企业，享受预留份额、评审中价格扣除等促进中小企业发展的政府采购政策。残疾人福利性单位属于小型、微型企业的，不重复享受政策。符合条件的残疾人福利性单位在参加政府采购活动时，应当提供《残疾人福利性单位声明函》（见投标文件格式），并对声明的真实性负责。</w:t>
      </w:r>
    </w:p>
    <w:p>
      <w:pP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br w:type="page"/>
      </w:r>
    </w:p>
    <w:bookmarkEnd w:id="187"/>
    <w:p>
      <w:pPr>
        <w:spacing w:beforeAutospacing="0" w:afterAutospacing="0" w:line="400" w:lineRule="exact"/>
        <w:ind w:left="0" w:leftChars="0" w:right="0" w:rightChars="0" w:firstLine="0" w:firstLineChars="0"/>
        <w:jc w:val="center"/>
        <w:outlineLvl w:val="0"/>
        <w:rPr>
          <w:rFonts w:hint="eastAsia" w:ascii="宋体" w:hAnsi="宋体" w:eastAsia="宋体" w:cs="宋体"/>
          <w:color w:val="auto"/>
          <w:highlight w:val="none"/>
        </w:rPr>
      </w:pPr>
      <w:bookmarkStart w:id="188" w:name="_Toc5656"/>
      <w:bookmarkStart w:id="189" w:name="_Toc12284"/>
      <w:r>
        <w:rPr>
          <w:rFonts w:hint="eastAsia" w:ascii="宋体" w:hAnsi="宋体" w:eastAsia="宋体" w:cs="宋体"/>
          <w:b/>
          <w:bCs/>
          <w:color w:val="auto"/>
          <w:sz w:val="32"/>
          <w:szCs w:val="32"/>
          <w:highlight w:val="none"/>
        </w:rPr>
        <w:t>第三章  评标办法</w:t>
      </w:r>
      <w:bookmarkEnd w:id="188"/>
      <w:bookmarkEnd w:id="189"/>
    </w:p>
    <w:p>
      <w:pPr>
        <w:pStyle w:val="4"/>
        <w:numPr>
          <w:ilvl w:val="0"/>
          <w:numId w:val="0"/>
        </w:numPr>
        <w:spacing w:beforeAutospacing="0" w:afterAutospacing="0" w:line="400" w:lineRule="exact"/>
        <w:ind w:right="210"/>
        <w:jc w:val="center"/>
        <w:outlineLvl w:val="1"/>
        <w:rPr>
          <w:rFonts w:hint="eastAsia" w:ascii="宋体" w:hAnsi="宋体" w:eastAsia="宋体" w:cs="宋体"/>
          <w:color w:val="auto"/>
          <w:highlight w:val="none"/>
        </w:rPr>
      </w:pPr>
      <w:bookmarkStart w:id="190" w:name="_Toc472429323"/>
      <w:bookmarkEnd w:id="190"/>
      <w:bookmarkStart w:id="191" w:name="_Toc472337678"/>
      <w:bookmarkEnd w:id="191"/>
      <w:bookmarkStart w:id="192" w:name="_Toc8526"/>
      <w:bookmarkStart w:id="193" w:name="_Toc2145"/>
      <w:bookmarkStart w:id="194" w:name="_Toc31573"/>
      <w:r>
        <w:rPr>
          <w:rFonts w:hint="eastAsia" w:ascii="宋体" w:hAnsi="宋体" w:eastAsia="宋体" w:cs="宋体"/>
          <w:color w:val="auto"/>
          <w:sz w:val="30"/>
          <w:szCs w:val="30"/>
          <w:highlight w:val="none"/>
        </w:rPr>
        <w:t>评标办法前附表（综合评估法）</w:t>
      </w:r>
      <w:bookmarkEnd w:id="192"/>
      <w:bookmarkEnd w:id="193"/>
      <w:bookmarkEnd w:id="194"/>
    </w:p>
    <w:tbl>
      <w:tblPr>
        <w:tblStyle w:val="29"/>
        <w:tblW w:w="9795" w:type="dxa"/>
        <w:tblInd w:w="-4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111"/>
        <w:gridCol w:w="1729"/>
        <w:gridCol w:w="60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trPr>
        <w:tc>
          <w:tcPr>
            <w:tcW w:w="1981" w:type="dxa"/>
            <w:gridSpan w:val="2"/>
            <w:tcBorders>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2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6085" w:type="dxa"/>
            <w:tcBorders>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70" w:type="dxa"/>
            <w:vMerge w:val="restart"/>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符合《中华人民共和国政府采购法》第</w:t>
            </w:r>
            <w:r>
              <w:rPr>
                <w:rFonts w:hint="eastAsia" w:ascii="宋体" w:hAnsi="宋体" w:eastAsia="宋体" w:cs="宋体"/>
                <w:color w:val="auto"/>
                <w:szCs w:val="21"/>
                <w:highlight w:val="none"/>
                <w:lang w:eastAsia="zh-CN"/>
              </w:rPr>
              <w:t>二十二</w:t>
            </w:r>
            <w:r>
              <w:rPr>
                <w:rFonts w:hint="eastAsia" w:ascii="宋体" w:hAnsi="宋体" w:eastAsia="宋体" w:cs="宋体"/>
                <w:color w:val="auto"/>
                <w:szCs w:val="21"/>
                <w:highlight w:val="none"/>
              </w:rPr>
              <w:t>条规定</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ind w:left="0" w:leftChars="0" w:right="0" w:rightChars="0" w:firstLine="0" w:firstLineChars="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信用要求</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ind w:left="0" w:leftChars="0" w:right="0" w:rightChars="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70" w:type="dxa"/>
            <w:vMerge w:val="continue"/>
            <w:tcBorders>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870" w:type="dxa"/>
            <w:vMerge w:val="restart"/>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bookmarkStart w:id="195" w:name="OLE_LINK11" w:colFirst="2" w:colLast="3"/>
            <w:r>
              <w:rPr>
                <w:rFonts w:hint="eastAsia" w:ascii="宋体" w:hAnsi="宋体" w:eastAsia="宋体" w:cs="宋体"/>
                <w:color w:val="auto"/>
                <w:szCs w:val="21"/>
                <w:highlight w:val="none"/>
              </w:rPr>
              <w:t>2.1.2</w:t>
            </w:r>
          </w:p>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符合性</w:t>
            </w:r>
            <w:r>
              <w:rPr>
                <w:rFonts w:hint="eastAsia" w:ascii="宋体" w:hAnsi="宋体" w:eastAsia="宋体" w:cs="宋体"/>
                <w:color w:val="auto"/>
                <w:szCs w:val="21"/>
                <w:highlight w:val="none"/>
              </w:rPr>
              <w:t>评审标准</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营业执照或其他组织证明文件</w:t>
            </w: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自然人的身份证明</w:t>
            </w:r>
            <w:r>
              <w:rPr>
                <w:rFonts w:hint="eastAsia" w:ascii="宋体" w:hAnsi="宋体" w:eastAsia="宋体" w:cs="宋体"/>
                <w:color w:val="auto"/>
                <w:szCs w:val="21"/>
                <w:highlight w:val="none"/>
              </w:rPr>
              <w:t>一致</w:t>
            </w:r>
          </w:p>
        </w:tc>
      </w:tr>
      <w:bookmarkEnd w:id="19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投标函签字盖章</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符合第六章“投标文件格式”的投标函签字盖章规定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服务期限</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投标</w:t>
            </w:r>
            <w:r>
              <w:rPr>
                <w:rFonts w:hint="eastAsia" w:ascii="宋体" w:hAnsi="宋体" w:eastAsia="宋体" w:cs="宋体"/>
                <w:color w:val="auto"/>
                <w:szCs w:val="21"/>
                <w:highlight w:val="none"/>
                <w:lang w:val="en-US" w:eastAsia="zh-CN"/>
              </w:rPr>
              <w:t>质量</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1" w:hRule="atLeast"/>
        </w:trPr>
        <w:tc>
          <w:tcPr>
            <w:tcW w:w="870" w:type="dxa"/>
            <w:vMerge w:val="continue"/>
            <w:tcBorders>
              <w:left w:val="single" w:color="auto" w:sz="12"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固定报价</w:t>
            </w:r>
            <w:r>
              <w:rPr>
                <w:rFonts w:hint="eastAsia" w:ascii="宋体" w:hAnsi="宋体" w:cs="宋体"/>
                <w:color w:val="auto"/>
                <w:szCs w:val="21"/>
                <w:highlight w:val="none"/>
                <w:lang w:val="en-US" w:eastAsia="zh-CN"/>
              </w:rPr>
              <w:t>，不得高于或不得低于最高限价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70" w:type="dxa"/>
            <w:vMerge w:val="continue"/>
            <w:tcBorders>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1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是否存在严重失信主体</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根据《关于在政府采购活动中查询及使用信用记录有关问题的通知》财库</w:t>
            </w:r>
            <w:r>
              <w:rPr>
                <w:rFonts w:hint="eastAsia" w:ascii="宋体" w:hAnsi="宋体" w:eastAsia="宋体" w:cs="宋体"/>
                <w:color w:val="auto"/>
                <w:szCs w:val="21"/>
                <w:highlight w:val="none"/>
                <w:lang w:eastAsia="zh-CN"/>
              </w:rPr>
              <w:t>〔2016〕125号</w:t>
            </w:r>
            <w:r>
              <w:rPr>
                <w:rFonts w:hint="eastAsia" w:ascii="宋体" w:hAnsi="宋体" w:eastAsia="宋体" w:cs="宋体"/>
                <w:color w:val="auto"/>
                <w:szCs w:val="21"/>
                <w:highlight w:val="none"/>
              </w:rPr>
              <w:t>文件和豫财购</w:t>
            </w:r>
            <w:r>
              <w:rPr>
                <w:rFonts w:hint="eastAsia" w:ascii="宋体" w:hAnsi="宋体" w:eastAsia="宋体" w:cs="宋体"/>
                <w:color w:val="auto"/>
                <w:szCs w:val="21"/>
                <w:highlight w:val="none"/>
                <w:lang w:eastAsia="zh-CN"/>
              </w:rPr>
              <w:t>〔2016〕15号</w:t>
            </w:r>
            <w:r>
              <w:rPr>
                <w:rFonts w:hint="eastAsia" w:ascii="宋体" w:hAnsi="宋体" w:eastAsia="宋体" w:cs="宋体"/>
                <w:color w:val="auto"/>
                <w:szCs w:val="21"/>
                <w:highlight w:val="none"/>
              </w:rPr>
              <w:t>文件的规定，</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rPr>
              <w:t>应提供“信用中国”网站（www.creditchina.gov.cn）查询“失信被执行人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大税收违法失信主体”；中国政府采购网（www.ccgp.gov.cn）查询“政府采购严重违法失信行为记录名单”渠道查询自身信用记录，提供查询网页截图，查询截止时点为：从公告发布之日起至投标截止之日止；评委需在线查询投标人失信记录，核实投标人截图准确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1981"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981" w:type="dxa"/>
            <w:gridSpan w:val="2"/>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keepNext w:val="0"/>
              <w:keepLines w:val="0"/>
              <w:pageBreakBefore w:val="0"/>
              <w:kinsoku/>
              <w:wordWrap/>
              <w:overflowPunct/>
              <w:topLinePunct w:val="0"/>
              <w:bidi w:val="0"/>
              <w:adjustRightInd/>
              <w:snapToGrid/>
              <w:spacing w:beforeAutospacing="0" w:afterAutospacing="0"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bidi w:val="0"/>
              <w:adjustRightInd/>
              <w:snapToGrid/>
              <w:spacing w:beforeAutospacing="0" w:afterAutospacing="0" w:line="312"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分</w:t>
            </w:r>
          </w:p>
          <w:p>
            <w:pPr>
              <w:keepNext w:val="0"/>
              <w:keepLines w:val="0"/>
              <w:pageBreakBefore w:val="0"/>
              <w:kinsoku/>
              <w:wordWrap/>
              <w:overflowPunct/>
              <w:topLinePunct w:val="0"/>
              <w:bidi w:val="0"/>
              <w:adjustRightInd/>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p>
            <w:pPr>
              <w:keepNext w:val="0"/>
              <w:keepLines w:val="0"/>
              <w:pageBreakBefore w:val="0"/>
              <w:kinsoku/>
              <w:wordWrap/>
              <w:overflowPunct/>
              <w:topLinePunct w:val="0"/>
              <w:bidi w:val="0"/>
              <w:adjustRightInd/>
              <w:snapToGrid/>
              <w:spacing w:beforeAutospacing="0" w:afterAutospacing="0" w:line="312"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部分：</w:t>
            </w: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w:t>
            </w:r>
          </w:p>
        </w:tc>
        <w:tc>
          <w:tcPr>
            <w:tcW w:w="1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分）</w:t>
            </w:r>
          </w:p>
        </w:tc>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投标报价</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（22分）</w:t>
            </w:r>
          </w:p>
        </w:tc>
        <w:tc>
          <w:tcPr>
            <w:tcW w:w="6085" w:type="dxa"/>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numPr>
                <w:ilvl w:val="0"/>
                <w:numId w:val="0"/>
              </w:numPr>
              <w:kinsoku/>
              <w:wordWrap/>
              <w:overflowPunct/>
              <w:topLinePunct w:val="0"/>
              <w:bidi w:val="0"/>
              <w:adjustRightInd/>
              <w:snapToGrid/>
              <w:spacing w:line="312" w:lineRule="auto"/>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本项目按固定价格采购，通过</w:t>
            </w:r>
            <w:r>
              <w:rPr>
                <w:rFonts w:hint="eastAsia" w:ascii="宋体" w:hAnsi="宋体" w:cs="宋体"/>
                <w:color w:val="auto"/>
                <w:sz w:val="21"/>
                <w:szCs w:val="21"/>
                <w:highlight w:val="none"/>
                <w:lang w:val="en-US" w:eastAsia="zh-CN"/>
              </w:rPr>
              <w:t>资格和符合性</w:t>
            </w:r>
            <w:r>
              <w:rPr>
                <w:rFonts w:hint="eastAsia" w:ascii="宋体" w:hAnsi="宋体" w:eastAsia="宋体" w:cs="宋体"/>
                <w:color w:val="auto"/>
                <w:sz w:val="21"/>
                <w:szCs w:val="21"/>
                <w:highlight w:val="none"/>
              </w:rPr>
              <w:t>评审</w:t>
            </w:r>
            <w:r>
              <w:rPr>
                <w:rFonts w:hint="eastAsia" w:ascii="宋体" w:hAnsi="宋体" w:eastAsia="宋体" w:cs="宋体"/>
                <w:color w:val="auto"/>
                <w:sz w:val="21"/>
                <w:szCs w:val="21"/>
                <w:highlight w:val="none"/>
                <w:lang w:val="en-US" w:eastAsia="zh-CN"/>
              </w:rPr>
              <w:t>的各投标人报价得分为基本分</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符合《政府采购促进中小企业发展管理办法》</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小型、微型、残疾人福利性单位和监狱企业的</w:t>
            </w:r>
            <w:bookmarkStart w:id="196" w:name="OLE_LINK3"/>
            <w:r>
              <w:rPr>
                <w:rFonts w:hint="eastAsia" w:ascii="宋体" w:hAnsi="宋体" w:eastAsia="宋体" w:cs="宋体"/>
                <w:color w:val="auto"/>
                <w:sz w:val="21"/>
                <w:szCs w:val="21"/>
                <w:highlight w:val="none"/>
              </w:rPr>
              <w:t>价格</w:t>
            </w:r>
            <w:r>
              <w:rPr>
                <w:rFonts w:hint="eastAsia" w:ascii="宋体" w:hAnsi="宋体" w:cs="宋体"/>
                <w:color w:val="auto"/>
                <w:sz w:val="21"/>
                <w:szCs w:val="21"/>
                <w:highlight w:val="none"/>
                <w:lang w:val="en-US" w:eastAsia="zh-CN"/>
              </w:rPr>
              <w:t>得分在基本分20分的基础上增加</w:t>
            </w:r>
            <w:bookmarkEnd w:id="196"/>
            <w:bookmarkStart w:id="197" w:name="OLE_LINK4"/>
            <w:r>
              <w:rPr>
                <w:rFonts w:hint="eastAsia" w:ascii="宋体" w:hAnsi="宋体" w:cs="宋体"/>
                <w:color w:val="auto"/>
                <w:sz w:val="21"/>
                <w:szCs w:val="21"/>
                <w:highlight w:val="none"/>
                <w:lang w:val="en-US" w:eastAsia="zh-CN"/>
              </w:rPr>
              <w:t>10%</w:t>
            </w:r>
            <w:bookmarkEnd w:id="197"/>
            <w:r>
              <w:rPr>
                <w:rFonts w:hint="eastAsia" w:ascii="宋体" w:hAnsi="宋体" w:cs="宋体"/>
                <w:color w:val="auto"/>
                <w:sz w:val="21"/>
                <w:szCs w:val="21"/>
                <w:highlight w:val="none"/>
                <w:lang w:val="en-US" w:eastAsia="zh-CN"/>
              </w:rPr>
              <w:t>（2分）</w:t>
            </w:r>
            <w:r>
              <w:rPr>
                <w:rFonts w:hint="eastAsia" w:ascii="宋体" w:hAnsi="宋体" w:eastAsia="宋体" w:cs="宋体"/>
                <w:color w:val="auto"/>
                <w:sz w:val="21"/>
                <w:szCs w:val="21"/>
                <w:highlight w:val="none"/>
              </w:rPr>
              <w:t>。</w:t>
            </w:r>
          </w:p>
          <w:p>
            <w:pPr>
              <w:keepNext w:val="0"/>
              <w:keepLines w:val="0"/>
              <w:pageBreakBefore w:val="0"/>
              <w:numPr>
                <w:ilvl w:val="0"/>
                <w:numId w:val="0"/>
              </w:numPr>
              <w:kinsoku/>
              <w:wordWrap/>
              <w:overflowPunct/>
              <w:topLinePunct w:val="0"/>
              <w:bidi w:val="0"/>
              <w:adjustRightInd/>
              <w:snapToGrid/>
              <w:spacing w:line="312" w:lineRule="auto"/>
              <w:ind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1.本项目落实促进中小型企业发展政策（残疾人福利性企业、监狱企业视同小微企业）等政府采购政策，按照“财库〔2020〕46号”和“工信部联企业〔2011〕300号”“《信阳市财政局关于进一步加大政府采购支持中小企业力度的通知》（信财购</w:t>
            </w:r>
            <w:r>
              <w:rPr>
                <w:rFonts w:hint="eastAsia" w:ascii="宋体" w:hAnsi="宋体" w:cs="宋体"/>
                <w:b/>
                <w:bCs/>
                <w:color w:val="auto"/>
                <w:sz w:val="21"/>
                <w:szCs w:val="21"/>
                <w:highlight w:val="none"/>
                <w:lang w:eastAsia="zh-CN"/>
              </w:rPr>
              <w:t>〔2022〕8号</w:t>
            </w:r>
            <w:r>
              <w:rPr>
                <w:rFonts w:hint="eastAsia" w:ascii="宋体" w:hAnsi="宋体" w:eastAsia="宋体" w:cs="宋体"/>
                <w:b/>
                <w:bCs/>
                <w:color w:val="auto"/>
                <w:sz w:val="21"/>
                <w:szCs w:val="21"/>
                <w:highlight w:val="none"/>
              </w:rPr>
              <w:t>）”有关政策执行，对小型、微型、残疾人福利性单位和监狱企业的价格</w:t>
            </w:r>
            <w:r>
              <w:rPr>
                <w:rFonts w:hint="eastAsia" w:ascii="宋体" w:hAnsi="宋体" w:cs="宋体"/>
                <w:b/>
                <w:bCs/>
                <w:color w:val="auto"/>
                <w:sz w:val="21"/>
                <w:szCs w:val="21"/>
                <w:highlight w:val="none"/>
                <w:lang w:val="en-US" w:eastAsia="zh-CN"/>
              </w:rPr>
              <w:t>在基本分的基础上</w:t>
            </w:r>
            <w:r>
              <w:rPr>
                <w:rFonts w:hint="eastAsia" w:ascii="宋体" w:hAnsi="宋体" w:eastAsia="宋体" w:cs="宋体"/>
                <w:b/>
                <w:bCs/>
                <w:color w:val="auto"/>
                <w:sz w:val="21"/>
                <w:szCs w:val="21"/>
                <w:highlight w:val="none"/>
              </w:rPr>
              <w:t>给予</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的增加</w:t>
            </w:r>
            <w:r>
              <w:rPr>
                <w:rFonts w:hint="eastAsia" w:ascii="宋体" w:hAnsi="宋体" w:eastAsia="宋体" w:cs="宋体"/>
                <w:b/>
                <w:bCs/>
                <w:color w:val="auto"/>
                <w:sz w:val="21"/>
                <w:szCs w:val="21"/>
                <w:highlight w:val="none"/>
              </w:rPr>
              <w:t>。</w:t>
            </w:r>
          </w:p>
          <w:p>
            <w:pPr>
              <w:keepNext w:val="0"/>
              <w:keepLines w:val="0"/>
              <w:pageBreakBefore w:val="0"/>
              <w:numPr>
                <w:ilvl w:val="0"/>
                <w:numId w:val="4"/>
              </w:numPr>
              <w:kinsoku/>
              <w:wordWrap/>
              <w:overflowPunct/>
              <w:topLinePunct w:val="0"/>
              <w:bidi w:val="0"/>
              <w:adjustRightInd/>
              <w:snapToGrid/>
              <w:spacing w:line="312" w:lineRule="auto"/>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根据各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提供的“中小企业声明函”（见文件格式部分）进行划分，投标企业声明内容不实的视为提供虚假材料；</w:t>
            </w:r>
          </w:p>
          <w:p>
            <w:pPr>
              <w:keepNext w:val="0"/>
              <w:keepLines w:val="0"/>
              <w:pageBreakBefore w:val="0"/>
              <w:numPr>
                <w:ilvl w:val="0"/>
                <w:numId w:val="4"/>
              </w:numPr>
              <w:kinsoku/>
              <w:wordWrap/>
              <w:overflowPunct/>
              <w:topLinePunct w:val="0"/>
              <w:bidi w:val="0"/>
              <w:adjustRightInd/>
              <w:snapToGrid/>
              <w:spacing w:line="312" w:lineRule="auto"/>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若为残疾人福利性单位，须按规定提供《残疾人福利性单位声明函》（见文件格式部分），并对其真实性负责；</w:t>
            </w:r>
          </w:p>
          <w:p>
            <w:pPr>
              <w:keepNext w:val="0"/>
              <w:keepLines w:val="0"/>
              <w:pageBreakBefore w:val="0"/>
              <w:numPr>
                <w:ilvl w:val="0"/>
                <w:numId w:val="4"/>
              </w:numPr>
              <w:kinsoku/>
              <w:wordWrap/>
              <w:overflowPunct/>
              <w:topLinePunct w:val="0"/>
              <w:bidi w:val="0"/>
              <w:adjustRightInd/>
              <w:snapToGrid/>
              <w:spacing w:line="312" w:lineRule="auto"/>
              <w:ind w:left="0" w:leftChars="0" w:firstLine="0" w:firstLine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若为监狱企业参加政府采购活动，应当提供由省级以上监狱管理局、戒毒管理局(含</w:t>
            </w:r>
            <w:r>
              <w:rPr>
                <w:rFonts w:hint="eastAsia" w:ascii="宋体" w:hAnsi="宋体" w:cs="宋体"/>
                <w:b/>
                <w:bCs/>
                <w:color w:val="auto"/>
                <w:sz w:val="21"/>
                <w:szCs w:val="21"/>
                <w:highlight w:val="none"/>
                <w:lang w:eastAsia="zh-CN"/>
              </w:rPr>
              <w:t>新疆生产建设兵团）</w:t>
            </w:r>
            <w:r>
              <w:rPr>
                <w:rFonts w:hint="eastAsia" w:ascii="宋体" w:hAnsi="宋体" w:eastAsia="宋体" w:cs="宋体"/>
                <w:b/>
                <w:bCs/>
                <w:color w:val="auto"/>
                <w:sz w:val="21"/>
                <w:szCs w:val="21"/>
                <w:highlight w:val="none"/>
              </w:rPr>
              <w:t>出具的属于监狱企业的证明文件</w:t>
            </w:r>
            <w:r>
              <w:rPr>
                <w:rFonts w:hint="eastAsia" w:ascii="宋体" w:hAnsi="宋体" w:cs="宋体"/>
                <w:b/>
                <w:bCs/>
                <w:color w:val="auto"/>
                <w:sz w:val="21"/>
                <w:szCs w:val="21"/>
                <w:highlight w:val="none"/>
                <w:lang w:eastAsia="zh-CN"/>
              </w:rPr>
              <w:t>。</w:t>
            </w:r>
          </w:p>
          <w:p>
            <w:pPr>
              <w:keepNext w:val="0"/>
              <w:keepLines w:val="0"/>
              <w:pageBreakBefore w:val="0"/>
              <w:numPr>
                <w:ilvl w:val="0"/>
                <w:numId w:val="4"/>
              </w:numPr>
              <w:kinsoku/>
              <w:wordWrap/>
              <w:overflowPunct/>
              <w:topLinePunct w:val="0"/>
              <w:bidi w:val="0"/>
              <w:adjustRightInd/>
              <w:snapToGrid/>
              <w:spacing w:line="312" w:lineRule="auto"/>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为小型、微型企业的，同时又为残疾人福利性单位或监狱企业的，不重复享受政策。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技术部分</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p>
        </w:tc>
        <w:tc>
          <w:tcPr>
            <w:tcW w:w="172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运营</w:t>
            </w:r>
            <w:r>
              <w:rPr>
                <w:rFonts w:hint="eastAsia" w:ascii="宋体" w:hAnsi="宋体" w:cs="宋体"/>
                <w:strike w:val="0"/>
                <w:color w:val="auto"/>
                <w:kern w:val="2"/>
                <w:sz w:val="21"/>
                <w:szCs w:val="21"/>
                <w:highlight w:val="none"/>
                <w:lang w:val="en-US" w:eastAsia="zh-CN" w:bidi="ar-SA"/>
              </w:rPr>
              <w:t>服务</w:t>
            </w:r>
            <w:r>
              <w:rPr>
                <w:rFonts w:hint="eastAsia" w:ascii="宋体" w:hAnsi="宋体" w:eastAsia="宋体" w:cs="宋体"/>
                <w:strike w:val="0"/>
                <w:color w:val="auto"/>
                <w:kern w:val="2"/>
                <w:sz w:val="21"/>
                <w:szCs w:val="21"/>
                <w:highlight w:val="none"/>
                <w:lang w:val="en-US" w:eastAsia="zh-CN" w:bidi="ar-SA"/>
              </w:rPr>
              <w:t>方案</w:t>
            </w: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color w:val="auto"/>
                <w:kern w:val="2"/>
                <w:sz w:val="21"/>
                <w:szCs w:val="21"/>
                <w:highlight w:val="none"/>
                <w:lang w:val="en-US" w:eastAsia="zh-CN" w:bidi="ar-SA"/>
              </w:rPr>
            </w:pP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对本项目制定的包括但不限于膳食服务、生活照料服务、协助医疗护理服务、医疗服务、康复服务、心理/精神支持服务、安宁服务、休闲娱乐服务、环境卫生服务、洗涤服务、维修服务、通信服务等的运营方案</w:t>
            </w:r>
            <w:r>
              <w:rPr>
                <w:rFonts w:hint="eastAsia" w:ascii="宋体" w:hAnsi="宋体" w:cs="宋体"/>
                <w:strike w:val="0"/>
                <w:color w:val="auto"/>
                <w:kern w:val="2"/>
                <w:sz w:val="21"/>
                <w:szCs w:val="21"/>
                <w:highlight w:val="none"/>
                <w:lang w:val="en-US" w:eastAsia="zh-CN" w:bidi="ar-SA"/>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方案</w:t>
            </w:r>
            <w:r>
              <w:rPr>
                <w:rFonts w:hint="eastAsia" w:ascii="宋体" w:hAnsi="宋体" w:cs="宋体"/>
                <w:strike w:val="0"/>
                <w:color w:val="auto"/>
                <w:kern w:val="2"/>
                <w:sz w:val="21"/>
                <w:szCs w:val="21"/>
                <w:highlight w:val="none"/>
                <w:lang w:val="en-US" w:eastAsia="zh-CN" w:bidi="ar-SA"/>
              </w:rPr>
              <w:t>全面、</w:t>
            </w:r>
            <w:r>
              <w:rPr>
                <w:rFonts w:hint="eastAsia" w:ascii="宋体" w:hAnsi="宋体" w:eastAsia="宋体" w:cs="宋体"/>
                <w:strike w:val="0"/>
                <w:color w:val="auto"/>
                <w:kern w:val="2"/>
                <w:sz w:val="21"/>
                <w:szCs w:val="21"/>
                <w:highlight w:val="none"/>
                <w:lang w:val="en-US" w:eastAsia="zh-CN" w:bidi="ar-SA"/>
              </w:rPr>
              <w:t>科学合理、针对性强的得</w:t>
            </w:r>
            <w:r>
              <w:rPr>
                <w:rFonts w:hint="eastAsia" w:ascii="宋体" w:hAnsi="宋体" w:cs="宋体"/>
                <w:strike w:val="0"/>
                <w:color w:val="auto"/>
                <w:kern w:val="2"/>
                <w:sz w:val="21"/>
                <w:szCs w:val="21"/>
                <w:highlight w:val="none"/>
                <w:lang w:val="en-US" w:eastAsia="zh-CN" w:bidi="ar-SA"/>
              </w:rPr>
              <w:t>3</w:t>
            </w:r>
            <w:r>
              <w:rPr>
                <w:rFonts w:hint="eastAsia" w:ascii="宋体" w:hAnsi="宋体" w:eastAsia="宋体" w:cs="宋体"/>
                <w:strike w:val="0"/>
                <w:color w:val="auto"/>
                <w:kern w:val="2"/>
                <w:sz w:val="21"/>
                <w:szCs w:val="21"/>
                <w:highlight w:val="none"/>
                <w:lang w:val="en-US" w:eastAsia="zh-CN" w:bidi="ar-SA"/>
              </w:rPr>
              <w:t>分</w:t>
            </w:r>
            <w:r>
              <w:rPr>
                <w:rFonts w:hint="eastAsia" w:ascii="宋体" w:hAnsi="宋体" w:cs="宋体"/>
                <w:strike w:val="0"/>
                <w:color w:val="auto"/>
                <w:kern w:val="2"/>
                <w:sz w:val="21"/>
                <w:szCs w:val="21"/>
                <w:highlight w:val="none"/>
                <w:lang w:val="en-US" w:eastAsia="zh-CN" w:bidi="ar-SA"/>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eastAsia="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方案</w:t>
            </w:r>
            <w:r>
              <w:rPr>
                <w:rFonts w:hint="eastAsia" w:ascii="宋体" w:hAnsi="宋体" w:cs="宋体"/>
                <w:strike w:val="0"/>
                <w:color w:val="auto"/>
                <w:kern w:val="2"/>
                <w:sz w:val="21"/>
                <w:szCs w:val="21"/>
                <w:highlight w:val="none"/>
                <w:lang w:val="en-US" w:eastAsia="zh-CN" w:bidi="ar-SA"/>
              </w:rPr>
              <w:t>全面或基本全面，</w:t>
            </w:r>
            <w:r>
              <w:rPr>
                <w:rFonts w:hint="eastAsia" w:ascii="宋体" w:hAnsi="宋体" w:eastAsia="宋体" w:cs="宋体"/>
                <w:strike w:val="0"/>
                <w:color w:val="auto"/>
                <w:kern w:val="2"/>
                <w:sz w:val="21"/>
                <w:szCs w:val="21"/>
                <w:highlight w:val="none"/>
                <w:lang w:val="en-US" w:eastAsia="zh-CN" w:bidi="ar-SA"/>
              </w:rPr>
              <w:t>科学合理</w:t>
            </w:r>
            <w:r>
              <w:rPr>
                <w:rFonts w:hint="eastAsia" w:ascii="宋体" w:hAnsi="宋体" w:cs="宋体"/>
                <w:strike w:val="0"/>
                <w:color w:val="auto"/>
                <w:kern w:val="2"/>
                <w:sz w:val="21"/>
                <w:szCs w:val="21"/>
                <w:highlight w:val="none"/>
                <w:lang w:val="en-US" w:eastAsia="zh-CN" w:bidi="ar-SA"/>
              </w:rPr>
              <w:t>性一般</w:t>
            </w:r>
            <w:r>
              <w:rPr>
                <w:rFonts w:hint="eastAsia" w:ascii="宋体" w:hAnsi="宋体" w:eastAsia="宋体" w:cs="宋体"/>
                <w:strike w:val="0"/>
                <w:color w:val="auto"/>
                <w:kern w:val="2"/>
                <w:sz w:val="21"/>
                <w:szCs w:val="21"/>
                <w:highlight w:val="none"/>
                <w:lang w:val="en-US" w:eastAsia="zh-CN" w:bidi="ar-SA"/>
              </w:rPr>
              <w:t>、针对性</w:t>
            </w:r>
            <w:r>
              <w:rPr>
                <w:rFonts w:hint="eastAsia" w:ascii="宋体" w:hAnsi="宋体" w:cs="宋体"/>
                <w:strike w:val="0"/>
                <w:color w:val="auto"/>
                <w:kern w:val="2"/>
                <w:sz w:val="21"/>
                <w:szCs w:val="21"/>
                <w:highlight w:val="none"/>
                <w:lang w:val="en-US" w:eastAsia="zh-CN" w:bidi="ar-SA"/>
              </w:rPr>
              <w:t>一般</w:t>
            </w:r>
            <w:r>
              <w:rPr>
                <w:rFonts w:hint="eastAsia" w:ascii="宋体" w:hAnsi="宋体" w:eastAsia="宋体" w:cs="宋体"/>
                <w:strike w:val="0"/>
                <w:color w:val="auto"/>
                <w:kern w:val="2"/>
                <w:sz w:val="21"/>
                <w:szCs w:val="21"/>
                <w:highlight w:val="none"/>
                <w:lang w:val="en-US" w:eastAsia="zh-CN" w:bidi="ar-SA"/>
              </w:rPr>
              <w:t>的得</w:t>
            </w:r>
            <w:r>
              <w:rPr>
                <w:rFonts w:hint="eastAsia" w:ascii="宋体" w:hAnsi="宋体" w:cs="宋体"/>
                <w:strike w:val="0"/>
                <w:color w:val="auto"/>
                <w:kern w:val="2"/>
                <w:sz w:val="21"/>
                <w:szCs w:val="21"/>
                <w:highlight w:val="none"/>
                <w:lang w:val="en-US" w:eastAsia="zh-CN" w:bidi="ar-SA"/>
              </w:rPr>
              <w:t>2</w:t>
            </w:r>
            <w:r>
              <w:rPr>
                <w:rFonts w:hint="eastAsia" w:ascii="宋体" w:hAnsi="宋体" w:eastAsia="宋体" w:cs="宋体"/>
                <w:strike w:val="0"/>
                <w:color w:val="auto"/>
                <w:kern w:val="2"/>
                <w:sz w:val="21"/>
                <w:szCs w:val="21"/>
                <w:highlight w:val="none"/>
                <w:lang w:val="en-US" w:eastAsia="zh-CN" w:bidi="ar-SA"/>
              </w:rPr>
              <w:t>分</w:t>
            </w:r>
            <w:r>
              <w:rPr>
                <w:rFonts w:hint="eastAsia" w:ascii="宋体" w:hAnsi="宋体" w:cs="宋体"/>
                <w:strike w:val="0"/>
                <w:color w:val="auto"/>
                <w:kern w:val="2"/>
                <w:sz w:val="21"/>
                <w:szCs w:val="21"/>
                <w:highlight w:val="none"/>
                <w:lang w:val="en-US" w:eastAsia="zh-CN" w:bidi="ar-SA"/>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方案</w:t>
            </w:r>
            <w:r>
              <w:rPr>
                <w:rFonts w:hint="eastAsia" w:ascii="宋体" w:hAnsi="宋体" w:cs="宋体"/>
                <w:strike w:val="0"/>
                <w:color w:val="auto"/>
                <w:kern w:val="2"/>
                <w:sz w:val="21"/>
                <w:szCs w:val="21"/>
                <w:highlight w:val="none"/>
                <w:lang w:val="en-US" w:eastAsia="zh-CN" w:bidi="ar-SA"/>
              </w:rPr>
              <w:t>不全，</w:t>
            </w:r>
            <w:r>
              <w:rPr>
                <w:rFonts w:hint="eastAsia" w:ascii="宋体" w:hAnsi="宋体" w:eastAsia="宋体" w:cs="宋体"/>
                <w:strike w:val="0"/>
                <w:color w:val="auto"/>
                <w:kern w:val="2"/>
                <w:sz w:val="21"/>
                <w:szCs w:val="21"/>
                <w:highlight w:val="none"/>
                <w:lang w:val="en-US" w:eastAsia="zh-CN" w:bidi="ar-SA"/>
              </w:rPr>
              <w:t>科学合理</w:t>
            </w:r>
            <w:r>
              <w:rPr>
                <w:rFonts w:hint="eastAsia" w:ascii="宋体" w:hAnsi="宋体" w:cs="宋体"/>
                <w:strike w:val="0"/>
                <w:color w:val="auto"/>
                <w:kern w:val="2"/>
                <w:sz w:val="21"/>
                <w:szCs w:val="21"/>
                <w:highlight w:val="none"/>
                <w:lang w:val="en-US" w:eastAsia="zh-CN" w:bidi="ar-SA"/>
              </w:rPr>
              <w:t>性差</w:t>
            </w:r>
            <w:r>
              <w:rPr>
                <w:rFonts w:hint="eastAsia" w:ascii="宋体" w:hAnsi="宋体" w:eastAsia="宋体" w:cs="宋体"/>
                <w:strike w:val="0"/>
                <w:color w:val="auto"/>
                <w:kern w:val="2"/>
                <w:sz w:val="21"/>
                <w:szCs w:val="21"/>
                <w:highlight w:val="none"/>
                <w:lang w:val="en-US" w:eastAsia="zh-CN" w:bidi="ar-SA"/>
              </w:rPr>
              <w:t>、针对性</w:t>
            </w:r>
            <w:r>
              <w:rPr>
                <w:rFonts w:hint="eastAsia" w:ascii="宋体" w:hAnsi="宋体" w:cs="宋体"/>
                <w:strike w:val="0"/>
                <w:color w:val="auto"/>
                <w:kern w:val="2"/>
                <w:sz w:val="21"/>
                <w:szCs w:val="21"/>
                <w:highlight w:val="none"/>
                <w:lang w:val="en-US" w:eastAsia="zh-CN" w:bidi="ar-SA"/>
              </w:rPr>
              <w:t>差</w:t>
            </w:r>
            <w:r>
              <w:rPr>
                <w:rFonts w:hint="eastAsia" w:ascii="宋体" w:hAnsi="宋体" w:eastAsia="宋体" w:cs="宋体"/>
                <w:strike w:val="0"/>
                <w:color w:val="auto"/>
                <w:kern w:val="2"/>
                <w:sz w:val="21"/>
                <w:szCs w:val="21"/>
                <w:highlight w:val="none"/>
                <w:lang w:val="en-US" w:eastAsia="zh-CN" w:bidi="ar-SA"/>
              </w:rPr>
              <w:t>的得</w:t>
            </w:r>
            <w:r>
              <w:rPr>
                <w:rFonts w:hint="eastAsia" w:ascii="宋体" w:hAnsi="宋体" w:cs="宋体"/>
                <w:strike w:val="0"/>
                <w:color w:val="auto"/>
                <w:kern w:val="2"/>
                <w:sz w:val="21"/>
                <w:szCs w:val="21"/>
                <w:highlight w:val="none"/>
                <w:lang w:val="en-US" w:eastAsia="zh-CN" w:bidi="ar-SA"/>
              </w:rPr>
              <w:t>1</w:t>
            </w:r>
            <w:r>
              <w:rPr>
                <w:rFonts w:hint="eastAsia" w:ascii="宋体" w:hAnsi="宋体" w:eastAsia="宋体" w:cs="宋体"/>
                <w:strike w:val="0"/>
                <w:color w:val="auto"/>
                <w:kern w:val="2"/>
                <w:sz w:val="21"/>
                <w:szCs w:val="21"/>
                <w:highlight w:val="none"/>
                <w:lang w:val="en-US" w:eastAsia="zh-CN" w:bidi="ar-SA"/>
              </w:rPr>
              <w:t>分</w:t>
            </w:r>
            <w:r>
              <w:rPr>
                <w:rFonts w:hint="eastAsia" w:ascii="宋体" w:hAnsi="宋体" w:cs="宋体"/>
                <w:strike w:val="0"/>
                <w:color w:val="auto"/>
                <w:kern w:val="2"/>
                <w:sz w:val="21"/>
                <w:szCs w:val="21"/>
                <w:highlight w:val="none"/>
                <w:lang w:val="en-US" w:eastAsia="zh-CN" w:bidi="ar-SA"/>
              </w:rPr>
              <w:t>；</w:t>
            </w:r>
          </w:p>
          <w:p>
            <w:pPr>
              <w:pStyle w:val="28"/>
              <w:ind w:left="0" w:leftChars="0" w:firstLine="0" w:firstLineChars="0"/>
              <w:rPr>
                <w:rFonts w:hint="default"/>
                <w:color w:val="auto"/>
                <w:highlight w:val="none"/>
                <w:lang w:val="en-US" w:eastAsia="zh-CN"/>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0" w:type="dxa"/>
            <w:vMerge w:val="continue"/>
            <w:tcBorders>
              <w:left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项目运营</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发展规划</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投标人对项目定位、发展规划、运营目标、运营愿景制定发展</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方案描述详尽、清晰、操作性强的得3分；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方案描述比较详尽、比较清晰、操作性比较强的得2分；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方案描述基本详尽、基本清晰、操作性一般的得1分；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项目运营重点、难点、风险点以及管理控制措施</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tc>
        <w:tc>
          <w:tcPr>
            <w:tcW w:w="6085" w:type="dxa"/>
            <w:tcBorders>
              <w:top w:val="single" w:color="auto" w:sz="4" w:space="0"/>
              <w:left w:val="single" w:color="auto" w:sz="4" w:space="0"/>
              <w:bottom w:val="single" w:color="auto" w:sz="4" w:space="0"/>
              <w:right w:val="single" w:color="auto" w:sz="12" w:space="0"/>
            </w:tcBorders>
            <w:vAlign w:val="center"/>
          </w:tcPr>
          <w:p>
            <w:pPr>
              <w:spacing w:line="360" w:lineRule="auto"/>
              <w:rPr>
                <w:rFonts w:hint="eastAsia" w:ascii="宋体" w:hAnsi="宋体" w:eastAsia="宋体"/>
                <w:bCs/>
                <w:color w:val="auto"/>
                <w:szCs w:val="21"/>
                <w:highlight w:val="none"/>
                <w:lang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对</w:t>
            </w:r>
            <w:r>
              <w:rPr>
                <w:rFonts w:hint="eastAsia" w:ascii="宋体" w:hAnsi="宋体" w:eastAsia="宋体" w:cs="宋体"/>
                <w:bCs/>
                <w:color w:val="auto"/>
                <w:szCs w:val="21"/>
                <w:highlight w:val="none"/>
              </w:rPr>
              <w:t>项目运</w:t>
            </w:r>
            <w:r>
              <w:rPr>
                <w:rFonts w:hint="eastAsia" w:ascii="宋体" w:hAnsi="宋体" w:eastAsia="宋体"/>
                <w:bCs/>
                <w:color w:val="auto"/>
                <w:szCs w:val="21"/>
                <w:highlight w:val="none"/>
              </w:rPr>
              <w:t>营重点、难点、风险点以及管理控制措施</w:t>
            </w:r>
            <w:r>
              <w:rPr>
                <w:rFonts w:hint="eastAsia" w:ascii="宋体" w:hAnsi="宋体" w:eastAsia="宋体"/>
                <w:bCs/>
                <w:color w:val="auto"/>
                <w:szCs w:val="21"/>
                <w:highlight w:val="none"/>
                <w:lang w:val="en-US" w:eastAsia="zh-CN"/>
              </w:rPr>
              <w:t>方案</w:t>
            </w:r>
            <w:r>
              <w:rPr>
                <w:rFonts w:hint="eastAsia" w:ascii="宋体" w:hAnsi="宋体" w:eastAsia="宋体"/>
                <w:bCs/>
                <w:color w:val="auto"/>
                <w:szCs w:val="21"/>
                <w:highlight w:val="none"/>
                <w:lang w:eastAsia="zh-CN"/>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方案描述详尽、清晰、操作性强的得3分；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方案描述比较详尽、比较清晰、操作性比较强的得2分；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方案描述基本详尽、基本清晰、操作性一般的得1分；</w:t>
            </w:r>
          </w:p>
          <w:p>
            <w:pPr>
              <w:keepNext w:val="0"/>
              <w:keepLines w:val="0"/>
              <w:pageBreakBefore w:val="0"/>
              <w:widowControl/>
              <w:kinsoku/>
              <w:wordWrap/>
              <w:overflowPunct/>
              <w:topLinePunct w:val="0"/>
              <w:autoSpaceDE/>
              <w:autoSpaceDN/>
              <w:bidi w:val="0"/>
              <w:adjustRightInd/>
              <w:snapToGrid/>
              <w:spacing w:line="312" w:lineRule="auto"/>
              <w:ind w:right="0" w:rightChars="0" w:firstLine="0" w:firstLineChars="0"/>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机构设置与</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管理制度</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包括但不限于机构设置、护理制度及流程、运营管理制度、评估</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制度及流程、值班制度、会议制度、考勤制度、绩效考核制度、</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服务管理、卫生健康、安全保障制度等。</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机构设置科学、管理制度健全、操作性强得3分；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机构设置比较科学、管理制度比较健全、操作性比较强得2分；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机构设置基本科学、管理制度基本健全、操作性一般得1分；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消防安全保障措施与应急处理方案</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提供针对养老运营项目的消防管理、安全管理、应急管理及应急处理等方案措施。</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方案描述详尽、科学合理、操作性强的得3分；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方案描述比较详尽、科学合理、操作性比较强的得2分；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方案描述简单、基本合理、操作性一般的得1分；</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eastAsia" w:ascii="宋体" w:hAnsi="宋体" w:eastAsia="宋体" w:cs="宋体"/>
                <w:color w:val="auto"/>
                <w:szCs w:val="21"/>
                <w:highlight w:val="none"/>
              </w:rPr>
            </w:pPr>
          </w:p>
        </w:tc>
        <w:tc>
          <w:tcPr>
            <w:tcW w:w="1729"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维修维护以及更新改造计划方案</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r>
              <w:rPr>
                <w:rFonts w:hint="eastAsia" w:ascii="宋体" w:hAnsi="宋体" w:cs="宋体"/>
                <w:strike w:val="0"/>
                <w:color w:val="auto"/>
                <w:kern w:val="2"/>
                <w:sz w:val="21"/>
                <w:szCs w:val="21"/>
                <w:highlight w:val="none"/>
                <w:lang w:val="en-US" w:eastAsia="zh-CN" w:bidi="ar-SA"/>
              </w:rPr>
              <w:t>（3分）</w:t>
            </w:r>
          </w:p>
          <w:p>
            <w:pPr>
              <w:pStyle w:val="27"/>
              <w:keepNext w:val="0"/>
              <w:keepLines w:val="0"/>
              <w:pageBreakBefore w:val="0"/>
              <w:kinsoku/>
              <w:wordWrap/>
              <w:overflowPunct/>
              <w:topLinePunct w:val="0"/>
              <w:bidi w:val="0"/>
              <w:adjustRightInd/>
              <w:snapToGrid/>
              <w:spacing w:after="0" w:line="312" w:lineRule="auto"/>
              <w:ind w:left="0" w:leftChars="0" w:right="0" w:rightChars="0" w:firstLine="0" w:firstLineChars="0"/>
              <w:jc w:val="center"/>
              <w:rPr>
                <w:rFonts w:hint="eastAsia" w:ascii="宋体" w:hAnsi="宋体" w:cs="宋体"/>
                <w:strike w:val="0"/>
                <w:color w:val="auto"/>
                <w:kern w:val="2"/>
                <w:sz w:val="21"/>
                <w:szCs w:val="21"/>
                <w:highlight w:val="none"/>
                <w:lang w:val="en-US" w:eastAsia="zh-CN" w:bidi="ar-SA"/>
              </w:rPr>
            </w:pP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both"/>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提供</w:t>
            </w:r>
            <w:r>
              <w:rPr>
                <w:rFonts w:hint="eastAsia" w:ascii="宋体" w:hAnsi="宋体" w:eastAsia="宋体" w:cs="宋体"/>
                <w:color w:val="auto"/>
                <w:sz w:val="21"/>
                <w:szCs w:val="21"/>
                <w:highlight w:val="none"/>
                <w:lang w:val="en-US" w:eastAsia="zh-CN" w:bidi="ar-SA"/>
              </w:rPr>
              <w:t>针对本项目</w:t>
            </w:r>
            <w:r>
              <w:rPr>
                <w:rFonts w:hint="eastAsia" w:ascii="宋体" w:hAnsi="宋体" w:cs="宋体"/>
                <w:color w:val="auto"/>
                <w:sz w:val="21"/>
                <w:szCs w:val="21"/>
                <w:highlight w:val="none"/>
                <w:lang w:val="en-US" w:eastAsia="zh-CN" w:bidi="ar-SA"/>
              </w:rPr>
              <w:t>设施设备</w:t>
            </w:r>
            <w:r>
              <w:rPr>
                <w:rFonts w:hint="eastAsia" w:ascii="宋体" w:hAnsi="宋体" w:eastAsia="宋体" w:cs="宋体"/>
                <w:color w:val="auto"/>
                <w:sz w:val="21"/>
                <w:szCs w:val="21"/>
                <w:highlight w:val="none"/>
                <w:lang w:val="en-US" w:eastAsia="zh-CN" w:bidi="ar-SA"/>
              </w:rPr>
              <w:t>制定的维修维护以及更新改造计划</w:t>
            </w:r>
            <w:r>
              <w:rPr>
                <w:rFonts w:hint="eastAsia" w:ascii="宋体" w:hAnsi="宋体" w:cs="宋体"/>
                <w:color w:val="auto"/>
                <w:sz w:val="21"/>
                <w:szCs w:val="21"/>
                <w:highlight w:val="none"/>
                <w:lang w:val="en-US" w:eastAsia="zh-CN" w:bidi="ar-SA"/>
              </w:rPr>
              <w:t>方案。</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内容详尽、合理</w:t>
            </w:r>
            <w:r>
              <w:rPr>
                <w:rFonts w:hint="eastAsia" w:ascii="宋体" w:hAnsi="宋体" w:cs="宋体"/>
                <w:color w:val="auto"/>
                <w:sz w:val="21"/>
                <w:szCs w:val="21"/>
                <w:highlight w:val="none"/>
                <w:lang w:val="en-US" w:eastAsia="zh-CN" w:bidi="ar-SA"/>
              </w:rPr>
              <w:t>、</w:t>
            </w:r>
            <w:r>
              <w:rPr>
                <w:rFonts w:hint="eastAsia" w:ascii="宋体" w:hAnsi="宋体" w:cs="宋体"/>
                <w:strike w:val="0"/>
                <w:color w:val="auto"/>
                <w:kern w:val="2"/>
                <w:sz w:val="21"/>
                <w:szCs w:val="21"/>
                <w:highlight w:val="none"/>
                <w:lang w:val="en-US" w:eastAsia="zh-CN" w:bidi="ar-SA"/>
              </w:rPr>
              <w:t>切实可行</w:t>
            </w:r>
            <w:r>
              <w:rPr>
                <w:rFonts w:hint="eastAsia"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计划内容较为详尽、合理</w:t>
            </w:r>
            <w:r>
              <w:rPr>
                <w:rFonts w:hint="eastAsia" w:ascii="宋体" w:hAnsi="宋体" w:cs="宋体"/>
                <w:color w:val="auto"/>
                <w:sz w:val="21"/>
                <w:szCs w:val="21"/>
                <w:highlight w:val="none"/>
                <w:lang w:val="en-US" w:eastAsia="zh-CN" w:bidi="ar-SA"/>
              </w:rPr>
              <w:t>、可行</w:t>
            </w:r>
            <w:r>
              <w:rPr>
                <w:rFonts w:hint="eastAsia"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p>
          <w:p>
            <w:pPr>
              <w:pStyle w:val="27"/>
              <w:keepNext w:val="0"/>
              <w:keepLines w:val="0"/>
              <w:pageBreakBefore w:val="0"/>
              <w:kinsoku/>
              <w:wordWrap/>
              <w:overflowPunct/>
              <w:topLinePunct w:val="0"/>
              <w:bidi w:val="0"/>
              <w:adjustRightInd/>
              <w:snapToGrid/>
              <w:spacing w:after="0" w:line="312" w:lineRule="auto"/>
              <w:ind w:firstLine="0" w:firstLineChars="0"/>
              <w:jc w:val="both"/>
              <w:rPr>
                <w:rFonts w:hint="eastAsia" w:ascii="宋体" w:hAnsi="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计划内容</w:t>
            </w:r>
            <w:r>
              <w:rPr>
                <w:rFonts w:hint="eastAsia" w:ascii="宋体" w:hAnsi="宋体" w:cs="宋体"/>
                <w:color w:val="auto"/>
                <w:sz w:val="21"/>
                <w:szCs w:val="21"/>
                <w:highlight w:val="none"/>
                <w:lang w:val="en-US" w:eastAsia="zh-CN" w:bidi="ar-SA"/>
              </w:rPr>
              <w:t>简单</w:t>
            </w:r>
            <w:r>
              <w:rPr>
                <w:rFonts w:hint="eastAsia"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基本</w:t>
            </w:r>
            <w:r>
              <w:rPr>
                <w:rFonts w:hint="eastAsia" w:ascii="宋体" w:hAnsi="宋体" w:eastAsia="宋体" w:cs="宋体"/>
                <w:color w:val="auto"/>
                <w:sz w:val="21"/>
                <w:szCs w:val="21"/>
                <w:highlight w:val="none"/>
                <w:lang w:val="en-US" w:eastAsia="zh-CN" w:bidi="ar-SA"/>
              </w:rPr>
              <w:t>合理</w:t>
            </w:r>
            <w:r>
              <w:rPr>
                <w:rFonts w:hint="eastAsia" w:ascii="宋体" w:hAnsi="宋体" w:cs="宋体"/>
                <w:color w:val="auto"/>
                <w:sz w:val="21"/>
                <w:szCs w:val="21"/>
                <w:highlight w:val="none"/>
                <w:lang w:val="en-US" w:eastAsia="zh-CN" w:bidi="ar-SA"/>
              </w:rPr>
              <w:t>、可行性一般</w:t>
            </w:r>
            <w:r>
              <w:rPr>
                <w:rFonts w:hint="eastAsia" w:ascii="宋体" w:hAnsi="宋体" w:eastAsia="宋体" w:cs="宋体"/>
                <w:color w:val="auto"/>
                <w:sz w:val="21"/>
                <w:szCs w:val="21"/>
                <w:highlight w:val="none"/>
                <w:lang w:val="en-US" w:eastAsia="zh-CN" w:bidi="ar-SA"/>
              </w:rPr>
              <w:t>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w:t>
            </w:r>
            <w:r>
              <w:rPr>
                <w:rFonts w:hint="eastAsia" w:ascii="宋体" w:hAnsi="宋体" w:cs="宋体"/>
                <w:color w:val="auto"/>
                <w:sz w:val="21"/>
                <w:szCs w:val="21"/>
                <w:highlight w:val="none"/>
                <w:lang w:val="en-US" w:eastAsia="zh-CN" w:bidi="ar-SA"/>
              </w:rPr>
              <w:t>；</w:t>
            </w:r>
          </w:p>
          <w:p>
            <w:pPr>
              <w:pStyle w:val="28"/>
              <w:ind w:left="0" w:leftChars="0" w:firstLine="0" w:firstLineChars="0"/>
              <w:rPr>
                <w:rFonts w:hint="eastAsia"/>
                <w:color w:val="auto"/>
                <w:highlight w:val="none"/>
                <w:lang w:val="en-US" w:eastAsia="zh-CN"/>
              </w:rPr>
            </w:pPr>
            <w:r>
              <w:rPr>
                <w:rFonts w:hint="eastAsia" w:ascii="宋体" w:hAnsi="宋体" w:cs="宋体"/>
                <w:strike w:val="0"/>
                <w:color w:val="auto"/>
                <w:kern w:val="2"/>
                <w:sz w:val="21"/>
                <w:szCs w:val="21"/>
                <w:highlight w:val="none"/>
                <w:lang w:val="en-US" w:eastAsia="zh-CN" w:bidi="ar-SA"/>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70" w:type="dxa"/>
            <w:vMerge w:val="restart"/>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both"/>
              <w:textAlignment w:val="auto"/>
              <w:rPr>
                <w:rFonts w:hint="default" w:ascii="宋体" w:hAnsi="宋体" w:eastAsia="宋体" w:cs="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p>
        </w:tc>
        <w:tc>
          <w:tcPr>
            <w:tcW w:w="111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综合</w:t>
            </w:r>
            <w:r>
              <w:rPr>
                <w:rFonts w:hint="eastAsia" w:ascii="宋体" w:hAnsi="宋体" w:eastAsia="宋体" w:cs="宋体"/>
                <w:color w:val="auto"/>
                <w:highlight w:val="none"/>
                <w:lang w:eastAsia="zh-CN"/>
              </w:rPr>
              <w:t>部分</w:t>
            </w:r>
          </w:p>
          <w:p>
            <w:pPr>
              <w:pStyle w:val="9"/>
              <w:keepNext w:val="0"/>
              <w:keepLines w:val="0"/>
              <w:pageBreakBefore w:val="0"/>
              <w:widowControl w:val="0"/>
              <w:kinsoku/>
              <w:wordWrap/>
              <w:overflowPunct/>
              <w:topLinePunct w:val="0"/>
              <w:autoSpaceDE/>
              <w:autoSpaceDN/>
              <w:bidi w:val="0"/>
              <w:adjustRightInd/>
              <w:snapToGrid/>
              <w:spacing w:after="0" w:line="312" w:lineRule="auto"/>
              <w:jc w:val="center"/>
              <w:textAlignment w:val="auto"/>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60</w:t>
            </w:r>
            <w:r>
              <w:rPr>
                <w:rFonts w:hint="eastAsia" w:ascii="宋体" w:hAnsi="宋体" w:eastAsia="宋体" w:cs="宋体"/>
                <w:color w:val="auto"/>
                <w:kern w:val="2"/>
                <w:sz w:val="21"/>
                <w:szCs w:val="21"/>
                <w:highlight w:val="none"/>
                <w:lang w:val="en-US" w:eastAsia="zh-CN" w:bidi="ar-SA"/>
              </w:rPr>
              <w:t>分）</w:t>
            </w:r>
          </w:p>
        </w:tc>
        <w:tc>
          <w:tcPr>
            <w:tcW w:w="1729" w:type="dxa"/>
            <w:tcBorders>
              <w:top w:val="single" w:color="auto" w:sz="4" w:space="0"/>
              <w:left w:val="single" w:color="auto" w:sz="4" w:space="0"/>
              <w:right w:val="single" w:color="auto" w:sz="4"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cs="宋体"/>
                <w:color w:val="auto"/>
                <w:spacing w:val="0"/>
                <w:sz w:val="21"/>
                <w:szCs w:val="21"/>
                <w:highlight w:val="none"/>
                <w:lang w:val="en-US" w:eastAsia="zh-CN"/>
              </w:rPr>
            </w:pPr>
            <w:r>
              <w:rPr>
                <w:rFonts w:hint="eastAsia" w:ascii="宋体" w:hAnsi="宋体" w:cs="宋体"/>
                <w:color w:val="auto"/>
                <w:spacing w:val="0"/>
                <w:sz w:val="21"/>
                <w:szCs w:val="21"/>
                <w:highlight w:val="none"/>
                <w:lang w:val="en-US" w:eastAsia="zh-CN"/>
              </w:rPr>
              <w:t>企业业绩</w:t>
            </w: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w:t>
            </w:r>
            <w:r>
              <w:rPr>
                <w:rFonts w:hint="eastAsia" w:ascii="宋体" w:hAnsi="宋体" w:cs="宋体"/>
                <w:color w:val="auto"/>
                <w:spacing w:val="0"/>
                <w:sz w:val="21"/>
                <w:szCs w:val="21"/>
                <w:highlight w:val="none"/>
                <w:lang w:val="en-US" w:eastAsia="zh-CN"/>
              </w:rPr>
              <w:t>15</w:t>
            </w:r>
            <w:r>
              <w:rPr>
                <w:rFonts w:hint="eastAsia" w:ascii="宋体" w:hAnsi="宋体" w:eastAsia="宋体" w:cs="宋体"/>
                <w:color w:val="auto"/>
                <w:spacing w:val="0"/>
                <w:sz w:val="21"/>
                <w:szCs w:val="21"/>
                <w:highlight w:val="none"/>
              </w:rPr>
              <w:t>分）</w:t>
            </w: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具有“公建民营”养老机构运营</w:t>
            </w:r>
            <w:r>
              <w:rPr>
                <w:rFonts w:hint="eastAsia" w:ascii="宋体" w:hAnsi="宋体"/>
                <w:bCs/>
                <w:color w:val="auto"/>
                <w:szCs w:val="21"/>
                <w:highlight w:val="none"/>
                <w:lang w:val="en-US" w:eastAsia="zh-CN"/>
              </w:rPr>
              <w:t>业绩的</w:t>
            </w:r>
            <w:r>
              <w:rPr>
                <w:rFonts w:hint="eastAsia" w:ascii="宋体" w:hAnsi="宋体" w:eastAsia="宋体"/>
                <w:bCs/>
                <w:color w:val="auto"/>
                <w:szCs w:val="21"/>
                <w:highlight w:val="none"/>
              </w:rPr>
              <w:t>，每提供一项得</w:t>
            </w:r>
            <w:r>
              <w:rPr>
                <w:rFonts w:hint="eastAsia" w:ascii="宋体" w:hAnsi="宋体"/>
                <w:bCs/>
                <w:color w:val="auto"/>
                <w:szCs w:val="21"/>
                <w:highlight w:val="none"/>
                <w:lang w:val="en-US" w:eastAsia="zh-CN"/>
              </w:rPr>
              <w:t>5</w:t>
            </w:r>
            <w:r>
              <w:rPr>
                <w:rFonts w:hint="eastAsia" w:ascii="宋体" w:hAnsi="宋体" w:eastAsia="宋体"/>
                <w:bCs/>
                <w:color w:val="auto"/>
                <w:szCs w:val="21"/>
                <w:highlight w:val="none"/>
              </w:rPr>
              <w:t>分</w:t>
            </w:r>
            <w:r>
              <w:rPr>
                <w:rFonts w:hint="eastAsia" w:ascii="宋体" w:hAnsi="宋体"/>
                <w:bCs/>
                <w:color w:val="auto"/>
                <w:szCs w:val="21"/>
                <w:highlight w:val="none"/>
                <w:lang w:eastAsia="zh-CN"/>
              </w:rPr>
              <w:t>；具有</w:t>
            </w:r>
            <w:r>
              <w:rPr>
                <w:rFonts w:hint="eastAsia" w:ascii="宋体" w:hAnsi="宋体"/>
                <w:bCs/>
                <w:color w:val="auto"/>
                <w:szCs w:val="21"/>
                <w:highlight w:val="none"/>
                <w:lang w:val="en-US" w:eastAsia="zh-CN"/>
              </w:rPr>
              <w:t>其他</w:t>
            </w:r>
            <w:r>
              <w:rPr>
                <w:rFonts w:hint="eastAsia" w:ascii="宋体" w:hAnsi="宋体"/>
                <w:bCs/>
                <w:color w:val="auto"/>
                <w:szCs w:val="21"/>
                <w:highlight w:val="none"/>
                <w:lang w:eastAsia="zh-CN"/>
              </w:rPr>
              <w:t>养老机构运营</w:t>
            </w:r>
            <w:r>
              <w:rPr>
                <w:rFonts w:hint="eastAsia" w:ascii="宋体" w:hAnsi="宋体"/>
                <w:bCs/>
                <w:color w:val="auto"/>
                <w:szCs w:val="21"/>
                <w:highlight w:val="none"/>
                <w:lang w:val="en-US" w:eastAsia="zh-CN"/>
              </w:rPr>
              <w:t>业绩的</w:t>
            </w:r>
            <w:r>
              <w:rPr>
                <w:rFonts w:hint="eastAsia" w:ascii="宋体" w:hAnsi="宋体"/>
                <w:bCs/>
                <w:color w:val="auto"/>
                <w:szCs w:val="21"/>
                <w:highlight w:val="none"/>
                <w:lang w:eastAsia="zh-CN"/>
              </w:rPr>
              <w:t>，每提供一项得</w:t>
            </w:r>
            <w:r>
              <w:rPr>
                <w:rFonts w:hint="eastAsia" w:ascii="宋体" w:hAnsi="宋体"/>
                <w:bCs/>
                <w:color w:val="auto"/>
                <w:szCs w:val="21"/>
                <w:highlight w:val="none"/>
                <w:lang w:val="en-US" w:eastAsia="zh-CN"/>
              </w:rPr>
              <w:t>3</w:t>
            </w:r>
            <w:r>
              <w:rPr>
                <w:rFonts w:hint="eastAsia" w:ascii="宋体" w:hAnsi="宋体"/>
                <w:bCs/>
                <w:color w:val="auto"/>
                <w:szCs w:val="21"/>
                <w:highlight w:val="none"/>
                <w:lang w:eastAsia="zh-CN"/>
              </w:rPr>
              <w:t>分；</w:t>
            </w:r>
            <w:r>
              <w:rPr>
                <w:rFonts w:hint="eastAsia" w:ascii="宋体" w:hAnsi="宋体"/>
                <w:bCs/>
                <w:color w:val="auto"/>
                <w:szCs w:val="21"/>
                <w:highlight w:val="none"/>
                <w:lang w:val="en-US" w:eastAsia="zh-CN"/>
              </w:rPr>
              <w:t>本项</w:t>
            </w:r>
            <w:r>
              <w:rPr>
                <w:rFonts w:hint="eastAsia" w:ascii="宋体" w:hAnsi="宋体" w:eastAsia="宋体"/>
                <w:bCs/>
                <w:color w:val="auto"/>
                <w:szCs w:val="21"/>
                <w:highlight w:val="none"/>
              </w:rPr>
              <w:t>最高得</w:t>
            </w:r>
            <w:r>
              <w:rPr>
                <w:rFonts w:hint="eastAsia" w:ascii="宋体" w:hAnsi="宋体"/>
                <w:bCs/>
                <w:color w:val="auto"/>
                <w:szCs w:val="21"/>
                <w:highlight w:val="none"/>
                <w:lang w:val="en-US" w:eastAsia="zh-CN"/>
              </w:rPr>
              <w:t>15</w:t>
            </w:r>
            <w:r>
              <w:rPr>
                <w:rFonts w:hint="eastAsia" w:ascii="宋体" w:hAnsi="宋体" w:eastAsia="宋体"/>
                <w:bCs/>
                <w:color w:val="auto"/>
                <w:szCs w:val="21"/>
                <w:highlight w:val="none"/>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b/>
                <w:bCs w:val="0"/>
                <w:color w:val="auto"/>
                <w:szCs w:val="21"/>
                <w:highlight w:val="none"/>
                <w:lang w:val="en-US" w:eastAsia="zh-CN"/>
              </w:rPr>
            </w:pPr>
            <w:r>
              <w:rPr>
                <w:rFonts w:hint="eastAsia" w:ascii="宋体" w:hAnsi="宋体"/>
                <w:b/>
                <w:bCs w:val="0"/>
                <w:color w:val="auto"/>
                <w:szCs w:val="21"/>
                <w:highlight w:val="none"/>
                <w:lang w:val="en-US" w:eastAsia="zh-CN"/>
              </w:rPr>
              <w:t>注：1.业绩时间要求：①具有2022年1月1日以来的项目业绩（以合同签订时间为准）；②现阶段正在执行（合同服务期限内）的项目业绩；提供符合上述①或②业绩的均可。</w:t>
            </w:r>
          </w:p>
          <w:p>
            <w:pPr>
              <w:pStyle w:val="27"/>
              <w:keepNext w:val="0"/>
              <w:keepLines w:val="0"/>
              <w:pageBreakBefore w:val="0"/>
              <w:kinsoku/>
              <w:wordWrap/>
              <w:overflowPunct/>
              <w:topLinePunct w:val="0"/>
              <w:bidi w:val="0"/>
              <w:adjustRightInd/>
              <w:snapToGrid/>
              <w:spacing w:after="0" w:line="312" w:lineRule="auto"/>
              <w:ind w:firstLine="422" w:firstLineChars="200"/>
              <w:jc w:val="left"/>
              <w:rPr>
                <w:rFonts w:hint="default"/>
                <w:color w:val="auto"/>
                <w:highlight w:val="none"/>
                <w:lang w:val="en-US" w:eastAsia="zh-CN"/>
              </w:rPr>
            </w:pPr>
            <w:r>
              <w:rPr>
                <w:rFonts w:hint="eastAsia"/>
                <w:b/>
                <w:bCs w:val="0"/>
                <w:color w:val="auto"/>
                <w:highlight w:val="none"/>
                <w:lang w:val="en-US" w:eastAsia="zh-CN"/>
              </w:rPr>
              <w:t>2.</w:t>
            </w:r>
            <w:r>
              <w:rPr>
                <w:rFonts w:hint="eastAsia"/>
                <w:b/>
                <w:bCs w:val="0"/>
                <w:color w:val="auto"/>
                <w:highlight w:val="none"/>
                <w:lang w:eastAsia="zh-CN"/>
              </w:rPr>
              <w:t>须</w:t>
            </w:r>
            <w:r>
              <w:rPr>
                <w:rFonts w:hint="eastAsia"/>
                <w:b/>
                <w:bCs w:val="0"/>
                <w:color w:val="auto"/>
                <w:highlight w:val="none"/>
                <w:lang w:val="en-US" w:eastAsia="zh-CN"/>
              </w:rPr>
              <w:t>提供合同原件的扫描件，否则不得分</w:t>
            </w:r>
            <w:r>
              <w:rPr>
                <w:rFonts w:hint="eastAsia"/>
                <w:b/>
                <w:b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sz w:val="21"/>
                <w:szCs w:val="21"/>
                <w:highlight w:val="none"/>
                <w:lang w:val="en-US" w:eastAsia="zh-CN"/>
              </w:rPr>
            </w:pPr>
            <w:r>
              <w:rPr>
                <w:rFonts w:hint="eastAsia" w:ascii="宋体" w:hAnsi="宋体" w:eastAsia="宋体" w:cs="宋体"/>
                <w:strike w:val="0"/>
                <w:dstrike w:val="0"/>
                <w:color w:val="auto"/>
                <w:spacing w:val="0"/>
                <w:sz w:val="21"/>
                <w:szCs w:val="21"/>
                <w:highlight w:val="none"/>
                <w:lang w:val="en-US" w:eastAsia="zh-CN"/>
              </w:rPr>
              <w:t>拟派项目团队</w:t>
            </w:r>
          </w:p>
          <w:p>
            <w:pPr>
              <w:pStyle w:val="27"/>
              <w:keepNext w:val="0"/>
              <w:keepLines w:val="0"/>
              <w:pageBreakBefore w:val="0"/>
              <w:kinsoku/>
              <w:wordWrap/>
              <w:overflowPunct/>
              <w:topLinePunct w:val="0"/>
              <w:bidi w:val="0"/>
              <w:adjustRightInd/>
              <w:snapToGrid/>
              <w:spacing w:after="0" w:line="312" w:lineRule="auto"/>
              <w:ind w:firstLine="0" w:firstLineChars="0"/>
              <w:jc w:val="center"/>
              <w:rPr>
                <w:rFonts w:hint="eastAsia" w:ascii="宋体" w:hAnsi="宋体" w:eastAsia="宋体" w:cs="宋体"/>
                <w:strike w:val="0"/>
                <w:dstrike w:val="0"/>
                <w:color w:val="auto"/>
                <w:spacing w:val="0"/>
                <w:kern w:val="2"/>
                <w:sz w:val="21"/>
                <w:szCs w:val="21"/>
                <w:highlight w:val="none"/>
                <w:lang w:val="en-US" w:eastAsia="zh-CN" w:bidi="ar-SA"/>
              </w:rPr>
            </w:pPr>
            <w:r>
              <w:rPr>
                <w:rFonts w:hint="eastAsia" w:ascii="宋体" w:hAnsi="宋体" w:eastAsia="宋体" w:cs="宋体"/>
                <w:strike w:val="0"/>
                <w:dstrike w:val="0"/>
                <w:color w:val="auto"/>
                <w:spacing w:val="0"/>
                <w:sz w:val="21"/>
                <w:szCs w:val="21"/>
                <w:highlight w:val="none"/>
                <w:lang w:eastAsia="zh-CN"/>
              </w:rPr>
              <w:t>（</w:t>
            </w:r>
            <w:r>
              <w:rPr>
                <w:rFonts w:hint="eastAsia" w:ascii="宋体" w:hAnsi="宋体" w:eastAsia="宋体" w:cs="宋体"/>
                <w:strike w:val="0"/>
                <w:dstrike w:val="0"/>
                <w:color w:val="auto"/>
                <w:spacing w:val="0"/>
                <w:sz w:val="21"/>
                <w:szCs w:val="21"/>
                <w:highlight w:val="none"/>
                <w:lang w:val="en-US" w:eastAsia="zh-CN"/>
              </w:rPr>
              <w:t>1</w:t>
            </w:r>
            <w:r>
              <w:rPr>
                <w:rFonts w:hint="eastAsia" w:ascii="宋体" w:hAnsi="宋体" w:cs="宋体"/>
                <w:strike w:val="0"/>
                <w:dstrike w:val="0"/>
                <w:color w:val="auto"/>
                <w:spacing w:val="0"/>
                <w:sz w:val="21"/>
                <w:szCs w:val="21"/>
                <w:highlight w:val="none"/>
                <w:lang w:val="en-US" w:eastAsia="zh-CN"/>
              </w:rPr>
              <w:t>0</w:t>
            </w:r>
            <w:r>
              <w:rPr>
                <w:rFonts w:hint="eastAsia" w:ascii="宋体" w:hAnsi="宋体" w:eastAsia="宋体" w:cs="宋体"/>
                <w:strike w:val="0"/>
                <w:dstrike w:val="0"/>
                <w:color w:val="auto"/>
                <w:spacing w:val="0"/>
                <w:sz w:val="21"/>
                <w:szCs w:val="21"/>
                <w:highlight w:val="none"/>
                <w:lang w:eastAsia="zh-CN"/>
              </w:rPr>
              <w:t>分）</w:t>
            </w: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（1）管理岗位：</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default"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具备中级及以上人力资源管理师职业资格证书、会计从业资格证或助理及以上会计师资格证书，以上管理岗位证书每提供一份得1分，最多得2分；</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eastAsia" w:ascii="宋体" w:hAnsi="宋体" w:eastAsia="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（2）</w:t>
            </w:r>
            <w:r>
              <w:rPr>
                <w:rFonts w:hint="eastAsia" w:ascii="宋体" w:hAnsi="宋体" w:eastAsia="宋体" w:cs="宋体"/>
                <w:strike w:val="0"/>
                <w:dstrike w:val="0"/>
                <w:color w:val="auto"/>
                <w:highlight w:val="none"/>
                <w:lang w:val="en-US" w:eastAsia="zh-CN"/>
              </w:rPr>
              <w:t>专业技术岗位：</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eastAsia"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具备</w:t>
            </w:r>
            <w:r>
              <w:rPr>
                <w:rFonts w:hint="eastAsia" w:ascii="宋体" w:hAnsi="宋体" w:eastAsia="宋体" w:cs="宋体"/>
                <w:strike w:val="0"/>
                <w:dstrike w:val="0"/>
                <w:color w:val="auto"/>
                <w:highlight w:val="none"/>
                <w:lang w:val="en-US" w:eastAsia="zh-CN"/>
              </w:rPr>
              <w:t>医师</w:t>
            </w:r>
            <w:r>
              <w:rPr>
                <w:rFonts w:hint="eastAsia" w:ascii="宋体" w:hAnsi="宋体" w:cs="宋体"/>
                <w:strike w:val="0"/>
                <w:dstrike w:val="0"/>
                <w:color w:val="auto"/>
                <w:highlight w:val="none"/>
                <w:lang w:val="en-US" w:eastAsia="zh-CN"/>
              </w:rPr>
              <w:t>（含助理医师）</w:t>
            </w:r>
            <w:r>
              <w:rPr>
                <w:rFonts w:hint="eastAsia" w:ascii="宋体" w:hAnsi="宋体" w:eastAsia="宋体" w:cs="宋体"/>
                <w:strike w:val="0"/>
                <w:dstrike w:val="0"/>
                <w:color w:val="auto"/>
                <w:highlight w:val="none"/>
                <w:lang w:val="en-US" w:eastAsia="zh-CN"/>
              </w:rPr>
              <w:t>执业证书</w:t>
            </w:r>
            <w:r>
              <w:rPr>
                <w:rFonts w:hint="eastAsia" w:ascii="宋体" w:hAnsi="宋体" w:cs="宋体"/>
                <w:strike w:val="0"/>
                <w:dstrike w:val="0"/>
                <w:color w:val="auto"/>
                <w:highlight w:val="none"/>
                <w:lang w:val="en-US" w:eastAsia="zh-CN"/>
              </w:rPr>
              <w:t>、护（师）士执业证书、初级及以上康复医师执业证书、康复治疗师（康复治疗、中医康复理疗、中医预防保健调理等专业）资格证书、中级及以上社会工作者职业资格证书、心理咨询师职业资格证书或心理咨询师专业技能培训合格证、健康管理师职业资格证书或健康管理师职业技能等级证书、中级及以上营养师职业资格证书或职业技能等级证书，以上专业技术岗位证书每提供一份得1分，最多得5分；</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default" w:ascii="宋体" w:hAnsi="宋体" w:eastAsia="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（3）</w:t>
            </w:r>
            <w:r>
              <w:rPr>
                <w:rFonts w:hint="default" w:ascii="宋体" w:hAnsi="宋体" w:eastAsia="宋体" w:cs="宋体"/>
                <w:strike w:val="0"/>
                <w:dstrike w:val="0"/>
                <w:color w:val="auto"/>
                <w:highlight w:val="none"/>
                <w:lang w:val="en-US" w:eastAsia="zh-CN"/>
              </w:rPr>
              <w:t>工勤技能岗位：</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default"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具备</w:t>
            </w:r>
            <w:r>
              <w:rPr>
                <w:rFonts w:hint="default" w:ascii="宋体" w:hAnsi="宋体" w:cs="宋体"/>
                <w:strike w:val="0"/>
                <w:dstrike w:val="0"/>
                <w:color w:val="auto"/>
                <w:highlight w:val="none"/>
                <w:lang w:val="en-US" w:eastAsia="zh-CN"/>
              </w:rPr>
              <w:t>中级（</w:t>
            </w:r>
            <w:r>
              <w:rPr>
                <w:rFonts w:hint="eastAsia" w:ascii="宋体" w:hAnsi="宋体" w:cs="宋体"/>
                <w:strike w:val="0"/>
                <w:dstrike w:val="0"/>
                <w:color w:val="auto"/>
                <w:highlight w:val="none"/>
                <w:lang w:val="en-US" w:eastAsia="zh-CN"/>
              </w:rPr>
              <w:t>四</w:t>
            </w:r>
            <w:r>
              <w:rPr>
                <w:rFonts w:hint="default" w:ascii="宋体" w:hAnsi="宋体" w:cs="宋体"/>
                <w:strike w:val="0"/>
                <w:dstrike w:val="0"/>
                <w:color w:val="auto"/>
                <w:highlight w:val="none"/>
                <w:lang w:val="en-US" w:eastAsia="zh-CN"/>
              </w:rPr>
              <w:t>级）</w:t>
            </w:r>
            <w:r>
              <w:rPr>
                <w:rFonts w:hint="eastAsia" w:ascii="宋体" w:hAnsi="宋体" w:cs="宋体"/>
                <w:strike w:val="0"/>
                <w:dstrike w:val="0"/>
                <w:color w:val="auto"/>
                <w:highlight w:val="none"/>
                <w:lang w:val="en-US" w:eastAsia="zh-CN"/>
              </w:rPr>
              <w:t>及</w:t>
            </w:r>
            <w:r>
              <w:rPr>
                <w:rFonts w:hint="default" w:ascii="宋体" w:hAnsi="宋体" w:cs="宋体"/>
                <w:strike w:val="0"/>
                <w:dstrike w:val="0"/>
                <w:color w:val="auto"/>
                <w:highlight w:val="none"/>
                <w:lang w:val="en-US" w:eastAsia="zh-CN"/>
              </w:rPr>
              <w:t>以上养老护理员职业技能等级证书</w:t>
            </w:r>
            <w:r>
              <w:rPr>
                <w:rFonts w:hint="eastAsia" w:ascii="宋体" w:hAnsi="宋体" w:cs="宋体"/>
                <w:strike w:val="0"/>
                <w:dstrike w:val="0"/>
                <w:color w:val="auto"/>
                <w:highlight w:val="none"/>
                <w:lang w:val="en-US" w:eastAsia="zh-CN"/>
              </w:rPr>
              <w:t>、中级（四级）及以上消防设施操作员证书、二级及以上注册消防工程师</w:t>
            </w:r>
            <w:r>
              <w:rPr>
                <w:rFonts w:hint="eastAsia" w:ascii="宋体" w:hAnsi="宋体" w:cs="宋体"/>
                <w:strike w:val="0"/>
                <w:dstrike w:val="0"/>
                <w:color w:val="auto"/>
                <w:highlight w:val="none"/>
                <w:lang w:val="en-US" w:eastAsia="zh-CN"/>
              </w:rPr>
              <w:fldChar w:fldCharType="begin"/>
            </w:r>
            <w:r>
              <w:rPr>
                <w:rFonts w:hint="eastAsia" w:ascii="宋体" w:hAnsi="宋体" w:cs="宋体"/>
                <w:strike w:val="0"/>
                <w:dstrike w:val="0"/>
                <w:color w:val="auto"/>
                <w:highlight w:val="none"/>
                <w:lang w:val="en-US" w:eastAsia="zh-CN"/>
              </w:rPr>
              <w:instrText xml:space="preserve"> HYPERLINK "https://baike.baidu.com/item/%E8%B5%84%E6%A0%BC%E8%AF%81%E4%B9%A6/4579857?fromModule=lemma_inlink" \t "https://baike.baidu.com/item/%E6%B3%A8%E5%86%8C%E6%B6%88%E9%98%B2%E5%B7%A5%E7%A8%8B%E5%B8%88/_blank" </w:instrText>
            </w:r>
            <w:r>
              <w:rPr>
                <w:rFonts w:hint="eastAsia" w:ascii="宋体" w:hAnsi="宋体" w:cs="宋体"/>
                <w:strike w:val="0"/>
                <w:dstrike w:val="0"/>
                <w:color w:val="auto"/>
                <w:highlight w:val="none"/>
                <w:lang w:val="en-US" w:eastAsia="zh-CN"/>
              </w:rPr>
              <w:fldChar w:fldCharType="separate"/>
            </w:r>
            <w:r>
              <w:rPr>
                <w:rFonts w:hint="eastAsia" w:ascii="宋体" w:hAnsi="宋体" w:cs="宋体"/>
                <w:strike w:val="0"/>
                <w:dstrike w:val="0"/>
                <w:color w:val="auto"/>
                <w:highlight w:val="none"/>
                <w:lang w:val="en-US" w:eastAsia="zh-CN"/>
              </w:rPr>
              <w:t>资格证书</w:t>
            </w:r>
            <w:r>
              <w:rPr>
                <w:rFonts w:hint="eastAsia" w:ascii="宋体" w:hAnsi="宋体" w:cs="宋体"/>
                <w:strike w:val="0"/>
                <w:dstrike w:val="0"/>
                <w:color w:val="auto"/>
                <w:highlight w:val="none"/>
                <w:lang w:val="en-US" w:eastAsia="zh-CN"/>
              </w:rPr>
              <w:fldChar w:fldCharType="end"/>
            </w:r>
            <w:r>
              <w:rPr>
                <w:rFonts w:hint="eastAsia" w:ascii="宋体" w:hAnsi="宋体" w:cs="宋体"/>
                <w:strike w:val="0"/>
                <w:dstrike w:val="0"/>
                <w:color w:val="auto"/>
                <w:highlight w:val="none"/>
                <w:lang w:val="en-US" w:eastAsia="zh-CN"/>
              </w:rPr>
              <w:t>、消防安全员证书、安全管理人员（培训）合格证书，以上工勤技能岗位人员每提供一份得1分，最多得3分；</w:t>
            </w:r>
          </w:p>
          <w:p>
            <w:pPr>
              <w:pStyle w:val="27"/>
              <w:keepNext w:val="0"/>
              <w:keepLines w:val="0"/>
              <w:pageBreakBefore w:val="0"/>
              <w:widowControl w:val="0"/>
              <w:kinsoku/>
              <w:wordWrap/>
              <w:overflowPunct/>
              <w:topLinePunct w:val="0"/>
              <w:bidi w:val="0"/>
              <w:adjustRightInd/>
              <w:snapToGrid/>
              <w:spacing w:after="0" w:line="312" w:lineRule="auto"/>
              <w:ind w:firstLine="0" w:firstLineChars="0"/>
              <w:jc w:val="left"/>
              <w:textAlignment w:val="auto"/>
              <w:rPr>
                <w:rFonts w:hint="eastAsia" w:ascii="宋体" w:hAnsi="宋体" w:eastAsia="宋体" w:cs="宋体"/>
                <w:b/>
                <w:bCs/>
                <w:strike w:val="0"/>
                <w:dstrike w:val="0"/>
                <w:color w:val="auto"/>
                <w:highlight w:val="none"/>
                <w:lang w:val="en-US" w:eastAsia="zh-CN"/>
              </w:rPr>
            </w:pPr>
            <w:r>
              <w:rPr>
                <w:rFonts w:hint="eastAsia" w:ascii="宋体" w:hAnsi="宋体" w:eastAsia="宋体" w:cs="宋体"/>
                <w:b/>
                <w:bCs/>
                <w:strike w:val="0"/>
                <w:dstrike w:val="0"/>
                <w:color w:val="auto"/>
                <w:highlight w:val="none"/>
                <w:lang w:val="en-US" w:eastAsia="zh-CN"/>
              </w:rPr>
              <w:t>注：1.以上</w:t>
            </w:r>
            <w:r>
              <w:rPr>
                <w:rFonts w:hint="eastAsia" w:ascii="宋体" w:hAnsi="宋体" w:cs="宋体"/>
                <w:b/>
                <w:bCs/>
                <w:strike w:val="0"/>
                <w:dstrike w:val="0"/>
                <w:color w:val="auto"/>
                <w:highlight w:val="none"/>
                <w:lang w:val="en-US" w:eastAsia="zh-CN"/>
              </w:rPr>
              <w:t>岗位</w:t>
            </w:r>
            <w:r>
              <w:rPr>
                <w:rFonts w:hint="eastAsia" w:ascii="宋体" w:hAnsi="宋体" w:eastAsia="宋体" w:cs="宋体"/>
                <w:b/>
                <w:bCs/>
                <w:strike w:val="0"/>
                <w:dstrike w:val="0"/>
                <w:color w:val="auto"/>
                <w:highlight w:val="none"/>
                <w:lang w:val="en-US" w:eastAsia="zh-CN"/>
              </w:rPr>
              <w:t>证书，同类证书最多按</w:t>
            </w:r>
            <w:r>
              <w:rPr>
                <w:rFonts w:hint="eastAsia" w:ascii="宋体" w:hAnsi="宋体" w:cs="宋体"/>
                <w:b/>
                <w:bCs/>
                <w:strike w:val="0"/>
                <w:dstrike w:val="0"/>
                <w:color w:val="auto"/>
                <w:highlight w:val="none"/>
                <w:lang w:val="en-US" w:eastAsia="zh-CN"/>
              </w:rPr>
              <w:t>一份</w:t>
            </w:r>
            <w:r>
              <w:rPr>
                <w:rFonts w:hint="eastAsia" w:ascii="宋体" w:hAnsi="宋体" w:eastAsia="宋体" w:cs="宋体"/>
                <w:b/>
                <w:bCs/>
                <w:strike w:val="0"/>
                <w:dstrike w:val="0"/>
                <w:color w:val="auto"/>
                <w:highlight w:val="none"/>
                <w:lang w:val="en-US" w:eastAsia="zh-CN"/>
              </w:rPr>
              <w:t>计取</w:t>
            </w:r>
            <w:r>
              <w:rPr>
                <w:rFonts w:hint="eastAsia" w:ascii="宋体" w:hAnsi="宋体" w:cs="宋体"/>
                <w:b/>
                <w:bCs/>
                <w:strike w:val="0"/>
                <w:dstrike w:val="0"/>
                <w:color w:val="auto"/>
                <w:highlight w:val="none"/>
                <w:lang w:val="en-US" w:eastAsia="zh-CN"/>
              </w:rPr>
              <w:t>，同一人具有多个证书的最多按一份计取</w:t>
            </w:r>
            <w:r>
              <w:rPr>
                <w:rFonts w:hint="eastAsia" w:ascii="宋体" w:hAnsi="宋体" w:eastAsia="宋体" w:cs="宋体"/>
                <w:b/>
                <w:bCs/>
                <w:strike w:val="0"/>
                <w:dstrike w:val="0"/>
                <w:color w:val="auto"/>
                <w:highlight w:val="none"/>
                <w:lang w:val="en-US" w:eastAsia="zh-CN"/>
              </w:rPr>
              <w:t>；</w:t>
            </w:r>
          </w:p>
          <w:p>
            <w:pPr>
              <w:pStyle w:val="27"/>
              <w:keepNext w:val="0"/>
              <w:keepLines w:val="0"/>
              <w:pageBreakBefore w:val="0"/>
              <w:widowControl w:val="0"/>
              <w:numPr>
                <w:ilvl w:val="0"/>
                <w:numId w:val="0"/>
              </w:numPr>
              <w:kinsoku/>
              <w:wordWrap/>
              <w:overflowPunct/>
              <w:topLinePunct w:val="0"/>
              <w:bidi w:val="0"/>
              <w:adjustRightInd/>
              <w:snapToGrid/>
              <w:spacing w:after="0" w:line="312" w:lineRule="auto"/>
              <w:ind w:leftChars="0"/>
              <w:jc w:val="left"/>
              <w:textAlignment w:val="auto"/>
              <w:rPr>
                <w:rFonts w:hint="eastAsia" w:ascii="宋体" w:hAnsi="宋体" w:eastAsia="宋体" w:cs="宋体"/>
                <w:strike w:val="0"/>
                <w:dstrike w:val="0"/>
                <w:color w:val="auto"/>
                <w:kern w:val="2"/>
                <w:sz w:val="21"/>
                <w:szCs w:val="24"/>
                <w:highlight w:val="none"/>
                <w:lang w:val="en-US" w:eastAsia="zh-CN" w:bidi="ar-SA"/>
              </w:rPr>
            </w:pPr>
            <w:r>
              <w:rPr>
                <w:rFonts w:hint="eastAsia" w:ascii="宋体" w:hAnsi="宋体" w:eastAsia="宋体" w:cs="宋体"/>
                <w:b/>
                <w:bCs/>
                <w:strike w:val="0"/>
                <w:dstrike w:val="0"/>
                <w:color w:val="auto"/>
                <w:highlight w:val="none"/>
                <w:lang w:val="en-US" w:eastAsia="zh-CN"/>
              </w:rPr>
              <w:t>2.须提供相关证书扫描件、与投标人签订的劳动合同或劳务合同及自2025年以来本单位为其缴纳的任意1个月的社保证明扫描件</w:t>
            </w:r>
            <w:r>
              <w:rPr>
                <w:rFonts w:hint="eastAsia" w:ascii="宋体" w:hAnsi="宋体" w:cs="宋体"/>
                <w:b/>
                <w:bCs/>
                <w:strike w:val="0"/>
                <w:dstrike w:val="0"/>
                <w:color w:val="auto"/>
                <w:highlight w:val="none"/>
                <w:lang w:val="en-US" w:eastAsia="zh-CN"/>
              </w:rPr>
              <w:t>。（退休返聘人员已享受养老待遇的，需提供证明材料可不提供社保证明）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lang w:val="en-US" w:eastAsia="zh-CN"/>
              </w:rPr>
              <w:t>分）</w:t>
            </w:r>
          </w:p>
        </w:tc>
        <w:tc>
          <w:tcPr>
            <w:tcW w:w="6085" w:type="dxa"/>
            <w:tcBorders>
              <w:top w:val="single" w:color="auto" w:sz="4" w:space="0"/>
              <w:left w:val="single" w:color="auto" w:sz="4" w:space="0"/>
              <w:bottom w:val="single" w:color="auto" w:sz="4" w:space="0"/>
              <w:right w:val="single" w:color="auto" w:sz="12" w:space="0"/>
            </w:tcBorders>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default"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1.服务质量要求：承诺对入住老人的老年人能力评估执行率100%、服务合同签订率100%的，得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2.承诺自用工之日起一个月内与用工人员签订劳动合同或劳务合同，并保证不拖欠人员工资的，得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3.承诺为拟派本项目的服务人员在签订合同30日内办理社保登记确保每月25日前完成社保缴费，并购买意外保险的，得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4.承诺消防控制室每班有</w:t>
            </w:r>
            <w:r>
              <w:rPr>
                <w:rFonts w:hint="eastAsia" w:ascii="宋体" w:hAnsi="宋体"/>
                <w:bCs/>
                <w:color w:val="auto"/>
                <w:szCs w:val="21"/>
                <w:highlight w:val="none"/>
                <w:lang w:val="en-US" w:eastAsia="zh-CN"/>
              </w:rPr>
              <w:t>不少于1</w:t>
            </w:r>
            <w:r>
              <w:rPr>
                <w:rFonts w:hint="eastAsia" w:ascii="宋体" w:hAnsi="宋体" w:eastAsia="宋体"/>
                <w:bCs/>
                <w:color w:val="auto"/>
                <w:szCs w:val="21"/>
                <w:highlight w:val="none"/>
                <w:lang w:val="en-US" w:eastAsia="zh-CN"/>
              </w:rPr>
              <w:t>名持证消防安全员在岗的，得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5.</w:t>
            </w:r>
            <w:r>
              <w:rPr>
                <w:rFonts w:hint="default" w:ascii="宋体" w:hAnsi="宋体" w:eastAsia="宋体"/>
                <w:bCs/>
                <w:color w:val="auto"/>
                <w:szCs w:val="21"/>
                <w:highlight w:val="none"/>
                <w:lang w:val="en-US" w:eastAsia="zh-CN"/>
              </w:rPr>
              <w:t>承诺</w:t>
            </w:r>
            <w:r>
              <w:rPr>
                <w:rFonts w:hint="eastAsia" w:ascii="宋体" w:hAnsi="宋体" w:eastAsia="宋体"/>
                <w:bCs/>
                <w:color w:val="auto"/>
                <w:szCs w:val="21"/>
                <w:highlight w:val="none"/>
                <w:lang w:val="en-US" w:eastAsia="zh-CN"/>
              </w:rPr>
              <w:t>300人以下(服务对象和员工总数)至少配备2名专(兼)职安全管理人员（包括但不限于消防安全管理人员），300人以上(服务对象和员工总数)至少配备5名专(兼)职安全管理人员（包括但不限于消防安全管理人员）的，</w:t>
            </w:r>
            <w:r>
              <w:rPr>
                <w:rFonts w:hint="default" w:ascii="宋体" w:hAnsi="宋体" w:eastAsia="宋体"/>
                <w:bCs/>
                <w:color w:val="auto"/>
                <w:szCs w:val="21"/>
                <w:highlight w:val="none"/>
                <w:lang w:val="en-US" w:eastAsia="zh-CN"/>
              </w:rPr>
              <w:t>得</w:t>
            </w:r>
            <w:r>
              <w:rPr>
                <w:rFonts w:hint="eastAsia" w:ascii="宋体" w:hAnsi="宋体"/>
                <w:bCs/>
                <w:color w:val="auto"/>
                <w:szCs w:val="21"/>
                <w:highlight w:val="none"/>
                <w:lang w:val="en-US" w:eastAsia="zh-CN"/>
              </w:rPr>
              <w:t>4</w:t>
            </w:r>
            <w:r>
              <w:rPr>
                <w:rFonts w:hint="default"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6、承诺特种设备操作人员持证上岗率100%的，</w:t>
            </w:r>
            <w:r>
              <w:rPr>
                <w:rFonts w:hint="default" w:ascii="宋体" w:hAnsi="宋体" w:eastAsia="宋体"/>
                <w:bCs/>
                <w:color w:val="auto"/>
                <w:szCs w:val="21"/>
                <w:highlight w:val="none"/>
                <w:lang w:val="en-US" w:eastAsia="zh-CN"/>
              </w:rPr>
              <w:t>得</w:t>
            </w:r>
            <w:r>
              <w:rPr>
                <w:rFonts w:hint="eastAsia" w:ascii="宋体" w:hAnsi="宋体"/>
                <w:bCs/>
                <w:color w:val="auto"/>
                <w:szCs w:val="21"/>
                <w:highlight w:val="none"/>
                <w:lang w:val="en-US" w:eastAsia="zh-CN"/>
              </w:rPr>
              <w:t>4</w:t>
            </w:r>
            <w:r>
              <w:rPr>
                <w:rFonts w:hint="default" w:ascii="宋体" w:hAnsi="宋体" w:eastAsia="宋体"/>
                <w:bCs/>
                <w:color w:val="auto"/>
                <w:szCs w:val="21"/>
                <w:highlight w:val="none"/>
                <w:lang w:val="en-US" w:eastAsia="zh-CN"/>
              </w:rPr>
              <w:t>分</w:t>
            </w:r>
            <w:r>
              <w:rPr>
                <w:rFonts w:hint="eastAsia" w:ascii="宋体" w:hAnsi="宋体"/>
                <w:bCs/>
                <w:color w:val="auto"/>
                <w:szCs w:val="21"/>
                <w:highlight w:val="none"/>
                <w:lang w:val="en-US" w:eastAsia="zh-CN"/>
              </w:rPr>
              <w:t>，</w:t>
            </w:r>
            <w:r>
              <w:rPr>
                <w:rFonts w:hint="default" w:ascii="宋体" w:hAnsi="宋体" w:eastAsia="宋体"/>
                <w:bCs/>
                <w:color w:val="auto"/>
                <w:szCs w:val="21"/>
                <w:highlight w:val="none"/>
                <w:lang w:val="en-US" w:eastAsia="zh-CN"/>
              </w:rPr>
              <w:t>未提供不得分</w:t>
            </w:r>
            <w:r>
              <w:rPr>
                <w:rFonts w:hint="eastAsia" w:ascii="宋体" w:hAnsi="宋体" w:eastAsia="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Cs w:val="21"/>
                <w:highlight w:val="none"/>
                <w:lang w:val="en-US" w:eastAsia="zh-CN"/>
              </w:rPr>
            </w:pPr>
          </w:p>
        </w:tc>
        <w:tc>
          <w:tcPr>
            <w:tcW w:w="6085"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7、承诺每年至少组织1次全体老年人健康体检的，得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380" w:lineRule="exact"/>
              <w:ind w:left="0" w:leftChars="0" w:right="0" w:rightChars="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合理化建议</w:t>
            </w:r>
          </w:p>
          <w:p>
            <w:pPr>
              <w:autoSpaceDE w:val="0"/>
              <w:autoSpaceDN w:val="0"/>
              <w:adjustRightInd w:val="0"/>
              <w:spacing w:line="380" w:lineRule="exact"/>
              <w:ind w:left="0" w:leftChars="0" w:right="0" w:rightChars="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lang w:val="en-US" w:eastAsia="zh-CN"/>
              </w:rPr>
              <w:t>分</w:t>
            </w:r>
            <w:r>
              <w:rPr>
                <w:rFonts w:hint="eastAsia" w:ascii="宋体" w:hAnsi="宋体" w:eastAsia="宋体" w:cs="Times New Roman"/>
                <w:color w:val="auto"/>
                <w:sz w:val="21"/>
                <w:szCs w:val="21"/>
                <w:highlight w:val="none"/>
                <w:lang w:eastAsia="zh-CN"/>
              </w:rPr>
              <w:t>）</w:t>
            </w:r>
          </w:p>
        </w:tc>
        <w:tc>
          <w:tcPr>
            <w:tcW w:w="6085"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rPr>
            </w:pPr>
            <w:r>
              <w:rPr>
                <w:rFonts w:hint="eastAsia" w:ascii="宋体" w:hAnsi="宋体" w:eastAsia="宋体"/>
                <w:bCs/>
                <w:color w:val="auto"/>
                <w:szCs w:val="21"/>
                <w:highlight w:val="none"/>
                <w:lang w:val="zh-CN"/>
              </w:rPr>
              <w:t>根据</w:t>
            </w:r>
            <w:bookmarkStart w:id="198" w:name="OLE_LINK9"/>
            <w:r>
              <w:rPr>
                <w:rFonts w:hint="eastAsia" w:ascii="宋体" w:hAnsi="宋体" w:eastAsia="宋体"/>
                <w:bCs/>
                <w:color w:val="auto"/>
                <w:szCs w:val="21"/>
                <w:highlight w:val="none"/>
              </w:rPr>
              <w:t>投标人</w:t>
            </w:r>
            <w:bookmarkEnd w:id="198"/>
            <w:r>
              <w:rPr>
                <w:rFonts w:hint="eastAsia" w:ascii="宋体" w:hAnsi="宋体" w:eastAsia="宋体"/>
                <w:bCs/>
                <w:color w:val="auto"/>
                <w:szCs w:val="21"/>
                <w:highlight w:val="none"/>
                <w:lang w:val="zh-CN"/>
              </w:rPr>
              <w:t>针对本项目提出的合理化建议。</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内容</w:t>
            </w:r>
            <w:r>
              <w:rPr>
                <w:rFonts w:hint="eastAsia" w:ascii="宋体" w:hAnsi="宋体" w:eastAsia="宋体"/>
                <w:bCs/>
                <w:color w:val="auto"/>
                <w:szCs w:val="21"/>
                <w:highlight w:val="none"/>
                <w:lang w:val="zh-CN"/>
              </w:rPr>
              <w:t>具有针对性、可操作性、</w:t>
            </w:r>
            <w:r>
              <w:rPr>
                <w:rFonts w:hint="eastAsia" w:ascii="宋体" w:hAnsi="宋体" w:eastAsia="宋体"/>
                <w:bCs/>
                <w:color w:val="auto"/>
                <w:szCs w:val="21"/>
                <w:highlight w:val="none"/>
                <w:lang w:val="en-US" w:eastAsia="zh-CN"/>
              </w:rPr>
              <w:t>切实可行的得</w:t>
            </w:r>
            <w:r>
              <w:rPr>
                <w:rFonts w:hint="eastAsia" w:ascii="宋体" w:hAnsi="宋体"/>
                <w:bCs/>
                <w:color w:val="auto"/>
                <w:szCs w:val="21"/>
                <w:highlight w:val="none"/>
                <w:lang w:val="en-US" w:eastAsia="zh-CN"/>
              </w:rPr>
              <w:t>4</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内容针对性不强、</w:t>
            </w:r>
            <w:r>
              <w:rPr>
                <w:rFonts w:hint="eastAsia" w:ascii="宋体" w:hAnsi="宋体" w:eastAsia="宋体"/>
                <w:bCs/>
                <w:color w:val="auto"/>
                <w:szCs w:val="21"/>
                <w:highlight w:val="none"/>
                <w:lang w:val="zh-CN"/>
              </w:rPr>
              <w:t>可操作性</w:t>
            </w:r>
            <w:r>
              <w:rPr>
                <w:rFonts w:hint="eastAsia" w:ascii="宋体" w:hAnsi="宋体" w:eastAsia="宋体"/>
                <w:bCs/>
                <w:color w:val="auto"/>
                <w:szCs w:val="21"/>
                <w:highlight w:val="none"/>
                <w:lang w:val="en-US" w:eastAsia="zh-CN"/>
              </w:rPr>
              <w:t>一般的得</w:t>
            </w:r>
            <w:r>
              <w:rPr>
                <w:rFonts w:hint="eastAsia" w:ascii="宋体" w:hAnsi="宋体"/>
                <w:bCs/>
                <w:color w:val="auto"/>
                <w:szCs w:val="21"/>
                <w:highlight w:val="none"/>
                <w:lang w:val="en-US" w:eastAsia="zh-CN"/>
              </w:rPr>
              <w:t>2</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内容简单、针对性不强、可操作性差的得</w:t>
            </w:r>
            <w:r>
              <w:rPr>
                <w:rFonts w:hint="eastAsia" w:ascii="宋体" w:hAnsi="宋体"/>
                <w:bCs/>
                <w:color w:val="auto"/>
                <w:szCs w:val="21"/>
                <w:highlight w:val="none"/>
                <w:lang w:val="en-US" w:eastAsia="zh-CN"/>
              </w:rPr>
              <w:t>1</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default"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870" w:type="dxa"/>
            <w:vMerge w:val="continue"/>
            <w:tcBorders>
              <w:top w:val="single" w:color="auto" w:sz="4" w:space="0"/>
              <w:left w:val="single" w:color="auto" w:sz="12"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rPr>
            </w:pPr>
          </w:p>
        </w:tc>
        <w:tc>
          <w:tcPr>
            <w:tcW w:w="111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12" w:lineRule="auto"/>
              <w:jc w:val="center"/>
              <w:textAlignment w:val="auto"/>
              <w:rPr>
                <w:rFonts w:hint="eastAsia" w:ascii="宋体" w:hAnsi="宋体" w:eastAsia="宋体" w:cs="宋体"/>
                <w:color w:val="auto"/>
                <w:szCs w:val="21"/>
                <w:highlight w:val="none"/>
                <w:lang w:eastAsia="zh-CN"/>
              </w:rPr>
            </w:pPr>
          </w:p>
        </w:tc>
        <w:tc>
          <w:tcPr>
            <w:tcW w:w="1729" w:type="dxa"/>
            <w:tcBorders>
              <w:top w:val="single" w:color="auto" w:sz="4" w:space="0"/>
              <w:left w:val="single" w:color="auto" w:sz="4" w:space="0"/>
              <w:right w:val="single" w:color="auto" w:sz="4" w:space="0"/>
            </w:tcBorders>
            <w:shd w:val="clear" w:color="auto" w:fill="FFFFFF"/>
            <w:vAlign w:val="center"/>
          </w:tcPr>
          <w:p>
            <w:pPr>
              <w:autoSpaceDE w:val="0"/>
              <w:autoSpaceDN w:val="0"/>
              <w:adjustRightInd w:val="0"/>
              <w:spacing w:line="380" w:lineRule="exact"/>
              <w:jc w:val="center"/>
              <w:rPr>
                <w:rFonts w:hint="eastAsia" w:ascii="宋体" w:hAnsi="宋体"/>
                <w:color w:val="auto"/>
                <w:sz w:val="21"/>
                <w:szCs w:val="21"/>
                <w:highlight w:val="none"/>
              </w:rPr>
            </w:pPr>
            <w:r>
              <w:rPr>
                <w:rFonts w:hint="eastAsia" w:ascii="宋体" w:hAnsi="宋体"/>
                <w:color w:val="auto"/>
                <w:sz w:val="21"/>
                <w:szCs w:val="21"/>
                <w:highlight w:val="none"/>
              </w:rPr>
              <w:t>增值服务</w:t>
            </w:r>
          </w:p>
          <w:p>
            <w:pPr>
              <w:autoSpaceDE w:val="0"/>
              <w:autoSpaceDN w:val="0"/>
              <w:adjustRightInd w:val="0"/>
              <w:spacing w:line="3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3分</w:t>
            </w:r>
            <w:r>
              <w:rPr>
                <w:rFonts w:hint="eastAsia" w:ascii="宋体" w:hAnsi="宋体"/>
                <w:color w:val="auto"/>
                <w:sz w:val="21"/>
                <w:szCs w:val="21"/>
                <w:highlight w:val="none"/>
                <w:lang w:eastAsia="zh-CN"/>
              </w:rPr>
              <w:t>）</w:t>
            </w:r>
          </w:p>
        </w:tc>
        <w:tc>
          <w:tcPr>
            <w:tcW w:w="6085" w:type="dxa"/>
            <w:tcBorders>
              <w:top w:val="single" w:color="auto" w:sz="4" w:space="0"/>
              <w:left w:val="single" w:color="auto" w:sz="4" w:space="0"/>
              <w:bottom w:val="single" w:color="auto" w:sz="4" w:space="0"/>
              <w:right w:val="single" w:color="auto" w:sz="12" w:space="0"/>
            </w:tcBorders>
            <w:shd w:val="clear" w:color="auto" w:fill="FFFFFF"/>
            <w:vAlign w:val="center"/>
          </w:tcPr>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rPr>
              <w:t>由各投标人结合各自实际，提出运营本项目的增值</w:t>
            </w:r>
            <w:r>
              <w:rPr>
                <w:rFonts w:hint="eastAsia" w:ascii="宋体" w:hAnsi="宋体" w:eastAsia="宋体"/>
                <w:bCs/>
                <w:color w:val="auto"/>
                <w:szCs w:val="21"/>
                <w:highlight w:val="none"/>
                <w:lang w:val="en-US" w:eastAsia="zh-CN"/>
              </w:rPr>
              <w:t>服务</w:t>
            </w:r>
            <w:r>
              <w:rPr>
                <w:rFonts w:hint="eastAsia" w:ascii="宋体" w:hAnsi="宋体" w:eastAsia="宋体"/>
                <w:bCs/>
                <w:color w:val="auto"/>
                <w:szCs w:val="21"/>
                <w:highlight w:val="none"/>
              </w:rPr>
              <w:t>方案</w:t>
            </w:r>
            <w:r>
              <w:rPr>
                <w:rFonts w:hint="eastAsia" w:ascii="宋体" w:hAnsi="宋体" w:eastAsia="宋体"/>
                <w:bCs/>
                <w:color w:val="auto"/>
                <w:szCs w:val="21"/>
                <w:highlight w:val="none"/>
                <w:lang w:eastAsia="zh-CN"/>
              </w:rPr>
              <w:t>。</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方案内容详实、</w:t>
            </w:r>
            <w:r>
              <w:rPr>
                <w:rFonts w:hint="eastAsia" w:ascii="宋体" w:hAnsi="宋体" w:eastAsia="宋体"/>
                <w:bCs/>
                <w:color w:val="auto"/>
                <w:szCs w:val="21"/>
                <w:highlight w:val="none"/>
                <w:lang w:val="zh-CN"/>
              </w:rPr>
              <w:t>具有针对性、可操作性、</w:t>
            </w:r>
            <w:r>
              <w:rPr>
                <w:rFonts w:hint="eastAsia" w:ascii="宋体" w:hAnsi="宋体" w:eastAsia="宋体"/>
                <w:bCs/>
                <w:color w:val="auto"/>
                <w:szCs w:val="21"/>
                <w:highlight w:val="none"/>
                <w:lang w:val="en-US" w:eastAsia="zh-CN"/>
              </w:rPr>
              <w:t>切实可行的得</w:t>
            </w:r>
            <w:r>
              <w:rPr>
                <w:rFonts w:hint="eastAsia" w:ascii="宋体" w:hAnsi="宋体"/>
                <w:bCs/>
                <w:color w:val="auto"/>
                <w:szCs w:val="21"/>
                <w:highlight w:val="none"/>
                <w:lang w:val="en-US" w:eastAsia="zh-CN"/>
              </w:rPr>
              <w:t>3</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方案内容比较详实，针对性不强、</w:t>
            </w:r>
            <w:r>
              <w:rPr>
                <w:rFonts w:hint="eastAsia" w:ascii="宋体" w:hAnsi="宋体" w:eastAsia="宋体"/>
                <w:bCs/>
                <w:color w:val="auto"/>
                <w:szCs w:val="21"/>
                <w:highlight w:val="none"/>
                <w:lang w:val="zh-CN"/>
              </w:rPr>
              <w:t>可操作性</w:t>
            </w:r>
            <w:r>
              <w:rPr>
                <w:rFonts w:hint="eastAsia" w:ascii="宋体" w:hAnsi="宋体" w:eastAsia="宋体"/>
                <w:bCs/>
                <w:color w:val="auto"/>
                <w:szCs w:val="21"/>
                <w:highlight w:val="none"/>
                <w:lang w:val="en-US" w:eastAsia="zh-CN"/>
              </w:rPr>
              <w:t>一般的得</w:t>
            </w:r>
            <w:r>
              <w:rPr>
                <w:rFonts w:hint="eastAsia" w:ascii="宋体" w:hAnsi="宋体"/>
                <w:bCs/>
                <w:color w:val="auto"/>
                <w:szCs w:val="21"/>
                <w:highlight w:val="none"/>
                <w:lang w:val="en-US" w:eastAsia="zh-CN"/>
              </w:rPr>
              <w:t>2</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方案内容简单、针对性不强、可操作性差的得</w:t>
            </w:r>
            <w:r>
              <w:rPr>
                <w:rFonts w:hint="eastAsia" w:ascii="宋体" w:hAnsi="宋体"/>
                <w:bCs/>
                <w:color w:val="auto"/>
                <w:szCs w:val="21"/>
                <w:highlight w:val="none"/>
                <w:lang w:val="en-US" w:eastAsia="zh-CN"/>
              </w:rPr>
              <w:t>1</w:t>
            </w:r>
            <w:r>
              <w:rPr>
                <w:rFonts w:hint="eastAsia" w:ascii="宋体" w:hAnsi="宋体" w:eastAsia="宋体"/>
                <w:bCs/>
                <w:color w:val="auto"/>
                <w:szCs w:val="21"/>
                <w:highlight w:val="none"/>
                <w:lang w:val="en-US" w:eastAsia="zh-CN"/>
              </w:rPr>
              <w:t>分；</w:t>
            </w:r>
          </w:p>
          <w:p>
            <w:pPr>
              <w:pStyle w:val="27"/>
              <w:keepNext w:val="0"/>
              <w:keepLines w:val="0"/>
              <w:pageBreakBefore w:val="0"/>
              <w:kinsoku/>
              <w:wordWrap/>
              <w:overflowPunct/>
              <w:topLinePunct w:val="0"/>
              <w:bidi w:val="0"/>
              <w:adjustRightInd/>
              <w:snapToGrid/>
              <w:spacing w:after="0" w:line="312" w:lineRule="auto"/>
              <w:ind w:firstLine="0" w:firstLineChars="0"/>
              <w:jc w:val="left"/>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未提供的不得分。</w:t>
            </w:r>
          </w:p>
        </w:tc>
      </w:tr>
    </w:tbl>
    <w:p>
      <w:pPr>
        <w:pStyle w:val="4"/>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312" w:lineRule="auto"/>
        <w:ind w:right="210"/>
        <w:outlineLvl w:val="1"/>
        <w:rPr>
          <w:rFonts w:hint="eastAsia" w:ascii="宋体" w:hAnsi="宋体" w:eastAsia="宋体" w:cs="宋体"/>
          <w:color w:val="auto"/>
          <w:highlight w:val="none"/>
        </w:rPr>
      </w:pPr>
      <w:bookmarkStart w:id="199" w:name="_Toc32367"/>
      <w:bookmarkStart w:id="200" w:name="_Toc1624"/>
      <w:bookmarkStart w:id="201" w:name="_Toc17134"/>
      <w:r>
        <w:rPr>
          <w:rFonts w:hint="eastAsia" w:ascii="宋体" w:hAnsi="宋体" w:eastAsia="宋体" w:cs="宋体"/>
          <w:color w:val="auto"/>
          <w:highlight w:val="none"/>
        </w:rPr>
        <w:t>1. 评标方法（综合评估法）</w:t>
      </w:r>
      <w:bookmarkEnd w:id="199"/>
      <w:bookmarkEnd w:id="200"/>
      <w:bookmarkEnd w:id="201"/>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本次评标采用综合评估法。评标委员会对满足招标文件实质性要求的投标文件，按照本</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章第2.2款规定的评分标准进行打分，并按得分由高到低顺序推荐中标候选人。综合评分相同时，按投标报价由低到高排列；投标报价也相等的，由采购人自行确定。</w:t>
      </w:r>
    </w:p>
    <w:p>
      <w:pPr>
        <w:pStyle w:val="4"/>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312" w:lineRule="auto"/>
        <w:ind w:right="210"/>
        <w:outlineLvl w:val="1"/>
        <w:rPr>
          <w:rFonts w:hint="eastAsia" w:ascii="宋体" w:hAnsi="宋体" w:eastAsia="宋体" w:cs="宋体"/>
          <w:color w:val="auto"/>
          <w:highlight w:val="none"/>
        </w:rPr>
      </w:pPr>
      <w:bookmarkStart w:id="202" w:name="_Toc472337680"/>
      <w:bookmarkEnd w:id="202"/>
      <w:bookmarkStart w:id="203" w:name="_Toc472429325"/>
      <w:bookmarkEnd w:id="203"/>
      <w:bookmarkStart w:id="204" w:name="_Toc21822"/>
      <w:bookmarkStart w:id="205" w:name="_Toc25312"/>
      <w:bookmarkStart w:id="206" w:name="_Toc11017"/>
      <w:r>
        <w:rPr>
          <w:rFonts w:hint="eastAsia" w:ascii="宋体" w:hAnsi="宋体" w:eastAsia="宋体" w:cs="宋体"/>
          <w:color w:val="auto"/>
          <w:highlight w:val="none"/>
        </w:rPr>
        <w:t>2. 评审标准</w:t>
      </w:r>
      <w:bookmarkEnd w:id="204"/>
      <w:bookmarkEnd w:id="205"/>
      <w:bookmarkEnd w:id="206"/>
    </w:p>
    <w:p>
      <w:pPr>
        <w:pStyle w:val="21"/>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highlight w:val="none"/>
        </w:rPr>
      </w:pPr>
      <w:bookmarkStart w:id="207" w:name="_Toc472429326"/>
      <w:bookmarkEnd w:id="207"/>
      <w:bookmarkStart w:id="208" w:name="_Toc472337681"/>
      <w:bookmarkEnd w:id="208"/>
      <w:bookmarkStart w:id="209" w:name="_Toc29814"/>
      <w:bookmarkStart w:id="210" w:name="_Toc13780"/>
      <w:r>
        <w:rPr>
          <w:rFonts w:hint="eastAsia" w:ascii="宋体" w:hAnsi="宋体" w:eastAsia="宋体" w:cs="宋体"/>
          <w:color w:val="auto"/>
          <w:highlight w:val="none"/>
        </w:rPr>
        <w:t>2.1  初步评审标准</w:t>
      </w:r>
      <w:bookmarkEnd w:id="209"/>
      <w:bookmarkEnd w:id="210"/>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2.l.1资格评审标准：见评标办法前附表</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r>
        <w:rPr>
          <w:rFonts w:hint="eastAsia" w:ascii="宋体" w:hAnsi="宋体" w:eastAsia="宋体" w:cs="宋体"/>
          <w:color w:val="auto"/>
          <w:szCs w:val="21"/>
          <w:highlight w:val="none"/>
          <w:lang w:val="en-US" w:eastAsia="zh-CN"/>
        </w:rPr>
        <w:t>符合性</w:t>
      </w:r>
      <w:r>
        <w:rPr>
          <w:rFonts w:hint="eastAsia" w:ascii="宋体" w:hAnsi="宋体" w:eastAsia="宋体" w:cs="宋体"/>
          <w:color w:val="auto"/>
          <w:szCs w:val="21"/>
          <w:highlight w:val="none"/>
        </w:rPr>
        <w:t>评审标准：见评标办法前附表。</w:t>
      </w:r>
    </w:p>
    <w:p>
      <w:pPr>
        <w:pStyle w:val="21"/>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highlight w:val="none"/>
        </w:rPr>
      </w:pPr>
      <w:bookmarkStart w:id="211" w:name="_Toc472337682"/>
      <w:bookmarkEnd w:id="211"/>
      <w:bookmarkStart w:id="212" w:name="_Toc472429327"/>
      <w:bookmarkEnd w:id="212"/>
      <w:bookmarkStart w:id="213" w:name="_Toc29999"/>
      <w:bookmarkStart w:id="214" w:name="_Toc6366"/>
      <w:r>
        <w:rPr>
          <w:rFonts w:hint="eastAsia" w:ascii="宋体" w:hAnsi="宋体" w:eastAsia="宋体" w:cs="宋体"/>
          <w:color w:val="auto"/>
          <w:highlight w:val="none"/>
        </w:rPr>
        <w:t>2.2  分值构成与评分标准</w:t>
      </w:r>
      <w:bookmarkEnd w:id="213"/>
      <w:bookmarkEnd w:id="214"/>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2.2.1分值构成</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rPr>
        <w:t>：见评标办法前附表；</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技术部分：见评标办法前附表；</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部分：见评标办法前附表。</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2.2.2评分标准</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bookmarkStart w:id="215" w:name="_Toc472429328"/>
      <w:bookmarkStart w:id="216" w:name="_Toc472337683"/>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val="en-US" w:eastAsia="zh-CN"/>
        </w:rPr>
        <w:t>商务部分</w:t>
      </w:r>
      <w:r>
        <w:rPr>
          <w:rFonts w:hint="eastAsia" w:ascii="宋体" w:hAnsi="宋体" w:eastAsia="宋体" w:cs="宋体"/>
          <w:color w:val="auto"/>
          <w:szCs w:val="21"/>
          <w:highlight w:val="none"/>
        </w:rPr>
        <w:t>：见评标办法前附表；</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技术部分：见评标办法前附表；</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综合部分</w:t>
      </w:r>
      <w:r>
        <w:rPr>
          <w:rFonts w:hint="eastAsia" w:ascii="宋体" w:hAnsi="宋体" w:eastAsia="宋体" w:cs="宋体"/>
          <w:color w:val="auto"/>
          <w:szCs w:val="21"/>
          <w:highlight w:val="none"/>
        </w:rPr>
        <w:t>：见评标办法前附表。</w:t>
      </w:r>
    </w:p>
    <w:bookmarkEnd w:id="215"/>
    <w:bookmarkEnd w:id="216"/>
    <w:p>
      <w:pPr>
        <w:pStyle w:val="4"/>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312" w:lineRule="auto"/>
        <w:ind w:right="210"/>
        <w:outlineLvl w:val="1"/>
        <w:rPr>
          <w:rFonts w:hint="eastAsia" w:ascii="宋体" w:hAnsi="宋体" w:eastAsia="宋体" w:cs="宋体"/>
          <w:color w:val="auto"/>
          <w:highlight w:val="none"/>
        </w:rPr>
      </w:pPr>
      <w:bookmarkStart w:id="217" w:name="_Toc23735"/>
      <w:bookmarkStart w:id="218" w:name="_Toc29703"/>
      <w:bookmarkStart w:id="219" w:name="_Toc21696"/>
      <w:r>
        <w:rPr>
          <w:rFonts w:hint="eastAsia" w:ascii="宋体" w:hAnsi="宋体" w:eastAsia="宋体" w:cs="宋体"/>
          <w:color w:val="auto"/>
          <w:highlight w:val="none"/>
        </w:rPr>
        <w:t>3.  评标程序</w:t>
      </w:r>
      <w:bookmarkEnd w:id="217"/>
      <w:bookmarkEnd w:id="218"/>
      <w:bookmarkEnd w:id="219"/>
    </w:p>
    <w:p>
      <w:pPr>
        <w:pStyle w:val="21"/>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highlight w:val="none"/>
        </w:rPr>
      </w:pPr>
      <w:bookmarkStart w:id="220" w:name="_Toc472429329"/>
      <w:bookmarkEnd w:id="220"/>
      <w:bookmarkStart w:id="221" w:name="_Toc472337684"/>
      <w:bookmarkEnd w:id="221"/>
      <w:bookmarkStart w:id="222" w:name="_Toc27164"/>
      <w:bookmarkStart w:id="223" w:name="_Toc6792"/>
      <w:r>
        <w:rPr>
          <w:rFonts w:hint="eastAsia" w:ascii="宋体" w:hAnsi="宋体" w:eastAsia="宋体" w:cs="宋体"/>
          <w:color w:val="auto"/>
          <w:highlight w:val="none"/>
        </w:rPr>
        <w:t>3.1  初步评审</w:t>
      </w:r>
      <w:bookmarkEnd w:id="222"/>
      <w:bookmarkEnd w:id="223"/>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3.1.1只有通过资格审查的供应商才能进入符合性评审。评标委员会依据初步评审表规定的内容和标准对投标文件进行符合性审查。有一项不符合评审标准的，其投标做无效标处理，不得进入详细评审。</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3.1.2投标人有以下情形之一的．其投标作废标处理：</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投标文件没有对招标文件的实质性要求和条件作出响应，或者对招标文件的偏差超出招标文件规定的偏差范围；</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有串通投标或弄虚作假或有其他违法行为的。</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3.1.3投标报价有算术错误的，评标委员会按以下原则对投标报价进行修正，修正的价格经投标人书面确认后具有约束力。投标人不接受修正价格的，评标委员会应当否决其投标。</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投标文件中的大写金额与小写金额不一致的，以大写金额为准；</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总价金额与依据单价金额计算出的结果不一致的，以单价金额为准修正总价，但单价金额小数点有明显错误的除外；</w:t>
      </w:r>
    </w:p>
    <w:p>
      <w:pPr>
        <w:pStyle w:val="27"/>
        <w:keepNext w:val="0"/>
        <w:keepLines w:val="0"/>
        <w:pageBreakBefore w:val="0"/>
        <w:widowControl w:val="0"/>
        <w:kinsoku/>
        <w:wordWrap/>
        <w:overflowPunct/>
        <w:topLinePunct w:val="0"/>
        <w:autoSpaceDE/>
        <w:autoSpaceDN/>
        <w:bidi w:val="0"/>
        <w:snapToGrid/>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（3）投标报价为各分项报价金额之和，投标报价与分项报价的合价不一致的，应以各分项合价累计数为准，修正投标报价；</w:t>
      </w:r>
    </w:p>
    <w:p>
      <w:pPr>
        <w:pStyle w:val="27"/>
        <w:keepNext w:val="0"/>
        <w:keepLines w:val="0"/>
        <w:pageBreakBefore w:val="0"/>
        <w:widowControl w:val="0"/>
        <w:kinsoku/>
        <w:wordWrap/>
        <w:overflowPunct/>
        <w:topLinePunct w:val="0"/>
        <w:autoSpaceDE/>
        <w:autoSpaceDN/>
        <w:bidi w:val="0"/>
        <w:snapToGrid/>
        <w:spacing w:beforeAutospacing="0" w:after="0" w:afterAutospacing="0" w:line="312" w:lineRule="auto"/>
        <w:ind w:firstLineChars="200"/>
        <w:rPr>
          <w:rFonts w:hint="eastAsia" w:ascii="宋体" w:hAnsi="宋体" w:eastAsia="宋体" w:cs="宋体"/>
          <w:color w:val="auto"/>
          <w:highlight w:val="none"/>
        </w:rPr>
      </w:pPr>
      <w:r>
        <w:rPr>
          <w:rFonts w:hint="eastAsia" w:ascii="宋体" w:hAnsi="宋体" w:eastAsia="宋体" w:cs="宋体"/>
          <w:color w:val="auto"/>
          <w:highlight w:val="none"/>
        </w:rPr>
        <w:t>（4）如果分项报价中存在缺漏项，则视为缺漏项价格已包含在其他分项报价之中。</w:t>
      </w:r>
    </w:p>
    <w:p>
      <w:pPr>
        <w:pStyle w:val="21"/>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highlight w:val="none"/>
        </w:rPr>
      </w:pPr>
      <w:bookmarkStart w:id="224" w:name="_Toc472429330"/>
      <w:bookmarkEnd w:id="224"/>
      <w:bookmarkStart w:id="225" w:name="_Toc472337685"/>
      <w:bookmarkEnd w:id="225"/>
      <w:bookmarkStart w:id="226" w:name="_Toc3874"/>
      <w:bookmarkStart w:id="227" w:name="_Toc5192"/>
      <w:r>
        <w:rPr>
          <w:rFonts w:hint="eastAsia" w:ascii="宋体" w:hAnsi="宋体" w:eastAsia="宋体" w:cs="宋体"/>
          <w:color w:val="auto"/>
          <w:highlight w:val="none"/>
        </w:rPr>
        <w:t>3.2  详细评审</w:t>
      </w:r>
      <w:bookmarkEnd w:id="226"/>
      <w:bookmarkEnd w:id="227"/>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3.2.1评标委员会按本章第2.2款规定的量化因素和分值进行打分，并计算出综合评估得分。</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按本章第2.2.2(1</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目规定的评审因素和分值对投标报价计算出得分A；</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按本章第2.2.2(2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目规定的评审因素和分值对技术部分计算出得分B；</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按本章第2.2.2(3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目规定的评审因素和分值对商务部分计算出得分C；</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3.2.2评分分值计算保留小数点后两位，小数点后第三位“四舍五入”。</w:t>
      </w:r>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3.2.3投标人得分=A+B+C。每个投标人的最终得分为所有评委打分的算术平均值作为该投标人的最终得分，计分四舍五入取至小数点后二位。</w:t>
      </w:r>
    </w:p>
    <w:p>
      <w:pPr>
        <w:keepNext w:val="0"/>
        <w:keepLines w:val="0"/>
        <w:pageBreakBefore w:val="0"/>
        <w:widowControl w:val="0"/>
        <w:kinsoku/>
        <w:wordWrap/>
        <w:overflowPunct/>
        <w:topLinePunct w:val="0"/>
        <w:autoSpaceDE/>
        <w:autoSpaceDN/>
        <w:bidi w:val="0"/>
        <w:snapToGrid/>
        <w:spacing w:beforeAutospacing="0" w:afterAutospacing="0" w:line="312" w:lineRule="auto"/>
        <w:outlineLvl w:val="1"/>
        <w:rPr>
          <w:rFonts w:hint="eastAsia" w:ascii="宋体" w:hAnsi="宋体" w:eastAsia="宋体" w:cs="宋体"/>
          <w:b/>
          <w:color w:val="auto"/>
          <w:highlight w:val="none"/>
        </w:rPr>
      </w:pPr>
      <w:bookmarkStart w:id="228" w:name="_Toc28788"/>
      <w:bookmarkStart w:id="229" w:name="_Toc7198"/>
      <w:r>
        <w:rPr>
          <w:rFonts w:hint="eastAsia" w:ascii="宋体" w:hAnsi="宋体" w:eastAsia="宋体" w:cs="宋体"/>
          <w:b/>
          <w:color w:val="auto"/>
          <w:highlight w:val="none"/>
        </w:rPr>
        <w:t>3.3  投标文件的澄清和补正</w:t>
      </w:r>
      <w:bookmarkEnd w:id="228"/>
      <w:bookmarkEnd w:id="229"/>
    </w:p>
    <w:p>
      <w:pPr>
        <w:keepNext w:val="0"/>
        <w:keepLines w:val="0"/>
        <w:pageBreakBefore w:val="0"/>
        <w:widowControl w:val="0"/>
        <w:kinsoku/>
        <w:wordWrap/>
        <w:overflowPunct/>
        <w:topLinePunct w:val="0"/>
        <w:autoSpaceDE/>
        <w:autoSpaceDN/>
        <w:bidi w:val="0"/>
        <w:snapToGrid/>
        <w:spacing w:beforeAutospacing="0" w:afterAutospacing="0" w:line="312"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3.3.l在评标过程中，评标委员会可以书面形式要求投标人对所提交投标文件中含义不明确、对同类问题表述不一致或者有明显文字和计算错误的内容</w:t>
      </w:r>
      <w:r>
        <w:rPr>
          <w:rFonts w:hint="eastAsia" w:ascii="宋体" w:hAnsi="宋体" w:cs="宋体"/>
          <w:color w:val="auto"/>
          <w:szCs w:val="21"/>
          <w:highlight w:val="none"/>
          <w:lang w:eastAsia="zh-CN"/>
        </w:rPr>
        <w:t>作出</w:t>
      </w:r>
      <w:r>
        <w:rPr>
          <w:rFonts w:hint="eastAsia" w:ascii="宋体" w:hAnsi="宋体" w:eastAsia="宋体" w:cs="宋体"/>
          <w:color w:val="auto"/>
          <w:szCs w:val="21"/>
          <w:highlight w:val="none"/>
        </w:rPr>
        <w:t>必要的澄清、说明或补正。澄清、说明或补正应以书面方式进行。评标委员会不接受投标人主动提出的澄清、说明或补正。</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3.3.2澄清、说明和补正不得改变投标文件的实质性内容，并构成投标文件的组成部分。</w:t>
      </w:r>
    </w:p>
    <w:p>
      <w:pPr>
        <w:keepNext w:val="0"/>
        <w:keepLines w:val="0"/>
        <w:pageBreakBefore w:val="0"/>
        <w:widowControl w:val="0"/>
        <w:kinsoku/>
        <w:wordWrap/>
        <w:overflowPunct/>
        <w:topLinePunct w:val="0"/>
        <w:autoSpaceDE/>
        <w:autoSpaceDN/>
        <w:bidi w:val="0"/>
        <w:snapToGrid/>
        <w:spacing w:beforeAutospacing="0" w:afterAutospacing="0"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3.3.3评标委员会对投标人提交的澄清、说明或补正有疑问的。可以要求投标人进一步澄清、说明或补正，直至满足评标委员会的要求。</w:t>
      </w:r>
    </w:p>
    <w:p>
      <w:pPr>
        <w:pStyle w:val="21"/>
        <w:keepNext w:val="0"/>
        <w:keepLines w:val="0"/>
        <w:pageBreakBefore w:val="0"/>
        <w:widowControl w:val="0"/>
        <w:kinsoku/>
        <w:wordWrap/>
        <w:overflowPunct/>
        <w:topLinePunct w:val="0"/>
        <w:autoSpaceDE/>
        <w:autoSpaceDN/>
        <w:bidi w:val="0"/>
        <w:snapToGrid/>
        <w:spacing w:beforeAutospacing="0" w:afterAutospacing="0" w:line="312" w:lineRule="auto"/>
        <w:jc w:val="both"/>
        <w:rPr>
          <w:rFonts w:hint="eastAsia" w:ascii="宋体" w:hAnsi="宋体" w:eastAsia="宋体" w:cs="宋体"/>
          <w:color w:val="auto"/>
          <w:highlight w:val="none"/>
        </w:rPr>
      </w:pPr>
      <w:bookmarkStart w:id="230" w:name="_Toc472429332"/>
      <w:bookmarkEnd w:id="230"/>
      <w:bookmarkStart w:id="231" w:name="_Toc472337687"/>
      <w:bookmarkEnd w:id="231"/>
      <w:bookmarkStart w:id="232" w:name="_Toc14671"/>
      <w:bookmarkStart w:id="233" w:name="_Toc26816"/>
      <w:r>
        <w:rPr>
          <w:rFonts w:hint="eastAsia" w:ascii="宋体" w:hAnsi="宋体" w:eastAsia="宋体" w:cs="宋体"/>
          <w:color w:val="auto"/>
          <w:highlight w:val="none"/>
        </w:rPr>
        <w:t>3.4  评标结果</w:t>
      </w:r>
      <w:bookmarkEnd w:id="232"/>
      <w:bookmarkEnd w:id="233"/>
    </w:p>
    <w:p>
      <w:pPr>
        <w:keepNext w:val="0"/>
        <w:keepLines w:val="0"/>
        <w:pageBreakBefore w:val="0"/>
        <w:widowControl w:val="0"/>
        <w:kinsoku/>
        <w:wordWrap/>
        <w:overflowPunct/>
        <w:topLinePunct w:val="0"/>
        <w:autoSpaceDE/>
        <w:autoSpaceDN/>
        <w:bidi w:val="0"/>
        <w:snapToGrid/>
        <w:spacing w:beforeAutospacing="0" w:afterAutospacing="0" w:line="312" w:lineRule="auto"/>
        <w:ind w:firstLine="432"/>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3.4.1评标委员会按照得分由高到低的顺序推荐中标</w:t>
      </w:r>
      <w:r>
        <w:rPr>
          <w:rFonts w:hint="eastAsia" w:ascii="宋体" w:hAnsi="宋体" w:cs="宋体"/>
          <w:color w:val="auto"/>
          <w:szCs w:val="21"/>
          <w:highlight w:val="none"/>
          <w:lang w:eastAsia="zh-CN"/>
        </w:rPr>
        <w:t>候选人</w:t>
      </w:r>
      <w:r>
        <w:rPr>
          <w:rFonts w:hint="eastAsia" w:ascii="宋体" w:hAnsi="宋体" w:eastAsia="宋体" w:cs="宋体"/>
          <w:color w:val="auto"/>
          <w:szCs w:val="21"/>
          <w:highlight w:val="none"/>
        </w:rPr>
        <w:t>。</w:t>
      </w:r>
    </w:p>
    <w:p>
      <w:pPr>
        <w:pStyle w:val="27"/>
        <w:keepNext w:val="0"/>
        <w:keepLines w:val="0"/>
        <w:pageBreakBefore w:val="0"/>
        <w:widowControl w:val="0"/>
        <w:kinsoku/>
        <w:wordWrap/>
        <w:overflowPunct/>
        <w:topLinePunct w:val="0"/>
        <w:autoSpaceDE/>
        <w:autoSpaceDN/>
        <w:bidi w:val="0"/>
        <w:snapToGrid/>
        <w:spacing w:line="312"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3.4.2评标委员会完成评标后，应当向采购人提交书面评标报告和中标候选人名单。</w:t>
      </w:r>
      <w:bookmarkStart w:id="234" w:name="_Toc268"/>
      <w:bookmarkEnd w:id="234"/>
    </w:p>
    <w:p>
      <w:pPr>
        <w:rPr>
          <w:rFonts w:hint="eastAsia" w:ascii="宋体" w:hAnsi="宋体" w:eastAsia="宋体" w:cs="宋体"/>
          <w:b/>
          <w:bCs/>
          <w:color w:val="auto"/>
          <w:sz w:val="21"/>
          <w:szCs w:val="21"/>
          <w:highlight w:val="none"/>
        </w:rPr>
      </w:pPr>
      <w:bookmarkStart w:id="235" w:name="_Toc17093"/>
      <w:bookmarkStart w:id="236" w:name="_Toc10297"/>
      <w:bookmarkStart w:id="237" w:name="_Toc18386"/>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附件：废标条件</w:t>
      </w:r>
      <w:bookmarkEnd w:id="235"/>
      <w:bookmarkEnd w:id="236"/>
      <w:bookmarkEnd w:id="237"/>
    </w:p>
    <w:p>
      <w:pPr>
        <w:pageBreakBefore w:val="0"/>
        <w:kinsoku/>
        <w:wordWrap/>
        <w:overflowPunct/>
        <w:topLinePunct w:val="0"/>
        <w:bidi w:val="0"/>
        <w:spacing w:line="400" w:lineRule="exact"/>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废标条件</w:t>
      </w:r>
    </w:p>
    <w:p>
      <w:pPr>
        <w:pageBreakBefore w:val="0"/>
        <w:kinsoku/>
        <w:wordWrap/>
        <w:overflowPunct/>
        <w:topLinePunct w:val="0"/>
        <w:bidi w:val="0"/>
        <w:spacing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pageBreakBefore w:val="0"/>
        <w:kinsoku/>
        <w:wordWrap/>
        <w:overflowPunct/>
        <w:topLinePunct w:val="0"/>
        <w:bidi w:val="0"/>
        <w:spacing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1.未通过第三章评标办法</w:t>
      </w:r>
      <w:r>
        <w:rPr>
          <w:rFonts w:hint="eastAsia" w:ascii="宋体" w:hAnsi="宋体" w:eastAsia="宋体" w:cs="宋体"/>
          <w:b/>
          <w:color w:val="auto"/>
          <w:sz w:val="21"/>
          <w:szCs w:val="21"/>
          <w:highlight w:val="none"/>
          <w:lang w:eastAsia="zh-CN"/>
        </w:rPr>
        <w:t>资格评审、符合性评审的</w:t>
      </w:r>
      <w:r>
        <w:rPr>
          <w:rFonts w:hint="eastAsia" w:ascii="宋体" w:hAnsi="宋体" w:eastAsia="宋体" w:cs="宋体"/>
          <w:b/>
          <w:color w:val="auto"/>
          <w:sz w:val="21"/>
          <w:szCs w:val="21"/>
          <w:highlight w:val="none"/>
        </w:rPr>
        <w:t>；</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.不按评标委员会要求澄清、说明或补正的；</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.投标报价有算术性错误，投标人不接受修正价格的；</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.以他人的名义投标、以行贿手段谋取中标或者以其他弄虚作假方式投标的；</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.属于串（围）标行为的；</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.评标委员会认定投标人以低于成本报价竞标的；</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．明显不符合技术规格、技术标准的要求；</w:t>
      </w:r>
    </w:p>
    <w:p>
      <w:pPr>
        <w:pageBreakBefore w:val="0"/>
        <w:kinsoku/>
        <w:wordWrap/>
        <w:overflowPunct/>
        <w:topLinePunct w:val="0"/>
        <w:bidi w:val="0"/>
        <w:spacing w:line="400" w:lineRule="exact"/>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.不具备招标文件中规定的资格要求的；</w:t>
      </w:r>
    </w:p>
    <w:p>
      <w:pPr>
        <w:spacing w:beforeAutospacing="0" w:afterAutospacing="0" w:line="400" w:lineRule="exact"/>
        <w:ind w:firstLine="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9.文件制作机器码、文件创建标识码有相同的；</w:t>
      </w:r>
    </w:p>
    <w:p>
      <w:pPr>
        <w:spacing w:beforeAutospacing="0" w:afterAutospacing="0" w:line="400" w:lineRule="exact"/>
        <w:ind w:firstLine="0"/>
        <w:jc w:val="left"/>
        <w:rPr>
          <w:rFonts w:hint="eastAsia" w:ascii="宋体" w:hAnsi="宋体" w:eastAsia="宋体" w:cs="宋体"/>
          <w:color w:val="auto"/>
          <w:szCs w:val="21"/>
          <w:highlight w:val="none"/>
        </w:rPr>
        <w:sectPr>
          <w:footerReference r:id="rId11" w:type="first"/>
          <w:footerReference r:id="rId10" w:type="default"/>
          <w:pgSz w:w="11906" w:h="16838"/>
          <w:pgMar w:top="1388" w:right="1701" w:bottom="1418" w:left="1701" w:header="851" w:footer="851"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color w:val="auto"/>
          <w:sz w:val="21"/>
          <w:szCs w:val="21"/>
          <w:highlight w:val="none"/>
        </w:rPr>
        <w:t>10．不符合招标文件规定的其他实质性要求及相关</w:t>
      </w:r>
      <w:r>
        <w:rPr>
          <w:rFonts w:hint="eastAsia" w:ascii="宋体" w:hAnsi="宋体" w:cs="宋体"/>
          <w:b/>
          <w:color w:val="auto"/>
          <w:sz w:val="21"/>
          <w:szCs w:val="21"/>
          <w:highlight w:val="none"/>
          <w:lang w:eastAsia="zh-CN"/>
        </w:rPr>
        <w:t>法律法规</w:t>
      </w:r>
      <w:r>
        <w:rPr>
          <w:rFonts w:hint="eastAsia" w:ascii="宋体" w:hAnsi="宋体" w:eastAsia="宋体" w:cs="宋体"/>
          <w:b/>
          <w:color w:val="auto"/>
          <w:sz w:val="21"/>
          <w:szCs w:val="21"/>
          <w:highlight w:val="none"/>
        </w:rPr>
        <w:t>或规章规定可以废标的其他情形。</w:t>
      </w:r>
    </w:p>
    <w:p>
      <w:pPr>
        <w:numPr>
          <w:ilvl w:val="0"/>
          <w:numId w:val="5"/>
        </w:numPr>
        <w:spacing w:beforeAutospacing="0" w:afterAutospacing="0" w:line="400" w:lineRule="exact"/>
        <w:jc w:val="center"/>
        <w:outlineLvl w:val="0"/>
        <w:rPr>
          <w:rFonts w:hint="eastAsia" w:ascii="宋体" w:hAnsi="宋体" w:eastAsia="宋体" w:cs="宋体"/>
          <w:b/>
          <w:color w:val="auto"/>
          <w:sz w:val="32"/>
          <w:szCs w:val="32"/>
          <w:highlight w:val="none"/>
          <w:lang w:eastAsia="zh-CN"/>
        </w:rPr>
      </w:pPr>
      <w:bookmarkStart w:id="238" w:name="_Toc7542"/>
      <w:bookmarkStart w:id="239" w:name="_Toc24177"/>
      <w:r>
        <w:rPr>
          <w:rFonts w:hint="eastAsia" w:ascii="宋体" w:hAnsi="宋体" w:eastAsia="宋体" w:cs="宋体"/>
          <w:b/>
          <w:color w:val="auto"/>
          <w:sz w:val="32"/>
          <w:szCs w:val="32"/>
          <w:highlight w:val="none"/>
          <w:lang w:eastAsia="zh-CN"/>
        </w:rPr>
        <w:t>合同</w:t>
      </w:r>
      <w:r>
        <w:rPr>
          <w:rFonts w:hint="eastAsia" w:ascii="宋体" w:hAnsi="宋体" w:eastAsia="宋体" w:cs="宋体"/>
          <w:b/>
          <w:color w:val="auto"/>
          <w:sz w:val="32"/>
          <w:szCs w:val="32"/>
          <w:highlight w:val="none"/>
          <w:lang w:val="en-US" w:eastAsia="zh-CN"/>
        </w:rPr>
        <w:t>主要</w:t>
      </w:r>
      <w:r>
        <w:rPr>
          <w:rFonts w:hint="eastAsia" w:ascii="宋体" w:hAnsi="宋体" w:eastAsia="宋体" w:cs="宋体"/>
          <w:b/>
          <w:color w:val="auto"/>
          <w:sz w:val="32"/>
          <w:szCs w:val="32"/>
          <w:highlight w:val="none"/>
          <w:lang w:eastAsia="zh-CN"/>
        </w:rPr>
        <w:t>条款</w:t>
      </w:r>
      <w:r>
        <w:rPr>
          <w:rFonts w:hint="eastAsia" w:ascii="宋体" w:hAnsi="宋体" w:eastAsia="宋体" w:cs="宋体"/>
          <w:b/>
          <w:color w:val="auto"/>
          <w:sz w:val="32"/>
          <w:szCs w:val="32"/>
          <w:highlight w:val="none"/>
          <w:lang w:val="en-US" w:eastAsia="zh-CN"/>
        </w:rPr>
        <w:t>及格式</w:t>
      </w:r>
      <w:bookmarkEnd w:id="238"/>
      <w:bookmarkEnd w:id="239"/>
    </w:p>
    <w:p>
      <w:pPr>
        <w:pStyle w:val="27"/>
        <w:jc w:val="center"/>
        <w:rPr>
          <w:rFonts w:hint="eastAsia" w:ascii="宋体" w:hAnsi="宋体" w:eastAsia="宋体" w:cs="宋体"/>
          <w:b w:val="0"/>
          <w:color w:val="auto"/>
          <w:sz w:val="21"/>
          <w:szCs w:val="24"/>
          <w:highlight w:val="none"/>
          <w:lang w:eastAsia="zh-CN"/>
        </w:rPr>
      </w:pPr>
    </w:p>
    <w:p>
      <w:pPr>
        <w:pStyle w:val="27"/>
        <w:jc w:val="center"/>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(注</w:t>
      </w:r>
      <w:r>
        <w:rPr>
          <w:rFonts w:hint="eastAsia" w:ascii="宋体" w:hAnsi="宋体" w:cs="宋体"/>
          <w:b w:val="0"/>
          <w:color w:val="auto"/>
          <w:sz w:val="21"/>
          <w:szCs w:val="24"/>
          <w:highlight w:val="none"/>
          <w:lang w:eastAsia="zh-CN"/>
        </w:rPr>
        <w:t>：</w:t>
      </w:r>
      <w:r>
        <w:rPr>
          <w:rFonts w:hint="eastAsia" w:ascii="宋体" w:hAnsi="宋体" w:eastAsia="宋体" w:cs="宋体"/>
          <w:b w:val="0"/>
          <w:color w:val="auto"/>
          <w:sz w:val="21"/>
          <w:szCs w:val="24"/>
          <w:highlight w:val="none"/>
          <w:lang w:eastAsia="zh-CN"/>
        </w:rPr>
        <w:t>仅供参考，合同以最终签订的版本为准</w:t>
      </w:r>
      <w:r>
        <w:rPr>
          <w:rFonts w:hint="eastAsia" w:ascii="宋体" w:hAnsi="宋体" w:cs="宋体"/>
          <w:b w:val="0"/>
          <w:color w:val="auto"/>
          <w:sz w:val="21"/>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bookmarkStart w:id="240" w:name="_Toc472337695"/>
      <w:bookmarkStart w:id="241" w:name="_Toc472429340"/>
      <w:r>
        <w:rPr>
          <w:rFonts w:hint="eastAsia" w:ascii="宋体" w:hAnsi="宋体" w:eastAsia="宋体" w:cs="宋体"/>
          <w:b w:val="0"/>
          <w:color w:val="auto"/>
          <w:sz w:val="21"/>
          <w:szCs w:val="24"/>
          <w:highlight w:val="none"/>
          <w:lang w:eastAsia="zh-CN"/>
        </w:rPr>
        <w:t xml:space="preserve">甲方： </w:t>
      </w:r>
      <w:r>
        <w:rPr>
          <w:rFonts w:hint="eastAsia" w:ascii="宋体" w:hAnsi="宋体" w:eastAsia="宋体" w:cs="宋体"/>
          <w:b w:val="0"/>
          <w:color w:val="auto"/>
          <w:sz w:val="21"/>
          <w:szCs w:val="24"/>
          <w:highlight w:val="none"/>
          <w:lang w:val="en-US" w:eastAsia="zh-CN"/>
        </w:rPr>
        <w:t xml:space="preserve">  </w:t>
      </w:r>
      <w:r>
        <w:rPr>
          <w:rFonts w:hint="eastAsia" w:ascii="宋体" w:hAnsi="宋体" w:eastAsia="宋体" w:cs="宋体"/>
          <w:b w:val="0"/>
          <w:color w:val="auto"/>
          <w:sz w:val="21"/>
          <w:szCs w:val="24"/>
          <w:highlight w:val="none"/>
          <w:lang w:eastAsia="zh-CN"/>
        </w:rPr>
        <w:t xml:space="preserve"> （以下简称“甲方”）</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乙方：</w:t>
      </w:r>
      <w:r>
        <w:rPr>
          <w:rFonts w:hint="eastAsia" w:ascii="宋体" w:hAnsi="宋体" w:eastAsia="宋体" w:cs="宋体"/>
          <w:b w:val="0"/>
          <w:color w:val="auto"/>
          <w:sz w:val="21"/>
          <w:szCs w:val="24"/>
          <w:highlight w:val="none"/>
          <w:lang w:val="en-US" w:eastAsia="zh-CN"/>
        </w:rPr>
        <w:t xml:space="preserve">   </w:t>
      </w:r>
      <w:r>
        <w:rPr>
          <w:rFonts w:hint="eastAsia" w:ascii="宋体" w:hAnsi="宋体" w:eastAsia="宋体" w:cs="宋体"/>
          <w:b w:val="0"/>
          <w:color w:val="auto"/>
          <w:sz w:val="21"/>
          <w:szCs w:val="24"/>
          <w:highlight w:val="none"/>
          <w:lang w:eastAsia="zh-CN"/>
        </w:rPr>
        <w:t xml:space="preserve"> （以下简称“乙方”）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i w:val="0"/>
          <w:iCs w:val="0"/>
          <w:caps w:val="0"/>
          <w:color w:val="auto"/>
          <w:spacing w:val="0"/>
          <w:sz w:val="21"/>
          <w:szCs w:val="21"/>
          <w:highlight w:val="none"/>
        </w:rPr>
        <w:t>为</w:t>
      </w:r>
      <w:r>
        <w:rPr>
          <w:rFonts w:hint="eastAsia" w:ascii="宋体" w:hAnsi="宋体" w:eastAsia="宋体" w:cs="宋体"/>
          <w:i w:val="0"/>
          <w:iCs w:val="0"/>
          <w:caps w:val="0"/>
          <w:color w:val="auto"/>
          <w:spacing w:val="0"/>
          <w:sz w:val="21"/>
          <w:szCs w:val="21"/>
          <w:highlight w:val="none"/>
          <w:lang w:val="en-US" w:eastAsia="zh-CN"/>
        </w:rPr>
        <w:t>进一步增强社会力量参与养老服务事业的积极性，规范养老服务机构公建民营和管理，</w:t>
      </w:r>
      <w:r>
        <w:rPr>
          <w:rFonts w:hint="eastAsia" w:ascii="宋体" w:hAnsi="宋体" w:eastAsia="宋体" w:cs="宋体"/>
          <w:i w:val="0"/>
          <w:iCs w:val="0"/>
          <w:caps w:val="0"/>
          <w:color w:val="auto"/>
          <w:spacing w:val="0"/>
          <w:sz w:val="21"/>
          <w:szCs w:val="21"/>
          <w:highlight w:val="none"/>
        </w:rPr>
        <w:t>促进</w:t>
      </w:r>
      <w:r>
        <w:rPr>
          <w:rFonts w:hint="eastAsia" w:ascii="宋体" w:hAnsi="宋体" w:eastAsia="宋体" w:cs="宋体"/>
          <w:i w:val="0"/>
          <w:iCs w:val="0"/>
          <w:caps w:val="0"/>
          <w:color w:val="auto"/>
          <w:spacing w:val="0"/>
          <w:sz w:val="21"/>
          <w:szCs w:val="21"/>
          <w:highlight w:val="none"/>
          <w:lang w:val="en-US" w:eastAsia="zh-CN"/>
        </w:rPr>
        <w:t>养老服务资源优化配置，加快推进新区</w:t>
      </w:r>
      <w:r>
        <w:rPr>
          <w:rFonts w:hint="eastAsia" w:ascii="宋体" w:hAnsi="宋体" w:eastAsia="宋体" w:cs="宋体"/>
          <w:i w:val="0"/>
          <w:iCs w:val="0"/>
          <w:caps w:val="0"/>
          <w:color w:val="auto"/>
          <w:spacing w:val="0"/>
          <w:sz w:val="21"/>
          <w:szCs w:val="21"/>
          <w:highlight w:val="none"/>
        </w:rPr>
        <w:t>养老服务工作高质量发展，</w:t>
      </w:r>
      <w:r>
        <w:rPr>
          <w:rFonts w:hint="eastAsia" w:ascii="宋体" w:hAnsi="宋体" w:eastAsia="宋体" w:cs="宋体"/>
          <w:i w:val="0"/>
          <w:iCs w:val="0"/>
          <w:caps w:val="0"/>
          <w:color w:val="auto"/>
          <w:spacing w:val="0"/>
          <w:sz w:val="21"/>
          <w:szCs w:val="21"/>
          <w:highlight w:val="none"/>
          <w:shd w:val="clear" w:color="auto" w:fill="FFFFFF"/>
        </w:rPr>
        <w:t>根据《中共中央办公厅 国务院办公厅关于推进基本养老服务体系建设的意见</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河南省养老服务条例</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河南省人民政府关于印发河南省“十四五”养老服务体系和康养产业发展规划的通知</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河南省人民政府办公厅关于推进基本养老服务体系建设的实施意见</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lang w:val="en-US" w:eastAsia="zh-CN"/>
        </w:rPr>
        <w:t>关于推进养老服务设施公建民营的指导意见》（信民〔2020〕3号文）、《羊山新区管委会办公室关于推进羊山新区基本养老服务体系建设的实施意见的通知》（羊政办〔2024〕4号文）等有关文件</w:t>
      </w:r>
      <w:r>
        <w:rPr>
          <w:rFonts w:hint="eastAsia" w:ascii="宋体" w:hAnsi="宋体" w:eastAsia="宋体" w:cs="宋体"/>
          <w:i w:val="0"/>
          <w:iCs w:val="0"/>
          <w:caps w:val="0"/>
          <w:color w:val="auto"/>
          <w:spacing w:val="0"/>
          <w:sz w:val="21"/>
          <w:szCs w:val="21"/>
          <w:highlight w:val="none"/>
          <w:shd w:val="clear" w:color="auto" w:fill="FFFFFF"/>
        </w:rPr>
        <w:t>精神，结合</w:t>
      </w:r>
      <w:r>
        <w:rPr>
          <w:rFonts w:hint="eastAsia" w:ascii="宋体" w:hAnsi="宋体" w:eastAsia="宋体" w:cs="宋体"/>
          <w:i w:val="0"/>
          <w:iCs w:val="0"/>
          <w:caps w:val="0"/>
          <w:color w:val="auto"/>
          <w:spacing w:val="0"/>
          <w:sz w:val="21"/>
          <w:szCs w:val="21"/>
          <w:highlight w:val="none"/>
          <w:shd w:val="clear" w:color="auto" w:fill="FFFFFF"/>
          <w:lang w:val="en-US" w:eastAsia="zh-CN"/>
        </w:rPr>
        <w:t>新区实际</w:t>
      </w:r>
      <w:r>
        <w:rPr>
          <w:rFonts w:hint="eastAsia" w:ascii="宋体" w:hAnsi="宋体" w:eastAsia="宋体" w:cs="宋体"/>
          <w:i w:val="0"/>
          <w:iCs w:val="0"/>
          <w:caps w:val="0"/>
          <w:color w:val="auto"/>
          <w:spacing w:val="0"/>
          <w:sz w:val="21"/>
          <w:szCs w:val="21"/>
          <w:highlight w:val="none"/>
          <w:shd w:val="clear" w:color="auto" w:fill="FFFFFF"/>
        </w:rPr>
        <w:t>，</w:t>
      </w:r>
      <w:r>
        <w:rPr>
          <w:rFonts w:hint="eastAsia" w:ascii="宋体" w:hAnsi="宋体" w:eastAsia="宋体" w:cs="宋体"/>
          <w:b w:val="0"/>
          <w:color w:val="auto"/>
          <w:sz w:val="21"/>
          <w:szCs w:val="24"/>
          <w:highlight w:val="none"/>
          <w:lang w:eastAsia="zh-CN"/>
        </w:rPr>
        <w:t>经甲、乙双方充分协商，就信阳市羊山新区民政局羊山新区养老服务中心运营服务项目达成以下协议：</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val="0"/>
          <w:color w:val="auto"/>
          <w:sz w:val="21"/>
          <w:szCs w:val="24"/>
          <w:highlight w:val="none"/>
          <w:lang w:eastAsia="zh-CN"/>
        </w:rPr>
      </w:pPr>
      <w:bookmarkStart w:id="242" w:name="_Toc16049"/>
      <w:r>
        <w:rPr>
          <w:rFonts w:hint="eastAsia" w:ascii="宋体" w:hAnsi="宋体" w:eastAsia="宋体" w:cs="宋体"/>
          <w:b w:val="0"/>
          <w:color w:val="auto"/>
          <w:sz w:val="21"/>
          <w:szCs w:val="24"/>
          <w:highlight w:val="none"/>
          <w:lang w:val="en-US" w:eastAsia="zh-CN"/>
        </w:rPr>
        <w:t>一</w:t>
      </w:r>
      <w:r>
        <w:rPr>
          <w:rFonts w:hint="eastAsia" w:ascii="宋体" w:hAnsi="宋体" w:eastAsia="宋体" w:cs="宋体"/>
          <w:b w:val="0"/>
          <w:color w:val="auto"/>
          <w:sz w:val="21"/>
          <w:szCs w:val="24"/>
          <w:highlight w:val="none"/>
          <w:lang w:eastAsia="zh-CN"/>
        </w:rPr>
        <w:t>、项目概况</w:t>
      </w:r>
      <w:bookmarkEnd w:id="242"/>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羊山新区养老服务中心项目位于新五大道与景龙街交叉口西北角，占地面积16.95亩、总建筑面积1.66万平方米，建设2栋5层护理楼、1栋2层服务楼，规划设计300张床位，其中自理老人床位73张，半失能老人床位97张，失能老人床位130张。</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val="en-US" w:eastAsia="zh-CN"/>
        </w:rPr>
        <w:t>二</w:t>
      </w:r>
      <w:r>
        <w:rPr>
          <w:rFonts w:hint="eastAsia" w:ascii="宋体" w:hAnsi="宋体" w:eastAsia="宋体" w:cs="宋体"/>
          <w:b w:val="0"/>
          <w:color w:val="auto"/>
          <w:sz w:val="21"/>
          <w:szCs w:val="24"/>
          <w:highlight w:val="none"/>
          <w:lang w:eastAsia="zh-CN"/>
        </w:rPr>
        <w:t>、合同履行期限： 10 年。</w:t>
      </w:r>
      <w:r>
        <w:rPr>
          <w:rFonts w:hint="eastAsia" w:ascii="宋体" w:hAnsi="宋体" w:eastAsia="宋体" w:cs="宋体"/>
          <w:color w:val="auto"/>
          <w:szCs w:val="21"/>
          <w:highlight w:val="none"/>
          <w:lang w:val="en-US" w:eastAsia="zh-CN"/>
        </w:rPr>
        <w:t>培育期3年，成长期3年，发展期4年三个阶段。</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委托经营起始时间为 年 月 日，终止时间为 年 月 日。乙方于 年 月 日试运营，正式运营时间为 年 月日。</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三、运营业务范围：为开展养老服务，服务内容包括为老年人提供生活照料、医养康复护理、精神慰藉、文化娱乐、居家服务等。</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val="0"/>
          <w:color w:val="auto"/>
          <w:sz w:val="21"/>
          <w:szCs w:val="24"/>
          <w:highlight w:val="none"/>
          <w:lang w:eastAsia="zh-CN"/>
        </w:rPr>
      </w:pPr>
      <w:bookmarkStart w:id="243" w:name="_Toc17275"/>
      <w:r>
        <w:rPr>
          <w:rFonts w:hint="eastAsia" w:ascii="宋体" w:hAnsi="宋体" w:eastAsia="宋体" w:cs="宋体"/>
          <w:b w:val="0"/>
          <w:color w:val="auto"/>
          <w:sz w:val="21"/>
          <w:szCs w:val="24"/>
          <w:highlight w:val="none"/>
          <w:lang w:val="en-US" w:eastAsia="zh-CN"/>
        </w:rPr>
        <w:t>四</w:t>
      </w:r>
      <w:r>
        <w:rPr>
          <w:rFonts w:hint="eastAsia" w:ascii="宋体" w:hAnsi="宋体" w:eastAsia="宋体" w:cs="宋体"/>
          <w:b w:val="0"/>
          <w:color w:val="auto"/>
          <w:sz w:val="21"/>
          <w:szCs w:val="24"/>
          <w:highlight w:val="none"/>
          <w:lang w:eastAsia="zh-CN"/>
        </w:rPr>
        <w:t>、</w:t>
      </w:r>
      <w:r>
        <w:rPr>
          <w:rFonts w:hint="eastAsia" w:ascii="宋体" w:hAnsi="宋体" w:cs="宋体"/>
          <w:b w:val="0"/>
          <w:color w:val="auto"/>
          <w:sz w:val="21"/>
          <w:szCs w:val="24"/>
          <w:highlight w:val="none"/>
          <w:lang w:eastAsia="zh-CN"/>
        </w:rPr>
        <w:t>设施使用费</w:t>
      </w:r>
      <w:r>
        <w:rPr>
          <w:rFonts w:hint="eastAsia" w:ascii="宋体" w:hAnsi="宋体" w:eastAsia="宋体" w:cs="宋体"/>
          <w:b w:val="0"/>
          <w:color w:val="auto"/>
          <w:sz w:val="21"/>
          <w:szCs w:val="24"/>
          <w:highlight w:val="none"/>
          <w:lang w:eastAsia="zh-CN"/>
        </w:rPr>
        <w:t>及交纳方式</w:t>
      </w:r>
      <w:bookmarkEnd w:id="243"/>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1、第1年、2年、</w:t>
      </w:r>
      <w:r>
        <w:rPr>
          <w:rFonts w:hint="eastAsia" w:ascii="宋体" w:hAnsi="宋体" w:eastAsia="宋体" w:cs="宋体"/>
          <w:b w:val="0"/>
          <w:color w:val="auto"/>
          <w:sz w:val="21"/>
          <w:szCs w:val="24"/>
          <w:highlight w:val="none"/>
          <w:lang w:val="en-US" w:eastAsia="zh-CN"/>
        </w:rPr>
        <w:t>3年</w:t>
      </w:r>
      <w:r>
        <w:rPr>
          <w:rFonts w:hint="eastAsia" w:ascii="宋体" w:hAnsi="宋体" w:eastAsia="宋体" w:cs="宋体"/>
          <w:i w:val="0"/>
          <w:iCs w:val="0"/>
          <w:caps w:val="0"/>
          <w:color w:val="auto"/>
          <w:spacing w:val="0"/>
          <w:sz w:val="21"/>
          <w:szCs w:val="21"/>
          <w:highlight w:val="none"/>
          <w:lang w:val="en-US" w:eastAsia="zh-CN"/>
        </w:rPr>
        <w:t>设施使用费</w:t>
      </w:r>
      <w:r>
        <w:rPr>
          <w:rFonts w:hint="eastAsia" w:ascii="宋体" w:hAnsi="宋体" w:eastAsia="宋体" w:cs="宋体"/>
          <w:b w:val="0"/>
          <w:color w:val="auto"/>
          <w:sz w:val="21"/>
          <w:szCs w:val="24"/>
          <w:highlight w:val="none"/>
          <w:u w:val="single"/>
          <w:lang w:val="en-US" w:eastAsia="zh-CN"/>
        </w:rPr>
        <w:t xml:space="preserve">        </w:t>
      </w:r>
      <w:r>
        <w:rPr>
          <w:rFonts w:hint="eastAsia" w:ascii="宋体" w:hAnsi="宋体" w:eastAsia="宋体" w:cs="宋体"/>
          <w:b w:val="0"/>
          <w:color w:val="auto"/>
          <w:sz w:val="21"/>
          <w:szCs w:val="24"/>
          <w:highlight w:val="none"/>
          <w:lang w:eastAsia="zh-CN"/>
        </w:rPr>
        <w:t>万元/年</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 xml:space="preserve">第 </w:t>
      </w:r>
      <w:r>
        <w:rPr>
          <w:rFonts w:hint="eastAsia" w:ascii="宋体" w:hAnsi="宋体" w:eastAsia="宋体" w:cs="宋体"/>
          <w:b w:val="0"/>
          <w:color w:val="auto"/>
          <w:sz w:val="21"/>
          <w:szCs w:val="24"/>
          <w:highlight w:val="none"/>
          <w:lang w:val="en-US" w:eastAsia="zh-CN"/>
        </w:rPr>
        <w:t>4</w:t>
      </w:r>
      <w:r>
        <w:rPr>
          <w:rFonts w:hint="eastAsia" w:ascii="宋体" w:hAnsi="宋体" w:eastAsia="宋体" w:cs="宋体"/>
          <w:b w:val="0"/>
          <w:color w:val="auto"/>
          <w:sz w:val="21"/>
          <w:szCs w:val="24"/>
          <w:highlight w:val="none"/>
          <w:lang w:eastAsia="zh-CN"/>
        </w:rPr>
        <w:t>年、</w:t>
      </w:r>
      <w:r>
        <w:rPr>
          <w:rFonts w:hint="eastAsia" w:ascii="宋体" w:hAnsi="宋体" w:eastAsia="宋体" w:cs="宋体"/>
          <w:b w:val="0"/>
          <w:color w:val="auto"/>
          <w:sz w:val="21"/>
          <w:szCs w:val="24"/>
          <w:highlight w:val="none"/>
          <w:lang w:val="en-US" w:eastAsia="zh-CN"/>
        </w:rPr>
        <w:t>5年、6年</w:t>
      </w:r>
      <w:r>
        <w:rPr>
          <w:rFonts w:hint="eastAsia" w:ascii="宋体" w:hAnsi="宋体" w:eastAsia="宋体" w:cs="宋体"/>
          <w:i w:val="0"/>
          <w:iCs w:val="0"/>
          <w:caps w:val="0"/>
          <w:color w:val="auto"/>
          <w:spacing w:val="0"/>
          <w:sz w:val="21"/>
          <w:szCs w:val="21"/>
          <w:highlight w:val="none"/>
          <w:lang w:val="en-US" w:eastAsia="zh-CN"/>
        </w:rPr>
        <w:t>设施使用费</w:t>
      </w:r>
      <w:r>
        <w:rPr>
          <w:rFonts w:hint="eastAsia" w:ascii="宋体" w:hAnsi="宋体" w:eastAsia="宋体" w:cs="宋体"/>
          <w:b w:val="0"/>
          <w:color w:val="auto"/>
          <w:sz w:val="21"/>
          <w:szCs w:val="24"/>
          <w:highlight w:val="none"/>
          <w:u w:val="single"/>
          <w:lang w:val="en-US" w:eastAsia="zh-CN"/>
        </w:rPr>
        <w:t xml:space="preserve">      </w:t>
      </w:r>
      <w:r>
        <w:rPr>
          <w:rFonts w:hint="eastAsia" w:ascii="宋体" w:hAnsi="宋体" w:eastAsia="宋体" w:cs="宋体"/>
          <w:b w:val="0"/>
          <w:color w:val="auto"/>
          <w:sz w:val="21"/>
          <w:szCs w:val="24"/>
          <w:highlight w:val="none"/>
          <w:lang w:eastAsia="zh-CN"/>
        </w:rPr>
        <w:t>万元/年（￥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 xml:space="preserve">第 </w:t>
      </w:r>
      <w:r>
        <w:rPr>
          <w:rFonts w:hint="eastAsia" w:ascii="宋体" w:hAnsi="宋体" w:eastAsia="宋体" w:cs="宋体"/>
          <w:b w:val="0"/>
          <w:color w:val="auto"/>
          <w:sz w:val="21"/>
          <w:szCs w:val="24"/>
          <w:highlight w:val="none"/>
          <w:lang w:val="en-US" w:eastAsia="zh-CN"/>
        </w:rPr>
        <w:t>7</w:t>
      </w:r>
      <w:r>
        <w:rPr>
          <w:rFonts w:hint="eastAsia" w:ascii="宋体" w:hAnsi="宋体" w:eastAsia="宋体" w:cs="宋体"/>
          <w:b w:val="0"/>
          <w:color w:val="auto"/>
          <w:sz w:val="21"/>
          <w:szCs w:val="24"/>
          <w:highlight w:val="none"/>
          <w:lang w:eastAsia="zh-CN"/>
        </w:rPr>
        <w:t xml:space="preserve"> 年、</w:t>
      </w:r>
      <w:r>
        <w:rPr>
          <w:rFonts w:hint="eastAsia" w:ascii="宋体" w:hAnsi="宋体" w:eastAsia="宋体" w:cs="宋体"/>
          <w:b w:val="0"/>
          <w:color w:val="auto"/>
          <w:sz w:val="21"/>
          <w:szCs w:val="24"/>
          <w:highlight w:val="none"/>
          <w:lang w:val="en-US" w:eastAsia="zh-CN"/>
        </w:rPr>
        <w:t>8年、9年、10年</w:t>
      </w:r>
      <w:r>
        <w:rPr>
          <w:rFonts w:hint="eastAsia" w:ascii="宋体" w:hAnsi="宋体" w:eastAsia="宋体" w:cs="宋体"/>
          <w:i w:val="0"/>
          <w:iCs w:val="0"/>
          <w:caps w:val="0"/>
          <w:color w:val="auto"/>
          <w:spacing w:val="0"/>
          <w:sz w:val="21"/>
          <w:szCs w:val="21"/>
          <w:highlight w:val="none"/>
          <w:lang w:val="en-US" w:eastAsia="zh-CN"/>
        </w:rPr>
        <w:t>设施使用费</w:t>
      </w:r>
      <w:r>
        <w:rPr>
          <w:rFonts w:hint="eastAsia" w:ascii="宋体" w:hAnsi="宋体" w:eastAsia="宋体" w:cs="宋体"/>
          <w:b w:val="0"/>
          <w:color w:val="auto"/>
          <w:sz w:val="21"/>
          <w:szCs w:val="24"/>
          <w:highlight w:val="none"/>
          <w:u w:val="single"/>
          <w:lang w:val="en-US" w:eastAsia="zh-CN"/>
        </w:rPr>
        <w:t xml:space="preserve">           </w:t>
      </w:r>
      <w:r>
        <w:rPr>
          <w:rFonts w:hint="eastAsia" w:ascii="宋体" w:hAnsi="宋体" w:eastAsia="宋体" w:cs="宋体"/>
          <w:b w:val="0"/>
          <w:color w:val="auto"/>
          <w:sz w:val="21"/>
          <w:szCs w:val="24"/>
          <w:highlight w:val="none"/>
          <w:lang w:eastAsia="zh-CN"/>
        </w:rPr>
        <w:t xml:space="preserve"> 万元/年（￥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val="en-US" w:eastAsia="zh-CN"/>
        </w:rPr>
        <w:t>2</w:t>
      </w:r>
      <w:r>
        <w:rPr>
          <w:rFonts w:hint="eastAsia" w:ascii="宋体" w:hAnsi="宋体" w:eastAsia="宋体" w:cs="宋体"/>
          <w:b w:val="0"/>
          <w:color w:val="auto"/>
          <w:sz w:val="21"/>
          <w:szCs w:val="24"/>
          <w:highlight w:val="none"/>
          <w:lang w:eastAsia="zh-CN"/>
        </w:rPr>
        <w:t>、支付方式，实行先交后用的原则，每个付款周期最低为 12 个月。本协议签订之日起 5 日内乙方向甲方缴纳当期</w:t>
      </w:r>
      <w:r>
        <w:rPr>
          <w:rFonts w:hint="eastAsia" w:ascii="宋体" w:hAnsi="宋体" w:eastAsia="宋体" w:cs="宋体"/>
          <w:i w:val="0"/>
          <w:iCs w:val="0"/>
          <w:caps w:val="0"/>
          <w:color w:val="auto"/>
          <w:spacing w:val="0"/>
          <w:sz w:val="21"/>
          <w:szCs w:val="21"/>
          <w:highlight w:val="none"/>
          <w:lang w:val="en-US" w:eastAsia="zh-CN"/>
        </w:rPr>
        <w:t>设施使用费</w:t>
      </w:r>
      <w:r>
        <w:rPr>
          <w:rFonts w:hint="eastAsia" w:ascii="宋体" w:hAnsi="宋体" w:cs="宋体"/>
          <w:b w:val="0"/>
          <w:color w:val="auto"/>
          <w:sz w:val="21"/>
          <w:szCs w:val="24"/>
          <w:highlight w:val="none"/>
          <w:u w:val="single"/>
          <w:lang w:val="en-US" w:eastAsia="zh-CN"/>
        </w:rPr>
        <w:t xml:space="preserve">     </w:t>
      </w:r>
      <w:r>
        <w:rPr>
          <w:rFonts w:hint="eastAsia" w:ascii="宋体" w:hAnsi="宋体" w:eastAsia="宋体" w:cs="宋体"/>
          <w:b w:val="0"/>
          <w:color w:val="auto"/>
          <w:sz w:val="21"/>
          <w:szCs w:val="24"/>
          <w:highlight w:val="none"/>
          <w:lang w:eastAsia="zh-CN"/>
        </w:rPr>
        <w:t>万元，下一期</w:t>
      </w:r>
      <w:r>
        <w:rPr>
          <w:rFonts w:hint="eastAsia" w:ascii="宋体" w:hAnsi="宋体" w:eastAsia="宋体" w:cs="宋体"/>
          <w:i w:val="0"/>
          <w:iCs w:val="0"/>
          <w:caps w:val="0"/>
          <w:color w:val="auto"/>
          <w:spacing w:val="0"/>
          <w:sz w:val="21"/>
          <w:szCs w:val="21"/>
          <w:highlight w:val="none"/>
          <w:lang w:val="en-US" w:eastAsia="zh-CN"/>
        </w:rPr>
        <w:t>设施使用费</w:t>
      </w:r>
      <w:r>
        <w:rPr>
          <w:rFonts w:hint="eastAsia" w:ascii="宋体" w:hAnsi="宋体" w:eastAsia="宋体" w:cs="宋体"/>
          <w:b w:val="0"/>
          <w:color w:val="auto"/>
          <w:sz w:val="21"/>
          <w:szCs w:val="24"/>
          <w:highlight w:val="none"/>
          <w:lang w:eastAsia="zh-CN"/>
        </w:rPr>
        <w:t>在上一周期期满前 30日缴纳（提前 30 日缴纳）。</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val="0"/>
          <w:color w:val="auto"/>
          <w:sz w:val="21"/>
          <w:szCs w:val="24"/>
          <w:highlight w:val="none"/>
          <w:lang w:eastAsia="zh-CN"/>
        </w:rPr>
      </w:pPr>
      <w:bookmarkStart w:id="244" w:name="_Toc20187"/>
      <w:r>
        <w:rPr>
          <w:rFonts w:hint="eastAsia" w:ascii="宋体" w:hAnsi="宋体" w:eastAsia="宋体" w:cs="宋体"/>
          <w:b w:val="0"/>
          <w:color w:val="auto"/>
          <w:sz w:val="21"/>
          <w:szCs w:val="24"/>
          <w:highlight w:val="none"/>
          <w:lang w:val="en-US" w:eastAsia="zh-CN"/>
        </w:rPr>
        <w:t>五</w:t>
      </w:r>
      <w:r>
        <w:rPr>
          <w:rFonts w:hint="eastAsia" w:ascii="宋体" w:hAnsi="宋体" w:eastAsia="宋体" w:cs="宋体"/>
          <w:b w:val="0"/>
          <w:color w:val="auto"/>
          <w:sz w:val="21"/>
          <w:szCs w:val="24"/>
          <w:highlight w:val="none"/>
          <w:lang w:eastAsia="zh-CN"/>
        </w:rPr>
        <w:t>、运营条件</w:t>
      </w:r>
      <w:bookmarkEnd w:id="244"/>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1、乙方承诺首年投入不低于</w:t>
      </w:r>
      <w:r>
        <w:rPr>
          <w:rFonts w:hint="eastAsia" w:ascii="宋体" w:hAnsi="宋体" w:eastAsia="宋体" w:cs="宋体"/>
          <w:b w:val="0"/>
          <w:color w:val="auto"/>
          <w:sz w:val="21"/>
          <w:szCs w:val="24"/>
          <w:highlight w:val="none"/>
          <w:u w:val="single"/>
          <w:lang w:val="en-US" w:eastAsia="zh-CN"/>
        </w:rPr>
        <w:t xml:space="preserve">   </w:t>
      </w:r>
      <w:r>
        <w:rPr>
          <w:rFonts w:hint="eastAsia" w:ascii="宋体" w:hAnsi="宋体" w:eastAsia="宋体" w:cs="宋体"/>
          <w:b w:val="0"/>
          <w:color w:val="auto"/>
          <w:sz w:val="21"/>
          <w:szCs w:val="24"/>
          <w:highlight w:val="none"/>
          <w:u w:val="single"/>
          <w:lang w:eastAsia="zh-CN"/>
        </w:rPr>
        <w:t xml:space="preserve"> </w:t>
      </w:r>
      <w:r>
        <w:rPr>
          <w:rFonts w:hint="eastAsia" w:ascii="宋体" w:hAnsi="宋体" w:eastAsia="宋体" w:cs="宋体"/>
          <w:b w:val="0"/>
          <w:color w:val="auto"/>
          <w:sz w:val="21"/>
          <w:szCs w:val="24"/>
          <w:highlight w:val="none"/>
          <w:lang w:eastAsia="zh-CN"/>
        </w:rPr>
        <w:t>万元（大写：人民币 万元整）资金对养老服务中心）进行</w:t>
      </w:r>
      <w:r>
        <w:rPr>
          <w:rFonts w:hint="eastAsia" w:ascii="宋体" w:hAnsi="宋体" w:eastAsia="宋体" w:cs="宋体"/>
          <w:b w:val="0"/>
          <w:color w:val="auto"/>
          <w:sz w:val="21"/>
          <w:szCs w:val="24"/>
          <w:highlight w:val="none"/>
          <w:lang w:val="en-US" w:eastAsia="zh-CN"/>
        </w:rPr>
        <w:t>配套设施</w:t>
      </w:r>
      <w:r>
        <w:rPr>
          <w:rFonts w:hint="eastAsia" w:ascii="宋体" w:hAnsi="宋体" w:eastAsia="宋体" w:cs="宋体"/>
          <w:b w:val="0"/>
          <w:color w:val="auto"/>
          <w:sz w:val="21"/>
          <w:szCs w:val="24"/>
          <w:highlight w:val="none"/>
          <w:lang w:eastAsia="zh-CN"/>
        </w:rPr>
        <w:t>设备</w:t>
      </w:r>
      <w:r>
        <w:rPr>
          <w:rFonts w:hint="eastAsia" w:ascii="宋体" w:hAnsi="宋体" w:eastAsia="宋体" w:cs="宋体"/>
          <w:b w:val="0"/>
          <w:color w:val="auto"/>
          <w:sz w:val="21"/>
          <w:szCs w:val="24"/>
          <w:highlight w:val="none"/>
          <w:lang w:val="en-US" w:eastAsia="zh-CN"/>
        </w:rPr>
        <w:t>安装</w:t>
      </w:r>
      <w:r>
        <w:rPr>
          <w:rFonts w:hint="eastAsia" w:ascii="宋体" w:hAnsi="宋体" w:eastAsia="宋体" w:cs="宋体"/>
          <w:b w:val="0"/>
          <w:color w:val="auto"/>
          <w:sz w:val="21"/>
          <w:szCs w:val="24"/>
          <w:highlight w:val="none"/>
          <w:lang w:eastAsia="zh-CN"/>
        </w:rPr>
        <w:t>，使之达到运营标准。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val="en-US" w:eastAsia="zh-CN"/>
        </w:rPr>
        <w:t>2</w:t>
      </w:r>
      <w:r>
        <w:rPr>
          <w:rFonts w:hint="eastAsia" w:ascii="宋体" w:hAnsi="宋体" w:eastAsia="宋体" w:cs="宋体"/>
          <w:b w:val="0"/>
          <w:color w:val="auto"/>
          <w:sz w:val="21"/>
          <w:szCs w:val="24"/>
          <w:highlight w:val="none"/>
          <w:lang w:eastAsia="zh-CN"/>
        </w:rPr>
        <w:t>、配合乙方按照标准做好消防改造和验收（通过消防主管部门的验收）以及机构备案等前期准备工作。</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val="en-US" w:eastAsia="zh-CN"/>
        </w:rPr>
        <w:t>3</w:t>
      </w:r>
      <w:r>
        <w:rPr>
          <w:rFonts w:hint="eastAsia" w:ascii="宋体" w:hAnsi="宋体" w:eastAsia="宋体" w:cs="宋体"/>
          <w:b w:val="0"/>
          <w:color w:val="auto"/>
          <w:sz w:val="21"/>
          <w:szCs w:val="24"/>
          <w:highlight w:val="none"/>
          <w:lang w:eastAsia="zh-CN"/>
        </w:rPr>
        <w:t>、对属于甲方的资产及设施使用相关的前期建设资料进行登记造册，经双方核实签字确认后移交乙方用于经营管理。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val="en-US" w:eastAsia="zh-CN"/>
        </w:rPr>
        <w:t>4</w:t>
      </w:r>
      <w:r>
        <w:rPr>
          <w:rFonts w:hint="eastAsia" w:ascii="宋体" w:hAnsi="宋体" w:eastAsia="宋体" w:cs="宋体"/>
          <w:b w:val="0"/>
          <w:color w:val="auto"/>
          <w:sz w:val="21"/>
          <w:szCs w:val="24"/>
          <w:highlight w:val="none"/>
          <w:lang w:eastAsia="zh-CN"/>
        </w:rPr>
        <w:t>、乙方在合同期内从事养老服务经营活动，必须符合《养老机构管理办法》《老年人社会福利机构基本规范》以及其他相关法律法规的规定条件和要求。</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firstLine="0"/>
        <w:jc w:val="both"/>
        <w:textAlignment w:val="auto"/>
        <w:rPr>
          <w:rFonts w:hint="eastAsia" w:ascii="宋体" w:hAnsi="宋体" w:eastAsia="宋体" w:cs="宋体"/>
          <w:b/>
          <w:bCs/>
          <w:i w:val="0"/>
          <w:iCs w:val="0"/>
          <w:caps w:val="0"/>
          <w:color w:val="auto"/>
          <w:spacing w:val="0"/>
          <w:sz w:val="21"/>
          <w:szCs w:val="21"/>
          <w:highlight w:val="none"/>
          <w:shd w:val="clear" w:color="auto" w:fill="FFFFFF"/>
          <w:lang w:val="en-US" w:eastAsia="zh-CN"/>
        </w:rPr>
      </w:pPr>
      <w:bookmarkStart w:id="245" w:name="_Toc2484"/>
      <w:r>
        <w:rPr>
          <w:rFonts w:hint="eastAsia" w:ascii="宋体" w:hAnsi="宋体" w:eastAsia="宋体" w:cs="宋体"/>
          <w:b/>
          <w:bCs/>
          <w:i w:val="0"/>
          <w:iCs w:val="0"/>
          <w:caps w:val="0"/>
          <w:color w:val="auto"/>
          <w:spacing w:val="0"/>
          <w:sz w:val="21"/>
          <w:szCs w:val="21"/>
          <w:highlight w:val="none"/>
          <w:shd w:val="clear" w:color="auto" w:fill="FFFFFF"/>
          <w:lang w:val="en-US" w:eastAsia="zh-CN"/>
        </w:rPr>
        <w:t>六、 权责关系</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一</w:t>
      </w:r>
      <w:r>
        <w:rPr>
          <w:rStyle w:val="32"/>
          <w:rFonts w:hint="eastAsia" w:ascii="宋体" w:hAnsi="宋体" w:eastAsia="宋体" w:cs="宋体"/>
          <w:i w:val="0"/>
          <w:iCs w:val="0"/>
          <w:caps w:val="0"/>
          <w:color w:val="auto"/>
          <w:spacing w:val="0"/>
          <w:sz w:val="21"/>
          <w:szCs w:val="21"/>
          <w:highlight w:val="none"/>
          <w:shd w:val="clear" w:color="auto" w:fill="FFFFFF"/>
        </w:rPr>
        <w:t>条 </w:t>
      </w:r>
      <w:r>
        <w:rPr>
          <w:rFonts w:hint="eastAsia" w:ascii="宋体" w:hAnsi="宋体" w:eastAsia="宋体" w:cs="宋体"/>
          <w:i w:val="0"/>
          <w:iCs w:val="0"/>
          <w:caps w:val="0"/>
          <w:color w:val="auto"/>
          <w:spacing w:val="0"/>
          <w:sz w:val="21"/>
          <w:szCs w:val="21"/>
          <w:highlight w:val="none"/>
        </w:rPr>
        <w:t>公建民营养老服务</w:t>
      </w:r>
      <w:r>
        <w:rPr>
          <w:rFonts w:hint="eastAsia" w:ascii="宋体" w:hAnsi="宋体" w:eastAsia="宋体" w:cs="宋体"/>
          <w:i w:val="0"/>
          <w:iCs w:val="0"/>
          <w:caps w:val="0"/>
          <w:color w:val="auto"/>
          <w:spacing w:val="0"/>
          <w:sz w:val="21"/>
          <w:szCs w:val="21"/>
          <w:highlight w:val="none"/>
          <w:lang w:val="en-US" w:eastAsia="zh-CN"/>
        </w:rPr>
        <w:t>中心产权单位履行管理主体责任，具体负责组织实施。</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二</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Fonts w:hint="eastAsia" w:ascii="宋体" w:hAnsi="宋体" w:eastAsia="宋体" w:cs="宋体"/>
          <w:i w:val="0"/>
          <w:iCs w:val="0"/>
          <w:caps w:val="0"/>
          <w:color w:val="auto"/>
          <w:spacing w:val="0"/>
          <w:sz w:val="21"/>
          <w:szCs w:val="21"/>
          <w:highlight w:val="none"/>
          <w:lang w:val="en-US" w:eastAsia="zh-CN"/>
        </w:rPr>
        <w:t>产权方每年对公建民营养老服务机构设施使用情况、运营情况、兜底保障人员床位使用情况、国有资产风险情况等进行评估。</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三</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Style w:val="32"/>
          <w:rFonts w:hint="eastAsia"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lang w:val="en-US" w:eastAsia="zh-CN"/>
        </w:rPr>
        <w:t>产权方负责落实国家有关支持养老服务发展的各种政策、补贴等；帮助协调解决运营方在运营过程中发生的矛盾纠纷。</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四</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Style w:val="32"/>
          <w:rFonts w:hint="eastAsia" w:cs="宋体"/>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rPr>
        <w:t>养老服务</w:t>
      </w:r>
      <w:r>
        <w:rPr>
          <w:rFonts w:hint="eastAsia" w:ascii="宋体" w:hAnsi="宋体" w:eastAsia="宋体" w:cs="宋体"/>
          <w:i w:val="0"/>
          <w:iCs w:val="0"/>
          <w:caps w:val="0"/>
          <w:color w:val="auto"/>
          <w:spacing w:val="0"/>
          <w:sz w:val="21"/>
          <w:szCs w:val="21"/>
          <w:highlight w:val="none"/>
          <w:lang w:val="en-US" w:eastAsia="zh-CN"/>
        </w:rPr>
        <w:t>中心</w:t>
      </w:r>
      <w:r>
        <w:rPr>
          <w:rFonts w:hint="eastAsia" w:ascii="宋体" w:hAnsi="宋体" w:eastAsia="宋体" w:cs="宋体"/>
          <w:i w:val="0"/>
          <w:iCs w:val="0"/>
          <w:caps w:val="0"/>
          <w:color w:val="auto"/>
          <w:spacing w:val="0"/>
          <w:sz w:val="21"/>
          <w:szCs w:val="21"/>
          <w:highlight w:val="none"/>
        </w:rPr>
        <w:t>公建民营</w:t>
      </w:r>
      <w:r>
        <w:rPr>
          <w:rFonts w:hint="eastAsia" w:ascii="宋体" w:hAnsi="宋体" w:eastAsia="宋体" w:cs="宋体"/>
          <w:i w:val="0"/>
          <w:iCs w:val="0"/>
          <w:caps w:val="0"/>
          <w:color w:val="auto"/>
          <w:spacing w:val="0"/>
          <w:sz w:val="21"/>
          <w:szCs w:val="21"/>
          <w:highlight w:val="none"/>
          <w:lang w:val="en-US" w:eastAsia="zh-CN"/>
        </w:rPr>
        <w:t>合同</w:t>
      </w:r>
      <w:r>
        <w:rPr>
          <w:rFonts w:hint="eastAsia" w:ascii="宋体" w:hAnsi="宋体" w:eastAsia="宋体" w:cs="宋体"/>
          <w:i w:val="0"/>
          <w:iCs w:val="0"/>
          <w:caps w:val="0"/>
          <w:color w:val="auto"/>
          <w:spacing w:val="0"/>
          <w:sz w:val="21"/>
          <w:szCs w:val="21"/>
          <w:highlight w:val="none"/>
        </w:rPr>
        <w:t>运营期限</w:t>
      </w:r>
      <w:r>
        <w:rPr>
          <w:rFonts w:hint="eastAsia" w:ascii="宋体" w:hAnsi="宋体" w:eastAsia="宋体" w:cs="宋体"/>
          <w:i w:val="0"/>
          <w:iCs w:val="0"/>
          <w:caps w:val="0"/>
          <w:color w:val="auto"/>
          <w:spacing w:val="0"/>
          <w:sz w:val="21"/>
          <w:szCs w:val="21"/>
          <w:highlight w:val="none"/>
          <w:lang w:val="en-US" w:eastAsia="zh-CN"/>
        </w:rPr>
        <w:t>暂定</w:t>
      </w:r>
      <w:r>
        <w:rPr>
          <w:rFonts w:hint="eastAsia" w:ascii="宋体" w:hAnsi="宋体" w:eastAsia="宋体" w:cs="宋体"/>
          <w:i w:val="0"/>
          <w:iCs w:val="0"/>
          <w:caps w:val="0"/>
          <w:color w:val="auto"/>
          <w:spacing w:val="0"/>
          <w:sz w:val="21"/>
          <w:szCs w:val="21"/>
          <w:highlight w:val="none"/>
        </w:rPr>
        <w:t>为1</w:t>
      </w:r>
      <w:r>
        <w:rPr>
          <w:rFonts w:hint="eastAsia" w:ascii="宋体" w:hAnsi="宋体" w:eastAsia="宋体" w:cs="宋体"/>
          <w:i w:val="0"/>
          <w:iCs w:val="0"/>
          <w:caps w:val="0"/>
          <w:color w:val="auto"/>
          <w:spacing w:val="0"/>
          <w:sz w:val="21"/>
          <w:szCs w:val="21"/>
          <w:highlight w:val="none"/>
          <w:lang w:val="en-US" w:eastAsia="zh-CN"/>
        </w:rPr>
        <w:t>0</w:t>
      </w:r>
      <w:r>
        <w:rPr>
          <w:rFonts w:hint="eastAsia" w:ascii="宋体" w:hAnsi="宋体" w:eastAsia="宋体" w:cs="宋体"/>
          <w:i w:val="0"/>
          <w:iCs w:val="0"/>
          <w:caps w:val="0"/>
          <w:color w:val="auto"/>
          <w:spacing w:val="0"/>
          <w:sz w:val="21"/>
          <w:szCs w:val="21"/>
          <w:highlight w:val="none"/>
        </w:rPr>
        <w:t>年</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rPr>
        <w:t>设置</w:t>
      </w:r>
      <w:r>
        <w:rPr>
          <w:rFonts w:hint="eastAsia" w:ascii="宋体" w:hAnsi="宋体" w:eastAsia="宋体" w:cs="宋体"/>
          <w:i w:val="0"/>
          <w:iCs w:val="0"/>
          <w:caps w:val="0"/>
          <w:color w:val="auto"/>
          <w:spacing w:val="0"/>
          <w:sz w:val="21"/>
          <w:szCs w:val="21"/>
          <w:highlight w:val="none"/>
          <w:lang w:val="en-US" w:eastAsia="zh-CN"/>
        </w:rPr>
        <w:t>培</w:t>
      </w:r>
      <w:r>
        <w:rPr>
          <w:rFonts w:hint="eastAsia" w:ascii="宋体" w:hAnsi="宋体" w:eastAsia="宋体" w:cs="宋体"/>
          <w:i w:val="0"/>
          <w:iCs w:val="0"/>
          <w:caps w:val="0"/>
          <w:color w:val="auto"/>
          <w:spacing w:val="0"/>
          <w:sz w:val="21"/>
          <w:szCs w:val="21"/>
          <w:highlight w:val="none"/>
        </w:rPr>
        <w:t>育期3年，</w:t>
      </w:r>
      <w:r>
        <w:rPr>
          <w:rFonts w:hint="eastAsia" w:ascii="宋体" w:hAnsi="宋体" w:eastAsia="宋体" w:cs="宋体"/>
          <w:i w:val="0"/>
          <w:iCs w:val="0"/>
          <w:caps w:val="0"/>
          <w:color w:val="auto"/>
          <w:spacing w:val="0"/>
          <w:sz w:val="21"/>
          <w:szCs w:val="21"/>
          <w:highlight w:val="none"/>
          <w:lang w:val="en-US" w:eastAsia="zh-CN"/>
        </w:rPr>
        <w:t>成长期3年，发展期4年三个阶段。培育期内免收</w:t>
      </w:r>
      <w:r>
        <w:rPr>
          <w:rFonts w:hint="eastAsia" w:ascii="宋体" w:hAnsi="宋体" w:eastAsia="宋体" w:cs="宋体"/>
          <w:i w:val="0"/>
          <w:iCs w:val="0"/>
          <w:caps w:val="0"/>
          <w:color w:val="auto"/>
          <w:spacing w:val="0"/>
          <w:sz w:val="21"/>
          <w:szCs w:val="21"/>
          <w:highlight w:val="none"/>
        </w:rPr>
        <w:t>设施使用费</w:t>
      </w:r>
      <w:r>
        <w:rPr>
          <w:rFonts w:hint="eastAsia" w:ascii="宋体" w:hAnsi="宋体" w:eastAsia="宋体" w:cs="宋体"/>
          <w:i w:val="0"/>
          <w:iCs w:val="0"/>
          <w:caps w:val="0"/>
          <w:color w:val="auto"/>
          <w:spacing w:val="0"/>
          <w:sz w:val="21"/>
          <w:szCs w:val="21"/>
          <w:highlight w:val="none"/>
          <w:lang w:eastAsia="zh-CN"/>
        </w:rPr>
        <w:t>，</w:t>
      </w:r>
      <w:r>
        <w:rPr>
          <w:rFonts w:hint="eastAsia" w:ascii="宋体" w:hAnsi="宋体" w:eastAsia="宋体" w:cs="宋体"/>
          <w:i w:val="0"/>
          <w:iCs w:val="0"/>
          <w:caps w:val="0"/>
          <w:color w:val="auto"/>
          <w:spacing w:val="0"/>
          <w:sz w:val="21"/>
          <w:szCs w:val="21"/>
          <w:highlight w:val="none"/>
          <w:lang w:val="en-US" w:eastAsia="zh-CN"/>
        </w:rPr>
        <w:t>培</w:t>
      </w:r>
      <w:r>
        <w:rPr>
          <w:rFonts w:hint="eastAsia" w:ascii="宋体" w:hAnsi="宋体" w:eastAsia="宋体" w:cs="宋体"/>
          <w:i w:val="0"/>
          <w:iCs w:val="0"/>
          <w:caps w:val="0"/>
          <w:color w:val="auto"/>
          <w:spacing w:val="0"/>
          <w:sz w:val="21"/>
          <w:szCs w:val="21"/>
          <w:highlight w:val="none"/>
        </w:rPr>
        <w:t>育期结束后收取设施使用费。</w:t>
      </w:r>
      <w:r>
        <w:rPr>
          <w:rFonts w:hint="eastAsia" w:ascii="宋体" w:hAnsi="宋体" w:eastAsia="宋体" w:cs="宋体"/>
          <w:i w:val="0"/>
          <w:iCs w:val="0"/>
          <w:caps w:val="0"/>
          <w:color w:val="auto"/>
          <w:spacing w:val="0"/>
          <w:sz w:val="21"/>
          <w:szCs w:val="21"/>
          <w:highlight w:val="none"/>
          <w:lang w:val="en-US" w:eastAsia="zh-CN"/>
        </w:rPr>
        <w:t>第4、5、6年，每年按中心初始投入固定资产评估后的数值总额的90%，收取运营方每年1.5% 的设施使用费；第7、8、9、10 年，每年按中心初始投入固定资产评估后的数值总额的1.5%，收取运营方的设施使用费。</w:t>
      </w:r>
      <w:r>
        <w:rPr>
          <w:rFonts w:hint="eastAsia" w:ascii="宋体" w:hAnsi="宋体" w:eastAsia="宋体" w:cs="宋体"/>
          <w:color w:val="auto"/>
          <w:sz w:val="21"/>
          <w:szCs w:val="21"/>
          <w:highlight w:val="none"/>
          <w:lang w:val="en-US" w:eastAsia="zh-CN"/>
        </w:rPr>
        <w:t>此外考虑物价上涨因素，从第4年开始，每3年按当年应缴纳设施使用费的3%作为递增费（举例说明：如第4年设施服务费为100万元，</w:t>
      </w:r>
      <w:r>
        <w:rPr>
          <w:rFonts w:hint="eastAsia" w:cs="宋体"/>
          <w:color w:val="auto"/>
          <w:sz w:val="21"/>
          <w:szCs w:val="21"/>
          <w:highlight w:val="none"/>
          <w:lang w:val="en-US" w:eastAsia="zh-CN"/>
        </w:rPr>
        <w:t>则</w:t>
      </w:r>
      <w:r>
        <w:rPr>
          <w:rFonts w:hint="eastAsia" w:ascii="宋体" w:hAnsi="宋体" w:eastAsia="宋体" w:cs="宋体"/>
          <w:color w:val="auto"/>
          <w:sz w:val="21"/>
          <w:szCs w:val="21"/>
          <w:highlight w:val="none"/>
          <w:lang w:val="en-US" w:eastAsia="zh-CN"/>
        </w:rPr>
        <w:t>递增费为3万元）。</w:t>
      </w:r>
      <w:r>
        <w:rPr>
          <w:rFonts w:hint="eastAsia" w:ascii="宋体" w:hAnsi="宋体" w:eastAsia="宋体" w:cs="宋体"/>
          <w:i w:val="0"/>
          <w:iCs w:val="0"/>
          <w:caps w:val="0"/>
          <w:color w:val="auto"/>
          <w:spacing w:val="0"/>
          <w:sz w:val="21"/>
          <w:szCs w:val="21"/>
          <w:highlight w:val="none"/>
          <w:lang w:val="en-US" w:eastAsia="zh-CN"/>
        </w:rPr>
        <w:t>运营期内如遇国家有关政策调整或市场发生较大变化，另行规定。</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中心初始投入固定资产数值，按财政评审后的工程决算价及其他应纳入固定资产评估费用的总和计算。</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自第4年起，运营方的设施使用费需在上一运营年度期满前30日缴纳至羊山新区财政指定账户（提前30日缴纳）。每超期1天，按应收设施使用费金额的1‰收取滞纳金。若超期2个月未缴纳设施使用费，则按运营方违约处理，解除运营合同。</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五</w:t>
      </w:r>
      <w:r>
        <w:rPr>
          <w:rStyle w:val="32"/>
          <w:rFonts w:hint="eastAsia" w:ascii="宋体" w:hAnsi="宋体" w:eastAsia="宋体" w:cs="宋体"/>
          <w:i w:val="0"/>
          <w:iCs w:val="0"/>
          <w:caps w:val="0"/>
          <w:color w:val="auto"/>
          <w:spacing w:val="0"/>
          <w:sz w:val="21"/>
          <w:szCs w:val="21"/>
          <w:highlight w:val="none"/>
          <w:shd w:val="clear" w:color="auto" w:fill="FFFFFF"/>
        </w:rPr>
        <w:t>条 </w:t>
      </w:r>
      <w:r>
        <w:rPr>
          <w:rFonts w:hint="eastAsia" w:ascii="宋体" w:hAnsi="宋体" w:eastAsia="宋体" w:cs="宋体"/>
          <w:i w:val="0"/>
          <w:iCs w:val="0"/>
          <w:caps w:val="0"/>
          <w:color w:val="auto"/>
          <w:spacing w:val="0"/>
          <w:sz w:val="21"/>
          <w:szCs w:val="21"/>
          <w:highlight w:val="none"/>
          <w:lang w:val="en-US" w:eastAsia="zh-CN"/>
        </w:rPr>
        <w:t xml:space="preserve"> 运营方可一次性投入改造提升硬件或购置固定资产以达到运营条件；投资额以第三方专业机构评估或审计为准。</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firstLine="645"/>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六</w:t>
      </w:r>
      <w:r>
        <w:rPr>
          <w:rStyle w:val="32"/>
          <w:rFonts w:hint="eastAsia" w:ascii="宋体" w:hAnsi="宋体" w:eastAsia="宋体" w:cs="宋体"/>
          <w:i w:val="0"/>
          <w:iCs w:val="0"/>
          <w:caps w:val="0"/>
          <w:color w:val="auto"/>
          <w:spacing w:val="0"/>
          <w:sz w:val="21"/>
          <w:szCs w:val="21"/>
          <w:highlight w:val="none"/>
          <w:shd w:val="clear" w:color="auto" w:fill="FFFFFF"/>
        </w:rPr>
        <w:t>条 </w:t>
      </w:r>
      <w:r>
        <w:rPr>
          <w:rFonts w:hint="eastAsia" w:ascii="宋体" w:hAnsi="宋体" w:eastAsia="宋体" w:cs="宋体"/>
          <w:i w:val="0"/>
          <w:iCs w:val="0"/>
          <w:caps w:val="0"/>
          <w:color w:val="auto"/>
          <w:spacing w:val="0"/>
          <w:sz w:val="21"/>
          <w:szCs w:val="21"/>
          <w:highlight w:val="none"/>
          <w:lang w:val="en-US" w:eastAsia="zh-CN"/>
        </w:rPr>
        <w:t>运营方要以押金的形式，在运营合同签订后一周内，一次性缴纳不高于中心初始投入固定资产评估总额1%的风险保证金至羊山新区财政指定账户。</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firstLine="645"/>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风险保证金主要用于保障入住老年人的权益和国有资产的安全以及运营方异常退出的风险化解等。合同期限内，出现非产权方原因而导致的经营异常情况的，产权方要按违约责任，履行相应法律、财务手续后，从风险保证金中扣除相应数额；</w:t>
      </w:r>
      <w:r>
        <w:rPr>
          <w:rFonts w:hint="eastAsia" w:cs="宋体"/>
          <w:i w:val="0"/>
          <w:iCs w:val="0"/>
          <w:caps w:val="0"/>
          <w:color w:val="auto"/>
          <w:spacing w:val="0"/>
          <w:sz w:val="21"/>
          <w:szCs w:val="21"/>
          <w:highlight w:val="none"/>
          <w:lang w:val="en-US" w:eastAsia="zh-CN"/>
        </w:rPr>
        <w:t>合同期限内营方异常退出，风险保证金不予退还；</w:t>
      </w:r>
      <w:r>
        <w:rPr>
          <w:rFonts w:hint="eastAsia" w:ascii="宋体" w:hAnsi="宋体" w:eastAsia="宋体" w:cs="宋体"/>
          <w:i w:val="0"/>
          <w:iCs w:val="0"/>
          <w:caps w:val="0"/>
          <w:color w:val="auto"/>
          <w:spacing w:val="0"/>
          <w:sz w:val="21"/>
          <w:szCs w:val="21"/>
          <w:highlight w:val="none"/>
          <w:lang w:val="en-US" w:eastAsia="zh-CN"/>
        </w:rPr>
        <w:t>合同期满后，未出现异常情况的将予以全额退还</w:t>
      </w:r>
      <w:r>
        <w:rPr>
          <w:rFonts w:hint="eastAsia" w:cs="宋体"/>
          <w:i w:val="0"/>
          <w:iCs w:val="0"/>
          <w:caps w:val="0"/>
          <w:color w:val="auto"/>
          <w:spacing w:val="0"/>
          <w:sz w:val="21"/>
          <w:szCs w:val="21"/>
          <w:highlight w:val="none"/>
          <w:lang w:val="en-US" w:eastAsia="zh-CN"/>
        </w:rPr>
        <w:t>（不计利息）</w:t>
      </w:r>
      <w:r>
        <w:rPr>
          <w:rFonts w:hint="eastAsia" w:ascii="宋体" w:hAnsi="宋体" w:eastAsia="宋体" w:cs="宋体"/>
          <w:i w:val="0"/>
          <w:iCs w:val="0"/>
          <w:caps w:val="0"/>
          <w:color w:val="auto"/>
          <w:spacing w:val="0"/>
          <w:sz w:val="21"/>
          <w:szCs w:val="21"/>
          <w:highlight w:val="none"/>
          <w:lang w:val="en-US" w:eastAsia="zh-CN"/>
        </w:rPr>
        <w:t>。</w:t>
      </w:r>
    </w:p>
    <w:p>
      <w:pPr>
        <w:pStyle w:val="2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leftChars="0" w:right="0" w:rightChars="0"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七</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条</w:t>
      </w:r>
      <w:r>
        <w:rPr>
          <w:rFonts w:hint="eastAsia" w:ascii="宋体" w:hAnsi="宋体" w:eastAsia="宋体" w:cs="宋体"/>
          <w:b/>
          <w:bCs/>
          <w:i w:val="0"/>
          <w:iCs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iCs w:val="0"/>
          <w:caps w:val="0"/>
          <w:color w:val="auto"/>
          <w:spacing w:val="0"/>
          <w:sz w:val="21"/>
          <w:szCs w:val="21"/>
          <w:highlight w:val="none"/>
          <w:lang w:val="en-US" w:eastAsia="zh-CN"/>
        </w:rPr>
        <w:t>运营方独立承担运营过程中的债权债务和经济、安全、法律等责任以及不可抗力产生的风险。</w:t>
      </w:r>
    </w:p>
    <w:p>
      <w:pPr>
        <w:pStyle w:val="2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leftChars="0" w:right="0" w:rightChars="0"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八</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Fonts w:hint="eastAsia" w:ascii="宋体" w:hAnsi="宋体" w:eastAsia="宋体" w:cs="宋体"/>
          <w:i w:val="0"/>
          <w:iCs w:val="0"/>
          <w:caps w:val="0"/>
          <w:color w:val="auto"/>
          <w:spacing w:val="0"/>
          <w:sz w:val="21"/>
          <w:szCs w:val="21"/>
          <w:highlight w:val="none"/>
          <w:lang w:val="en-US" w:eastAsia="zh-CN"/>
        </w:rPr>
        <w:t>产权方和运营方需按照《中华人民共和国安全生产法》第四十九条要求签订专门的安全生产管理协议或在承包合同、租赁合同中约定各自的安全生产管理职责，产权方对运营方的安全生产工作统一协调、管理，定期开展安全检查，发现安全问题及时督促整改。</w:t>
      </w:r>
    </w:p>
    <w:p>
      <w:pPr>
        <w:pStyle w:val="2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rightChars="0"/>
        <w:jc w:val="both"/>
        <w:textAlignment w:val="auto"/>
        <w:rPr>
          <w:rFonts w:hint="eastAsia"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七、运营管理</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一</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产权方与运营方签订委托运营合同（附国有资产明细表），明确双方权利义务，明确委托运营养老服务中心的基本情况、运营范围、合作期限、服务内容、费用缴纳、违约罚则、变更终止、风险防控等内容条款。其中运营范围只能规定为开展养老服务，服务内容应为老年人提供生活照护、康复护理、精神慰藉、文化娱乐、医养康养等服务。涉及医疗方面需要取得许可和符合相关法律法规要求。</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二</w:t>
      </w:r>
      <w:r>
        <w:rPr>
          <w:rStyle w:val="32"/>
          <w:rFonts w:hint="eastAsia" w:ascii="宋体" w:hAnsi="宋体" w:eastAsia="宋体" w:cs="宋体"/>
          <w:i w:val="0"/>
          <w:iCs w:val="0"/>
          <w:caps w:val="0"/>
          <w:color w:val="auto"/>
          <w:spacing w:val="0"/>
          <w:sz w:val="21"/>
          <w:szCs w:val="21"/>
          <w:highlight w:val="none"/>
          <w:shd w:val="clear" w:color="auto" w:fill="FFFFFF"/>
        </w:rPr>
        <w:t>条 </w:t>
      </w:r>
      <w:r>
        <w:rPr>
          <w:rFonts w:hint="eastAsia" w:ascii="宋体" w:hAnsi="宋体" w:eastAsia="宋体" w:cs="宋体"/>
          <w:i w:val="0"/>
          <w:iCs w:val="0"/>
          <w:caps w:val="0"/>
          <w:color w:val="auto"/>
          <w:spacing w:val="0"/>
          <w:sz w:val="21"/>
          <w:szCs w:val="21"/>
          <w:highlight w:val="none"/>
          <w:lang w:val="en-US" w:eastAsia="zh-CN"/>
        </w:rPr>
        <w:t>产权方负责公建民营养老服务中心的资产登记、移交、监管等工作，协助运营方按规定申报有关优惠扶持政策；会同有关部门，或委托第三方机构每年对公建民营养老服务中心的运营管理、经费投入、收费标准、工作人员待遇、养老服务质量等内容开展监督考核，综合评价。评价结果作为是否违反合同约定，责令整改、解除合同直至依法追究法律责任的依据。</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三</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应严格按照民政部《养老机构管理办法》《养老机构服务安全基本规范》（GB38600-2019）和《养老机构服务质量基本规范》（GB/T35796-2017）、《养老机构消防安全管理规定》等规定开展运营活动，配备消防员、安全员、护理员等工作人员，建立健全安全、消防、食品、卫生、财务、应急等管理制度，严格规范管理。</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四</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必须建立健全财务管理制度，严格执行财经纪律，做到管理规范、收支有据、账目清楚。对财政拨付的特困人员供养金等专项资金实行专账管理，不得以任何理由扣减或挪用，确保特困人员等兜底保障对象供养条件和生活待遇不降低；不得向特困人员等兜底保障对象收取任何费用，并主动接受产权方和相关部门的监督检查。对于收住社会老人的收费标准，运营方需报相关部门报备。</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五</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要至少预留总床位数的20%，在满足特困人员等兜底保障对象入住的基础上，优先接收本辖区经济困难的失能、残疾、独居、空巢、留守、高龄老年人、特殊家庭老年人、为国家和社会作出重要贡献的老年人，并给予适当优惠。兜底保障对象入住期间因生病住院产生的费用由运营方全权负责。运营方不得向政府兜底保障对象收取任何费用。</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六</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运营方负责机构资产、设施设备的日常管理和维护</w:t>
      </w:r>
      <w:r>
        <w:rPr>
          <w:rFonts w:hint="eastAsia" w:cs="宋体"/>
          <w:i w:val="0"/>
          <w:iCs w:val="0"/>
          <w:caps w:val="0"/>
          <w:color w:val="auto"/>
          <w:spacing w:val="0"/>
          <w:sz w:val="21"/>
          <w:szCs w:val="21"/>
          <w:highlight w:val="none"/>
          <w:lang w:val="en-US" w:eastAsia="zh-CN"/>
        </w:rPr>
        <w:t>、维修</w:t>
      </w:r>
      <w:r>
        <w:rPr>
          <w:rFonts w:hint="eastAsia" w:ascii="宋体" w:hAnsi="宋体" w:eastAsia="宋体" w:cs="宋体"/>
          <w:i w:val="0"/>
          <w:iCs w:val="0"/>
          <w:caps w:val="0"/>
          <w:color w:val="auto"/>
          <w:spacing w:val="0"/>
          <w:sz w:val="21"/>
          <w:szCs w:val="21"/>
          <w:highlight w:val="none"/>
          <w:lang w:val="en-US" w:eastAsia="zh-CN"/>
        </w:rPr>
        <w:t>，不得擅自出租、出借、损毁、处置国有资产。在合同期间获得的各级财政奖补资金，应当按照规定</w:t>
      </w:r>
      <w:r>
        <w:rPr>
          <w:rFonts w:hint="eastAsia" w:cs="宋体"/>
          <w:i w:val="0"/>
          <w:iCs w:val="0"/>
          <w:caps w:val="0"/>
          <w:color w:val="auto"/>
          <w:spacing w:val="0"/>
          <w:sz w:val="21"/>
          <w:szCs w:val="21"/>
          <w:highlight w:val="none"/>
          <w:lang w:val="en-US" w:eastAsia="zh-CN"/>
        </w:rPr>
        <w:t>用途使用</w:t>
      </w:r>
      <w:r>
        <w:rPr>
          <w:rFonts w:hint="eastAsia" w:ascii="宋体" w:hAnsi="宋体" w:eastAsia="宋体" w:cs="宋体"/>
          <w:i w:val="0"/>
          <w:iCs w:val="0"/>
          <w:caps w:val="0"/>
          <w:color w:val="auto"/>
          <w:spacing w:val="0"/>
          <w:sz w:val="21"/>
          <w:szCs w:val="21"/>
          <w:highlight w:val="none"/>
          <w:lang w:val="en-US" w:eastAsia="zh-CN"/>
        </w:rPr>
        <w:t>。各级财政奖补资金购置的设施设备等认定为国有资产。</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七</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运营方利用公建民营养老服务中心内闲置用地新建、改扩建或增加必要的运营设施，应事先征得产权方同意，并依法办理相关手续。</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八</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Fonts w:hint="eastAsia" w:ascii="宋体" w:hAnsi="宋体" w:eastAsia="宋体" w:cs="宋体"/>
          <w:i w:val="0"/>
          <w:iCs w:val="0"/>
          <w:caps w:val="0"/>
          <w:color w:val="auto"/>
          <w:spacing w:val="0"/>
          <w:sz w:val="21"/>
          <w:szCs w:val="21"/>
          <w:highlight w:val="none"/>
          <w:lang w:val="en-US" w:eastAsia="zh-CN"/>
        </w:rPr>
        <w:t>合同终止后的国有资产以及运营方为了达到运营条件而投入的所有设施设备，新建、改扩建或增加的养老服务中心的资产需无偿移交产权方，归产权方所有。运营方要保证移交的所有资产完好无损。若有损坏，运营方要按使用标准换新、赔偿或产权方按照评估后的损赔费用从风险保证金中扣除。</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九</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方应每半年提交一次工作报告，内容主要包括服务范围、服务对象、服务质量、运营管理、运营收支等。如有重大情况（如重大安全事故、突发疫情、入住老人意外伤残、死亡等可能影响养老机构运营或危及入住老年人生命财产安全的事项）应及时向产权方报告。</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十</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运营合同未尽事宜及履行期间双方发生争议的，由双方共同协商，通过补充协议解决。协商不能解决的，可向人民法院提出诉讼。</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jc w:val="both"/>
        <w:textAlignment w:val="auto"/>
        <w:rPr>
          <w:rFonts w:hint="eastAsia" w:ascii="宋体" w:hAnsi="宋体" w:eastAsia="宋体" w:cs="宋体"/>
          <w:b/>
          <w:bCs/>
          <w:i w:val="0"/>
          <w:iCs w:val="0"/>
          <w:caps w:val="0"/>
          <w:color w:val="auto"/>
          <w:spacing w:val="0"/>
          <w:sz w:val="21"/>
          <w:szCs w:val="21"/>
          <w:highlight w:val="none"/>
          <w:shd w:val="clear" w:color="auto" w:fill="FFFFFF"/>
          <w:lang w:val="en-US" w:eastAsia="zh-CN"/>
        </w:rPr>
      </w:pPr>
      <w:r>
        <w:rPr>
          <w:rFonts w:hint="eastAsia" w:ascii="宋体" w:hAnsi="宋体" w:eastAsia="宋体" w:cs="宋体"/>
          <w:b/>
          <w:bCs/>
          <w:i w:val="0"/>
          <w:iCs w:val="0"/>
          <w:caps w:val="0"/>
          <w:color w:val="auto"/>
          <w:spacing w:val="0"/>
          <w:sz w:val="21"/>
          <w:szCs w:val="21"/>
          <w:highlight w:val="none"/>
          <w:shd w:val="clear" w:color="auto" w:fill="FFFFFF"/>
          <w:lang w:val="en-US" w:eastAsia="zh-CN"/>
        </w:rPr>
        <w:t>八、 违约和退出机制</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一</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合同期内运营良好、社会反响好，且有意继续运营的，在合同期满前6个月内向产权方提交申请，在同等的招标条件下可优先；合同期未满，运营方变更或终止合同的，应提前与产权方进行协商，在合同期满前6个月内向产权方提交终止合同情况及入住老人的安置方案，安置老人的费用由运营方承担。由产权方组织相关部门对其资产、财务等进行审计，妥善做好资产和账目交接，并向社会公开。</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第</w:t>
      </w:r>
      <w:r>
        <w:rPr>
          <w:rStyle w:val="32"/>
          <w:rFonts w:hint="eastAsia" w:cs="宋体"/>
          <w:i w:val="0"/>
          <w:iCs w:val="0"/>
          <w:caps w:val="0"/>
          <w:color w:val="auto"/>
          <w:spacing w:val="0"/>
          <w:sz w:val="21"/>
          <w:szCs w:val="21"/>
          <w:highlight w:val="none"/>
          <w:shd w:val="clear" w:color="auto" w:fill="FFFFFF"/>
          <w:lang w:val="en-US" w:eastAsia="zh-CN"/>
        </w:rPr>
        <w:t>二</w:t>
      </w:r>
      <w:r>
        <w:rPr>
          <w:rStyle w:val="32"/>
          <w:rFonts w:hint="eastAsia" w:ascii="宋体" w:hAnsi="宋体" w:eastAsia="宋体" w:cs="宋体"/>
          <w:i w:val="0"/>
          <w:iCs w:val="0"/>
          <w:caps w:val="0"/>
          <w:color w:val="auto"/>
          <w:spacing w:val="0"/>
          <w:sz w:val="21"/>
          <w:szCs w:val="21"/>
          <w:highlight w:val="none"/>
          <w:shd w:val="clear" w:color="auto" w:fill="FFFFFF"/>
          <w:lang w:val="en-US" w:eastAsia="zh-CN"/>
        </w:rPr>
        <w:t xml:space="preserve">条 </w:t>
      </w:r>
      <w:r>
        <w:rPr>
          <w:rFonts w:hint="eastAsia" w:ascii="宋体" w:hAnsi="宋体" w:eastAsia="宋体" w:cs="宋体"/>
          <w:i w:val="0"/>
          <w:iCs w:val="0"/>
          <w:caps w:val="0"/>
          <w:color w:val="auto"/>
          <w:spacing w:val="0"/>
          <w:sz w:val="21"/>
          <w:szCs w:val="21"/>
          <w:highlight w:val="none"/>
          <w:lang w:val="en-US" w:eastAsia="zh-CN"/>
        </w:rPr>
        <w:t>对运营方运营期间发生责任事故的，产权方终止运营补贴等政策支持，限期整改。出现其他管理服务、安全稳定问题的，依据民政部《养老机构管理办法》（民政部令第49号）、《河南省养老服务条例》等相关规定予以处罚。并一次性扣除全部风险保证金。</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2"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Style w:val="32"/>
          <w:rFonts w:hint="eastAsia" w:ascii="宋体" w:hAnsi="宋体" w:eastAsia="宋体" w:cs="宋体"/>
          <w:i w:val="0"/>
          <w:iCs w:val="0"/>
          <w:caps w:val="0"/>
          <w:color w:val="auto"/>
          <w:spacing w:val="0"/>
          <w:sz w:val="21"/>
          <w:szCs w:val="21"/>
          <w:highlight w:val="none"/>
          <w:shd w:val="clear" w:color="auto" w:fill="FFFFFF"/>
        </w:rPr>
        <w:t>第</w:t>
      </w:r>
      <w:r>
        <w:rPr>
          <w:rStyle w:val="32"/>
          <w:rFonts w:hint="eastAsia" w:cs="宋体"/>
          <w:i w:val="0"/>
          <w:iCs w:val="0"/>
          <w:caps w:val="0"/>
          <w:color w:val="auto"/>
          <w:spacing w:val="0"/>
          <w:sz w:val="21"/>
          <w:szCs w:val="21"/>
          <w:highlight w:val="none"/>
          <w:shd w:val="clear" w:color="auto" w:fill="FFFFFF"/>
          <w:lang w:val="en-US" w:eastAsia="zh-CN"/>
        </w:rPr>
        <w:t>三</w:t>
      </w:r>
      <w:r>
        <w:rPr>
          <w:rStyle w:val="32"/>
          <w:rFonts w:hint="eastAsia" w:ascii="宋体" w:hAnsi="宋体" w:eastAsia="宋体" w:cs="宋体"/>
          <w:i w:val="0"/>
          <w:iCs w:val="0"/>
          <w:caps w:val="0"/>
          <w:color w:val="auto"/>
          <w:spacing w:val="0"/>
          <w:sz w:val="21"/>
          <w:szCs w:val="21"/>
          <w:highlight w:val="none"/>
          <w:shd w:val="clear" w:color="auto" w:fill="FFFFFF"/>
        </w:rPr>
        <w:t>条</w:t>
      </w:r>
      <w:r>
        <w:rPr>
          <w:rFonts w:hint="eastAsia" w:ascii="宋体" w:hAnsi="宋体" w:eastAsia="宋体" w:cs="宋体"/>
          <w:i w:val="0"/>
          <w:iCs w:val="0"/>
          <w:caps w:val="0"/>
          <w:color w:val="auto"/>
          <w:spacing w:val="0"/>
          <w:sz w:val="21"/>
          <w:szCs w:val="21"/>
          <w:highlight w:val="none"/>
          <w:shd w:val="clear" w:color="auto" w:fill="FFFFFF"/>
        </w:rPr>
        <w:t> </w:t>
      </w:r>
      <w:r>
        <w:rPr>
          <w:rFonts w:hint="eastAsia" w:ascii="宋体" w:hAnsi="宋体" w:eastAsia="宋体" w:cs="宋体"/>
          <w:i w:val="0"/>
          <w:iCs w:val="0"/>
          <w:caps w:val="0"/>
          <w:color w:val="auto"/>
          <w:spacing w:val="0"/>
          <w:sz w:val="21"/>
          <w:szCs w:val="21"/>
          <w:highlight w:val="none"/>
          <w:lang w:val="en-US" w:eastAsia="zh-CN"/>
        </w:rPr>
        <w:t>对具有下列情形之一的，产权方有权责令其限期整改，并承担相应损失；情节严重的解除合同，并依法移交有关部门追究责任，一次性扣除全部风险保证金。</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1.未经产权方同意，擅自变更法人代表、擅自改变运营范围、擅自出租、转租的；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2.利用养老机构的房屋、场地、设施开展与养老服务无关的活动，进行营利性商业行为的；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3.以养老机构资产进行抵押、融资、</w:t>
      </w:r>
      <w:r>
        <w:rPr>
          <w:rFonts w:hint="eastAsia" w:cs="宋体"/>
          <w:i w:val="0"/>
          <w:iCs w:val="0"/>
          <w:caps w:val="0"/>
          <w:color w:val="auto"/>
          <w:spacing w:val="0"/>
          <w:sz w:val="21"/>
          <w:szCs w:val="21"/>
          <w:highlight w:val="none"/>
          <w:lang w:val="en-US" w:eastAsia="zh-CN"/>
        </w:rPr>
        <w:t>担保、</w:t>
      </w:r>
      <w:r>
        <w:rPr>
          <w:rFonts w:hint="eastAsia" w:ascii="宋体" w:hAnsi="宋体" w:eastAsia="宋体" w:cs="宋体"/>
          <w:i w:val="0"/>
          <w:iCs w:val="0"/>
          <w:caps w:val="0"/>
          <w:color w:val="auto"/>
          <w:spacing w:val="0"/>
          <w:sz w:val="21"/>
          <w:szCs w:val="21"/>
          <w:highlight w:val="none"/>
          <w:lang w:val="en-US" w:eastAsia="zh-CN"/>
        </w:rPr>
        <w:t>贷款等活动的；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4.损毁设施设备或改变其用途，无法保障养老机构正常运转的；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5.发布虚假广告、涉嫌非法集资或违反有关规定乱收费等侵犯老年人合法权益行为的；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6.对存在的重大安全隐患消极应付，限期整改不到位或发生安全事故的；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7.歧视、侮辱、虐待老年人的，入住对象调查满意率连续两年低于80% 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8.超期2个月未缴纳当期设施使用费及滞纳金的；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default"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9.运营方将运营权转包第三方的；</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firstLine="420" w:firstLineChars="200"/>
        <w:jc w:val="both"/>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cs="宋体"/>
          <w:i w:val="0"/>
          <w:iCs w:val="0"/>
          <w:caps w:val="0"/>
          <w:color w:val="auto"/>
          <w:spacing w:val="0"/>
          <w:sz w:val="21"/>
          <w:szCs w:val="21"/>
          <w:highlight w:val="none"/>
          <w:lang w:val="en-US" w:eastAsia="zh-CN"/>
        </w:rPr>
        <w:t>10</w:t>
      </w:r>
      <w:r>
        <w:rPr>
          <w:rFonts w:hint="eastAsia" w:ascii="宋体" w:hAnsi="宋体" w:eastAsia="宋体" w:cs="宋体"/>
          <w:i w:val="0"/>
          <w:iCs w:val="0"/>
          <w:caps w:val="0"/>
          <w:color w:val="auto"/>
          <w:spacing w:val="0"/>
          <w:sz w:val="21"/>
          <w:szCs w:val="21"/>
          <w:highlight w:val="none"/>
          <w:lang w:val="en-US" w:eastAsia="zh-CN"/>
        </w:rPr>
        <w:t>.违反国家法律法规或者合同约定的其他情形的。</w:t>
      </w:r>
    </w:p>
    <w:bookmarkEnd w:id="245"/>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bCs/>
          <w:color w:val="auto"/>
          <w:sz w:val="21"/>
          <w:szCs w:val="24"/>
          <w:highlight w:val="none"/>
          <w:lang w:eastAsia="zh-CN"/>
        </w:rPr>
      </w:pPr>
      <w:bookmarkStart w:id="246" w:name="_Toc20933"/>
      <w:r>
        <w:rPr>
          <w:rFonts w:hint="eastAsia" w:ascii="宋体" w:hAnsi="宋体" w:eastAsia="宋体" w:cs="宋体"/>
          <w:b/>
          <w:bCs/>
          <w:color w:val="auto"/>
          <w:sz w:val="21"/>
          <w:szCs w:val="24"/>
          <w:highlight w:val="none"/>
          <w:lang w:val="en-US" w:eastAsia="zh-CN"/>
        </w:rPr>
        <w:t>九</w:t>
      </w:r>
      <w:r>
        <w:rPr>
          <w:rFonts w:hint="eastAsia" w:ascii="宋体" w:hAnsi="宋体" w:eastAsia="宋体" w:cs="宋体"/>
          <w:b/>
          <w:bCs/>
          <w:color w:val="auto"/>
          <w:sz w:val="21"/>
          <w:szCs w:val="24"/>
          <w:highlight w:val="none"/>
          <w:lang w:eastAsia="zh-CN"/>
        </w:rPr>
        <w:t>、争议解决</w:t>
      </w:r>
      <w:bookmarkEnd w:id="246"/>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lang w:eastAsia="zh-CN"/>
        </w:rPr>
        <w:t>协议未尽事宜及履行期间双方发生争议的，由双方共同协商，通过补充协议解决。补充协议及本协议附件均为本协议组成部分，与本协议具有同等法律效力。协商不能解决的，双方可向仲裁委员会提出仲裁。在本协议仲裁期间，双方有义务保持场地现状不受损坏，以及入住老年人的正常生活和服务。</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lang w:eastAsia="zh-CN"/>
        </w:rPr>
        <w:t>十、本协议一式肆份，甲乙双方各执两份。本协议自签订之日起生效。</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8"/>
        <w:gridCol w:w="4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甲方：(盖章）</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乙 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法定代表人(授权代表）：</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地 址：</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开户银行：</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账号：</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电 话：</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签约日期： 年 月 日</w:t>
            </w:r>
          </w:p>
        </w:tc>
        <w:tc>
          <w:tcPr>
            <w:tcW w:w="4838" w:type="dxa"/>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color w:val="auto"/>
                <w:sz w:val="21"/>
                <w:szCs w:val="24"/>
                <w:highlight w:val="none"/>
                <w:vertAlign w:val="baseline"/>
                <w:lang w:eastAsia="zh-CN"/>
              </w:rPr>
            </w:pPr>
            <w:r>
              <w:rPr>
                <w:rFonts w:hint="eastAsia" w:ascii="宋体" w:hAnsi="宋体" w:eastAsia="宋体" w:cs="宋体"/>
                <w:b w:val="0"/>
                <w:color w:val="auto"/>
                <w:sz w:val="21"/>
                <w:szCs w:val="24"/>
                <w:highlight w:val="none"/>
                <w:vertAlign w:val="baseline"/>
                <w:lang w:eastAsia="zh-CN"/>
              </w:rPr>
              <w:t>签约日期： 年 月 日</w:t>
            </w:r>
          </w:p>
        </w:tc>
      </w:tr>
    </w:tbl>
    <w:p>
      <w:pPr>
        <w:rPr>
          <w:rFonts w:hint="eastAsia"/>
          <w:color w:val="auto"/>
          <w:highlight w:val="none"/>
          <w:lang w:eastAsia="zh-CN"/>
        </w:rPr>
      </w:pPr>
      <w:r>
        <w:rPr>
          <w:rFonts w:hint="eastAsia" w:ascii="宋体" w:hAnsi="宋体" w:eastAsia="宋体" w:cs="宋体"/>
          <w:b w:val="0"/>
          <w:color w:val="auto"/>
          <w:sz w:val="21"/>
          <w:szCs w:val="24"/>
          <w:highlight w:val="none"/>
          <w:lang w:eastAsia="zh-CN"/>
        </w:rPr>
        <w:br w:type="page"/>
      </w:r>
    </w:p>
    <w:p>
      <w:pPr>
        <w:pStyle w:val="59"/>
        <w:numPr>
          <w:ilvl w:val="0"/>
          <w:numId w:val="6"/>
        </w:numPr>
        <w:ind w:left="0" w:leftChars="0" w:right="0" w:rightChars="0" w:firstLine="0" w:firstLineChars="0"/>
        <w:jc w:val="center"/>
        <w:outlineLvl w:val="0"/>
        <w:rPr>
          <w:rFonts w:hint="eastAsia" w:ascii="宋体" w:hAnsi="宋体" w:eastAsia="宋体" w:cs="宋体"/>
          <w:b/>
          <w:color w:val="auto"/>
          <w:sz w:val="32"/>
          <w:szCs w:val="32"/>
          <w:highlight w:val="none"/>
        </w:rPr>
      </w:pPr>
      <w:bookmarkStart w:id="247" w:name="_Toc26132"/>
      <w:bookmarkStart w:id="248" w:name="_Toc10194"/>
      <w:r>
        <w:rPr>
          <w:rFonts w:hint="eastAsia" w:ascii="宋体" w:hAnsi="宋体" w:eastAsia="宋体" w:cs="宋体"/>
          <w:b/>
          <w:bCs/>
          <w:color w:val="auto"/>
          <w:sz w:val="32"/>
          <w:szCs w:val="32"/>
          <w:highlight w:val="none"/>
          <w:lang w:eastAsia="zh-CN"/>
        </w:rPr>
        <w:t>采购</w:t>
      </w:r>
      <w:r>
        <w:rPr>
          <w:rFonts w:hint="eastAsia" w:ascii="宋体" w:hAnsi="宋体" w:eastAsia="宋体" w:cs="宋体"/>
          <w:b/>
          <w:bCs/>
          <w:color w:val="auto"/>
          <w:sz w:val="32"/>
          <w:szCs w:val="32"/>
          <w:highlight w:val="none"/>
          <w:lang w:val="en-US" w:eastAsia="zh-CN"/>
        </w:rPr>
        <w:t>需求</w:t>
      </w:r>
      <w:bookmarkEnd w:id="247"/>
      <w:bookmarkEnd w:id="248"/>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bCs/>
          <w:color w:val="auto"/>
          <w:sz w:val="21"/>
          <w:szCs w:val="21"/>
          <w:highlight w:val="none"/>
          <w:lang w:val="en-US" w:eastAsia="zh-CN"/>
        </w:rPr>
      </w:pPr>
      <w:bookmarkStart w:id="249" w:name="_Toc18445"/>
      <w:r>
        <w:rPr>
          <w:rFonts w:hint="eastAsia" w:ascii="宋体" w:hAnsi="宋体" w:eastAsia="宋体" w:cs="宋体"/>
          <w:b/>
          <w:bCs/>
          <w:color w:val="auto"/>
          <w:sz w:val="21"/>
          <w:szCs w:val="21"/>
          <w:highlight w:val="none"/>
          <w:lang w:val="en-US" w:eastAsia="zh-CN"/>
        </w:rPr>
        <w:t>一、项目概况</w:t>
      </w:r>
      <w:bookmarkEnd w:id="249"/>
      <w:r>
        <w:rPr>
          <w:rFonts w:hint="eastAsia" w:ascii="宋体" w:hAnsi="宋体" w:eastAsia="宋体" w:cs="宋体"/>
          <w:b/>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1.羊山新区养老服务中心项目位于新五大道与景龙街交叉口西北角，占地面积16.95亩、总建筑面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积1.66万平方米，建设2栋5层护理楼、1栋2层服务楼，规划设计300张床位，其中自理老人床位73张，半失能老人床位97张，失能老人床位130张；</w:t>
      </w:r>
    </w:p>
    <w:p>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420" w:firstLineChars="200"/>
        <w:contextualSpacing/>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范围：选取一家运营商，按养老服务设施公建民营模式开展养老服务，负责羊山新区养老服务中心养老服务设施运营，并独立承担运营管理等风险。养老服务内容包括为老年人提供生活照料、医养康复护理、精神慰藉、文化娱乐、居家服务等；</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3、服务期限：运营期限10年，分为培育期3年，成长期3年，发展期4年三个阶段；</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4、服务地点：</w:t>
      </w:r>
      <w:r>
        <w:rPr>
          <w:rFonts w:hint="eastAsia" w:ascii="宋体" w:hAnsi="宋体" w:eastAsia="宋体" w:cs="宋体"/>
          <w:color w:val="auto"/>
          <w:sz w:val="21"/>
          <w:szCs w:val="21"/>
          <w:highlight w:val="none"/>
        </w:rPr>
        <w:t>羊山新区养老服务中心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新五大道与景龙街交叉口西北角</w:t>
      </w:r>
      <w:r>
        <w:rPr>
          <w:rFonts w:hint="eastAsia" w:ascii="宋体" w:hAnsi="宋体" w:eastAsia="宋体" w:cs="宋体"/>
          <w:color w:val="auto"/>
          <w:sz w:val="21"/>
          <w:szCs w:val="21"/>
          <w:highlight w:val="none"/>
          <w:lang w:eastAsia="zh-CN"/>
        </w:rPr>
        <w:t>）；</w:t>
      </w:r>
    </w:p>
    <w:p>
      <w:pPr>
        <w:pStyle w:val="27"/>
        <w:keepNext w:val="0"/>
        <w:keepLines w:val="0"/>
        <w:pageBreakBefore w:val="0"/>
        <w:kinsoku/>
        <w:wordWrap/>
        <w:overflowPunct/>
        <w:topLinePunct w:val="0"/>
        <w:autoSpaceDE/>
        <w:autoSpaceDN/>
        <w:bidi w:val="0"/>
        <w:adjustRightInd/>
        <w:snapToGrid/>
        <w:spacing w:after="0"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5、质量要求：符合国家或行业规定的合格标准，满足采购人需求；</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6、资金来源：</w:t>
      </w:r>
      <w:r>
        <w:rPr>
          <w:rFonts w:hint="eastAsia" w:ascii="宋体" w:hAnsi="宋体" w:eastAsia="宋体" w:cs="宋体"/>
          <w:color w:val="auto"/>
          <w:sz w:val="21"/>
          <w:szCs w:val="21"/>
          <w:highlight w:val="none"/>
          <w:u w:val="none"/>
          <w:lang w:val="en-US" w:eastAsia="zh-CN"/>
        </w:rPr>
        <w:t>运营商自筹；</w:t>
      </w:r>
    </w:p>
    <w:p>
      <w:pPr>
        <w:keepNext w:val="0"/>
        <w:keepLines w:val="0"/>
        <w:pageBreakBefore w:val="0"/>
        <w:suppressLineNumbers w:val="0"/>
        <w:kinsoku/>
        <w:wordWrap/>
        <w:overflowPunct/>
        <w:topLinePunct w:val="0"/>
        <w:autoSpaceDE/>
        <w:autoSpaceDN/>
        <w:bidi w:val="0"/>
        <w:adjustRightInd/>
        <w:snapToGrid/>
        <w:spacing w:beforeAutospacing="0" w:afterAutospacing="0" w:line="312"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7、标段划分：本项目分为1个标段；</w:t>
      </w:r>
    </w:p>
    <w:p>
      <w:pPr>
        <w:pStyle w:val="2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12" w:lineRule="auto"/>
        <w:ind w:right="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8、合同履行期限：10年</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bCs/>
          <w:color w:val="auto"/>
          <w:sz w:val="21"/>
          <w:szCs w:val="21"/>
          <w:highlight w:val="none"/>
          <w:lang w:val="en-US" w:eastAsia="zh-CN"/>
        </w:rPr>
      </w:pPr>
      <w:bookmarkStart w:id="250" w:name="_Toc2789"/>
      <w:r>
        <w:rPr>
          <w:rFonts w:hint="eastAsia" w:ascii="宋体" w:hAnsi="宋体" w:eastAsia="宋体" w:cs="宋体"/>
          <w:b/>
          <w:bCs/>
          <w:color w:val="auto"/>
          <w:sz w:val="21"/>
          <w:szCs w:val="21"/>
          <w:highlight w:val="none"/>
          <w:lang w:val="en-US" w:eastAsia="zh-CN"/>
        </w:rPr>
        <w:t>二、公建民营基本原则</w:t>
      </w:r>
      <w:bookmarkEnd w:id="250"/>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1、突出公益属性原则。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充分发挥兜底保障作用和社会公共服务职能，在保障属地特困供养人员集中供养需求的基础上，优先接受经济困难的失能、残疾、独居、空巢、留守、高龄老年人以及特殊家庭老年人、为国家和社会作出重要贡献老年人等，并给予适当优惠。</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国有资产保值原则。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强化机构运营和资产规范管理，依法依规核定国有资产价值和国有资产折旧费用，加强日常监管，运营方及时维护保养，严禁将国有资产进行抵押、融资、贷款、担保等，防止国有资产流失。</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拓展服务功能原则。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促进服务质量提升，提高护理型床位的数量和比重；鼓励和支持运营方利用自身资源和服务优势，实行以大带小，连锁化托管运营社区日间照料中心、老年食堂、嵌入式社区养老服务站等养老服务设施，辐射周边社区和村居，为居家老年人提供形式多样、高效精准、方便快捷的养老服务。</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强化政府监管原则。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建立健全养老机构服务、管理和运营监管体系，委托方及发改、财政、审计、民政、市场监管、消防、应急、卫健等职能部门要根据各自工作职责强化日常业务指导，不断完善相关制度，依法规范养老服务。</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bCs/>
          <w:color w:val="auto"/>
          <w:sz w:val="21"/>
          <w:szCs w:val="21"/>
          <w:highlight w:val="none"/>
          <w:lang w:val="en-US" w:eastAsia="zh-CN"/>
        </w:rPr>
      </w:pPr>
      <w:bookmarkStart w:id="251" w:name="_Toc30647"/>
      <w:r>
        <w:rPr>
          <w:rFonts w:hint="eastAsia" w:ascii="宋体" w:hAnsi="宋体" w:eastAsia="宋体" w:cs="宋体"/>
          <w:b/>
          <w:bCs/>
          <w:color w:val="auto"/>
          <w:sz w:val="21"/>
          <w:szCs w:val="21"/>
          <w:highlight w:val="none"/>
          <w:lang w:val="en-US" w:eastAsia="zh-CN"/>
        </w:rPr>
        <w:t>三、运营要求</w:t>
      </w:r>
      <w:bookmarkEnd w:id="251"/>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（一）依法依规登记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运营方在正式运营前，需向民政部门备案。运营方享有羊山新区养老服务中心的经营管理权，并以运营方名义开展相关经营服务活动，运营期间自主经营、自负盈亏，独立承担法律责任。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运营机构应按照合同约定履行养老服务保障职能。还应承担区级养老机构示范引领、功能试验、专业培训、品牌推广等职能。</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（二）缴纳风险保证金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运营方按养老服务中心初始投入固定资产评估总额的1%一次性缴纳。缴纳时间为运营合同签订后7个日历天内缴纳至委托方指定账户。</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（三）配套设施设备</w:t>
      </w:r>
      <w:r>
        <w:rPr>
          <w:rFonts w:hint="eastAsia" w:ascii="宋体" w:hAnsi="宋体" w:eastAsia="宋体" w:cs="宋体"/>
          <w:b/>
          <w:bCs/>
          <w:color w:val="auto"/>
          <w:kern w:val="2"/>
          <w:sz w:val="21"/>
          <w:szCs w:val="21"/>
          <w:highlight w:val="none"/>
          <w:lang w:val="en-US" w:eastAsia="zh-CN" w:bidi="ar-SA"/>
        </w:rPr>
        <w:t>投资</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运营方在现有设施的基础上，需添加厨房、安防、办公、康复、车辆、智能化等设施设备，估算投资约</w:t>
      </w:r>
      <w:r>
        <w:rPr>
          <w:rFonts w:hint="eastAsia" w:ascii="宋体" w:hAnsi="宋体" w:eastAsia="宋体" w:cs="宋体"/>
          <w:b/>
          <w:bCs/>
          <w:color w:val="auto"/>
          <w:kern w:val="2"/>
          <w:sz w:val="21"/>
          <w:szCs w:val="21"/>
          <w:highlight w:val="none"/>
          <w:lang w:val="en-US" w:eastAsia="zh-CN" w:bidi="ar-SA"/>
        </w:rPr>
        <w:t>210</w:t>
      </w:r>
      <w:r>
        <w:rPr>
          <w:rFonts w:hint="eastAsia" w:ascii="宋体" w:hAnsi="宋体" w:eastAsia="宋体" w:cs="宋体"/>
          <w:color w:val="auto"/>
          <w:kern w:val="2"/>
          <w:sz w:val="21"/>
          <w:szCs w:val="21"/>
          <w:highlight w:val="none"/>
          <w:lang w:val="en-US" w:eastAsia="zh-CN" w:bidi="ar-SA"/>
        </w:rPr>
        <w:t>万元。运营方应在运营合同签订后</w:t>
      </w:r>
      <w:r>
        <w:rPr>
          <w:rFonts w:hint="eastAsia" w:ascii="宋体" w:hAnsi="宋体" w:eastAsia="宋体" w:cs="宋体"/>
          <w:b/>
          <w:bCs/>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天内完成上述设施设备安装，保证可正常使用。</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（四）合理确定收费标准</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12" w:lineRule="auto"/>
        <w:ind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对于收住社会老人的收费标准，运营方需报相关部门报备。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（五）政策扶持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委托方负责落实国家有关支持养老服务发展的各种政策、补贴等；帮助协调解决运营方在运营过程中发生的矛盾纠纷。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（六）运营管理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bookmarkStart w:id="252" w:name="_Toc29026"/>
      <w:r>
        <w:rPr>
          <w:rFonts w:hint="eastAsia" w:ascii="宋体" w:hAnsi="宋体" w:eastAsia="宋体" w:cs="宋体"/>
          <w:b w:val="0"/>
          <w:bCs w:val="0"/>
          <w:color w:val="auto"/>
          <w:sz w:val="21"/>
          <w:szCs w:val="21"/>
          <w:highlight w:val="none"/>
          <w:lang w:val="en-US" w:eastAsia="zh-CN"/>
        </w:rPr>
        <w:t>委托方负责公建民营养老服务中心的资产登记、移交、监管等工作，协助运营方按规定申报有关优惠扶持政策；会同有关部门，或委托第三方机构每年对公建民营养老服务中心的运营管理、经费投入、收费标准、工作人员待遇、养老服务质量等内容开展监督考核，综合评价。评价结果作为是否违反合同约定，责令整改、解除合同直至依法追究法律责任的依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应严格按照民政部《养老机构管理办法》《养老机构服务安全基本规范》（GB38600-2019）和《养老机构服务质量基本规范》（GB/T35796-2017）、《养老机构消防安全管理规定》等规定开展运营活动，配备消防员、安全员、护理员等工作人员，建立健全安全、消防、食品、卫生、财务、应急等管理制度，严格规范管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必须建立健全财务管理制度，严格执行财经纪律，做到管理规范、收支有据、账目清楚。对财政拨付的特困人员供养金等专项资金实行专账管理，不得以任何理由扣减或挪用，确保特困人员等兜底保障对象供养条件和生活待遇不降低；不得向特困人员等兜底保障对象收取任何费用，并主动接受委托方和相关部门的监督检查。对于收住社会老人的收费标准，运营方需报相关部门报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要至少预留总床位数的20%，在满足特困人员等兜底保障对象入住的基础上，优先接收本辖区经济困难的失能、残疾、独居、空巢、留守、高龄老年人、特殊家庭老年人、为国家和社会作出重要贡献的老年人，并给予适当优惠。兜底保障对象入住期间因生病住院产生的费用由运营方全权负责。运营方不得向政府兜底保障对象收取任何费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运营方负责机构资产、设施设备的日常管理和维护</w:t>
      </w:r>
      <w:r>
        <w:rPr>
          <w:rFonts w:hint="eastAsia" w:ascii="宋体" w:hAnsi="宋体" w:cs="宋体"/>
          <w:b w:val="0"/>
          <w:bCs w:val="0"/>
          <w:color w:val="auto"/>
          <w:sz w:val="21"/>
          <w:szCs w:val="21"/>
          <w:highlight w:val="none"/>
          <w:lang w:val="en-US" w:eastAsia="zh-CN"/>
        </w:rPr>
        <w:t>、维修</w:t>
      </w:r>
      <w:r>
        <w:rPr>
          <w:rFonts w:hint="eastAsia" w:ascii="宋体" w:hAnsi="宋体" w:eastAsia="宋体" w:cs="宋体"/>
          <w:b w:val="0"/>
          <w:bCs w:val="0"/>
          <w:color w:val="auto"/>
          <w:sz w:val="21"/>
          <w:szCs w:val="21"/>
          <w:highlight w:val="none"/>
          <w:lang w:val="en-US" w:eastAsia="zh-CN"/>
        </w:rPr>
        <w:t>，不得擅自出租、出借、损毁、处置国有资产。在合同期间获得的各级财政奖补资金，应当按照规定</w:t>
      </w:r>
      <w:r>
        <w:rPr>
          <w:rFonts w:hint="eastAsia" w:ascii="宋体" w:hAnsi="宋体" w:cs="宋体"/>
          <w:b w:val="0"/>
          <w:bCs w:val="0"/>
          <w:color w:val="auto"/>
          <w:sz w:val="21"/>
          <w:szCs w:val="21"/>
          <w:highlight w:val="none"/>
          <w:lang w:val="en-US" w:eastAsia="zh-CN"/>
        </w:rPr>
        <w:t>用途使用</w:t>
      </w:r>
      <w:r>
        <w:rPr>
          <w:rFonts w:hint="eastAsia" w:ascii="宋体" w:hAnsi="宋体" w:eastAsia="宋体" w:cs="宋体"/>
          <w:b w:val="0"/>
          <w:bCs w:val="0"/>
          <w:color w:val="auto"/>
          <w:sz w:val="21"/>
          <w:szCs w:val="21"/>
          <w:highlight w:val="none"/>
          <w:lang w:val="en-US" w:eastAsia="zh-CN"/>
        </w:rPr>
        <w:t>。各级财政奖补资金购置的设施设备等认定为国有资产。</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运营方利用公建民营养老服务中心内闲置用地新建、改扩建或增加必要的运营设施，应事先征得委托方同意，并依法办理相关手续。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同终止后的国有资产以及运营方为了达到运营条件而投入的所有设施设备，新建、改扩建或增加的养老服务中心的资产需无偿移交委托方，归委托方所有。运营方要保证移交的所有资产完好无损。若有损坏，运营方要按使用标准换新、赔偿或委托方按照评估后的损赔费用从风险保证金中扣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方应每半年提交一次工作报告，内容主要包括服务范围、服务对象、服务质量、运营管理、运营收支等。如有重大情况（如重大安全事故、突发疫情、入住老人意外伤残、死亡等可能影响养老机构运营或危及入住老年人生命财产安全的事项）应及时向委托方报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运营合同未尽事宜及履行期间双方发生争议的，由双方共同协商，通过补充协议解决。协商不能解决的，可向人民法院提出诉讼。</w:t>
      </w:r>
    </w:p>
    <w:bookmarkEnd w:id="252"/>
    <w:p>
      <w:pPr>
        <w:keepNext w:val="0"/>
        <w:keepLines w:val="0"/>
        <w:pageBreakBefore w:val="0"/>
        <w:widowControl w:val="0"/>
        <w:kinsoku/>
        <w:wordWrap/>
        <w:overflowPunct/>
        <w:topLinePunct w:val="0"/>
        <w:autoSpaceDE/>
        <w:autoSpaceDN/>
        <w:bidi w:val="0"/>
        <w:adjustRightInd/>
        <w:snapToGrid/>
        <w:spacing w:line="312" w:lineRule="auto"/>
        <w:textAlignment w:val="auto"/>
        <w:outlineLvl w:val="1"/>
        <w:rPr>
          <w:rFonts w:hint="eastAsia" w:ascii="宋体" w:hAnsi="宋体" w:eastAsia="宋体" w:cs="宋体"/>
          <w:b/>
          <w:bCs/>
          <w:color w:val="auto"/>
          <w:sz w:val="21"/>
          <w:szCs w:val="21"/>
          <w:highlight w:val="none"/>
          <w:lang w:val="en-US" w:eastAsia="zh-CN"/>
        </w:rPr>
      </w:pPr>
      <w:bookmarkStart w:id="253" w:name="_Toc25453"/>
      <w:r>
        <w:rPr>
          <w:rFonts w:hint="eastAsia" w:ascii="宋体" w:hAnsi="宋体" w:eastAsia="宋体" w:cs="宋体"/>
          <w:b/>
          <w:bCs/>
          <w:color w:val="auto"/>
          <w:sz w:val="21"/>
          <w:szCs w:val="21"/>
          <w:highlight w:val="none"/>
          <w:lang w:val="en-US" w:eastAsia="zh-CN"/>
        </w:rPr>
        <w:t>四、设施使用费、风险保证金及支付要求</w:t>
      </w:r>
      <w:bookmarkEnd w:id="253"/>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营期限为10年，设置培育期3年，成长期3年，发展期4年三个阶段。培育期内免收设施使用费，培育期结束后收取设施使用费。第4、5、6年，每年按中心初始投入固定资产评估后的数值总额的90%，收取运营方每年1.5% 的设施使用费；第7、8、9、10 年，每年按中心初始投入固定资产评估后的数值总额的1.5%，收取运营方的设施使用费。</w:t>
      </w:r>
      <w:r>
        <w:rPr>
          <w:rFonts w:hint="eastAsia" w:ascii="宋体" w:hAnsi="宋体" w:cs="宋体"/>
          <w:color w:val="auto"/>
          <w:sz w:val="21"/>
          <w:szCs w:val="21"/>
          <w:highlight w:val="none"/>
          <w:lang w:val="en-US" w:eastAsia="zh-CN"/>
        </w:rPr>
        <w:t>此外考虑物价上涨因素，从第4年开始，每3年按当年应缴纳设施使用费的3%作为递增费（举例说明：如第4年设施服务费为100万元，则递增费为3万元）。</w:t>
      </w:r>
      <w:r>
        <w:rPr>
          <w:rFonts w:hint="eastAsia" w:ascii="宋体" w:hAnsi="宋体" w:eastAsia="宋体" w:cs="宋体"/>
          <w:color w:val="auto"/>
          <w:sz w:val="21"/>
          <w:szCs w:val="21"/>
          <w:highlight w:val="none"/>
          <w:lang w:val="en-US" w:eastAsia="zh-CN"/>
        </w:rPr>
        <w:t>运营期内如遇国家有关政策调整或市场发生较大变化，另行规定。初始投入固定资产评估总额约为6900.00万元</w:t>
      </w:r>
      <w:r>
        <w:rPr>
          <w:rFonts w:hint="eastAsia" w:ascii="宋体" w:hAnsi="宋体" w:cs="宋体"/>
          <w:color w:val="auto"/>
          <w:sz w:val="21"/>
          <w:szCs w:val="21"/>
          <w:highlight w:val="none"/>
          <w:lang w:val="en-US" w:eastAsia="zh-CN"/>
        </w:rPr>
        <w:t>（按财政评审后的工程决算价及其他应纳入固定资产评估的费用总和计算）</w:t>
      </w:r>
      <w:r>
        <w:rPr>
          <w:rFonts w:hint="eastAsia" w:ascii="宋体" w:hAnsi="宋体" w:eastAsia="宋体" w:cs="宋体"/>
          <w:color w:val="auto"/>
          <w:sz w:val="21"/>
          <w:szCs w:val="21"/>
          <w:highlight w:val="none"/>
          <w:lang w:val="en-US" w:eastAsia="zh-CN"/>
        </w:rPr>
        <w:t>。</w:t>
      </w:r>
    </w:p>
    <w:p>
      <w:pPr>
        <w:pStyle w:val="27"/>
        <w:ind w:left="0" w:leftChars="0"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风险保证金：运营方按不低于养老服务中心初始投入固定资产评估总额的1%一次性缴纳。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支付方式：1、</w:t>
      </w:r>
      <w:r>
        <w:rPr>
          <w:rFonts w:hint="eastAsia" w:ascii="宋体" w:hAnsi="宋体" w:eastAsia="宋体" w:cs="宋体"/>
          <w:b/>
          <w:bCs/>
          <w:color w:val="auto"/>
          <w:kern w:val="2"/>
          <w:sz w:val="21"/>
          <w:szCs w:val="21"/>
          <w:highlight w:val="none"/>
          <w:lang w:val="en-US" w:eastAsia="zh-CN" w:bidi="ar-SA"/>
        </w:rPr>
        <w:t>设施使用费</w:t>
      </w:r>
      <w:r>
        <w:rPr>
          <w:rFonts w:hint="eastAsia" w:ascii="宋体" w:hAnsi="宋体" w:eastAsia="宋体" w:cs="宋体"/>
          <w:color w:val="auto"/>
          <w:sz w:val="21"/>
          <w:szCs w:val="21"/>
          <w:highlight w:val="none"/>
          <w:lang w:val="en-US" w:eastAsia="zh-CN"/>
        </w:rPr>
        <w:t>实行先交后用的原则，每个付款周期最低为12个月。成长期和发展期</w:t>
      </w:r>
      <w:r>
        <w:rPr>
          <w:rFonts w:hint="eastAsia" w:ascii="宋体" w:hAnsi="宋体" w:eastAsia="宋体" w:cs="宋体"/>
          <w:b/>
          <w:bCs/>
          <w:i w:val="0"/>
          <w:iCs w:val="0"/>
          <w:caps w:val="0"/>
          <w:color w:val="auto"/>
          <w:spacing w:val="0"/>
          <w:sz w:val="21"/>
          <w:szCs w:val="21"/>
          <w:highlight w:val="none"/>
          <w:lang w:val="en-US" w:eastAsia="zh-CN"/>
        </w:rPr>
        <w:t>设施使用费</w:t>
      </w:r>
      <w:r>
        <w:rPr>
          <w:rFonts w:hint="eastAsia" w:ascii="宋体" w:hAnsi="宋体" w:eastAsia="宋体" w:cs="宋体"/>
          <w:color w:val="auto"/>
          <w:sz w:val="21"/>
          <w:szCs w:val="21"/>
          <w:highlight w:val="none"/>
          <w:lang w:val="en-US" w:eastAsia="zh-CN"/>
        </w:rPr>
        <w:t>在上一运营年度期满前30日缴纳至羊山新区财政指定账户（提前30日缴纳）。每超期1天，按应收设施使用费金额的1‰收取滞纳金。若超期2个月未缴纳设施使用费，则按运营方违约处理，解除运营合同；</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2、风险保证金</w:t>
      </w:r>
      <w:r>
        <w:rPr>
          <w:rFonts w:hint="eastAsia" w:ascii="宋体" w:hAnsi="宋体" w:eastAsia="宋体" w:cs="宋体"/>
          <w:b w:val="0"/>
          <w:bCs w:val="0"/>
          <w:color w:val="auto"/>
          <w:sz w:val="21"/>
          <w:szCs w:val="21"/>
          <w:highlight w:val="none"/>
          <w:lang w:val="en-US" w:eastAsia="zh-CN"/>
        </w:rPr>
        <w:t>在本协议签订之日起7日历天内运营方向委托方缴纳。</w:t>
      </w:r>
      <w:r>
        <w:rPr>
          <w:rFonts w:hint="eastAsia" w:cs="宋体"/>
          <w:i w:val="0"/>
          <w:iCs w:val="0"/>
          <w:caps w:val="0"/>
          <w:color w:val="auto"/>
          <w:spacing w:val="0"/>
          <w:sz w:val="21"/>
          <w:szCs w:val="21"/>
          <w:highlight w:val="none"/>
          <w:lang w:val="en-US" w:eastAsia="zh-CN"/>
        </w:rPr>
        <w:t>合同期限内营方异常退出，风险保证金不予退还；</w:t>
      </w:r>
      <w:r>
        <w:rPr>
          <w:rFonts w:hint="eastAsia" w:ascii="宋体" w:hAnsi="宋体" w:eastAsia="宋体" w:cs="宋体"/>
          <w:i w:val="0"/>
          <w:iCs w:val="0"/>
          <w:caps w:val="0"/>
          <w:color w:val="auto"/>
          <w:spacing w:val="0"/>
          <w:sz w:val="21"/>
          <w:szCs w:val="21"/>
          <w:highlight w:val="none"/>
          <w:lang w:val="en-US" w:eastAsia="zh-CN"/>
        </w:rPr>
        <w:t>合同期满后，未出现异常情况的将予以全额退还</w:t>
      </w:r>
      <w:r>
        <w:rPr>
          <w:rFonts w:hint="eastAsia" w:cs="宋体"/>
          <w:i w:val="0"/>
          <w:iCs w:val="0"/>
          <w:caps w:val="0"/>
          <w:color w:val="auto"/>
          <w:spacing w:val="0"/>
          <w:sz w:val="21"/>
          <w:szCs w:val="21"/>
          <w:highlight w:val="none"/>
          <w:lang w:val="en-US" w:eastAsia="zh-CN"/>
        </w:rPr>
        <w:t>（不计利息）</w:t>
      </w:r>
      <w:r>
        <w:rPr>
          <w:rFonts w:hint="eastAsia" w:ascii="宋体" w:hAnsi="宋体" w:eastAsia="宋体" w:cs="宋体"/>
          <w:i w:val="0"/>
          <w:iCs w:val="0"/>
          <w:caps w:val="0"/>
          <w:color w:val="auto"/>
          <w:spacing w:val="0"/>
          <w:sz w:val="21"/>
          <w:szCs w:val="21"/>
          <w:highlight w:val="none"/>
          <w:lang w:val="en-US" w:eastAsia="zh-CN"/>
        </w:rPr>
        <w:t>。</w:t>
      </w:r>
    </w:p>
    <w:p>
      <w:pPr>
        <w:pStyle w:val="27"/>
        <w:keepNext w:val="0"/>
        <w:keepLines w:val="0"/>
        <w:pageBreakBefore w:val="0"/>
        <w:widowControl w:val="0"/>
        <w:kinsoku/>
        <w:wordWrap/>
        <w:overflowPunct/>
        <w:topLinePunct w:val="0"/>
        <w:autoSpaceDE/>
        <w:autoSpaceDN/>
        <w:bidi w:val="0"/>
        <w:adjustRightInd/>
        <w:snapToGrid/>
        <w:spacing w:after="0" w:line="312" w:lineRule="auto"/>
        <w:ind w:left="0" w:leftChars="0"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五、逾期缴纳相关规定及处理：</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i w:val="0"/>
          <w:iCs w:val="0"/>
          <w:caps w:val="0"/>
          <w:color w:val="auto"/>
          <w:spacing w:val="0"/>
          <w:sz w:val="21"/>
          <w:szCs w:val="21"/>
          <w:highlight w:val="none"/>
          <w:lang w:val="en-US" w:eastAsia="zh-CN"/>
        </w:rPr>
        <w:t>设施使用费</w:t>
      </w:r>
      <w:r>
        <w:rPr>
          <w:rStyle w:val="32"/>
          <w:rFonts w:hint="eastAsia" w:ascii="宋体" w:hAnsi="宋体" w:eastAsia="宋体" w:cs="宋体"/>
          <w:b/>
          <w:bCs/>
          <w:i w:val="0"/>
          <w:iCs w:val="0"/>
          <w:caps w:val="0"/>
          <w:color w:val="auto"/>
          <w:spacing w:val="0"/>
          <w:sz w:val="21"/>
          <w:szCs w:val="21"/>
          <w:highlight w:val="none"/>
        </w:rPr>
        <w:t>逾期缴纳</w:t>
      </w:r>
      <w:r>
        <w:rPr>
          <w:rFonts w:hint="eastAsia" w:ascii="宋体" w:hAnsi="宋体" w:eastAsia="宋体" w:cs="宋体"/>
          <w:i w:val="0"/>
          <w:iCs w:val="0"/>
          <w:caps w:val="0"/>
          <w:color w:val="auto"/>
          <w:spacing w:val="0"/>
          <w:sz w:val="21"/>
          <w:szCs w:val="21"/>
          <w:highlight w:val="none"/>
        </w:rPr>
        <w:t>：若</w:t>
      </w:r>
      <w:r>
        <w:rPr>
          <w:rFonts w:hint="eastAsia" w:ascii="宋体" w:hAnsi="宋体" w:eastAsia="宋体" w:cs="宋体"/>
          <w:i w:val="0"/>
          <w:iCs w:val="0"/>
          <w:caps w:val="0"/>
          <w:color w:val="auto"/>
          <w:spacing w:val="0"/>
          <w:sz w:val="21"/>
          <w:szCs w:val="21"/>
          <w:highlight w:val="none"/>
          <w:lang w:val="en-US" w:eastAsia="zh-CN"/>
        </w:rPr>
        <w:t>运营方</w:t>
      </w:r>
      <w:r>
        <w:rPr>
          <w:rFonts w:hint="eastAsia" w:ascii="宋体" w:hAnsi="宋体" w:eastAsia="宋体" w:cs="宋体"/>
          <w:i w:val="0"/>
          <w:iCs w:val="0"/>
          <w:caps w:val="0"/>
          <w:color w:val="auto"/>
          <w:spacing w:val="0"/>
          <w:sz w:val="21"/>
          <w:szCs w:val="21"/>
          <w:highlight w:val="none"/>
        </w:rPr>
        <w:t>未按照合同约定时间缴纳</w:t>
      </w:r>
      <w:r>
        <w:rPr>
          <w:rFonts w:hint="eastAsia" w:ascii="宋体" w:hAnsi="宋体" w:eastAsia="宋体" w:cs="宋体"/>
          <w:i w:val="0"/>
          <w:iCs w:val="0"/>
          <w:caps w:val="0"/>
          <w:color w:val="auto"/>
          <w:spacing w:val="0"/>
          <w:sz w:val="21"/>
          <w:szCs w:val="21"/>
          <w:highlight w:val="none"/>
          <w:lang w:eastAsia="zh-CN"/>
        </w:rPr>
        <w:t>设施使用费</w:t>
      </w:r>
      <w:r>
        <w:rPr>
          <w:rFonts w:hint="eastAsia" w:ascii="宋体" w:hAnsi="宋体" w:eastAsia="宋体" w:cs="宋体"/>
          <w:i w:val="0"/>
          <w:iCs w:val="0"/>
          <w:caps w:val="0"/>
          <w:color w:val="auto"/>
          <w:spacing w:val="0"/>
          <w:sz w:val="21"/>
          <w:szCs w:val="21"/>
          <w:highlight w:val="none"/>
        </w:rPr>
        <w:t>，</w:t>
      </w:r>
      <w:r>
        <w:rPr>
          <w:rFonts w:hint="eastAsia" w:ascii="宋体" w:hAnsi="宋体" w:eastAsia="宋体" w:cs="宋体"/>
          <w:i w:val="0"/>
          <w:iCs w:val="0"/>
          <w:caps w:val="0"/>
          <w:color w:val="auto"/>
          <w:spacing w:val="0"/>
          <w:sz w:val="21"/>
          <w:szCs w:val="21"/>
          <w:highlight w:val="none"/>
          <w:lang w:val="en-US" w:eastAsia="zh-CN"/>
        </w:rPr>
        <w:t>每超期1天，按应收设施使用费金额的1‰收取滞纳金。若超期2个月未缴纳设施使用费，则按运营方违约处理，解除运营合同</w:t>
      </w:r>
      <w:r>
        <w:rPr>
          <w:rFonts w:hint="eastAsia" w:ascii="宋体" w:hAnsi="宋体" w:eastAsia="宋体" w:cs="宋体"/>
          <w:i w:val="0"/>
          <w:iCs w:val="0"/>
          <w:caps w:val="0"/>
          <w:color w:val="auto"/>
          <w:spacing w:val="0"/>
          <w:sz w:val="21"/>
          <w:szCs w:val="21"/>
          <w:highlight w:val="none"/>
        </w:rPr>
        <w:t>，并要求</w:t>
      </w:r>
      <w:r>
        <w:rPr>
          <w:rFonts w:hint="eastAsia" w:ascii="宋体" w:hAnsi="宋体" w:eastAsia="宋体" w:cs="宋体"/>
          <w:i w:val="0"/>
          <w:iCs w:val="0"/>
          <w:caps w:val="0"/>
          <w:color w:val="auto"/>
          <w:spacing w:val="0"/>
          <w:sz w:val="21"/>
          <w:szCs w:val="21"/>
          <w:highlight w:val="none"/>
          <w:lang w:val="en-US" w:eastAsia="zh-CN"/>
        </w:rPr>
        <w:t>运营方</w:t>
      </w:r>
      <w:r>
        <w:rPr>
          <w:rFonts w:hint="eastAsia" w:ascii="宋体" w:hAnsi="宋体" w:eastAsia="宋体" w:cs="宋体"/>
          <w:i w:val="0"/>
          <w:iCs w:val="0"/>
          <w:caps w:val="0"/>
          <w:color w:val="auto"/>
          <w:spacing w:val="0"/>
          <w:sz w:val="21"/>
          <w:szCs w:val="21"/>
          <w:highlight w:val="none"/>
        </w:rPr>
        <w:t>赔偿因逾期缴纳给甲方造成的全部损失，包括但不限于资金占用损失、项目运营受阻损失等。</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rPr>
        <w:t>风险保证金逾期缴纳：</w:t>
      </w:r>
      <w:r>
        <w:rPr>
          <w:rFonts w:hint="eastAsia" w:ascii="宋体" w:hAnsi="宋体" w:eastAsia="宋体" w:cs="宋体"/>
          <w:i w:val="0"/>
          <w:iCs w:val="0"/>
          <w:caps w:val="0"/>
          <w:color w:val="auto"/>
          <w:spacing w:val="0"/>
          <w:sz w:val="21"/>
          <w:szCs w:val="21"/>
          <w:highlight w:val="none"/>
        </w:rPr>
        <w:t>若</w:t>
      </w:r>
      <w:r>
        <w:rPr>
          <w:rFonts w:hint="eastAsia" w:ascii="宋体" w:hAnsi="宋体" w:eastAsia="宋体" w:cs="宋体"/>
          <w:i w:val="0"/>
          <w:iCs w:val="0"/>
          <w:caps w:val="0"/>
          <w:color w:val="auto"/>
          <w:spacing w:val="0"/>
          <w:sz w:val="21"/>
          <w:szCs w:val="21"/>
          <w:highlight w:val="none"/>
          <w:lang w:val="en-US" w:eastAsia="zh-CN"/>
        </w:rPr>
        <w:t>运营方</w:t>
      </w:r>
      <w:r>
        <w:rPr>
          <w:rFonts w:hint="eastAsia" w:ascii="宋体" w:hAnsi="宋体" w:eastAsia="宋体" w:cs="宋体"/>
          <w:i w:val="0"/>
          <w:iCs w:val="0"/>
          <w:caps w:val="0"/>
          <w:color w:val="auto"/>
          <w:spacing w:val="0"/>
          <w:sz w:val="21"/>
          <w:szCs w:val="21"/>
          <w:highlight w:val="none"/>
        </w:rPr>
        <w:t>未在合同签订之日起</w:t>
      </w:r>
      <w:r>
        <w:rPr>
          <w:rFonts w:hint="eastAsia" w:ascii="宋体" w:hAnsi="宋体" w:eastAsia="宋体" w:cs="宋体"/>
          <w:i w:val="0"/>
          <w:iCs w:val="0"/>
          <w:caps w:val="0"/>
          <w:color w:val="auto"/>
          <w:spacing w:val="0"/>
          <w:sz w:val="21"/>
          <w:szCs w:val="21"/>
          <w:highlight w:val="none"/>
          <w:lang w:val="en-US" w:eastAsia="zh-CN"/>
        </w:rPr>
        <w:t>7日历天</w:t>
      </w:r>
      <w:r>
        <w:rPr>
          <w:rFonts w:hint="eastAsia" w:ascii="宋体" w:hAnsi="宋体" w:eastAsia="宋体" w:cs="宋体"/>
          <w:i w:val="0"/>
          <w:iCs w:val="0"/>
          <w:caps w:val="0"/>
          <w:color w:val="auto"/>
          <w:spacing w:val="0"/>
          <w:sz w:val="21"/>
          <w:szCs w:val="21"/>
          <w:highlight w:val="none"/>
        </w:rPr>
        <w:t>内缴纳风险保证金，每逾期一日，应按照风险保证金总额的</w:t>
      </w:r>
      <w:r>
        <w:rPr>
          <w:rFonts w:hint="eastAsia" w:ascii="宋体" w:hAnsi="宋体" w:eastAsia="宋体" w:cs="宋体"/>
          <w:i w:val="0"/>
          <w:iCs w:val="0"/>
          <w:caps w:val="0"/>
          <w:color w:val="auto"/>
          <w:spacing w:val="0"/>
          <w:sz w:val="21"/>
          <w:szCs w:val="21"/>
          <w:highlight w:val="none"/>
          <w:lang w:val="en-US" w:eastAsia="zh-CN"/>
        </w:rPr>
        <w:t>5‰</w:t>
      </w:r>
      <w:r>
        <w:rPr>
          <w:rFonts w:hint="eastAsia" w:ascii="宋体" w:hAnsi="宋体" w:eastAsia="宋体" w:cs="宋体"/>
          <w:i w:val="0"/>
          <w:iCs w:val="0"/>
          <w:caps w:val="0"/>
          <w:color w:val="auto"/>
          <w:spacing w:val="0"/>
          <w:sz w:val="21"/>
          <w:szCs w:val="21"/>
          <w:highlight w:val="none"/>
        </w:rPr>
        <w:t xml:space="preserve"> 向甲方支付违约金。逾期超过 </w:t>
      </w:r>
      <w:r>
        <w:rPr>
          <w:rFonts w:hint="eastAsia" w:ascii="宋体" w:hAnsi="宋体" w:eastAsia="宋体" w:cs="宋体"/>
          <w:i w:val="0"/>
          <w:iCs w:val="0"/>
          <w:caps w:val="0"/>
          <w:color w:val="auto"/>
          <w:spacing w:val="0"/>
          <w:sz w:val="21"/>
          <w:szCs w:val="21"/>
          <w:highlight w:val="none"/>
          <w:lang w:val="en-US" w:eastAsia="zh-CN"/>
        </w:rPr>
        <w:t>15</w:t>
      </w:r>
      <w:r>
        <w:rPr>
          <w:rFonts w:hint="eastAsia" w:ascii="宋体" w:hAnsi="宋体" w:eastAsia="宋体" w:cs="宋体"/>
          <w:i w:val="0"/>
          <w:iCs w:val="0"/>
          <w:caps w:val="0"/>
          <w:color w:val="auto"/>
          <w:spacing w:val="0"/>
          <w:sz w:val="21"/>
          <w:szCs w:val="21"/>
          <w:highlight w:val="none"/>
        </w:rPr>
        <w:t>日的，甲方有权终止合同，并没收</w:t>
      </w:r>
      <w:r>
        <w:rPr>
          <w:rFonts w:hint="eastAsia" w:ascii="宋体" w:hAnsi="宋体" w:eastAsia="宋体" w:cs="宋体"/>
          <w:i w:val="0"/>
          <w:iCs w:val="0"/>
          <w:caps w:val="0"/>
          <w:color w:val="auto"/>
          <w:spacing w:val="0"/>
          <w:sz w:val="21"/>
          <w:szCs w:val="21"/>
          <w:highlight w:val="none"/>
          <w:lang w:val="en-US" w:eastAsia="zh-CN"/>
        </w:rPr>
        <w:t>运营方</w:t>
      </w:r>
      <w:r>
        <w:rPr>
          <w:rFonts w:hint="eastAsia" w:ascii="宋体" w:hAnsi="宋体" w:eastAsia="宋体" w:cs="宋体"/>
          <w:i w:val="0"/>
          <w:iCs w:val="0"/>
          <w:caps w:val="0"/>
          <w:color w:val="auto"/>
          <w:spacing w:val="0"/>
          <w:sz w:val="21"/>
          <w:szCs w:val="21"/>
          <w:highlight w:val="none"/>
        </w:rPr>
        <w:t>已缴纳的部分风险保证金（如有），同时</w:t>
      </w:r>
      <w:r>
        <w:rPr>
          <w:rFonts w:hint="eastAsia" w:ascii="宋体" w:hAnsi="宋体" w:eastAsia="宋体" w:cs="宋体"/>
          <w:i w:val="0"/>
          <w:iCs w:val="0"/>
          <w:caps w:val="0"/>
          <w:color w:val="auto"/>
          <w:spacing w:val="0"/>
          <w:sz w:val="21"/>
          <w:szCs w:val="21"/>
          <w:highlight w:val="none"/>
          <w:lang w:val="en-US" w:eastAsia="zh-CN"/>
        </w:rPr>
        <w:t>运营方</w:t>
      </w:r>
      <w:r>
        <w:rPr>
          <w:rFonts w:hint="eastAsia" w:ascii="宋体" w:hAnsi="宋体" w:eastAsia="宋体" w:cs="宋体"/>
          <w:i w:val="0"/>
          <w:iCs w:val="0"/>
          <w:caps w:val="0"/>
          <w:color w:val="auto"/>
          <w:spacing w:val="0"/>
          <w:sz w:val="21"/>
          <w:szCs w:val="21"/>
          <w:highlight w:val="none"/>
        </w:rPr>
        <w:t>应承担因逾期缴纳导致合同无法正常履行的法律责任和经济赔偿责任。</w:t>
      </w:r>
    </w:p>
    <w:p>
      <w:pPr>
        <w:pStyle w:val="27"/>
        <w:numPr>
          <w:ilvl w:val="0"/>
          <w:numId w:val="0"/>
        </w:numPr>
        <w:outlineLvl w:val="1"/>
        <w:rPr>
          <w:rFonts w:hint="eastAsia" w:ascii="宋体" w:hAnsi="宋体" w:eastAsia="宋体" w:cs="宋体"/>
          <w:b/>
          <w:bCs/>
          <w:color w:val="auto"/>
          <w:sz w:val="21"/>
          <w:szCs w:val="21"/>
          <w:highlight w:val="none"/>
          <w:lang w:val="en-US" w:eastAsia="zh-CN"/>
        </w:rPr>
      </w:pPr>
      <w:bookmarkStart w:id="254" w:name="_Toc20949"/>
      <w:r>
        <w:rPr>
          <w:rFonts w:hint="eastAsia" w:ascii="宋体" w:hAnsi="宋体" w:eastAsia="宋体" w:cs="宋体"/>
          <w:b/>
          <w:bCs/>
          <w:color w:val="auto"/>
          <w:sz w:val="21"/>
          <w:szCs w:val="21"/>
          <w:highlight w:val="none"/>
          <w:lang w:val="en-US" w:eastAsia="zh-CN"/>
        </w:rPr>
        <w:t>六、拟投入人员要求</w:t>
      </w:r>
      <w:bookmarkEnd w:id="254"/>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jc w:val="left"/>
        <w:textAlignment w:val="auto"/>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lang w:val="en-US" w:eastAsia="zh-CN"/>
        </w:rPr>
        <w:t>（一）岗位类型：</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lang w:val="en-US" w:eastAsia="zh-CN"/>
        </w:rPr>
        <w:t>养老机构应设置管理岗位、专业技术岗位和工勤技能岗位等岗位。</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jc w:val="left"/>
        <w:textAlignment w:val="auto"/>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lang w:val="en-US" w:eastAsia="zh-CN"/>
        </w:rPr>
        <w:t>（二）岗位要求：</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2"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1、管理岗位：</w:t>
      </w:r>
      <w:r>
        <w:rPr>
          <w:rFonts w:hint="eastAsia" w:ascii="宋体" w:hAnsi="宋体" w:eastAsia="宋体" w:cs="宋体"/>
          <w:i w:val="0"/>
          <w:iCs w:val="0"/>
          <w:caps w:val="0"/>
          <w:color w:val="auto"/>
          <w:spacing w:val="0"/>
          <w:sz w:val="21"/>
          <w:szCs w:val="21"/>
          <w:highlight w:val="none"/>
          <w:lang w:val="en-US" w:eastAsia="zh-CN"/>
        </w:rPr>
        <w:t>管理岗位为承担领导职责或管理任务的工作岗位，包括但不限于养老机构院长、副院长、内设部门负责人岗位。养老机构院长、副院长文化程度应养老机构院长、副院长具有初中及以上文化程度，具有养老服务专业知识；养老机构内设部门负责人应具有相关资质及专业知识技能。</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2"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
          <w:bCs/>
          <w:i w:val="0"/>
          <w:iCs w:val="0"/>
          <w:caps w:val="0"/>
          <w:color w:val="auto"/>
          <w:spacing w:val="0"/>
          <w:sz w:val="21"/>
          <w:szCs w:val="21"/>
          <w:highlight w:val="none"/>
          <w:lang w:val="en-US" w:eastAsia="zh-CN"/>
        </w:rPr>
        <w:t>2、专业技术岗位：</w:t>
      </w:r>
      <w:r>
        <w:rPr>
          <w:rFonts w:hint="eastAsia" w:ascii="宋体" w:hAnsi="宋体" w:eastAsia="宋体" w:cs="宋体"/>
          <w:i w:val="0"/>
          <w:iCs w:val="0"/>
          <w:caps w:val="0"/>
          <w:color w:val="auto"/>
          <w:spacing w:val="0"/>
          <w:sz w:val="21"/>
          <w:szCs w:val="21"/>
          <w:highlight w:val="none"/>
          <w:lang w:val="en-US" w:eastAsia="zh-CN"/>
        </w:rPr>
        <w:t>专业技术岗位为承担专业技术工作职责、具有相应专业技术水平和能力要求的工作岗位，包括但不限于医疗、护理、康复、社会工作、健康管理岗位。</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2" w:firstLineChars="200"/>
        <w:jc w:val="left"/>
        <w:textAlignment w:val="auto"/>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lang w:val="en-US" w:eastAsia="zh-CN"/>
        </w:rPr>
        <w:t>3、工勤技能岗位：</w:t>
      </w:r>
      <w:r>
        <w:rPr>
          <w:rFonts w:hint="eastAsia" w:ascii="宋体" w:hAnsi="宋体" w:eastAsia="宋体" w:cs="宋体"/>
          <w:i w:val="0"/>
          <w:iCs w:val="0"/>
          <w:caps w:val="0"/>
          <w:color w:val="auto"/>
          <w:spacing w:val="0"/>
          <w:sz w:val="21"/>
          <w:szCs w:val="21"/>
          <w:highlight w:val="none"/>
          <w:lang w:val="en-US" w:eastAsia="zh-CN"/>
        </w:rPr>
        <w:t>工勤技能岗位为承担技能操作和维护、后勤保障、服务等职责的工作岗位，包括但不限于养老护理、维修维护、保洁绿化、特种作业、消防设施操作、信息管理、档案管理、接待管理、会计、出纳、厨师、门卫、洗涤岗位。</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jc w:val="left"/>
        <w:textAlignment w:val="auto"/>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lang w:val="en-US" w:eastAsia="zh-CN"/>
        </w:rPr>
        <w:t>（三）人员配备要求：</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1、养老机构管理岗位人员的配备数量应根据机构规模、服务对象、老年人能力状况、功能定位等进行合理配备，达到满足运营管理的需求。应配备专职院长或副院长。</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b w:val="0"/>
          <w:bCs w:val="0"/>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lang w:val="en-US" w:eastAsia="zh-CN"/>
        </w:rPr>
        <w:t xml:space="preserve">养老机构专业技术岗位人员的配备数量应满足专业技术服务工作开展的需求，配备要求如下： </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cs="宋体"/>
          <w:i w:val="0"/>
          <w:iCs w:val="0"/>
          <w:caps w:val="0"/>
          <w:color w:val="auto"/>
          <w:spacing w:val="0"/>
          <w:sz w:val="21"/>
          <w:szCs w:val="21"/>
          <w:highlight w:val="none"/>
          <w:lang w:val="en-US" w:eastAsia="zh-CN"/>
        </w:rPr>
        <w:t>1</w:t>
      </w:r>
      <w:r>
        <w:rPr>
          <w:rFonts w:hint="eastAsia" w:ascii="宋体" w:hAnsi="宋体" w:eastAsia="宋体" w:cs="宋体"/>
          <w:i w:val="0"/>
          <w:iCs w:val="0"/>
          <w:caps w:val="0"/>
          <w:color w:val="auto"/>
          <w:spacing w:val="0"/>
          <w:sz w:val="21"/>
          <w:szCs w:val="21"/>
          <w:highlight w:val="none"/>
          <w:lang w:val="en-US" w:eastAsia="zh-CN"/>
        </w:rPr>
        <w:t>）专业技术人员应持有与岗位相适应的有效专业资格证书或执业证书。社会工作者、健康管理师应取得相应的职业资格证书；</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cs="宋体"/>
          <w:i w:val="0"/>
          <w:iCs w:val="0"/>
          <w:caps w:val="0"/>
          <w:color w:val="auto"/>
          <w:spacing w:val="0"/>
          <w:sz w:val="21"/>
          <w:szCs w:val="21"/>
          <w:highlight w:val="none"/>
          <w:lang w:val="en-US" w:eastAsia="zh-CN"/>
        </w:rPr>
        <w:t>2</w:t>
      </w:r>
      <w:r>
        <w:rPr>
          <w:rFonts w:hint="eastAsia" w:ascii="宋体" w:hAnsi="宋体" w:eastAsia="宋体" w:cs="宋体"/>
          <w:i w:val="0"/>
          <w:iCs w:val="0"/>
          <w:caps w:val="0"/>
          <w:color w:val="auto"/>
          <w:spacing w:val="0"/>
          <w:sz w:val="21"/>
          <w:szCs w:val="21"/>
          <w:highlight w:val="none"/>
          <w:lang w:val="en-US" w:eastAsia="zh-CN"/>
        </w:rPr>
        <w:t>）养老机构应每200名老年人（不足200名的按200名计算）配备1名社会工作者；</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w:t>
      </w:r>
      <w:r>
        <w:rPr>
          <w:rFonts w:hint="eastAsia" w:ascii="宋体" w:hAnsi="宋体" w:cs="宋体"/>
          <w:i w:val="0"/>
          <w:iCs w:val="0"/>
          <w:caps w:val="0"/>
          <w:color w:val="auto"/>
          <w:spacing w:val="0"/>
          <w:sz w:val="21"/>
          <w:szCs w:val="21"/>
          <w:highlight w:val="none"/>
          <w:lang w:val="en-US" w:eastAsia="zh-CN"/>
        </w:rPr>
        <w:t>3</w:t>
      </w:r>
      <w:r>
        <w:rPr>
          <w:rFonts w:hint="eastAsia" w:ascii="宋体" w:hAnsi="宋体" w:eastAsia="宋体" w:cs="宋体"/>
          <w:i w:val="0"/>
          <w:iCs w:val="0"/>
          <w:caps w:val="0"/>
          <w:color w:val="auto"/>
          <w:spacing w:val="0"/>
          <w:sz w:val="21"/>
          <w:szCs w:val="21"/>
          <w:highlight w:val="none"/>
          <w:lang w:val="en-US" w:eastAsia="zh-CN"/>
        </w:rPr>
        <w:t>）养老机构应配备专职或兼职健康管理师。</w:t>
      </w:r>
    </w:p>
    <w:p>
      <w:pPr>
        <w:keepNext w:val="0"/>
        <w:keepLines w:val="0"/>
        <w:pageBreakBefore w:val="0"/>
        <w:widowControl/>
        <w:numPr>
          <w:ilvl w:val="0"/>
          <w:numId w:val="0"/>
        </w:numPr>
        <w:suppressLineNumbers w:val="0"/>
        <w:pBdr>
          <w:left w:val="none" w:color="auto" w:sz="0" w:space="0"/>
        </w:pBdr>
        <w:kinsoku/>
        <w:wordWrap w:val="0"/>
        <w:overflowPunct/>
        <w:topLinePunct w:val="0"/>
        <w:autoSpaceDE/>
        <w:autoSpaceDN/>
        <w:bidi w:val="0"/>
        <w:adjustRightInd/>
        <w:snapToGrid/>
        <w:spacing w:before="0" w:beforeAutospacing="0" w:after="0" w:afterAutospacing="0" w:line="312" w:lineRule="auto"/>
        <w:ind w:firstLine="420" w:firstLineChars="200"/>
        <w:jc w:val="left"/>
        <w:textAlignment w:val="auto"/>
        <w:rPr>
          <w:rFonts w:hint="eastAsia" w:ascii="宋体" w:hAnsi="宋体" w:eastAsia="宋体" w:cs="宋体"/>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3、养老机构工勤技能岗位人员的配备数量应根据机构规模、老年人能力状况、入住老年人人数、服务需求、功能定位等进行合理配备，达到满足技能操作和维护、后勤保障和服务工作开展的要求。其中，养老机构应按照实际入住老年人数量配备提供直接护理服务的专职养老护理员，配备比例应不低于表1中下限值的要求。养老护理员应经培训合格后上岗。特种作业人员、消防设施操作人员和会计等应具备相应上岗资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1"/>
          <w:szCs w:val="21"/>
          <w:highlight w:val="none"/>
        </w:rPr>
        <w:drawing>
          <wp:inline distT="0" distB="0" distL="114300" distR="114300">
            <wp:extent cx="6006465" cy="1061720"/>
            <wp:effectExtent l="0" t="0" r="1333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6006465" cy="1061720"/>
                    </a:xfrm>
                    <a:prstGeom prst="rect">
                      <a:avLst/>
                    </a:prstGeom>
                    <a:noFill/>
                    <a:ln>
                      <a:noFill/>
                    </a:ln>
                  </pic:spPr>
                </pic:pic>
              </a:graphicData>
            </a:graphic>
          </wp:inline>
        </w:drawing>
      </w:r>
    </w:p>
    <w:bookmarkEnd w:id="240"/>
    <w:bookmarkEnd w:id="241"/>
    <w:p>
      <w:pPr>
        <w:rPr>
          <w:rFonts w:hint="eastAsia" w:ascii="宋体" w:hAnsi="宋体" w:eastAsia="宋体" w:cs="宋体"/>
          <w:color w:val="auto"/>
          <w:highlight w:val="none"/>
        </w:rPr>
      </w:pPr>
      <w:bookmarkStart w:id="255" w:name="_Toc21487"/>
      <w:bookmarkStart w:id="256" w:name="_Toc23480"/>
      <w:r>
        <w:rPr>
          <w:rFonts w:hint="eastAsia" w:ascii="宋体" w:hAnsi="宋体" w:eastAsia="宋体" w:cs="宋体"/>
          <w:color w:val="auto"/>
          <w:highlight w:val="none"/>
        </w:rPr>
        <w:br w:type="page"/>
      </w:r>
    </w:p>
    <w:p>
      <w:pPr>
        <w:pStyle w:val="26"/>
        <w:spacing w:beforeAutospacing="0" w:afterAutospacing="0" w:line="400" w:lineRule="exact"/>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cs="宋体"/>
          <w:color w:val="auto"/>
          <w:highlight w:val="none"/>
          <w:lang w:val="en-US" w:eastAsia="zh-CN"/>
        </w:rPr>
        <w:t>六</w:t>
      </w:r>
      <w:r>
        <w:rPr>
          <w:rFonts w:hint="eastAsia" w:ascii="宋体" w:hAnsi="宋体" w:eastAsia="宋体" w:cs="宋体"/>
          <w:color w:val="auto"/>
          <w:highlight w:val="none"/>
        </w:rPr>
        <w:t>章  投标文件格式</w:t>
      </w:r>
      <w:bookmarkEnd w:id="255"/>
      <w:bookmarkEnd w:id="256"/>
    </w:p>
    <w:p>
      <w:pPr>
        <w:spacing w:beforeAutospacing="0" w:afterAutospacing="0" w:line="400" w:lineRule="exact"/>
        <w:jc w:val="center"/>
        <w:rPr>
          <w:rFonts w:hint="eastAsia" w:ascii="宋体" w:hAnsi="宋体" w:eastAsia="宋体" w:cs="宋体"/>
          <w:color w:val="auto"/>
          <w:sz w:val="32"/>
          <w:szCs w:val="32"/>
          <w:highlight w:val="none"/>
        </w:rPr>
      </w:pPr>
    </w:p>
    <w:p>
      <w:pPr>
        <w:pStyle w:val="27"/>
        <w:spacing w:beforeAutospacing="0" w:afterAutospacing="0" w:line="400" w:lineRule="exact"/>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（封面格式）</w:t>
      </w:r>
    </w:p>
    <w:p>
      <w:pPr>
        <w:pStyle w:val="27"/>
        <w:spacing w:beforeAutospacing="0" w:afterAutospacing="0" w:line="400" w:lineRule="exact"/>
        <w:ind w:firstLine="210"/>
        <w:rPr>
          <w:rFonts w:hint="eastAsia" w:ascii="宋体" w:hAnsi="宋体" w:eastAsia="宋体" w:cs="宋体"/>
          <w:color w:val="auto"/>
          <w:highlight w:val="none"/>
        </w:rPr>
      </w:pPr>
    </w:p>
    <w:p>
      <w:pPr>
        <w:pStyle w:val="27"/>
        <w:spacing w:beforeAutospacing="0" w:afterAutospacing="0" w:line="400" w:lineRule="exact"/>
        <w:ind w:firstLine="21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p>
    <w:p>
      <w:pPr>
        <w:spacing w:beforeAutospacing="0" w:afterAutospacing="0" w:line="400" w:lineRule="exact"/>
        <w:jc w:val="center"/>
        <w:rPr>
          <w:rFonts w:hint="eastAsia" w:ascii="宋体" w:hAnsi="宋体" w:eastAsia="宋体" w:cs="宋体"/>
          <w:color w:val="auto"/>
          <w:kern w:val="0"/>
          <w:sz w:val="32"/>
          <w:szCs w:val="32"/>
          <w:highlight w:val="none"/>
          <w:u w:val="single"/>
        </w:rPr>
      </w:pPr>
    </w:p>
    <w:p>
      <w:pPr>
        <w:spacing w:beforeAutospacing="0" w:afterAutospacing="0" w:line="400" w:lineRule="exact"/>
        <w:jc w:val="center"/>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u w:val="single"/>
        </w:rPr>
        <w:t xml:space="preserve">                </w:t>
      </w:r>
      <w:r>
        <w:rPr>
          <w:rFonts w:hint="eastAsia" w:ascii="宋体" w:hAnsi="宋体" w:eastAsia="宋体" w:cs="宋体"/>
          <w:color w:val="auto"/>
          <w:kern w:val="0"/>
          <w:sz w:val="32"/>
          <w:szCs w:val="32"/>
          <w:highlight w:val="none"/>
        </w:rPr>
        <w:t>（项目名称）</w:t>
      </w:r>
    </w:p>
    <w:p>
      <w:pPr>
        <w:pStyle w:val="51"/>
        <w:ind w:firstLine="880"/>
        <w:rPr>
          <w:rFonts w:hint="eastAsia" w:ascii="宋体" w:hAnsi="宋体" w:eastAsia="宋体" w:cs="宋体"/>
          <w:color w:val="auto"/>
          <w:highlight w:val="none"/>
        </w:rPr>
      </w:pPr>
    </w:p>
    <w:p>
      <w:pPr>
        <w:spacing w:beforeLines="100" w:beforeAutospacing="0" w:afterAutospacing="0" w:line="400" w:lineRule="exact"/>
        <w:jc w:val="center"/>
        <w:rPr>
          <w:rFonts w:hint="eastAsia" w:ascii="宋体" w:hAnsi="宋体" w:eastAsia="宋体" w:cs="宋体"/>
          <w:color w:val="auto"/>
          <w:sz w:val="44"/>
          <w:szCs w:val="44"/>
          <w:highlight w:val="none"/>
        </w:rPr>
      </w:pPr>
    </w:p>
    <w:p>
      <w:pPr>
        <w:spacing w:beforeLines="100" w:beforeAutospacing="0" w:afterAutospacing="0" w:line="400" w:lineRule="exact"/>
        <w:jc w:val="center"/>
        <w:rPr>
          <w:rFonts w:hint="eastAsia" w:ascii="宋体" w:hAnsi="宋体" w:eastAsia="宋体" w:cs="宋体"/>
          <w:color w:val="auto"/>
          <w:sz w:val="44"/>
          <w:szCs w:val="44"/>
          <w:highlight w:val="none"/>
        </w:rPr>
      </w:pPr>
    </w:p>
    <w:p>
      <w:pPr>
        <w:spacing w:beforeLines="100" w:beforeAutospacing="0" w:afterAutospacing="0" w:line="40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  标  文  件</w:t>
      </w: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32"/>
          <w:szCs w:val="32"/>
          <w:highlight w:val="none"/>
        </w:rPr>
      </w:pPr>
    </w:p>
    <w:p>
      <w:pPr>
        <w:spacing w:beforeAutospacing="0" w:afterAutospacing="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（单位电子签章）</w:t>
      </w:r>
    </w:p>
    <w:p>
      <w:pPr>
        <w:spacing w:beforeAutospacing="0" w:afterAutospacing="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（电子签名或盖章）</w:t>
      </w:r>
    </w:p>
    <w:p>
      <w:pPr>
        <w:spacing w:beforeAutospacing="0" w:afterAutospacing="0"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beforeAutospacing="0" w:afterAutospacing="0" w:line="400" w:lineRule="exact"/>
        <w:rPr>
          <w:rFonts w:hint="eastAsia" w:ascii="宋体" w:hAnsi="宋体" w:eastAsia="宋体" w:cs="宋体"/>
          <w:bCs/>
          <w:color w:val="auto"/>
          <w:sz w:val="24"/>
          <w:highlight w:val="none"/>
        </w:rPr>
      </w:pPr>
    </w:p>
    <w:p>
      <w:pPr>
        <w:pStyle w:val="27"/>
        <w:spacing w:beforeAutospacing="0" w:afterAutospacing="0" w:line="400" w:lineRule="exact"/>
        <w:ind w:firstLine="0" w:firstLineChars="0"/>
        <w:rPr>
          <w:rFonts w:hint="eastAsia" w:ascii="宋体" w:hAnsi="宋体" w:eastAsia="宋体" w:cs="宋体"/>
          <w:color w:val="auto"/>
          <w:highlight w:val="none"/>
        </w:rPr>
      </w:pPr>
    </w:p>
    <w:p>
      <w:pPr>
        <w:pStyle w:val="27"/>
        <w:spacing w:beforeAutospacing="0" w:afterAutospacing="0" w:line="400" w:lineRule="exact"/>
        <w:ind w:firstLine="210"/>
        <w:rPr>
          <w:rFonts w:hint="eastAsia" w:ascii="宋体" w:hAnsi="宋体" w:eastAsia="宋体" w:cs="宋体"/>
          <w:color w:val="auto"/>
          <w:highlight w:val="none"/>
        </w:rPr>
      </w:pPr>
    </w:p>
    <w:p>
      <w:pPr>
        <w:numPr>
          <w:ilvl w:val="0"/>
          <w:numId w:val="0"/>
        </w:numPr>
        <w:spacing w:beforeAutospacing="0" w:afterAutospacing="0" w:line="400" w:lineRule="exact"/>
        <w:ind w:right="210"/>
        <w:jc w:val="center"/>
        <w:outlineLvl w:val="9"/>
        <w:rPr>
          <w:rFonts w:hint="eastAsia" w:ascii="宋体" w:hAnsi="宋体" w:eastAsia="宋体" w:cs="宋体"/>
          <w:color w:val="auto"/>
          <w:sz w:val="36"/>
          <w:szCs w:val="36"/>
          <w:highlight w:val="none"/>
        </w:rPr>
      </w:pPr>
      <w:bookmarkStart w:id="257" w:name="_Toc472337696"/>
      <w:bookmarkEnd w:id="257"/>
      <w:bookmarkStart w:id="258" w:name="_Toc472429341"/>
      <w:bookmarkEnd w:id="258"/>
      <w:r>
        <w:rPr>
          <w:rFonts w:hint="eastAsia" w:ascii="宋体" w:hAnsi="宋体" w:eastAsia="宋体" w:cs="宋体"/>
          <w:color w:val="auto"/>
          <w:sz w:val="36"/>
          <w:szCs w:val="36"/>
          <w:highlight w:val="none"/>
        </w:rPr>
        <w:t>目    录</w:t>
      </w:r>
    </w:p>
    <w:p>
      <w:pPr>
        <w:spacing w:line="360" w:lineRule="auto"/>
        <w:ind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rPr>
      </w:pPr>
      <w:bookmarkStart w:id="259" w:name="_Toc472429342"/>
      <w:bookmarkStart w:id="260" w:name="_Toc472337697"/>
      <w:r>
        <w:rPr>
          <w:rFonts w:hint="eastAsia" w:ascii="宋体" w:hAnsi="宋体" w:eastAsia="宋体" w:cs="宋体"/>
          <w:color w:val="auto"/>
          <w:sz w:val="22"/>
          <w:szCs w:val="22"/>
          <w:highlight w:val="none"/>
        </w:rPr>
        <w:t xml:space="preserve">一、投标函及投标函附录 </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w:t>
      </w:r>
      <w:bookmarkStart w:id="261" w:name="_Toc24066"/>
      <w:bookmarkStart w:id="262" w:name="_Toc152042580"/>
      <w:bookmarkStart w:id="263" w:name="_Toc30503"/>
      <w:bookmarkStart w:id="264" w:name="_Toc247514283"/>
      <w:bookmarkStart w:id="265" w:name="_Toc247527831"/>
      <w:bookmarkStart w:id="266" w:name="_Toc144974860"/>
      <w:bookmarkStart w:id="267" w:name="_Toc152045791"/>
      <w:r>
        <w:rPr>
          <w:rFonts w:hint="eastAsia" w:ascii="宋体" w:hAnsi="宋体" w:eastAsia="宋体" w:cs="宋体"/>
          <w:color w:val="auto"/>
          <w:sz w:val="22"/>
          <w:szCs w:val="22"/>
          <w:highlight w:val="none"/>
        </w:rPr>
        <w:t>法人代表身份证明或附有法定代表人身份证明的授权委托书</w:t>
      </w:r>
      <w:bookmarkEnd w:id="261"/>
    </w:p>
    <w:bookmarkEnd w:id="259"/>
    <w:bookmarkEnd w:id="260"/>
    <w:bookmarkEnd w:id="262"/>
    <w:bookmarkEnd w:id="263"/>
    <w:bookmarkEnd w:id="264"/>
    <w:bookmarkEnd w:id="265"/>
    <w:bookmarkEnd w:id="266"/>
    <w:bookmarkEnd w:id="267"/>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w:t>
      </w:r>
      <w:r>
        <w:rPr>
          <w:rFonts w:hint="eastAsia" w:ascii="宋体" w:hAnsi="宋体" w:eastAsia="宋体" w:cs="宋体"/>
          <w:color w:val="auto"/>
          <w:szCs w:val="28"/>
          <w:highlight w:val="none"/>
          <w:lang w:val="en-US" w:eastAsia="zh-CN"/>
        </w:rPr>
        <w:t>拟投入人员情况表</w:t>
      </w:r>
      <w:bookmarkStart w:id="287" w:name="_GoBack"/>
      <w:bookmarkEnd w:id="287"/>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四</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技术</w:t>
      </w:r>
      <w:r>
        <w:rPr>
          <w:rFonts w:hint="eastAsia" w:ascii="宋体" w:hAnsi="宋体" w:eastAsia="宋体" w:cs="宋体"/>
          <w:color w:val="auto"/>
          <w:sz w:val="22"/>
          <w:szCs w:val="22"/>
          <w:highlight w:val="none"/>
          <w:lang w:eastAsia="zh-CN"/>
        </w:rPr>
        <w:t>方案</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五、</w:t>
      </w:r>
      <w:r>
        <w:rPr>
          <w:rFonts w:hint="eastAsia" w:ascii="宋体" w:hAnsi="宋体" w:eastAsia="宋体" w:cs="宋体"/>
          <w:color w:val="auto"/>
          <w:sz w:val="22"/>
          <w:szCs w:val="22"/>
          <w:highlight w:val="none"/>
        </w:rPr>
        <w:t>资格审查资料</w:t>
      </w:r>
    </w:p>
    <w:p>
      <w:pPr>
        <w:keepNext w:val="0"/>
        <w:keepLines w:val="0"/>
        <w:pageBreakBefore w:val="0"/>
        <w:widowControl w:val="0"/>
        <w:kinsoku/>
        <w:wordWrap/>
        <w:overflowPunct/>
        <w:bidi w:val="0"/>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、其他材料</w:t>
      </w:r>
    </w:p>
    <w:p>
      <w:pPr>
        <w:pStyle w:val="2"/>
        <w:numPr>
          <w:ilvl w:val="0"/>
          <w:numId w:val="0"/>
        </w:numPr>
        <w:tabs>
          <w:tab w:val="left" w:pos="1260"/>
          <w:tab w:val="clear" w:pos="840"/>
        </w:tabs>
        <w:spacing w:beforeAutospacing="0" w:afterAutospacing="0" w:line="400" w:lineRule="exact"/>
        <w:ind w:left="210" w:right="210"/>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68" w:name="_Toc21724"/>
      <w:r>
        <w:rPr>
          <w:rFonts w:hint="eastAsia" w:ascii="宋体" w:hAnsi="宋体" w:eastAsia="宋体" w:cs="宋体"/>
          <w:b/>
          <w:color w:val="auto"/>
          <w:sz w:val="28"/>
          <w:szCs w:val="28"/>
          <w:highlight w:val="none"/>
        </w:rPr>
        <w:t>一、投标函及投标函附录</w:t>
      </w:r>
      <w:bookmarkEnd w:id="268"/>
    </w:p>
    <w:p>
      <w:pPr>
        <w:spacing w:beforeAutospacing="0" w:afterAutospacing="0"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（一）投标函</w:t>
      </w:r>
    </w:p>
    <w:p>
      <w:pPr>
        <w:spacing w:beforeAutospacing="0" w:afterAutospacing="0" w:line="400" w:lineRule="exact"/>
        <w:rPr>
          <w:rFonts w:hint="eastAsia" w:ascii="宋体" w:hAnsi="宋体" w:eastAsia="宋体" w:cs="宋体"/>
          <w:color w:val="auto"/>
          <w:szCs w:val="21"/>
          <w:highlight w:val="none"/>
        </w:rPr>
      </w:pPr>
    </w:p>
    <w:p>
      <w:pPr>
        <w:spacing w:beforeAutospacing="0" w:afterAutospacing="0" w:line="40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（招标人）   </w:t>
      </w:r>
      <w:r>
        <w:rPr>
          <w:rFonts w:hint="eastAsia" w:ascii="宋体" w:hAnsi="宋体" w:eastAsia="宋体" w:cs="宋体"/>
          <w:color w:val="auto"/>
          <w:szCs w:val="21"/>
          <w:highlight w:val="none"/>
          <w:u w:val="none"/>
        </w:rPr>
        <w:t xml:space="preserve"> </w:t>
      </w:r>
    </w:p>
    <w:p>
      <w:pPr>
        <w:spacing w:beforeAutospacing="0" w:afterAutospacing="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我方已仔细研究了</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rPr>
        <w:t>招标文件的全部内容，</w:t>
      </w:r>
      <w:r>
        <w:rPr>
          <w:rFonts w:hint="eastAsia" w:ascii="宋体" w:hAnsi="宋体" w:eastAsia="宋体" w:cs="宋体"/>
          <w:color w:val="auto"/>
          <w:szCs w:val="21"/>
          <w:highlight w:val="none"/>
          <w:lang w:val="en-US" w:eastAsia="zh-CN"/>
        </w:rPr>
        <w:t>愿以投标报价</w:t>
      </w:r>
      <w:r>
        <w:rPr>
          <w:rFonts w:hint="eastAsia" w:ascii="宋体" w:hAnsi="宋体" w:cs="宋体"/>
          <w:color w:val="auto"/>
          <w:szCs w:val="21"/>
          <w:highlight w:val="none"/>
          <w:lang w:val="en-US" w:eastAsia="zh-CN"/>
        </w:rPr>
        <w:t>：</w:t>
      </w:r>
      <w:r>
        <w:rPr>
          <w:rFonts w:hint="eastAsia"/>
          <w:color w:val="auto"/>
          <w:highlight w:val="none"/>
          <w:u w:val="single"/>
          <w:lang w:val="en-US" w:eastAsia="zh-CN"/>
        </w:rPr>
        <w:t>设施使用费10年运营期内分阶段缴纳。第1、2、3年为培育期，免缴纳设施使用费；第4、5、6年为成长期，每年按中心初始投入固定资产评估后的数值总额的90%，向委托方缴纳每年1.5% 的设施使用费；第7、8、9、10 年为发展期，每年按中心初始投入固定资产评估后的数值总额的1.5%向委托方缴纳设施使用费</w:t>
      </w:r>
      <w:r>
        <w:rPr>
          <w:rFonts w:hint="eastAsia"/>
          <w:color w:val="auto"/>
          <w:highlight w:val="none"/>
          <w:lang w:val="en-US" w:eastAsia="zh-CN"/>
        </w:rPr>
        <w:t>。</w:t>
      </w:r>
      <w:r>
        <w:rPr>
          <w:rFonts w:hint="eastAsia" w:ascii="宋体" w:hAnsi="宋体" w:eastAsia="宋体" w:cs="宋体"/>
          <w:color w:val="auto"/>
          <w:szCs w:val="21"/>
          <w:highlight w:val="none"/>
        </w:rPr>
        <w:t>提供招标文件规定的各项技术服务，并按合同约定履行义务。</w:t>
      </w:r>
    </w:p>
    <w:p>
      <w:pPr>
        <w:spacing w:beforeAutospacing="0" w:afterAutospacing="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2.我方承诺投标有效期为</w:t>
      </w:r>
      <w:r>
        <w:rPr>
          <w:rFonts w:hint="eastAsia" w:ascii="宋体" w:hAnsi="宋体" w:eastAsia="宋体" w:cs="宋体"/>
          <w:color w:val="auto"/>
          <w:szCs w:val="21"/>
          <w:highlight w:val="none"/>
          <w:lang w:eastAsia="zh-CN"/>
        </w:rPr>
        <w:t>自投标截止之日起60日历天</w:t>
      </w:r>
      <w:r>
        <w:rPr>
          <w:rFonts w:hint="eastAsia" w:ascii="宋体" w:hAnsi="宋体" w:eastAsia="宋体" w:cs="宋体"/>
          <w:color w:val="auto"/>
          <w:szCs w:val="21"/>
          <w:highlight w:val="none"/>
        </w:rPr>
        <w:t>。在投标有效期内不修改、撤销投标文件。</w:t>
      </w:r>
    </w:p>
    <w:p>
      <w:pPr>
        <w:spacing w:beforeAutospacing="0" w:afterAutospacing="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3.如我方中标：</w:t>
      </w:r>
    </w:p>
    <w:p>
      <w:pPr>
        <w:spacing w:beforeAutospacing="0" w:afterAutospacing="0" w:line="400" w:lineRule="exact"/>
        <w:ind w:left="0" w:leftChars="0" w:firstLine="218" w:firstLineChars="104"/>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（1）我方承诺在收到中标通知书后，在中标通知书规定的期限内与你方签订合同。</w:t>
      </w:r>
    </w:p>
    <w:p>
      <w:pPr>
        <w:spacing w:beforeAutospacing="0" w:afterAutospacing="0"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（2）随同本投标函递交的投标函附录属于合同文件的组成部分。</w:t>
      </w:r>
    </w:p>
    <w:p>
      <w:pPr>
        <w:spacing w:beforeAutospacing="0" w:afterAutospacing="0"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）如果我方中标，同意按招标文件规定的收费标准向采购代理机构支付服务费。</w:t>
      </w:r>
    </w:p>
    <w:p>
      <w:pPr>
        <w:spacing w:beforeAutospacing="0" w:afterAutospacing="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4.我方在此声明，所递交的投标文件及有关资料内容完整、真实和准确，且不存在第二章“投标人须知”第1.4.3项规定的任何一种情形。</w:t>
      </w:r>
    </w:p>
    <w:p>
      <w:pPr>
        <w:spacing w:beforeAutospacing="0" w:afterAutospacing="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eastAsia="宋体" w:cs="宋体"/>
          <w:color w:val="auto"/>
          <w:szCs w:val="21"/>
          <w:highlight w:val="none"/>
          <w:u w:val="single"/>
        </w:rPr>
        <w:t>（其他补充说明）</w:t>
      </w:r>
      <w:r>
        <w:rPr>
          <w:rFonts w:hint="eastAsia" w:ascii="宋体" w:hAnsi="宋体" w:eastAsia="宋体" w:cs="宋体"/>
          <w:color w:val="auto"/>
          <w:szCs w:val="21"/>
          <w:highlight w:val="none"/>
        </w:rPr>
        <w:t>。</w:t>
      </w:r>
    </w:p>
    <w:p>
      <w:pPr>
        <w:spacing w:beforeAutospacing="0" w:afterAutospacing="0" w:line="400" w:lineRule="exact"/>
        <w:rPr>
          <w:rFonts w:hint="eastAsia" w:ascii="宋体" w:hAnsi="宋体" w:eastAsia="宋体" w:cs="宋体"/>
          <w:color w:val="auto"/>
          <w:szCs w:val="21"/>
          <w:highlight w:val="none"/>
        </w:rPr>
      </w:pP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投标人：(单位电子签章</w:t>
      </w:r>
      <w:r>
        <w:rPr>
          <w:rFonts w:hint="eastAsia" w:ascii="宋体" w:hAnsi="宋体" w:cs="宋体"/>
          <w:color w:val="auto"/>
          <w:szCs w:val="21"/>
          <w:highlight w:val="none"/>
          <w:lang w:eastAsia="zh-CN"/>
        </w:rPr>
        <w:t>）</w:t>
      </w: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法定代表人或其委托代理人：(电子签名或盖章</w:t>
      </w:r>
      <w:r>
        <w:rPr>
          <w:rFonts w:hint="eastAsia" w:ascii="宋体" w:hAnsi="宋体" w:cs="宋体"/>
          <w:color w:val="auto"/>
          <w:szCs w:val="21"/>
          <w:highlight w:val="none"/>
          <w:lang w:eastAsia="zh-CN"/>
        </w:rPr>
        <w:t>）</w:t>
      </w: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pPr>
        <w:spacing w:beforeAutospacing="0" w:afterAutospacing="0" w:line="400" w:lineRule="exact"/>
        <w:ind w:firstLine="4620" w:firstLineChars="2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pStyle w:val="27"/>
        <w:spacing w:beforeAutospacing="0" w:afterAutospacing="0" w:line="400" w:lineRule="exact"/>
        <w:ind w:firstLine="210"/>
        <w:rPr>
          <w:rFonts w:hint="eastAsia" w:ascii="宋体" w:hAnsi="宋体" w:eastAsia="宋体" w:cs="宋体"/>
          <w:color w:val="auto"/>
          <w:szCs w:val="21"/>
          <w:highlight w:val="none"/>
        </w:rPr>
      </w:pPr>
    </w:p>
    <w:p>
      <w:pPr>
        <w:spacing w:beforeAutospacing="0" w:afterAutospacing="0" w:line="400" w:lineRule="exact"/>
        <w:jc w:val="center"/>
        <w:rPr>
          <w:rFonts w:hint="eastAsia" w:ascii="宋体" w:hAnsi="宋体" w:eastAsia="宋体" w:cs="宋体"/>
          <w:b/>
          <w:color w:val="auto"/>
          <w:szCs w:val="21"/>
          <w:highlight w:val="none"/>
        </w:rPr>
      </w:pPr>
    </w:p>
    <w:p>
      <w:pPr>
        <w:spacing w:beforeAutospacing="0" w:afterAutospacing="0" w:line="400" w:lineRule="exact"/>
        <w:jc w:val="center"/>
        <w:rPr>
          <w:rFonts w:hint="eastAsia" w:ascii="宋体" w:hAnsi="宋体" w:eastAsia="宋体" w:cs="宋体"/>
          <w:b/>
          <w:color w:val="auto"/>
          <w:szCs w:val="21"/>
          <w:highlight w:val="none"/>
        </w:rPr>
      </w:pPr>
    </w:p>
    <w:p>
      <w:pPr>
        <w:pStyle w:val="10"/>
        <w:rPr>
          <w:rFonts w:hint="eastAsia" w:ascii="宋体" w:hAnsi="宋体" w:eastAsia="宋体" w:cs="宋体"/>
          <w:color w:val="auto"/>
          <w:highlight w:val="none"/>
        </w:rPr>
      </w:pPr>
    </w:p>
    <w:p>
      <w:pPr>
        <w:spacing w:beforeAutospacing="0" w:afterAutospacing="0" w:line="400" w:lineRule="exact"/>
        <w:jc w:val="center"/>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pStyle w:val="44"/>
        <w:rPr>
          <w:rFonts w:hint="eastAsia" w:ascii="宋体" w:hAnsi="宋体" w:eastAsia="宋体" w:cs="宋体"/>
          <w:b/>
          <w:color w:val="auto"/>
          <w:szCs w:val="21"/>
          <w:highlight w:val="none"/>
        </w:rPr>
      </w:pPr>
    </w:p>
    <w:p>
      <w:pPr>
        <w:spacing w:beforeAutospacing="0" w:afterAutospacing="0" w:line="4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（二）投标函附录</w:t>
      </w:r>
    </w:p>
    <w:tbl>
      <w:tblPr>
        <w:tblStyle w:val="29"/>
        <w:tblW w:w="88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3"/>
        <w:gridCol w:w="70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96" w:type="dxa"/>
            <w:vAlign w:val="center"/>
          </w:tcPr>
          <w:p>
            <w:pPr>
              <w:widowControl/>
              <w:spacing w:line="400" w:lineRule="exact"/>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96" w:type="dxa"/>
            <w:vAlign w:val="center"/>
          </w:tcPr>
          <w:p>
            <w:pPr>
              <w:widowControl/>
              <w:spacing w:line="400" w:lineRule="exact"/>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投标内容</w:t>
            </w:r>
          </w:p>
        </w:tc>
        <w:tc>
          <w:tcPr>
            <w:tcW w:w="7096" w:type="dxa"/>
            <w:vAlign w:val="center"/>
          </w:tcPr>
          <w:p>
            <w:pPr>
              <w:keepNext w:val="0"/>
              <w:keepLines w:val="0"/>
              <w:pageBreakBefore w:val="0"/>
              <w:widowControl/>
              <w:shd w:val="clear" w:color="auto" w:fill="FFFFFF"/>
              <w:kinsoku/>
              <w:wordWrap/>
              <w:overflowPunct/>
              <w:topLinePunct w:val="0"/>
              <w:autoSpaceDE/>
              <w:autoSpaceDN/>
              <w:bidi w:val="0"/>
              <w:adjustRightInd/>
              <w:snapToGrid/>
              <w:spacing w:line="312" w:lineRule="auto"/>
              <w:contextualSpacing/>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按养老服务设施公建民营模式</w:t>
            </w:r>
            <w:r>
              <w:rPr>
                <w:rFonts w:hint="eastAsia" w:ascii="宋体" w:hAnsi="宋体" w:cs="宋体"/>
                <w:color w:val="auto"/>
                <w:sz w:val="21"/>
                <w:szCs w:val="21"/>
                <w:highlight w:val="none"/>
                <w:lang w:val="en-US" w:eastAsia="zh-CN"/>
              </w:rPr>
              <w:t>开展养老服务，</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vertAlign w:val="baseline"/>
                <w:lang w:val="en-US" w:eastAsia="zh-CN"/>
              </w:rPr>
              <w:t>羊山新区养老服务中心</w:t>
            </w:r>
            <w:r>
              <w:rPr>
                <w:rFonts w:hint="eastAsia" w:ascii="宋体" w:hAnsi="宋体" w:eastAsia="宋体" w:cs="宋体"/>
                <w:color w:val="auto"/>
                <w:sz w:val="21"/>
                <w:szCs w:val="21"/>
                <w:highlight w:val="none"/>
                <w:lang w:val="en-US" w:eastAsia="zh-CN"/>
              </w:rPr>
              <w:t>养老服务设施</w:t>
            </w:r>
            <w:r>
              <w:rPr>
                <w:rFonts w:hint="eastAsia" w:ascii="宋体" w:hAnsi="宋体" w:eastAsia="宋体" w:cs="宋体"/>
                <w:color w:val="auto"/>
                <w:sz w:val="21"/>
                <w:szCs w:val="21"/>
                <w:highlight w:val="none"/>
              </w:rPr>
              <w:t>运营</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并独立承担运营管理等风险。</w:t>
            </w:r>
            <w:r>
              <w:rPr>
                <w:rFonts w:hint="eastAsia" w:ascii="宋体" w:hAnsi="宋体" w:cs="宋体"/>
                <w:color w:val="auto"/>
                <w:sz w:val="21"/>
                <w:szCs w:val="21"/>
                <w:highlight w:val="none"/>
                <w:lang w:val="en-US" w:eastAsia="zh-CN"/>
              </w:rPr>
              <w:t>养老服务内容包括为老年人提供生活照料、医养康复护理、精神慰藉、文化娱乐、居家服务等。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803" w:type="dxa"/>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投标报价</w:t>
            </w:r>
          </w:p>
        </w:tc>
        <w:tc>
          <w:tcPr>
            <w:tcW w:w="7096" w:type="dxa"/>
            <w:vAlign w:val="center"/>
          </w:tcPr>
          <w:p>
            <w:pPr>
              <w:spacing w:line="400" w:lineRule="exact"/>
              <w:jc w:val="both"/>
              <w:rPr>
                <w:rFonts w:hint="eastAsia" w:ascii="宋体" w:hAnsi="宋体" w:eastAsia="宋体" w:cs="宋体"/>
                <w:color w:val="auto"/>
                <w:szCs w:val="21"/>
                <w:highlight w:val="none"/>
                <w:lang w:val="en-US"/>
              </w:rPr>
            </w:pPr>
            <w:r>
              <w:rPr>
                <w:rFonts w:hint="eastAsia"/>
                <w:color w:val="auto"/>
                <w:highlight w:val="none"/>
                <w:lang w:val="en-US" w:eastAsia="zh-CN"/>
              </w:rPr>
              <w:t>设施使用费10年运营期内分阶段缴纳。第1、2、3年为培育期，免缴纳设施使用费；第4、5、6年为成长期，每年按中心初始投入固定资产评估后的数值总额的90%，向委托方缴纳每年1.5% 的设施使用费；第7、8、9、10 年为发展期，每年按中心初始投入固定资产评估后的数值总额的1.5%向委托方缴纳设施使用费。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7096" w:type="dxa"/>
            <w:vAlign w:val="center"/>
          </w:tcPr>
          <w:p>
            <w:pPr>
              <w:spacing w:line="400" w:lineRule="exact"/>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服务期限</w:t>
            </w:r>
          </w:p>
        </w:tc>
        <w:tc>
          <w:tcPr>
            <w:tcW w:w="7096" w:type="dxa"/>
            <w:vAlign w:val="center"/>
          </w:tcPr>
          <w:p>
            <w:pPr>
              <w:pStyle w:val="2"/>
              <w:numPr>
                <w:ilvl w:val="1"/>
                <w:numId w:val="0"/>
              </w:numPr>
              <w:outlineLvl w:val="9"/>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1803" w:type="dxa"/>
            <w:vAlign w:val="center"/>
          </w:tcPr>
          <w:p>
            <w:pPr>
              <w:widowControl/>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投标质量</w:t>
            </w:r>
          </w:p>
        </w:tc>
        <w:tc>
          <w:tcPr>
            <w:tcW w:w="7096" w:type="dxa"/>
            <w:vAlign w:val="center"/>
          </w:tcPr>
          <w:p>
            <w:pPr>
              <w:pStyle w:val="2"/>
              <w:numPr>
                <w:ilvl w:val="1"/>
                <w:numId w:val="0"/>
              </w:numPr>
              <w:outlineLvl w:val="9"/>
              <w:rPr>
                <w:rFonts w:hint="eastAsia" w:ascii="宋体" w:hAnsi="宋体" w:eastAsia="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1803" w:type="dxa"/>
            <w:vAlign w:val="center"/>
          </w:tcPr>
          <w:p>
            <w:pPr>
              <w:pageBreakBefore w:val="0"/>
              <w:widowControl/>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价格折扣</w:t>
            </w:r>
          </w:p>
        </w:tc>
        <w:tc>
          <w:tcPr>
            <w:tcW w:w="7096" w:type="dxa"/>
            <w:vAlign w:val="center"/>
          </w:tcPr>
          <w:p>
            <w:pPr>
              <w:pageBreakBefore w:val="0"/>
              <w:widowControl/>
              <w:kinsoku/>
              <w:wordWrap/>
              <w:overflowPunct/>
              <w:topLinePunct w:val="0"/>
              <w:bidi w:val="0"/>
              <w:adjustRightInd/>
              <w:snapToGrid/>
              <w:spacing w:line="400" w:lineRule="exact"/>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符合小微企业价格折扣（是/否）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1803" w:type="dxa"/>
            <w:vAlign w:val="center"/>
          </w:tcPr>
          <w:p>
            <w:pPr>
              <w:widowControl/>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096" w:type="dxa"/>
            <w:vAlign w:val="center"/>
          </w:tcPr>
          <w:p>
            <w:pPr>
              <w:widowControl/>
              <w:spacing w:line="400" w:lineRule="exact"/>
              <w:jc w:val="left"/>
              <w:rPr>
                <w:rFonts w:hint="eastAsia" w:ascii="宋体" w:hAnsi="宋体" w:eastAsia="宋体" w:cs="宋体"/>
                <w:color w:val="auto"/>
                <w:szCs w:val="21"/>
                <w:highlight w:val="none"/>
              </w:rPr>
            </w:pPr>
          </w:p>
        </w:tc>
      </w:tr>
    </w:tbl>
    <w:p>
      <w:pPr>
        <w:spacing w:line="400" w:lineRule="exact"/>
        <w:ind w:firstLine="422" w:firstLineChars="200"/>
        <w:rPr>
          <w:rFonts w:hint="eastAsia" w:ascii="宋体" w:hAnsi="宋体" w:eastAsia="宋体" w:cs="宋体"/>
          <w:b/>
          <w:color w:val="auto"/>
          <w:szCs w:val="21"/>
          <w:highlight w:val="none"/>
        </w:rPr>
      </w:pP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投标人：(单位电子签章</w:t>
      </w:r>
      <w:r>
        <w:rPr>
          <w:rFonts w:hint="eastAsia" w:ascii="宋体" w:hAnsi="宋体" w:cs="宋体"/>
          <w:color w:val="auto"/>
          <w:szCs w:val="21"/>
          <w:highlight w:val="none"/>
          <w:lang w:eastAsia="zh-CN"/>
        </w:rPr>
        <w:t>）</w:t>
      </w:r>
    </w:p>
    <w:p>
      <w:pPr>
        <w:spacing w:beforeAutospacing="0" w:afterAutospacing="0" w:line="400" w:lineRule="exact"/>
        <w:ind w:firstLine="3885" w:firstLineChars="1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法定代表人或其委托代理人：(电子签名或盖章</w:t>
      </w:r>
      <w:r>
        <w:rPr>
          <w:rFonts w:hint="eastAsia" w:ascii="宋体" w:hAnsi="宋体" w:cs="宋体"/>
          <w:color w:val="auto"/>
          <w:szCs w:val="21"/>
          <w:highlight w:val="none"/>
          <w:lang w:eastAsia="zh-CN"/>
        </w:rPr>
        <w:t>）</w:t>
      </w:r>
    </w:p>
    <w:p>
      <w:pPr>
        <w:spacing w:beforeAutospacing="0" w:afterAutospacing="0" w:line="400" w:lineRule="exact"/>
        <w:ind w:firstLine="3990" w:firstLineChars="1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7"/>
        <w:rPr>
          <w:rFonts w:hint="eastAsia"/>
          <w:color w:val="auto"/>
          <w:highlight w:val="none"/>
        </w:rPr>
      </w:pPr>
    </w:p>
    <w:p>
      <w:pPr>
        <w:pStyle w:val="2"/>
        <w:numPr>
          <w:ilvl w:val="0"/>
          <w:numId w:val="0"/>
        </w:numPr>
        <w:tabs>
          <w:tab w:val="left" w:pos="1260"/>
          <w:tab w:val="clear" w:pos="840"/>
        </w:tabs>
        <w:bidi w:val="0"/>
        <w:spacing w:line="400" w:lineRule="exact"/>
        <w:jc w:val="center"/>
        <w:rPr>
          <w:rFonts w:hint="eastAsia" w:ascii="宋体" w:hAnsi="宋体" w:eastAsia="宋体" w:cs="宋体"/>
          <w:b/>
          <w:color w:val="auto"/>
          <w:sz w:val="28"/>
          <w:szCs w:val="28"/>
          <w:highlight w:val="none"/>
        </w:rPr>
      </w:pPr>
      <w:bookmarkStart w:id="269" w:name="_Toc11990"/>
      <w:r>
        <w:rPr>
          <w:rFonts w:hint="eastAsia" w:ascii="宋体" w:hAnsi="宋体" w:eastAsia="宋体" w:cs="宋体"/>
          <w:b/>
          <w:color w:val="auto"/>
          <w:sz w:val="28"/>
          <w:szCs w:val="28"/>
          <w:highlight w:val="none"/>
        </w:rPr>
        <w:t>二、法人代表身份证明或附有法定代表人身份证明的授权委托书</w:t>
      </w:r>
      <w:bookmarkEnd w:id="269"/>
    </w:p>
    <w:p>
      <w:pPr>
        <w:pStyle w:val="5"/>
        <w:numPr>
          <w:ilvl w:val="0"/>
          <w:numId w:val="0"/>
        </w:numPr>
        <w:bidi w:val="0"/>
        <w:spacing w:line="40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法定代表人身份证明</w:t>
      </w:r>
    </w:p>
    <w:p>
      <w:pPr>
        <w:bidi w:val="0"/>
        <w:spacing w:line="400" w:lineRule="exact"/>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投标人名称：  </w:t>
      </w: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p>
      <w:pPr>
        <w:bidi w:val="0"/>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w:t>
      </w:r>
    </w:p>
    <w:p>
      <w:pPr>
        <w:bidi w:val="0"/>
        <w:spacing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w:t>
      </w:r>
    </w:p>
    <w:p>
      <w:pPr>
        <w:pStyle w:val="27"/>
        <w:bidi w:val="0"/>
        <w:spacing w:line="400" w:lineRule="exact"/>
        <w:ind w:firstLine="210"/>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00" w:lineRule="exact"/>
        <w:ind w:firstLine="4200" w:firstLineChars="20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投标人：（单位电子签章）</w:t>
      </w:r>
    </w:p>
    <w:p>
      <w:pPr>
        <w:bidi w:val="0"/>
        <w:spacing w:line="400" w:lineRule="exact"/>
        <w:ind w:firstLine="4515" w:firstLineChars="2150"/>
        <w:rPr>
          <w:rFonts w:hint="eastAsia" w:ascii="宋体" w:hAnsi="宋体" w:eastAsia="宋体" w:cs="宋体"/>
          <w:color w:val="auto"/>
          <w:sz w:val="21"/>
          <w:szCs w:val="21"/>
          <w:highlight w:val="none"/>
          <w:u w:val="single"/>
        </w:rPr>
      </w:pPr>
    </w:p>
    <w:p>
      <w:pPr>
        <w:bidi w:val="0"/>
        <w:spacing w:line="400" w:lineRule="exact"/>
        <w:ind w:firstLine="4515" w:firstLineChars="2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bidi w:val="0"/>
        <w:spacing w:line="400" w:lineRule="exact"/>
        <w:ind w:firstLine="420" w:firstLineChars="200"/>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pStyle w:val="2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pStyle w:val="2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pStyle w:val="2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7"/>
        <w:rPr>
          <w:rFonts w:hint="eastAsia" w:ascii="宋体" w:hAnsi="宋体" w:eastAsia="宋体" w:cs="宋体"/>
          <w:color w:val="auto"/>
          <w:sz w:val="21"/>
          <w:szCs w:val="21"/>
          <w:highlight w:val="none"/>
        </w:rPr>
      </w:pPr>
    </w:p>
    <w:p>
      <w:pPr>
        <w:pStyle w:val="2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b/>
          <w:color w:val="auto"/>
          <w:sz w:val="28"/>
          <w:szCs w:val="28"/>
          <w:highlight w:val="none"/>
          <w:lang w:eastAsia="zh-CN"/>
        </w:rPr>
      </w:pPr>
    </w:p>
    <w:p>
      <w:pPr>
        <w:pStyle w:val="5"/>
        <w:numPr>
          <w:ilvl w:val="0"/>
          <w:numId w:val="0"/>
        </w:numPr>
        <w:bidi w:val="0"/>
        <w:spacing w:line="40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授权委托书</w:t>
      </w:r>
      <w:r>
        <w:rPr>
          <w:rFonts w:hint="eastAsia" w:ascii="宋体" w:hAnsi="宋体" w:eastAsia="宋体" w:cs="宋体"/>
          <w:color w:val="auto"/>
          <w:sz w:val="22"/>
          <w:szCs w:val="22"/>
          <w:highlight w:val="none"/>
        </w:rPr>
        <w:t xml:space="preserve"> </w:t>
      </w: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投标文件、签订合同和处理有关事宜，其法律后果由我方承担。</w:t>
      </w:r>
    </w:p>
    <w:p>
      <w:pPr>
        <w:bidi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代理人无转委托权</w:t>
      </w:r>
      <w:r>
        <w:rPr>
          <w:rFonts w:hint="eastAsia" w:ascii="宋体" w:hAnsi="宋体" w:eastAsia="宋体" w:cs="宋体"/>
          <w:color w:val="auto"/>
          <w:sz w:val="21"/>
          <w:szCs w:val="21"/>
          <w:highlight w:val="none"/>
          <w:lang w:eastAsia="zh-CN"/>
        </w:rPr>
        <w:t>。</w:t>
      </w:r>
    </w:p>
    <w:p>
      <w:pPr>
        <w:pStyle w:val="9"/>
        <w:bidi w:val="0"/>
        <w:rPr>
          <w:rFonts w:hint="eastAsia" w:ascii="宋体" w:hAnsi="宋体" w:eastAsia="宋体" w:cs="宋体"/>
          <w:color w:val="auto"/>
          <w:sz w:val="21"/>
          <w:szCs w:val="21"/>
          <w:highlight w:val="none"/>
          <w:lang w:eastAsia="zh-CN"/>
        </w:rPr>
      </w:pPr>
    </w:p>
    <w:p>
      <w:pPr>
        <w:bidi w:val="0"/>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委托期限：本授权书至投标有效期结束前始终有效</w:t>
      </w:r>
      <w:r>
        <w:rPr>
          <w:rFonts w:hint="eastAsia" w:ascii="宋体" w:hAnsi="宋体" w:eastAsia="宋体" w:cs="宋体"/>
          <w:b/>
          <w:bCs/>
          <w:color w:val="auto"/>
          <w:sz w:val="21"/>
          <w:szCs w:val="21"/>
          <w:highlight w:val="none"/>
        </w:rPr>
        <w:t>。</w:t>
      </w: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及委托代理人身份证</w:t>
      </w:r>
      <w:r>
        <w:rPr>
          <w:rFonts w:hint="eastAsia" w:ascii="宋体" w:hAnsi="宋体" w:eastAsia="宋体" w:cs="宋体"/>
          <w:color w:val="auto"/>
          <w:sz w:val="21"/>
          <w:szCs w:val="21"/>
          <w:highlight w:val="none"/>
          <w:lang w:val="en-US" w:eastAsia="zh-CN"/>
        </w:rPr>
        <w:t>扫描件。</w:t>
      </w: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注：本授权委托书需由投标人加盖单位公章并由法定代表人和委托代理人签字。</w:t>
      </w:r>
    </w:p>
    <w:p>
      <w:pPr>
        <w:bidi w:val="0"/>
        <w:spacing w:line="400" w:lineRule="exact"/>
        <w:ind w:firstLine="420" w:firstLineChars="200"/>
        <w:rPr>
          <w:rFonts w:hint="eastAsia" w:ascii="宋体" w:hAnsi="宋体" w:eastAsia="宋体" w:cs="宋体"/>
          <w:color w:val="auto"/>
          <w:sz w:val="21"/>
          <w:szCs w:val="21"/>
          <w:highlight w:val="none"/>
        </w:rPr>
      </w:pPr>
    </w:p>
    <w:p>
      <w:pPr>
        <w:bidi w:val="0"/>
        <w:spacing w:line="48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（单位电子签章）</w:t>
      </w:r>
    </w:p>
    <w:p>
      <w:pPr>
        <w:bidi w:val="0"/>
        <w:spacing w:line="48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（电子签名或盖章）</w:t>
      </w:r>
    </w:p>
    <w:p>
      <w:pPr>
        <w:bidi w:val="0"/>
        <w:spacing w:line="48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bidi w:val="0"/>
        <w:spacing w:line="48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（签名）</w:t>
      </w:r>
    </w:p>
    <w:p>
      <w:pPr>
        <w:bidi w:val="0"/>
        <w:spacing w:line="480" w:lineRule="auto"/>
        <w:ind w:firstLine="4725" w:firstLineChars="2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bidi w:val="0"/>
        <w:spacing w:line="480" w:lineRule="auto"/>
        <w:ind w:firstLine="5040" w:firstLineChars="2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line="440" w:lineRule="exact"/>
        <w:rPr>
          <w:rFonts w:hint="eastAsia" w:ascii="宋体" w:hAnsi="宋体"/>
          <w:b/>
          <w:bCs/>
          <w:color w:val="auto"/>
          <w:sz w:val="22"/>
          <w:szCs w:val="20"/>
          <w:highlight w:val="none"/>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sz w:val="28"/>
          <w:szCs w:val="28"/>
          <w:highlight w:val="none"/>
          <w:lang w:eastAsia="zh-CN"/>
        </w:rPr>
      </w:pPr>
    </w:p>
    <w:p>
      <w:pPr>
        <w:rPr>
          <w:rFonts w:hint="eastAsia" w:ascii="宋体" w:hAnsi="宋体" w:eastAsia="宋体" w:cs="宋体"/>
          <w:b/>
          <w:color w:val="auto"/>
          <w:sz w:val="28"/>
          <w:szCs w:val="28"/>
          <w:highlight w:val="none"/>
          <w:lang w:eastAsia="zh-CN"/>
        </w:rPr>
      </w:pPr>
    </w:p>
    <w:p>
      <w:pPr>
        <w:pStyle w:val="2"/>
        <w:numPr>
          <w:ilvl w:val="0"/>
          <w:numId w:val="8"/>
        </w:numPr>
        <w:tabs>
          <w:tab w:val="left" w:pos="1260"/>
          <w:tab w:val="clear" w:pos="840"/>
        </w:tabs>
        <w:bidi w:val="0"/>
        <w:spacing w:line="400" w:lineRule="exact"/>
        <w:jc w:val="center"/>
        <w:outlineLvl w:val="1"/>
        <w:rPr>
          <w:rFonts w:hint="eastAsia" w:ascii="宋体" w:hAnsi="宋体" w:eastAsia="宋体" w:cs="宋体"/>
          <w:b/>
          <w:color w:val="auto"/>
          <w:sz w:val="28"/>
          <w:szCs w:val="28"/>
          <w:highlight w:val="none"/>
          <w:lang w:val="en-US" w:eastAsia="zh-CN"/>
        </w:rPr>
      </w:pPr>
      <w:bookmarkStart w:id="270" w:name="_Toc29522"/>
      <w:r>
        <w:rPr>
          <w:rFonts w:hint="eastAsia" w:ascii="宋体" w:hAnsi="宋体" w:eastAsia="宋体" w:cs="宋体"/>
          <w:b/>
          <w:color w:val="auto"/>
          <w:sz w:val="28"/>
          <w:szCs w:val="28"/>
          <w:highlight w:val="none"/>
          <w:lang w:val="en-US" w:eastAsia="zh-CN"/>
        </w:rPr>
        <w:t>拟投入人员情况表</w:t>
      </w:r>
      <w:bookmarkEnd w:id="270"/>
    </w:p>
    <w:p>
      <w:pPr>
        <w:pStyle w:val="3"/>
        <w:widowControl w:val="0"/>
        <w:numPr>
          <w:ilvl w:val="0"/>
          <w:numId w:val="0"/>
        </w:numPr>
        <w:jc w:val="both"/>
        <w:rPr>
          <w:rFonts w:hint="default"/>
          <w:color w:val="auto"/>
          <w:highlight w:val="none"/>
          <w:lang w:val="en-US" w:eastAsia="zh-CN"/>
        </w:rPr>
      </w:pPr>
    </w:p>
    <w:tbl>
      <w:tblPr>
        <w:tblStyle w:val="29"/>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86"/>
        <w:gridCol w:w="729"/>
        <w:gridCol w:w="742"/>
        <w:gridCol w:w="859"/>
        <w:gridCol w:w="831"/>
        <w:gridCol w:w="888"/>
        <w:gridCol w:w="850"/>
        <w:gridCol w:w="913"/>
        <w:gridCol w:w="987"/>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30"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拟设职务</w:t>
            </w:r>
          </w:p>
        </w:tc>
        <w:tc>
          <w:tcPr>
            <w:tcW w:w="786"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29"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42"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859"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文化</w:t>
            </w:r>
          </w:p>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程度</w:t>
            </w:r>
          </w:p>
        </w:tc>
        <w:tc>
          <w:tcPr>
            <w:tcW w:w="831"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从事</w:t>
            </w:r>
          </w:p>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88"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w:t>
            </w:r>
          </w:p>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年限</w:t>
            </w:r>
          </w:p>
        </w:tc>
        <w:tc>
          <w:tcPr>
            <w:tcW w:w="850" w:type="dxa"/>
            <w:vMerge w:val="restart"/>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900" w:type="dxa"/>
            <w:gridSpan w:val="2"/>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执业资格证书</w:t>
            </w:r>
          </w:p>
        </w:tc>
        <w:tc>
          <w:tcPr>
            <w:tcW w:w="1092" w:type="dxa"/>
            <w:vMerge w:val="restart"/>
            <w:vAlign w:val="center"/>
          </w:tcPr>
          <w:p>
            <w:pPr>
              <w:snapToGrid w:val="0"/>
              <w:spacing w:line="40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30"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786"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729"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742"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859"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831"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888"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850" w:type="dxa"/>
            <w:vMerge w:val="continue"/>
            <w:vAlign w:val="center"/>
          </w:tcPr>
          <w:p>
            <w:pPr>
              <w:snapToGrid w:val="0"/>
              <w:spacing w:line="400" w:lineRule="exact"/>
              <w:jc w:val="center"/>
              <w:rPr>
                <w:rFonts w:hint="eastAsia" w:ascii="宋体" w:hAnsi="宋体" w:eastAsia="宋体" w:cs="宋体"/>
                <w:color w:val="auto"/>
                <w:sz w:val="24"/>
                <w:highlight w:val="none"/>
              </w:rPr>
            </w:pPr>
          </w:p>
        </w:tc>
        <w:tc>
          <w:tcPr>
            <w:tcW w:w="913" w:type="dxa"/>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987" w:type="dxa"/>
            <w:vAlign w:val="center"/>
          </w:tcPr>
          <w:p>
            <w:pPr>
              <w:snapToGrid w:val="0"/>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1092" w:type="dxa"/>
            <w:vMerge w:val="continue"/>
          </w:tcPr>
          <w:p>
            <w:pPr>
              <w:snapToGrid w:val="0"/>
              <w:spacing w:line="40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30" w:type="dxa"/>
            <w:vAlign w:val="center"/>
          </w:tcPr>
          <w:p>
            <w:pPr>
              <w:snapToGrid w:val="0"/>
              <w:spacing w:line="400" w:lineRule="exact"/>
              <w:jc w:val="center"/>
              <w:rPr>
                <w:rFonts w:hint="eastAsia" w:ascii="宋体" w:hAnsi="宋体" w:eastAsia="宋体" w:cs="宋体"/>
                <w:color w:val="auto"/>
                <w:highlight w:val="none"/>
              </w:rPr>
            </w:pPr>
          </w:p>
        </w:tc>
        <w:tc>
          <w:tcPr>
            <w:tcW w:w="786" w:type="dxa"/>
            <w:vAlign w:val="center"/>
          </w:tcPr>
          <w:p>
            <w:pPr>
              <w:snapToGrid w:val="0"/>
              <w:spacing w:line="400" w:lineRule="exact"/>
              <w:jc w:val="center"/>
              <w:rPr>
                <w:rFonts w:hint="eastAsia" w:ascii="宋体" w:hAnsi="宋体" w:eastAsia="宋体" w:cs="宋体"/>
                <w:color w:val="auto"/>
                <w:highlight w:val="none"/>
              </w:rPr>
            </w:pPr>
          </w:p>
        </w:tc>
        <w:tc>
          <w:tcPr>
            <w:tcW w:w="729" w:type="dxa"/>
            <w:vAlign w:val="center"/>
          </w:tcPr>
          <w:p>
            <w:pPr>
              <w:snapToGrid w:val="0"/>
              <w:spacing w:line="400" w:lineRule="exact"/>
              <w:jc w:val="center"/>
              <w:rPr>
                <w:rFonts w:hint="eastAsia" w:ascii="宋体" w:hAnsi="宋体" w:eastAsia="宋体" w:cs="宋体"/>
                <w:color w:val="auto"/>
                <w:highlight w:val="none"/>
              </w:rPr>
            </w:pPr>
          </w:p>
        </w:tc>
        <w:tc>
          <w:tcPr>
            <w:tcW w:w="742" w:type="dxa"/>
            <w:vAlign w:val="center"/>
          </w:tcPr>
          <w:p>
            <w:pPr>
              <w:snapToGrid w:val="0"/>
              <w:spacing w:line="400" w:lineRule="exact"/>
              <w:jc w:val="center"/>
              <w:rPr>
                <w:rFonts w:hint="eastAsia" w:ascii="宋体" w:hAnsi="宋体" w:eastAsia="宋体" w:cs="宋体"/>
                <w:color w:val="auto"/>
                <w:highlight w:val="none"/>
              </w:rPr>
            </w:pPr>
          </w:p>
        </w:tc>
        <w:tc>
          <w:tcPr>
            <w:tcW w:w="859" w:type="dxa"/>
            <w:vAlign w:val="center"/>
          </w:tcPr>
          <w:p>
            <w:pPr>
              <w:snapToGrid w:val="0"/>
              <w:spacing w:line="400" w:lineRule="exact"/>
              <w:jc w:val="center"/>
              <w:rPr>
                <w:rFonts w:hint="eastAsia" w:ascii="宋体" w:hAnsi="宋体" w:eastAsia="宋体" w:cs="宋体"/>
                <w:color w:val="auto"/>
                <w:highlight w:val="none"/>
              </w:rPr>
            </w:pPr>
          </w:p>
        </w:tc>
        <w:tc>
          <w:tcPr>
            <w:tcW w:w="831" w:type="dxa"/>
            <w:vAlign w:val="center"/>
          </w:tcPr>
          <w:p>
            <w:pPr>
              <w:snapToGrid w:val="0"/>
              <w:spacing w:line="400" w:lineRule="exact"/>
              <w:jc w:val="center"/>
              <w:rPr>
                <w:rFonts w:hint="eastAsia" w:ascii="宋体" w:hAnsi="宋体" w:eastAsia="宋体" w:cs="宋体"/>
                <w:color w:val="auto"/>
                <w:highlight w:val="none"/>
              </w:rPr>
            </w:pPr>
          </w:p>
        </w:tc>
        <w:tc>
          <w:tcPr>
            <w:tcW w:w="888" w:type="dxa"/>
            <w:vAlign w:val="center"/>
          </w:tcPr>
          <w:p>
            <w:pPr>
              <w:snapToGrid w:val="0"/>
              <w:spacing w:line="400" w:lineRule="exact"/>
              <w:jc w:val="center"/>
              <w:rPr>
                <w:rFonts w:hint="eastAsia" w:ascii="宋体" w:hAnsi="宋体" w:eastAsia="宋体" w:cs="宋体"/>
                <w:color w:val="auto"/>
                <w:highlight w:val="none"/>
              </w:rPr>
            </w:pPr>
          </w:p>
        </w:tc>
        <w:tc>
          <w:tcPr>
            <w:tcW w:w="850" w:type="dxa"/>
            <w:vAlign w:val="center"/>
          </w:tcPr>
          <w:p>
            <w:pPr>
              <w:snapToGrid w:val="0"/>
              <w:spacing w:line="400" w:lineRule="exact"/>
              <w:jc w:val="center"/>
              <w:rPr>
                <w:rFonts w:hint="eastAsia" w:ascii="宋体" w:hAnsi="宋体" w:eastAsia="宋体" w:cs="宋体"/>
                <w:color w:val="auto"/>
                <w:highlight w:val="none"/>
              </w:rPr>
            </w:pPr>
          </w:p>
        </w:tc>
        <w:tc>
          <w:tcPr>
            <w:tcW w:w="913" w:type="dxa"/>
            <w:vAlign w:val="center"/>
          </w:tcPr>
          <w:p>
            <w:pPr>
              <w:snapToGrid w:val="0"/>
              <w:spacing w:line="400" w:lineRule="exact"/>
              <w:jc w:val="center"/>
              <w:rPr>
                <w:rFonts w:hint="eastAsia" w:ascii="宋体" w:hAnsi="宋体" w:eastAsia="宋体" w:cs="宋体"/>
                <w:color w:val="auto"/>
                <w:highlight w:val="none"/>
              </w:rPr>
            </w:pPr>
          </w:p>
        </w:tc>
        <w:tc>
          <w:tcPr>
            <w:tcW w:w="987" w:type="dxa"/>
            <w:vAlign w:val="center"/>
          </w:tcPr>
          <w:p>
            <w:pPr>
              <w:snapToGrid w:val="0"/>
              <w:spacing w:line="400" w:lineRule="exact"/>
              <w:jc w:val="center"/>
              <w:rPr>
                <w:rFonts w:hint="eastAsia" w:ascii="宋体" w:hAnsi="宋体" w:eastAsia="宋体" w:cs="宋体"/>
                <w:color w:val="auto"/>
                <w:highlight w:val="none"/>
              </w:rPr>
            </w:pPr>
          </w:p>
        </w:tc>
        <w:tc>
          <w:tcPr>
            <w:tcW w:w="1092" w:type="dxa"/>
            <w:vAlign w:val="center"/>
          </w:tcPr>
          <w:p>
            <w:pPr>
              <w:snapToGrid w:val="0"/>
              <w:spacing w:line="400" w:lineRule="exact"/>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507" w:type="dxa"/>
            <w:gridSpan w:val="11"/>
            <w:vAlign w:val="center"/>
          </w:tcPr>
          <w:p>
            <w:pPr>
              <w:snapToGrid w:val="0"/>
              <w:spacing w:line="400" w:lineRule="exact"/>
              <w:rPr>
                <w:rFonts w:hint="eastAsia" w:ascii="宋体" w:hAnsi="宋体" w:eastAsia="宋体" w:cs="宋体"/>
                <w:color w:val="auto"/>
                <w:highlight w:val="none"/>
              </w:rPr>
            </w:pPr>
          </w:p>
        </w:tc>
      </w:tr>
    </w:tbl>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pPr>
    </w:p>
    <w:p>
      <w:pPr>
        <w:rPr>
          <w:rFonts w:hint="eastAsia" w:ascii="宋体" w:hAnsi="宋体" w:eastAsia="宋体" w:cs="宋体"/>
          <w:b/>
          <w:color w:val="auto"/>
          <w:sz w:val="24"/>
          <w:highlight w:val="none"/>
          <w:lang w:eastAsia="zh-CN"/>
        </w:rPr>
      </w:pPr>
      <w:r>
        <w:rPr>
          <w:rFonts w:hint="eastAsia" w:ascii="宋体" w:hAnsi="宋体" w:eastAsia="宋体" w:cs="宋体"/>
          <w:color w:val="auto"/>
          <w:highlight w:val="none"/>
          <w:lang w:val="en-US" w:eastAsia="zh-CN"/>
        </w:rPr>
        <w:t>注：附以上人员相关证明材料</w:t>
      </w:r>
      <w:r>
        <w:rPr>
          <w:rFonts w:hint="eastAsia" w:ascii="宋体" w:hAnsi="宋体" w:cs="宋体"/>
          <w:color w:val="auto"/>
          <w:highlight w:val="none"/>
          <w:lang w:val="en-US" w:eastAsia="zh-CN"/>
        </w:rPr>
        <w:t>。</w:t>
      </w:r>
    </w:p>
    <w:p>
      <w:pPr>
        <w:pStyle w:val="65"/>
        <w:numPr>
          <w:ilvl w:val="0"/>
          <w:numId w:val="0"/>
        </w:numPr>
        <w:tabs>
          <w:tab w:val="left" w:pos="1260"/>
        </w:tabs>
        <w:spacing w:line="360" w:lineRule="auto"/>
        <w:jc w:val="center"/>
        <w:outlineLvl w:val="9"/>
        <w:rPr>
          <w:rFonts w:hint="eastAsia" w:ascii="宋体" w:hAnsi="宋体" w:eastAsia="宋体" w:cs="宋体"/>
          <w:b/>
          <w:bCs/>
          <w:color w:val="auto"/>
          <w:highlight w:val="none"/>
        </w:rPr>
      </w:pPr>
      <w:bookmarkStart w:id="271" w:name="_Toc486439996"/>
      <w:bookmarkStart w:id="272" w:name="_Toc486440140"/>
      <w:bookmarkStart w:id="273" w:name="_Toc489876790"/>
      <w:bookmarkStart w:id="274" w:name="_Toc28344"/>
      <w:bookmarkStart w:id="275" w:name="_Toc486439848"/>
      <w:bookmarkStart w:id="276" w:name="_Toc366741842"/>
      <w:bookmarkStart w:id="277" w:name="_Toc1801"/>
    </w:p>
    <w:p>
      <w:pPr>
        <w:pStyle w:val="65"/>
        <w:numPr>
          <w:ilvl w:val="0"/>
          <w:numId w:val="0"/>
        </w:numPr>
        <w:tabs>
          <w:tab w:val="left" w:pos="1260"/>
        </w:tabs>
        <w:spacing w:line="360" w:lineRule="auto"/>
        <w:jc w:val="center"/>
        <w:outlineLvl w:val="9"/>
        <w:rPr>
          <w:rFonts w:hint="eastAsia" w:ascii="宋体" w:hAnsi="宋体" w:eastAsia="宋体" w:cs="宋体"/>
          <w:b/>
          <w:bCs/>
          <w:color w:val="auto"/>
          <w:highlight w:val="none"/>
        </w:rPr>
      </w:pPr>
    </w:p>
    <w:p>
      <w:pPr>
        <w:rPr>
          <w:rFonts w:hint="eastAsia" w:ascii="宋体" w:hAnsi="宋体" w:eastAsia="宋体" w:cs="宋体"/>
          <w:color w:val="auto"/>
          <w:highlight w:val="none"/>
          <w:lang w:eastAsia="zh-CN"/>
        </w:rPr>
      </w:pPr>
      <w:r>
        <w:rPr>
          <w:rFonts w:hint="eastAsia" w:ascii="宋体" w:hAnsi="宋体" w:eastAsia="宋体" w:cs="宋体"/>
          <w:b/>
          <w:bCs/>
          <w:color w:val="auto"/>
          <w:highlight w:val="none"/>
        </w:rPr>
        <w:br w:type="page"/>
      </w:r>
      <w:bookmarkEnd w:id="271"/>
      <w:bookmarkEnd w:id="272"/>
      <w:bookmarkEnd w:id="273"/>
      <w:bookmarkEnd w:id="274"/>
      <w:bookmarkEnd w:id="275"/>
      <w:bookmarkEnd w:id="276"/>
      <w:bookmarkEnd w:id="277"/>
    </w:p>
    <w:p>
      <w:pPr>
        <w:ind w:left="0" w:leftChars="0" w:right="0" w:rightChars="0" w:firstLine="0" w:firstLineChars="0"/>
        <w:jc w:val="center"/>
        <w:rPr>
          <w:rFonts w:hint="eastAsia" w:ascii="宋体" w:hAnsi="宋体" w:eastAsia="宋体" w:cs="宋体"/>
          <w:b/>
          <w:color w:val="auto"/>
          <w:sz w:val="28"/>
          <w:szCs w:val="28"/>
          <w:highlight w:val="none"/>
          <w:lang w:eastAsia="zh-CN"/>
        </w:rPr>
      </w:pPr>
      <w:bookmarkStart w:id="278" w:name="_Toc13460"/>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lang w:eastAsia="zh-CN"/>
        </w:rPr>
        <w:t>资格审查资料</w:t>
      </w:r>
      <w:bookmarkEnd w:id="278"/>
    </w:p>
    <w:p>
      <w:pPr>
        <w:spacing w:line="400" w:lineRule="exact"/>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1、投标人基本情况表</w:t>
      </w:r>
    </w:p>
    <w:tbl>
      <w:tblPr>
        <w:tblStyle w:val="29"/>
        <w:tblW w:w="95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89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4132" w:type="dxa"/>
            <w:gridSpan w:val="3"/>
            <w:vAlign w:val="top"/>
          </w:tcPr>
          <w:p>
            <w:pPr>
              <w:spacing w:beforeAutospacing="0" w:afterAutospacing="0" w:line="400" w:lineRule="exact"/>
              <w:rPr>
                <w:rFonts w:hint="eastAsia" w:ascii="宋体" w:hAnsi="宋体" w:eastAsia="宋体" w:cs="宋体"/>
                <w:color w:val="auto"/>
                <w:szCs w:val="21"/>
                <w:highlight w:val="none"/>
              </w:rPr>
            </w:pPr>
          </w:p>
        </w:tc>
        <w:tc>
          <w:tcPr>
            <w:tcW w:w="1089" w:type="dxa"/>
            <w:vAlign w:val="top"/>
          </w:tcPr>
          <w:p>
            <w:pPr>
              <w:spacing w:beforeAutospacing="0" w:afterAutospacing="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329" w:type="dxa"/>
            <w:gridSpan w:val="2"/>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4132" w:type="dxa"/>
            <w:gridSpan w:val="3"/>
            <w:vAlign w:val="top"/>
          </w:tcPr>
          <w:p>
            <w:pPr>
              <w:spacing w:beforeAutospacing="0" w:afterAutospacing="0" w:line="400" w:lineRule="exact"/>
              <w:rPr>
                <w:rFonts w:hint="eastAsia" w:ascii="宋体" w:hAnsi="宋体" w:eastAsia="宋体" w:cs="宋体"/>
                <w:color w:val="auto"/>
                <w:szCs w:val="21"/>
                <w:highlight w:val="none"/>
              </w:rPr>
            </w:pPr>
          </w:p>
        </w:tc>
        <w:tc>
          <w:tcPr>
            <w:tcW w:w="1089" w:type="dxa"/>
            <w:vAlign w:val="top"/>
          </w:tcPr>
          <w:p>
            <w:pPr>
              <w:spacing w:beforeAutospacing="0" w:afterAutospacing="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329" w:type="dxa"/>
            <w:gridSpan w:val="2"/>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077"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3055" w:type="dxa"/>
            <w:gridSpan w:val="2"/>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c>
          <w:tcPr>
            <w:tcW w:w="1089"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2329" w:type="dxa"/>
            <w:gridSpan w:val="2"/>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c>
          <w:tcPr>
            <w:tcW w:w="1077"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055" w:type="dxa"/>
            <w:gridSpan w:val="2"/>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c>
          <w:tcPr>
            <w:tcW w:w="1089"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网址</w:t>
            </w:r>
          </w:p>
        </w:tc>
        <w:tc>
          <w:tcPr>
            <w:tcW w:w="2329" w:type="dxa"/>
            <w:gridSpan w:val="2"/>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77"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03"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c>
          <w:tcPr>
            <w:tcW w:w="1252"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089"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p>
        </w:tc>
        <w:tc>
          <w:tcPr>
            <w:tcW w:w="899" w:type="dxa"/>
            <w:vAlign w:val="top"/>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430" w:type="dxa"/>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投标人须知要求投标人需具有的各类资质证书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p>
            <w:pPr>
              <w:spacing w:beforeAutospacing="0" w:afterAutospacing="0" w:line="400" w:lineRule="exact"/>
              <w:ind w:left="0" w:leftChars="0" w:right="0" w:righ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基本账户银行账号</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近三年营业额</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投标人关联企业情况（包括但不限于与投标人法定代表人为同一人或者存在控股、管理关系的不同单位）</w:t>
            </w:r>
          </w:p>
        </w:tc>
        <w:tc>
          <w:tcPr>
            <w:tcW w:w="7550" w:type="dxa"/>
            <w:gridSpan w:val="6"/>
            <w:vAlign w:val="top"/>
          </w:tcPr>
          <w:p>
            <w:pPr>
              <w:spacing w:beforeAutospacing="0" w:afterAutospacing="0" w:line="40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980" w:type="dxa"/>
            <w:vAlign w:val="center"/>
          </w:tcPr>
          <w:p>
            <w:pPr>
              <w:spacing w:beforeAutospacing="0" w:afterAutospacing="0" w:line="400" w:lineRule="exact"/>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经营范围备注</w:t>
            </w:r>
          </w:p>
        </w:tc>
        <w:tc>
          <w:tcPr>
            <w:tcW w:w="7550" w:type="dxa"/>
            <w:gridSpan w:val="6"/>
            <w:vAlign w:val="top"/>
          </w:tcPr>
          <w:p>
            <w:pPr>
              <w:spacing w:beforeAutospacing="0" w:afterAutospacing="0" w:line="400" w:lineRule="exact"/>
              <w:ind w:firstLine="420" w:firstLineChars="200"/>
              <w:rPr>
                <w:rFonts w:hint="eastAsia" w:ascii="宋体" w:hAnsi="宋体" w:eastAsia="宋体" w:cs="宋体"/>
                <w:color w:val="auto"/>
                <w:szCs w:val="21"/>
                <w:highlight w:val="none"/>
              </w:rPr>
            </w:pPr>
          </w:p>
        </w:tc>
      </w:tr>
    </w:tbl>
    <w:p>
      <w:pPr>
        <w:spacing w:line="360" w:lineRule="auto"/>
        <w:ind w:firstLine="482" w:firstLineChars="200"/>
        <w:rPr>
          <w:rFonts w:hint="eastAsia" w:ascii="宋体" w:hAnsi="宋体"/>
          <w:b/>
          <w:bCs/>
          <w:color w:val="auto"/>
          <w:highlight w:val="none"/>
        </w:rPr>
      </w:pPr>
      <w:r>
        <w:rPr>
          <w:rFonts w:hint="eastAsia" w:ascii="宋体" w:hAnsi="宋体"/>
          <w:b/>
          <w:bCs/>
          <w:color w:val="auto"/>
          <w:sz w:val="24"/>
          <w:highlight w:val="none"/>
        </w:rPr>
        <w:t>注：</w:t>
      </w:r>
      <w:r>
        <w:rPr>
          <w:rFonts w:hint="eastAsia" w:ascii="宋体" w:hAnsi="宋体"/>
          <w:color w:val="auto"/>
          <w:sz w:val="21"/>
          <w:szCs w:val="21"/>
          <w:highlight w:val="none"/>
          <w:lang w:val="en-US" w:eastAsia="zh-CN"/>
        </w:rPr>
        <w:t>注：根据供应商须知第1.4.1项的要求在本表后附供应商营业执照等证明材料及</w:t>
      </w:r>
      <w:r>
        <w:rPr>
          <w:rFonts w:hint="eastAsia" w:ascii="宋体" w:hAnsi="宋体" w:eastAsia="宋体" w:cs="Times New Roman"/>
          <w:b/>
          <w:bCs/>
          <w:color w:val="auto"/>
          <w:sz w:val="21"/>
          <w:szCs w:val="21"/>
          <w:highlight w:val="none"/>
          <w:lang w:val="en-US" w:eastAsia="zh-CN"/>
        </w:rPr>
        <w:t>供应商信用承诺函</w:t>
      </w:r>
      <w:r>
        <w:rPr>
          <w:rFonts w:hint="eastAsia" w:ascii="宋体" w:hAnsi="宋体"/>
          <w:b/>
          <w:bCs/>
          <w:color w:val="auto"/>
          <w:highlight w:val="none"/>
        </w:rPr>
        <w:t>。</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p>
    <w:p>
      <w:pPr>
        <w:pStyle w:val="27"/>
        <w:spacing w:beforeAutospacing="0" w:afterAutospacing="0" w:line="400" w:lineRule="exact"/>
        <w:ind w:firstLine="210"/>
        <w:rPr>
          <w:rFonts w:hint="eastAsia" w:ascii="宋体" w:hAnsi="宋体" w:eastAsia="宋体" w:cs="宋体"/>
          <w:color w:val="auto"/>
          <w:highlight w:val="none"/>
        </w:rPr>
        <w:sectPr>
          <w:pgSz w:w="11906" w:h="16838"/>
          <w:pgMar w:top="1418" w:right="1165" w:bottom="1588" w:left="1281" w:header="851" w:footer="1191" w:gutter="0"/>
          <w:pgBorders>
            <w:top w:val="none" w:sz="0" w:space="0"/>
            <w:left w:val="none" w:sz="0" w:space="0"/>
            <w:bottom w:val="none" w:sz="0" w:space="0"/>
            <w:right w:val="none" w:sz="0" w:space="0"/>
          </w:pgBorders>
          <w:pgNumType w:fmt="decimal"/>
          <w:cols w:space="720" w:num="1"/>
          <w:docGrid w:type="lines" w:linePitch="312" w:charSpace="0"/>
        </w:sectPr>
      </w:pPr>
    </w:p>
    <w:p>
      <w:pPr>
        <w:pStyle w:val="9"/>
        <w:pageBreakBefore w:val="0"/>
        <w:kinsoku/>
        <w:wordWrap w:val="0"/>
        <w:overflowPunct/>
        <w:topLinePunct/>
        <w:autoSpaceDE/>
        <w:autoSpaceDN/>
        <w:bidi w:val="0"/>
        <w:spacing w:line="312" w:lineRule="auto"/>
        <w:ind w:firstLine="422" w:firstLineChars="200"/>
        <w:rPr>
          <w:rFonts w:hint="eastAsia" w:ascii="宋体" w:hAnsi="宋体" w:eastAsia="宋体" w:cs="宋体"/>
          <w:b/>
          <w:bCs/>
          <w:color w:val="auto"/>
          <w:kern w:val="0"/>
          <w:sz w:val="21"/>
          <w:szCs w:val="21"/>
          <w:highlight w:val="none"/>
          <w:lang w:val="en-US" w:eastAsia="zh-CN" w:bidi="ar"/>
        </w:rPr>
      </w:pPr>
      <w:bookmarkStart w:id="279" w:name="_Toc2147_WPSOffice_Level2"/>
      <w:r>
        <w:rPr>
          <w:rFonts w:hint="eastAsia" w:ascii="宋体" w:hAnsi="宋体" w:eastAsia="宋体" w:cs="宋体"/>
          <w:b/>
          <w:bCs/>
          <w:color w:val="auto"/>
          <w:kern w:val="0"/>
          <w:sz w:val="21"/>
          <w:szCs w:val="21"/>
          <w:highlight w:val="none"/>
          <w:lang w:val="en-US" w:eastAsia="zh-CN" w:bidi="ar"/>
        </w:rPr>
        <w:t>附件：1.1</w:t>
      </w:r>
    </w:p>
    <w:p>
      <w:pPr>
        <w:keepNext w:val="0"/>
        <w:keepLines w:val="0"/>
        <w:pageBreakBefore w:val="0"/>
        <w:widowControl/>
        <w:suppressLineNumbers w:val="0"/>
        <w:kinsoku/>
        <w:wordWrap w:val="0"/>
        <w:overflowPunct/>
        <w:topLinePunct/>
        <w:autoSpaceDE/>
        <w:autoSpaceDN/>
        <w:bidi w:val="0"/>
        <w:adjustRightInd/>
        <w:snapToGrid/>
        <w:spacing w:line="312" w:lineRule="auto"/>
        <w:ind w:left="0" w:leftChars="0" w:firstLine="0" w:firstLineChars="0"/>
        <w:jc w:val="center"/>
        <w:textAlignment w:val="auto"/>
        <w:outlineLvl w:val="2"/>
        <w:rPr>
          <w:rFonts w:hint="eastAsia" w:ascii="宋体" w:hAnsi="宋体" w:eastAsia="宋体" w:cs="宋体"/>
          <w:color w:val="auto"/>
          <w:kern w:val="0"/>
          <w:sz w:val="21"/>
          <w:szCs w:val="21"/>
          <w:highlight w:val="none"/>
          <w:lang w:val="en-US" w:eastAsia="zh-CN" w:bidi="ar"/>
        </w:rPr>
      </w:pPr>
      <w:bookmarkStart w:id="280" w:name="_Toc20196"/>
      <w:bookmarkStart w:id="281" w:name="_Toc5502"/>
      <w:r>
        <w:rPr>
          <w:rFonts w:hint="eastAsia" w:ascii="宋体" w:hAnsi="宋体" w:eastAsia="宋体" w:cs="宋体"/>
          <w:b/>
          <w:bCs/>
          <w:color w:val="auto"/>
          <w:kern w:val="0"/>
          <w:sz w:val="21"/>
          <w:szCs w:val="21"/>
          <w:highlight w:val="none"/>
          <w:lang w:val="en-US" w:eastAsia="zh-CN" w:bidi="ar"/>
        </w:rPr>
        <w:t>信阳市政府采购供应商信用承诺函</w:t>
      </w:r>
      <w:bookmarkEnd w:id="280"/>
      <w:bookmarkEnd w:id="281"/>
    </w:p>
    <w:p>
      <w:pPr>
        <w:keepNext w:val="0"/>
        <w:keepLines w:val="0"/>
        <w:pageBreakBefore w:val="0"/>
        <w:widowControl/>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致</w:t>
      </w:r>
      <w:r>
        <w:rPr>
          <w:rFonts w:hint="eastAsia" w:ascii="宋体" w:hAnsi="宋体" w:eastAsia="宋体" w:cs="宋体"/>
          <w:color w:val="auto"/>
          <w:kern w:val="0"/>
          <w:sz w:val="21"/>
          <w:szCs w:val="21"/>
          <w:highlight w:val="none"/>
          <w:u w:val="none"/>
          <w:lang w:val="en-US" w:eastAsia="zh-CN" w:bidi="ar"/>
        </w:rPr>
        <w:t>（采购人或采购代理机构）：</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单位名称（自然人姓名）</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统一社会信用代码（身份证号码）</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法定代表人（负责人）</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u w:val="single"/>
          <w:lang w:val="en-US" w:eastAsia="zh-CN" w:bidi="ar"/>
        </w:rPr>
      </w:pPr>
      <w:r>
        <w:rPr>
          <w:rFonts w:hint="eastAsia" w:ascii="宋体" w:hAnsi="宋体" w:eastAsia="宋体" w:cs="宋体"/>
          <w:color w:val="auto"/>
          <w:kern w:val="0"/>
          <w:sz w:val="21"/>
          <w:szCs w:val="21"/>
          <w:highlight w:val="none"/>
          <w:lang w:val="en-US" w:eastAsia="zh-CN" w:bidi="ar"/>
        </w:rPr>
        <w:t>联系地址和电话</w:t>
      </w:r>
      <w:r>
        <w:rPr>
          <w:rFonts w:hint="eastAsia" w:ascii="宋体" w:hAnsi="宋体" w:eastAsia="宋体" w:cs="宋体"/>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12" w:lineRule="auto"/>
        <w:ind w:left="0" w:leftChars="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为维护公平、公正、公开的政府采购市场秩序，树立诚实守信的政府采购供应商形象，我单位（本人）自愿作出以下承诺：</w:t>
      </w:r>
    </w:p>
    <w:p>
      <w:pPr>
        <w:keepNext w:val="0"/>
        <w:keepLines w:val="0"/>
        <w:pageBreakBefore w:val="0"/>
        <w:widowControl/>
        <w:numPr>
          <w:ilvl w:val="0"/>
          <w:numId w:val="9"/>
        </w:numPr>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具有独立承担民事责任的能力；</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具有良好的商业信誉和健全的财务会计制度； </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具有履行合同所必需的设备和专业技术能力；</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有依法缴纳税收和社会保障资金的良好记录； </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参加政府采购活动前三年内，在经营活动中没有重大违法记录； </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未被相关监管部门作出行政处罚且尚在处罚有效期内； </w:t>
      </w:r>
    </w:p>
    <w:p>
      <w:pPr>
        <w:keepNext w:val="0"/>
        <w:keepLines w:val="0"/>
        <w:pageBreakBefore w:val="0"/>
        <w:widowControl/>
        <w:numPr>
          <w:ilvl w:val="0"/>
          <w:numId w:val="10"/>
        </w:numPr>
        <w:suppressLineNumbers w:val="0"/>
        <w:kinsoku/>
        <w:wordWrap w:val="0"/>
        <w:overflowPunct/>
        <w:topLinePunct/>
        <w:autoSpaceDE/>
        <w:autoSpaceDN/>
        <w:bidi w:val="0"/>
        <w:adjustRightInd/>
        <w:snapToGrid/>
        <w:spacing w:line="312" w:lineRule="auto"/>
        <w:ind w:left="0" w:leftChars="0" w:firstLine="0" w:firstLine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未曾做出虚假采购承诺；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leftChars="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（九）符合法律、行政法规规定的其他条件。</w:t>
      </w:r>
    </w:p>
    <w:p>
      <w:pPr>
        <w:keepNext w:val="0"/>
        <w:keepLines w:val="0"/>
        <w:pageBreakBefore w:val="0"/>
        <w:widowControl/>
        <w:numPr>
          <w:ilvl w:val="0"/>
          <w:numId w:val="9"/>
        </w:numPr>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第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 </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szCs w:val="21"/>
          <w:highlight w:val="none"/>
        </w:rPr>
        <w:t>电子签章或盖章</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法定代表人、负责人、本人或授权代表（</w:t>
      </w:r>
      <w:r>
        <w:rPr>
          <w:rFonts w:hint="eastAsia" w:ascii="宋体" w:hAnsi="宋体" w:eastAsia="宋体" w:cs="宋体"/>
          <w:color w:val="auto"/>
          <w:szCs w:val="21"/>
          <w:highlight w:val="none"/>
        </w:rPr>
        <w:t>电子签名或盖章</w:t>
      </w:r>
      <w:r>
        <w:rPr>
          <w:rFonts w:hint="eastAsia" w:ascii="宋体" w:hAnsi="宋体" w:eastAsia="宋体" w:cs="宋体"/>
          <w:color w:val="auto"/>
          <w:kern w:val="0"/>
          <w:sz w:val="21"/>
          <w:szCs w:val="21"/>
          <w:highlight w:val="none"/>
          <w:lang w:val="en-US" w:eastAsia="zh-CN" w:bidi="ar"/>
        </w:rPr>
        <w:t>）：</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日期：  年  月  日</w:t>
      </w:r>
    </w:p>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12" w:lineRule="auto"/>
        <w:ind w:left="0" w:firstLine="210" w:firstLineChars="1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注：1、供应商须在响应文件中按此模板提供承诺函，未提供视为未实质性响应磋商文件要求，按无效投标处理。</w:t>
      </w:r>
    </w:p>
    <w:p>
      <w:pPr>
        <w:spacing w:line="40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en-US" w:eastAsia="zh-CN" w:bidi="ar"/>
        </w:rPr>
        <w:t>2、供应商的法定代表人或者授权代表的签字或盖章应真实、有效，如由授权代表签字或盖章的，应提供“法定代表人授权书”。</w:t>
      </w:r>
    </w:p>
    <w:p>
      <w:pPr>
        <w:spacing w:line="400" w:lineRule="exact"/>
        <w:ind w:firstLine="413" w:firstLineChars="196"/>
        <w:jc w:val="left"/>
        <w:rPr>
          <w:rFonts w:hint="eastAsia" w:ascii="宋体" w:hAnsi="宋体" w:eastAsia="宋体" w:cs="宋体"/>
          <w:b/>
          <w:color w:val="auto"/>
          <w:sz w:val="21"/>
          <w:szCs w:val="21"/>
          <w:highlight w:val="none"/>
        </w:rPr>
      </w:pPr>
    </w:p>
    <w:p>
      <w:pPr>
        <w:spacing w:line="400" w:lineRule="exact"/>
        <w:ind w:firstLine="413" w:firstLineChars="196"/>
        <w:jc w:val="left"/>
        <w:rPr>
          <w:rFonts w:hint="eastAsia" w:ascii="宋体" w:hAnsi="宋体" w:eastAsia="宋体" w:cs="宋体"/>
          <w:b/>
          <w:color w:val="auto"/>
          <w:sz w:val="21"/>
          <w:szCs w:val="21"/>
          <w:highlight w:val="none"/>
        </w:rPr>
      </w:pPr>
    </w:p>
    <w:p>
      <w:pPr>
        <w:spacing w:line="400" w:lineRule="exact"/>
        <w:ind w:firstLine="413" w:firstLineChars="196"/>
        <w:jc w:val="left"/>
        <w:rPr>
          <w:rFonts w:hint="eastAsia" w:ascii="宋体" w:hAnsi="宋体" w:eastAsia="宋体" w:cs="宋体"/>
          <w:b/>
          <w:color w:val="auto"/>
          <w:sz w:val="21"/>
          <w:szCs w:val="21"/>
          <w:highlight w:val="none"/>
        </w:rPr>
      </w:pPr>
    </w:p>
    <w:p>
      <w:pPr>
        <w:spacing w:line="400" w:lineRule="exact"/>
        <w:jc w:val="left"/>
        <w:rPr>
          <w:rFonts w:hint="eastAsia" w:ascii="宋体" w:hAnsi="宋体" w:eastAsia="宋体" w:cs="宋体"/>
          <w:b/>
          <w:color w:val="auto"/>
          <w:sz w:val="21"/>
          <w:szCs w:val="21"/>
          <w:highlight w:val="none"/>
        </w:rPr>
      </w:pPr>
    </w:p>
    <w:p>
      <w:pPr>
        <w:spacing w:line="400" w:lineRule="exact"/>
        <w:ind w:firstLine="413" w:firstLineChars="196"/>
        <w:jc w:val="lef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1.2</w:t>
      </w:r>
      <w:r>
        <w:rPr>
          <w:rFonts w:hint="eastAsia" w:ascii="宋体" w:hAnsi="宋体" w:eastAsia="宋体" w:cs="宋体"/>
          <w:b/>
          <w:color w:val="auto"/>
          <w:sz w:val="21"/>
          <w:szCs w:val="21"/>
          <w:highlight w:val="none"/>
        </w:rPr>
        <w:t>、</w:t>
      </w:r>
      <w:bookmarkEnd w:id="279"/>
      <w:r>
        <w:rPr>
          <w:rFonts w:hint="eastAsia" w:ascii="宋体" w:hAnsi="宋体" w:eastAsia="宋体" w:cs="宋体"/>
          <w:b/>
          <w:color w:val="auto"/>
          <w:sz w:val="21"/>
          <w:szCs w:val="21"/>
          <w:highlight w:val="none"/>
          <w:lang w:val="en-US" w:eastAsia="zh-CN"/>
        </w:rPr>
        <w:t>根据《关于在政府采购活动中查询及使用信用记录有关问题的通知》财库〔2016〕125号文件和豫财购〔2016〕15号文件的规定，投标人应提供“信用中国”网站（www.creditchina.gov.cn）查询“失信被执行人”和“重大税收违法失信主体”；中国政府采购网（www.ccgp.gov.cn）查询“政府采购严重违法失信行为记录名单”渠道查询自身信用记录，提供查询网页截图，查询截止时点为：从公告发布之日起至投标截止之日止</w:t>
      </w:r>
      <w:r>
        <w:rPr>
          <w:rFonts w:hint="eastAsia" w:ascii="宋体" w:hAnsi="宋体" w:cs="宋体"/>
          <w:b/>
          <w:color w:val="auto"/>
          <w:sz w:val="21"/>
          <w:szCs w:val="21"/>
          <w:highlight w:val="none"/>
          <w:lang w:val="en-US" w:eastAsia="zh-CN"/>
        </w:rPr>
        <w:t>；</w:t>
      </w:r>
    </w:p>
    <w:p>
      <w:pPr>
        <w:pStyle w:val="15"/>
        <w:ind w:firstLine="0"/>
        <w:rPr>
          <w:rFonts w:hint="eastAsia" w:ascii="宋体" w:hAnsi="宋体" w:eastAsia="宋体" w:cs="宋体"/>
          <w:color w:val="auto"/>
          <w:sz w:val="21"/>
          <w:szCs w:val="21"/>
          <w:highlight w:val="none"/>
        </w:rPr>
      </w:pPr>
    </w:p>
    <w:p>
      <w:pPr>
        <w:spacing w:line="400" w:lineRule="exact"/>
        <w:ind w:firstLine="413" w:firstLineChars="196"/>
        <w:jc w:val="left"/>
        <w:rPr>
          <w:rFonts w:hint="eastAsia" w:ascii="宋体" w:hAnsi="宋体" w:eastAsia="宋体" w:cs="宋体"/>
          <w:b/>
          <w:color w:val="auto"/>
          <w:sz w:val="21"/>
          <w:szCs w:val="21"/>
          <w:highlight w:val="none"/>
          <w:lang w:val="en-US" w:eastAsia="zh-CN"/>
        </w:rPr>
      </w:pPr>
    </w:p>
    <w:p>
      <w:pPr>
        <w:spacing w:line="400" w:lineRule="exact"/>
        <w:ind w:firstLine="413" w:firstLineChars="196"/>
        <w:jc w:val="left"/>
        <w:rPr>
          <w:rFonts w:hint="eastAsia" w:ascii="宋体" w:hAnsi="宋体" w:eastAsia="宋体" w:cs="宋体"/>
          <w:b/>
          <w:color w:val="auto"/>
          <w:sz w:val="21"/>
          <w:szCs w:val="21"/>
          <w:highlight w:val="none"/>
          <w:lang w:val="en-US" w:eastAsia="zh-CN"/>
        </w:rPr>
      </w:pPr>
    </w:p>
    <w:p>
      <w:pPr>
        <w:spacing w:line="400" w:lineRule="exact"/>
        <w:ind w:firstLine="413" w:firstLineChars="196"/>
        <w:jc w:val="left"/>
        <w:rPr>
          <w:rFonts w:hint="eastAsia" w:ascii="宋体" w:hAnsi="宋体" w:eastAsia="宋体" w:cs="宋体"/>
          <w:b/>
          <w:color w:val="auto"/>
          <w:sz w:val="21"/>
          <w:szCs w:val="21"/>
          <w:highlight w:val="none"/>
          <w:lang w:val="en-US" w:eastAsia="zh-CN"/>
        </w:rPr>
      </w:pPr>
    </w:p>
    <w:p>
      <w:pPr>
        <w:spacing w:line="400" w:lineRule="exact"/>
        <w:ind w:firstLine="413" w:firstLineChars="196"/>
        <w:jc w:val="left"/>
        <w:rPr>
          <w:rFonts w:hint="eastAsia" w:ascii="宋体" w:hAnsi="宋体" w:eastAsia="宋体" w:cs="宋体"/>
          <w:b/>
          <w:color w:val="auto"/>
          <w:sz w:val="21"/>
          <w:szCs w:val="21"/>
          <w:highlight w:val="none"/>
          <w:lang w:val="en-US" w:eastAsia="zh-CN"/>
        </w:rPr>
        <w:sectPr>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
          <w:color w:val="auto"/>
          <w:sz w:val="21"/>
          <w:szCs w:val="21"/>
          <w:highlight w:val="none"/>
          <w:lang w:val="en-US" w:eastAsia="zh-CN"/>
        </w:rPr>
        <w:t>1.3</w:t>
      </w:r>
      <w:r>
        <w:rPr>
          <w:rFonts w:hint="eastAsia" w:ascii="宋体" w:hAnsi="宋体" w:eastAsia="宋体" w:cs="宋体"/>
          <w:b/>
          <w:color w:val="auto"/>
          <w:sz w:val="21"/>
          <w:szCs w:val="21"/>
          <w:highlight w:val="none"/>
          <w:lang w:val="en-US" w:eastAsia="zh-CN"/>
        </w:rPr>
        <w:t>单位负责人为同一人或者存在直接控股、管理关系的不同单位，不得同时参加同一合同项下的政府采购活动（提供加盖投标人公章的“国家企业信用信息公示系统”中公示的公司基础信息包含股东及出资信息）。</w:t>
      </w:r>
    </w:p>
    <w:p>
      <w:pPr>
        <w:pStyle w:val="2"/>
        <w:numPr>
          <w:ilvl w:val="0"/>
          <w:numId w:val="0"/>
        </w:numPr>
        <w:tabs>
          <w:tab w:val="left" w:pos="1260"/>
          <w:tab w:val="clear" w:pos="840"/>
        </w:tabs>
        <w:bidi w:val="0"/>
        <w:spacing w:line="400" w:lineRule="exact"/>
        <w:ind w:left="0" w:leftChars="0" w:right="0" w:rightChars="0" w:firstLine="0" w:firstLineChars="0"/>
        <w:jc w:val="center"/>
        <w:outlineLvl w:val="1"/>
        <w:rPr>
          <w:rFonts w:hint="eastAsia" w:ascii="宋体" w:hAnsi="宋体" w:eastAsia="宋体" w:cs="宋体"/>
          <w:b/>
          <w:color w:val="auto"/>
          <w:sz w:val="28"/>
          <w:szCs w:val="28"/>
          <w:highlight w:val="none"/>
          <w:lang w:val="en-US" w:eastAsia="zh-CN"/>
        </w:rPr>
      </w:pPr>
      <w:bookmarkStart w:id="282" w:name="_Toc29403"/>
      <w:r>
        <w:rPr>
          <w:rFonts w:hint="eastAsia" w:ascii="宋体" w:hAnsi="宋体" w:eastAsia="宋体" w:cs="宋体"/>
          <w:b/>
          <w:color w:val="auto"/>
          <w:sz w:val="28"/>
          <w:szCs w:val="28"/>
          <w:highlight w:val="none"/>
          <w:lang w:val="en-US" w:eastAsia="zh-CN"/>
        </w:rPr>
        <w:t>五、技术方案</w:t>
      </w:r>
      <w:bookmarkEnd w:id="282"/>
    </w:p>
    <w:p>
      <w:pPr>
        <w:numPr>
          <w:ilvl w:val="3"/>
          <w:numId w:val="0"/>
        </w:numPr>
        <w:tabs>
          <w:tab w:val="left" w:pos="1680"/>
        </w:tabs>
        <w:spacing w:line="400" w:lineRule="exact"/>
        <w:jc w:val="center"/>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（格式自拟）</w:t>
      </w:r>
    </w:p>
    <w:p>
      <w:pPr>
        <w:numPr>
          <w:ilvl w:val="3"/>
          <w:numId w:val="0"/>
        </w:numPr>
        <w:tabs>
          <w:tab w:val="left" w:pos="1680"/>
        </w:tabs>
        <w:spacing w:line="400" w:lineRule="exact"/>
        <w:jc w:val="center"/>
        <w:outlineLvl w:val="9"/>
        <w:rPr>
          <w:rFonts w:hint="eastAsia" w:ascii="宋体" w:hAnsi="宋体" w:eastAsia="宋体" w:cs="宋体"/>
          <w:color w:val="auto"/>
          <w:highlight w:val="none"/>
        </w:rPr>
      </w:pPr>
    </w:p>
    <w:p>
      <w:pPr>
        <w:jc w:val="center"/>
        <w:outlineLvl w:val="9"/>
        <w:rPr>
          <w:rFonts w:hint="eastAsia" w:ascii="宋体" w:hAnsi="宋体" w:eastAsia="宋体" w:cs="宋体"/>
          <w:color w:val="auto"/>
          <w:highlight w:val="none"/>
        </w:rPr>
      </w:pPr>
    </w:p>
    <w:p>
      <w:pPr>
        <w:pStyle w:val="9"/>
        <w:jc w:val="center"/>
        <w:rPr>
          <w:rFonts w:hint="eastAsia" w:ascii="宋体" w:hAnsi="宋体" w:eastAsia="宋体" w:cs="宋体"/>
          <w:color w:val="auto"/>
          <w:highlight w:val="none"/>
        </w:rPr>
      </w:pPr>
    </w:p>
    <w:p>
      <w:pPr>
        <w:pStyle w:val="10"/>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pStyle w:val="9"/>
        <w:jc w:val="center"/>
        <w:rPr>
          <w:rFonts w:hint="eastAsia" w:ascii="宋体" w:hAnsi="宋体" w:eastAsia="宋体" w:cs="宋体"/>
          <w:color w:val="auto"/>
          <w:highlight w:val="none"/>
        </w:rPr>
      </w:pPr>
    </w:p>
    <w:p>
      <w:pPr>
        <w:pStyle w:val="10"/>
        <w:jc w:val="center"/>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pStyle w:val="2"/>
        <w:numPr>
          <w:ilvl w:val="0"/>
          <w:numId w:val="0"/>
        </w:numPr>
        <w:tabs>
          <w:tab w:val="left" w:pos="1260"/>
          <w:tab w:val="clear" w:pos="840"/>
        </w:tabs>
        <w:bidi w:val="0"/>
        <w:spacing w:line="400" w:lineRule="exact"/>
        <w:jc w:val="center"/>
        <w:outlineLvl w:val="1"/>
        <w:rPr>
          <w:rFonts w:hint="eastAsia" w:ascii="宋体" w:hAnsi="宋体" w:eastAsia="宋体" w:cs="宋体"/>
          <w:b/>
          <w:color w:val="auto"/>
          <w:sz w:val="28"/>
          <w:szCs w:val="28"/>
          <w:highlight w:val="none"/>
          <w:lang w:val="en-US" w:eastAsia="zh-CN"/>
        </w:rPr>
      </w:pPr>
      <w:bookmarkStart w:id="283" w:name="_Toc26443"/>
      <w:r>
        <w:rPr>
          <w:rFonts w:hint="eastAsia" w:ascii="宋体" w:hAnsi="宋体" w:eastAsia="宋体" w:cs="宋体"/>
          <w:b/>
          <w:color w:val="auto"/>
          <w:sz w:val="28"/>
          <w:szCs w:val="28"/>
          <w:highlight w:val="none"/>
          <w:lang w:val="en-US" w:eastAsia="zh-CN"/>
        </w:rPr>
        <w:t>六、其他材料</w:t>
      </w:r>
      <w:bookmarkEnd w:id="283"/>
    </w:p>
    <w:p>
      <w:pPr>
        <w:spacing w:line="400" w:lineRule="exact"/>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中小企业声明函（</w:t>
      </w:r>
      <w:r>
        <w:rPr>
          <w:rFonts w:hint="eastAsia" w:ascii="宋体" w:hAnsi="宋体" w:eastAsia="宋体" w:cs="宋体"/>
          <w:b/>
          <w:color w:val="auto"/>
          <w:sz w:val="28"/>
          <w:szCs w:val="28"/>
          <w:highlight w:val="none"/>
          <w:lang w:eastAsia="zh-CN"/>
        </w:rPr>
        <w:t>服务</w:t>
      </w:r>
      <w:r>
        <w:rPr>
          <w:rFonts w:hint="eastAsia" w:ascii="宋体" w:hAnsi="宋体" w:eastAsia="宋体" w:cs="宋体"/>
          <w:b/>
          <w:color w:val="auto"/>
          <w:sz w:val="28"/>
          <w:szCs w:val="28"/>
          <w:highlight w:val="none"/>
        </w:rPr>
        <w:t>）</w:t>
      </w:r>
    </w:p>
    <w:p>
      <w:pPr>
        <w:pStyle w:val="27"/>
        <w:ind w:left="0" w:leftChars="0" w:firstLine="0" w:firstLineChars="0"/>
        <w:rPr>
          <w:rFonts w:hint="eastAsia" w:ascii="宋体" w:hAnsi="宋体" w:eastAsia="宋体" w:cs="宋体"/>
          <w:b w:val="0"/>
          <w:bCs/>
          <w:color w:val="auto"/>
          <w:sz w:val="21"/>
          <w:szCs w:val="21"/>
          <w:highlight w:val="none"/>
          <w:lang w:val="en-US" w:eastAsia="zh-CN"/>
        </w:rPr>
      </w:pPr>
    </w:p>
    <w:p>
      <w:pPr>
        <w:pStyle w:val="27"/>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本公司(联合体</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郑重声明，根据《政府采购促进中小企业发展管理办法》(财库 2020 46号</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的规定，本公司(联合体</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参加</w:t>
      </w:r>
      <w:r>
        <w:rPr>
          <w:rFonts w:hint="eastAsia" w:ascii="宋体" w:hAnsi="宋体" w:eastAsia="宋体" w:cs="宋体"/>
          <w:b w:val="0"/>
          <w:bCs/>
          <w:color w:val="auto"/>
          <w:sz w:val="21"/>
          <w:szCs w:val="21"/>
          <w:highlight w:val="none"/>
          <w:u w:val="single"/>
        </w:rPr>
        <w:t xml:space="preserve"> </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(单位名称</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的</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(项目名称</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采购活动，服务全部由符合政策要求的中小企业承接。相关企业(含联合体中的中小企业、签订分包意向协议的中小企业</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的具体情况如下</w:t>
      </w:r>
      <w:r>
        <w:rPr>
          <w:rFonts w:hint="eastAsia" w:ascii="宋体" w:hAnsi="宋体" w:cs="宋体"/>
          <w:b w:val="0"/>
          <w:bCs/>
          <w:color w:val="auto"/>
          <w:sz w:val="21"/>
          <w:szCs w:val="21"/>
          <w:highlight w:val="none"/>
          <w:lang w:eastAsia="zh-CN"/>
        </w:rPr>
        <w:t>：</w:t>
      </w:r>
    </w:p>
    <w:p>
      <w:pPr>
        <w:pStyle w:val="27"/>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(标的名称</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，属于</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(采购文件中明确的所属行业</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承接企业为</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(企业名称</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，从业人员__人，营业收入为</w:t>
      </w:r>
      <w:r>
        <w:rPr>
          <w:rFonts w:hint="eastAsia" w:ascii="宋体" w:hAnsi="宋体" w:eastAsia="宋体" w:cs="宋体"/>
          <w:b w:val="0"/>
          <w:bCs/>
          <w:color w:val="auto"/>
          <w:sz w:val="21"/>
          <w:szCs w:val="21"/>
          <w:highlight w:val="none"/>
          <w:u w:val="none"/>
        </w:rPr>
        <w:t>____</w:t>
      </w:r>
      <w:r>
        <w:rPr>
          <w:rFonts w:hint="eastAsia" w:ascii="宋体" w:hAnsi="宋体" w:eastAsia="宋体" w:cs="宋体"/>
          <w:b w:val="0"/>
          <w:bCs/>
          <w:color w:val="auto"/>
          <w:sz w:val="21"/>
          <w:szCs w:val="21"/>
          <w:highlight w:val="none"/>
        </w:rPr>
        <w:t>万元，资产总额为</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万元， 属于</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(中型企业、小型企业、微型企业</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w:t>
      </w:r>
    </w:p>
    <w:p>
      <w:pPr>
        <w:pStyle w:val="27"/>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(标的名称</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属于</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(采购文件中明确的所属行业</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承接企业为</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(企业名称</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，从业人员____人， 营业收入为</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rPr>
        <w:t>万元， 资产总额为</w:t>
      </w:r>
      <w:r>
        <w:rPr>
          <w:rFonts w:hint="eastAsia" w:ascii="宋体" w:hAnsi="宋体" w:eastAsia="宋体" w:cs="宋体"/>
          <w:b w:val="0"/>
          <w:bCs/>
          <w:color w:val="auto"/>
          <w:sz w:val="21"/>
          <w:szCs w:val="21"/>
          <w:highlight w:val="none"/>
          <w:u w:val="single"/>
        </w:rPr>
        <w:t>___</w:t>
      </w:r>
      <w:r>
        <w:rPr>
          <w:rFonts w:hint="eastAsia" w:ascii="宋体" w:hAnsi="宋体" w:eastAsia="宋体" w:cs="宋体"/>
          <w:b w:val="0"/>
          <w:bCs/>
          <w:color w:val="auto"/>
          <w:sz w:val="21"/>
          <w:szCs w:val="21"/>
          <w:highlight w:val="none"/>
        </w:rPr>
        <w:t>万元， 属于</w:t>
      </w:r>
      <w:r>
        <w:rPr>
          <w:rFonts w:hint="eastAsia" w:ascii="宋体" w:hAnsi="宋体" w:cs="宋体"/>
          <w:b w:val="0"/>
          <w:bCs/>
          <w:color w:val="auto"/>
          <w:sz w:val="21"/>
          <w:szCs w:val="21"/>
          <w:highlight w:val="none"/>
          <w:u w:val="single"/>
          <w:lang w:val="en-US" w:eastAsia="zh-CN"/>
        </w:rPr>
        <w:t xml:space="preserve">     </w:t>
      </w:r>
      <w:r>
        <w:rPr>
          <w:rFonts w:hint="eastAsia" w:ascii="宋体" w:hAnsi="宋体" w:eastAsia="宋体" w:cs="宋体"/>
          <w:b w:val="0"/>
          <w:bCs/>
          <w:color w:val="auto"/>
          <w:sz w:val="21"/>
          <w:szCs w:val="21"/>
          <w:highlight w:val="none"/>
          <w:u w:val="none"/>
        </w:rPr>
        <w:t>(中型企业、</w:t>
      </w:r>
      <w:r>
        <w:rPr>
          <w:rFonts w:hint="eastAsia" w:ascii="宋体" w:hAnsi="宋体" w:eastAsia="宋体" w:cs="宋体"/>
          <w:b w:val="0"/>
          <w:bCs/>
          <w:color w:val="auto"/>
          <w:sz w:val="21"/>
          <w:szCs w:val="21"/>
          <w:highlight w:val="none"/>
          <w:u w:val="none"/>
          <w:lang w:eastAsia="zh-CN"/>
        </w:rPr>
        <w:t>小</w:t>
      </w:r>
      <w:r>
        <w:rPr>
          <w:rFonts w:hint="eastAsia" w:ascii="宋体" w:hAnsi="宋体" w:eastAsia="宋体" w:cs="宋体"/>
          <w:b w:val="0"/>
          <w:bCs/>
          <w:color w:val="auto"/>
          <w:sz w:val="21"/>
          <w:szCs w:val="21"/>
          <w:highlight w:val="none"/>
          <w:u w:val="none"/>
        </w:rPr>
        <w:t>型企业、微型企业</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val="en-US"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以上企业，不属于大企业的分支机构，不存在控股股东为大企业的情形，也不存在与大企业的负责人为同一人的情形。</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本企业对上述声明内容的真实性负责。如有虚假，将依法承担相应责任。</w:t>
      </w:r>
    </w:p>
    <w:p>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注：1.从业人员、营业收入、资产总额填报上一年度数据，无上一年度数据的新成立企业可不填报。</w:t>
      </w:r>
    </w:p>
    <w:p>
      <w:pPr>
        <w:pStyle w:val="27"/>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2</w:t>
      </w:r>
      <w:r>
        <w:rPr>
          <w:rFonts w:hint="eastAsia" w:ascii="宋体" w:hAnsi="宋体" w:cs="宋体"/>
          <w:b w:val="0"/>
          <w:bCs/>
          <w:color w:val="auto"/>
          <w:sz w:val="21"/>
          <w:szCs w:val="21"/>
          <w:highlight w:val="none"/>
          <w:lang w:val="en-US" w:eastAsia="zh-CN"/>
        </w:rPr>
        <w:t>.投标人</w:t>
      </w:r>
      <w:r>
        <w:rPr>
          <w:rFonts w:hint="eastAsia" w:ascii="宋体" w:hAnsi="宋体" w:eastAsia="宋体" w:cs="宋体"/>
          <w:b w:val="0"/>
          <w:bCs/>
          <w:color w:val="auto"/>
          <w:sz w:val="21"/>
          <w:szCs w:val="21"/>
          <w:highlight w:val="none"/>
        </w:rPr>
        <w:t>属于中小微企业的填写，不属于的无需填写此项内容</w:t>
      </w:r>
      <w:r>
        <w:rPr>
          <w:rFonts w:hint="eastAsia" w:ascii="宋体" w:hAnsi="宋体" w:cs="宋体"/>
          <w:b w:val="0"/>
          <w:bCs/>
          <w:color w:val="auto"/>
          <w:sz w:val="21"/>
          <w:szCs w:val="21"/>
          <w:highlight w:val="none"/>
          <w:lang w:eastAsia="zh-CN"/>
        </w:rPr>
        <w:t>。</w:t>
      </w:r>
    </w:p>
    <w:p>
      <w:pPr>
        <w:pStyle w:val="27"/>
        <w:ind w:firstLine="281"/>
        <w:rPr>
          <w:rFonts w:hint="eastAsia" w:ascii="宋体" w:hAnsi="宋体" w:eastAsia="宋体" w:cs="宋体"/>
          <w:b w:val="0"/>
          <w:bCs/>
          <w:color w:val="auto"/>
          <w:sz w:val="21"/>
          <w:szCs w:val="21"/>
          <w:highlight w:val="none"/>
        </w:rPr>
      </w:pPr>
    </w:p>
    <w:p>
      <w:pPr>
        <w:pStyle w:val="27"/>
        <w:ind w:firstLine="281"/>
        <w:rPr>
          <w:rFonts w:hint="eastAsia" w:ascii="宋体" w:hAnsi="宋体" w:eastAsia="宋体" w:cs="宋体"/>
          <w:b w:val="0"/>
          <w:bCs/>
          <w:color w:val="auto"/>
          <w:sz w:val="21"/>
          <w:szCs w:val="21"/>
          <w:highlight w:val="none"/>
        </w:rPr>
      </w:pPr>
    </w:p>
    <w:p>
      <w:pPr>
        <w:pStyle w:val="27"/>
        <w:ind w:firstLine="281"/>
        <w:rPr>
          <w:rFonts w:hint="eastAsia" w:ascii="宋体" w:hAnsi="宋体" w:eastAsia="宋体" w:cs="宋体"/>
          <w:b w:val="0"/>
          <w:bCs/>
          <w:color w:val="auto"/>
          <w:sz w:val="21"/>
          <w:szCs w:val="21"/>
          <w:highlight w:val="none"/>
        </w:rPr>
      </w:pPr>
    </w:p>
    <w:p>
      <w:pPr>
        <w:pStyle w:val="27"/>
        <w:ind w:firstLine="281"/>
        <w:jc w:val="both"/>
        <w:rPr>
          <w:rFonts w:hint="eastAsia" w:ascii="宋体" w:hAnsi="宋体" w:eastAsia="宋体" w:cs="宋体"/>
          <w:b w:val="0"/>
          <w:bCs/>
          <w:color w:val="auto"/>
          <w:sz w:val="21"/>
          <w:szCs w:val="21"/>
          <w:highlight w:val="none"/>
        </w:rPr>
      </w:pPr>
    </w:p>
    <w:p>
      <w:pPr>
        <w:pStyle w:val="27"/>
        <w:ind w:firstLine="28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企业名称(盖章</w:t>
      </w:r>
      <w:r>
        <w:rPr>
          <w:rFonts w:hint="eastAsia" w:ascii="宋体" w:hAnsi="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pPr>
        <w:pStyle w:val="27"/>
        <w:ind w:firstLine="281"/>
        <w:jc w:val="right"/>
        <w:rPr>
          <w:rFonts w:hint="eastAsia" w:ascii="宋体" w:hAnsi="宋体" w:eastAsia="宋体" w:cs="宋体"/>
          <w:b w:val="0"/>
          <w:bCs/>
          <w:color w:val="auto"/>
          <w:sz w:val="21"/>
          <w:szCs w:val="21"/>
          <w:highlight w:val="none"/>
        </w:rPr>
      </w:pPr>
    </w:p>
    <w:p>
      <w:pPr>
        <w:pStyle w:val="27"/>
        <w:ind w:firstLine="281"/>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日期</w:t>
      </w:r>
      <w:r>
        <w:rPr>
          <w:rFonts w:hint="eastAsia" w:ascii="宋体" w:hAnsi="宋体" w:cs="宋体"/>
          <w:b w:val="0"/>
          <w:bCs/>
          <w:color w:val="auto"/>
          <w:sz w:val="21"/>
          <w:szCs w:val="21"/>
          <w:highlight w:val="none"/>
          <w:lang w:eastAsia="zh-CN"/>
        </w:rPr>
        <w:t>：</w:t>
      </w:r>
    </w:p>
    <w:p>
      <w:pP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pPr>
        <w:pStyle w:val="28"/>
        <w:rPr>
          <w:rFonts w:hint="eastAsia"/>
          <w:color w:val="auto"/>
          <w:highlight w:val="none"/>
        </w:rPr>
      </w:pPr>
      <w:r>
        <w:rPr>
          <w:rFonts w:hint="eastAsia"/>
          <w:color w:val="auto"/>
          <w:highlight w:val="none"/>
        </w:rPr>
        <w:drawing>
          <wp:inline distT="0" distB="0" distL="114300" distR="114300">
            <wp:extent cx="5579745" cy="8460105"/>
            <wp:effectExtent l="0" t="0" r="1905" b="17145"/>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17"/>
                    <a:stretch>
                      <a:fillRect/>
                    </a:stretch>
                  </pic:blipFill>
                  <pic:spPr>
                    <a:xfrm>
                      <a:off x="0" y="0"/>
                      <a:ext cx="5579745" cy="8460105"/>
                    </a:xfrm>
                    <a:prstGeom prst="rect">
                      <a:avLst/>
                    </a:prstGeom>
                    <a:noFill/>
                    <a:ln>
                      <a:noFill/>
                    </a:ln>
                  </pic:spPr>
                </pic:pic>
              </a:graphicData>
            </a:graphic>
          </wp:inline>
        </w:drawing>
      </w: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2、残疾人福利性单位声明函</w:t>
      </w:r>
    </w:p>
    <w:p>
      <w:pPr>
        <w:ind w:firstLine="42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（属于残疾人福利企业的填写，不属于的无需填写此项内容）</w:t>
      </w:r>
    </w:p>
    <w:p>
      <w:pPr>
        <w:pStyle w:val="44"/>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该文件之规定条件的残疾人福利性单位，参加本次政府采购活动提供本单位服务，或者由（其他残疾人福利性单位名称）提供的服务。</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本单位对上述声明的真实性负责。如有虚假，将承担相应的法律责任。</w:t>
      </w:r>
    </w:p>
    <w:p>
      <w:pPr>
        <w:spacing w:line="360" w:lineRule="auto"/>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名称（单位电子签章）：</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pPr>
        <w:ind w:firstLine="420"/>
        <w:rPr>
          <w:rFonts w:hint="eastAsia" w:ascii="宋体" w:hAnsi="宋体" w:eastAsia="宋体" w:cs="宋体"/>
          <w:color w:val="auto"/>
          <w:highlight w:val="none"/>
        </w:rPr>
      </w:pPr>
    </w:p>
    <w:p>
      <w:pPr>
        <w:ind w:firstLine="422"/>
        <w:rPr>
          <w:rFonts w:hint="eastAsia" w:ascii="宋体" w:hAnsi="宋体" w:eastAsia="宋体" w:cs="宋体"/>
          <w:b/>
          <w:color w:val="auto"/>
          <w:szCs w:val="21"/>
          <w:highlight w:val="none"/>
        </w:rPr>
      </w:pPr>
    </w:p>
    <w:p>
      <w:pPr>
        <w:pStyle w:val="57"/>
        <w:rPr>
          <w:rFonts w:hint="eastAsia" w:ascii="宋体" w:hAnsi="宋体" w:eastAsia="宋体" w:cs="宋体"/>
          <w:b/>
          <w:color w:val="auto"/>
          <w:kern w:val="2"/>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pStyle w:val="22"/>
        <w:ind w:firstLine="422"/>
        <w:rPr>
          <w:rFonts w:hint="eastAsia" w:ascii="宋体" w:hAnsi="宋体" w:eastAsia="宋体" w:cs="宋体"/>
          <w:b/>
          <w:color w:val="auto"/>
          <w:sz w:val="21"/>
          <w:szCs w:val="21"/>
          <w:highlight w:val="none"/>
        </w:rPr>
      </w:pPr>
    </w:p>
    <w:p>
      <w:pPr>
        <w:ind w:firstLine="562"/>
        <w:rPr>
          <w:rFonts w:hint="eastAsia" w:ascii="宋体" w:hAnsi="宋体" w:eastAsia="宋体" w:cs="宋体"/>
          <w:b/>
          <w:color w:val="auto"/>
          <w:sz w:val="28"/>
          <w:szCs w:val="28"/>
          <w:highlight w:val="none"/>
        </w:rPr>
      </w:pPr>
      <w:bookmarkStart w:id="284" w:name="_Toc29869"/>
      <w:r>
        <w:rPr>
          <w:rFonts w:hint="eastAsia" w:ascii="宋体" w:hAnsi="宋体" w:eastAsia="宋体" w:cs="宋体"/>
          <w:b/>
          <w:color w:val="auto"/>
          <w:sz w:val="28"/>
          <w:szCs w:val="28"/>
          <w:highlight w:val="none"/>
        </w:rPr>
        <w:br w:type="page"/>
      </w:r>
    </w:p>
    <w:p>
      <w:pPr>
        <w:spacing w:line="400" w:lineRule="exact"/>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3、监狱企业证明文件（如有）</w:t>
      </w:r>
      <w:bookmarkEnd w:id="284"/>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根据财政部、司法部联合印发《关于政府采购支持监狱企业发展有关问题的通知》（财库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eastAsia="宋体" w:cs="宋体"/>
          <w:color w:val="auto"/>
          <w:szCs w:val="21"/>
          <w:highlight w:val="none"/>
        </w:rPr>
        <w:t>）文件规定，凡监狱企业参加政府采购活动视同小型、微型企业，享受评审价格扣除的政府采购优惠政策。此次若有监狱企业参加投标的其报价享受价格</w:t>
      </w:r>
      <w:r>
        <w:rPr>
          <w:rFonts w:hint="eastAsia" w:ascii="宋体" w:hAnsi="宋体" w:cs="宋体"/>
          <w:color w:val="auto"/>
          <w:szCs w:val="21"/>
          <w:highlight w:val="none"/>
          <w:lang w:val="en-US" w:eastAsia="zh-CN"/>
        </w:rPr>
        <w:t>分在基本分的基础上给予10%的增加</w:t>
      </w:r>
      <w:r>
        <w:rPr>
          <w:rFonts w:hint="eastAsia" w:ascii="宋体" w:hAnsi="宋体" w:eastAsia="宋体" w:cs="宋体"/>
          <w:color w:val="auto"/>
          <w:szCs w:val="21"/>
          <w:highlight w:val="none"/>
        </w:rPr>
        <w:t>，但必须提供由省级以上监狱管理局、戒毒管理局（含新疆生产建设兵团）出具的属于监狱企业的证明文件，否则评审时不予价格</w:t>
      </w:r>
      <w:r>
        <w:rPr>
          <w:rFonts w:hint="eastAsia" w:ascii="宋体" w:hAnsi="宋体" w:cs="宋体"/>
          <w:color w:val="auto"/>
          <w:szCs w:val="21"/>
          <w:highlight w:val="none"/>
          <w:lang w:val="en-US" w:eastAsia="zh-CN"/>
        </w:rPr>
        <w:t>分增加</w:t>
      </w:r>
      <w:r>
        <w:rPr>
          <w:rFonts w:hint="eastAsia" w:ascii="宋体" w:hAnsi="宋体" w:eastAsia="宋体" w:cs="宋体"/>
          <w:color w:val="auto"/>
          <w:szCs w:val="21"/>
          <w:highlight w:val="none"/>
        </w:rPr>
        <w:t>。</w:t>
      </w:r>
    </w:p>
    <w:p>
      <w:pPr>
        <w:spacing w:line="360" w:lineRule="auto"/>
        <w:ind w:firstLine="420"/>
        <w:jc w:val="center"/>
        <w:rPr>
          <w:rFonts w:hint="eastAsia" w:ascii="宋体" w:hAnsi="宋体" w:eastAsia="宋体" w:cs="宋体"/>
          <w:color w:val="auto"/>
          <w:szCs w:val="21"/>
          <w:highlight w:val="none"/>
        </w:rPr>
      </w:pPr>
    </w:p>
    <w:p>
      <w:pPr>
        <w:spacing w:line="360" w:lineRule="auto"/>
        <w:ind w:firstLine="420"/>
        <w:jc w:val="center"/>
        <w:rPr>
          <w:rFonts w:hint="eastAsia" w:ascii="宋体" w:hAnsi="宋体" w:eastAsia="宋体" w:cs="宋体"/>
          <w:color w:val="auto"/>
          <w:szCs w:val="21"/>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注：在投标文件中附扫描件。</w:t>
      </w:r>
    </w:p>
    <w:p>
      <w:pPr>
        <w:ind w:firstLine="420"/>
        <w:rPr>
          <w:rFonts w:hint="eastAsia" w:ascii="宋体" w:hAnsi="宋体" w:eastAsia="宋体" w:cs="宋体"/>
          <w:color w:val="auto"/>
          <w:highlight w:val="none"/>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jc w:val="center"/>
        <w:rPr>
          <w:rFonts w:hint="eastAsia" w:ascii="宋体" w:hAnsi="宋体" w:eastAsia="宋体" w:cs="宋体"/>
          <w:b/>
          <w:bCs/>
          <w:color w:val="auto"/>
          <w:sz w:val="28"/>
          <w:szCs w:val="36"/>
          <w:highlight w:val="none"/>
          <w:lang w:val="en-US" w:eastAsia="zh-CN"/>
        </w:rPr>
      </w:pPr>
    </w:p>
    <w:p>
      <w:pPr>
        <w:pStyle w:val="27"/>
        <w:ind w:firstLine="281"/>
        <w:rPr>
          <w:rFonts w:hint="eastAsia" w:ascii="宋体" w:hAnsi="宋体" w:eastAsia="宋体" w:cs="宋体"/>
          <w:b w:val="0"/>
          <w:bCs/>
          <w:color w:val="auto"/>
          <w:sz w:val="21"/>
          <w:szCs w:val="21"/>
          <w:highlight w:val="none"/>
        </w:rPr>
      </w:pPr>
    </w:p>
    <w:p>
      <w:pPr>
        <w:pStyle w:val="28"/>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rPr>
      </w:pPr>
    </w:p>
    <w:p>
      <w:pPr>
        <w:pStyle w:val="27"/>
        <w:rPr>
          <w:rFonts w:hint="eastAsia" w:ascii="宋体" w:hAnsi="宋体" w:eastAsia="宋体" w:cs="宋体"/>
          <w:b w:val="0"/>
          <w:bCs/>
          <w:color w:val="auto"/>
          <w:sz w:val="21"/>
          <w:szCs w:val="21"/>
          <w:highlight w:val="none"/>
        </w:rPr>
      </w:pPr>
    </w:p>
    <w:p>
      <w:pPr>
        <w:pStyle w:val="28"/>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rPr>
      </w:pPr>
    </w:p>
    <w:p>
      <w:pPr>
        <w:pStyle w:val="27"/>
        <w:rPr>
          <w:rFonts w:hint="eastAsia" w:ascii="宋体" w:hAnsi="宋体" w:eastAsia="宋体" w:cs="宋体"/>
          <w:b w:val="0"/>
          <w:bCs/>
          <w:color w:val="auto"/>
          <w:sz w:val="21"/>
          <w:szCs w:val="21"/>
          <w:highlight w:val="none"/>
        </w:rPr>
      </w:pPr>
    </w:p>
    <w:p>
      <w:pPr>
        <w:pStyle w:val="28"/>
        <w:rPr>
          <w:rFonts w:hint="eastAsia" w:ascii="宋体" w:hAnsi="宋体" w:eastAsia="宋体" w:cs="宋体"/>
          <w:b w:val="0"/>
          <w:bCs/>
          <w:color w:val="auto"/>
          <w:sz w:val="21"/>
          <w:szCs w:val="21"/>
          <w:highlight w:val="none"/>
        </w:rPr>
      </w:pPr>
    </w:p>
    <w:p>
      <w:pPr>
        <w:rPr>
          <w:rFonts w:hint="eastAsia" w:ascii="宋体" w:hAnsi="宋体" w:eastAsia="宋体" w:cs="宋体"/>
          <w:b w:val="0"/>
          <w:bCs/>
          <w:color w:val="auto"/>
          <w:sz w:val="21"/>
          <w:szCs w:val="21"/>
          <w:highlight w:val="none"/>
        </w:rPr>
      </w:pPr>
    </w:p>
    <w:p>
      <w:pPr>
        <w:pStyle w:val="27"/>
        <w:rPr>
          <w:rFonts w:hint="eastAsia"/>
          <w:color w:val="auto"/>
          <w:highlight w:val="none"/>
        </w:rPr>
      </w:pPr>
    </w:p>
    <w:p>
      <w:pPr>
        <w:pStyle w:val="27"/>
        <w:ind w:firstLine="281"/>
        <w:rPr>
          <w:rFonts w:hint="eastAsia" w:ascii="宋体" w:hAnsi="宋体" w:eastAsia="宋体" w:cs="宋体"/>
          <w:b w:val="0"/>
          <w:bCs/>
          <w:color w:val="auto"/>
          <w:sz w:val="21"/>
          <w:szCs w:val="21"/>
          <w:highlight w:val="none"/>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spacing w:line="400" w:lineRule="exact"/>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4、投标承诺函</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080000" w:fill="FFFFFF"/>
        </w:rPr>
        <w:t>致</w:t>
      </w:r>
      <w:r>
        <w:rPr>
          <w:rFonts w:hint="eastAsia" w:ascii="宋体" w:hAnsi="宋体" w:eastAsia="宋体" w:cs="宋体"/>
          <w:color w:val="auto"/>
          <w:spacing w:val="8"/>
          <w:sz w:val="21"/>
          <w:szCs w:val="21"/>
          <w:highlight w:val="none"/>
          <w:u w:val="single"/>
          <w:shd w:val="clear" w:color="080000" w:fill="FFFFFF"/>
        </w:rPr>
        <w:t>（</w:t>
      </w:r>
      <w:r>
        <w:rPr>
          <w:rFonts w:hint="eastAsia" w:cs="宋体"/>
          <w:color w:val="auto"/>
          <w:spacing w:val="8"/>
          <w:sz w:val="21"/>
          <w:szCs w:val="21"/>
          <w:highlight w:val="none"/>
          <w:u w:val="single"/>
          <w:shd w:val="clear" w:color="080000" w:fill="FFFFFF"/>
          <w:lang w:val="en-US" w:eastAsia="zh-CN"/>
        </w:rPr>
        <w:t>采购</w:t>
      </w:r>
      <w:r>
        <w:rPr>
          <w:rFonts w:hint="eastAsia" w:ascii="宋体" w:hAnsi="宋体" w:eastAsia="宋体" w:cs="宋体"/>
          <w:color w:val="auto"/>
          <w:spacing w:val="8"/>
          <w:sz w:val="21"/>
          <w:szCs w:val="21"/>
          <w:highlight w:val="none"/>
          <w:u w:val="single"/>
          <w:shd w:val="clear" w:color="080000" w:fill="FFFFFF"/>
        </w:rPr>
        <w:t>人及</w:t>
      </w:r>
      <w:r>
        <w:rPr>
          <w:rFonts w:hint="eastAsia" w:cs="宋体"/>
          <w:color w:val="auto"/>
          <w:spacing w:val="8"/>
          <w:sz w:val="21"/>
          <w:szCs w:val="21"/>
          <w:highlight w:val="none"/>
          <w:u w:val="single"/>
          <w:shd w:val="clear" w:color="080000" w:fill="FFFFFF"/>
          <w:lang w:val="en-US" w:eastAsia="zh-CN"/>
        </w:rPr>
        <w:t>采购</w:t>
      </w:r>
      <w:r>
        <w:rPr>
          <w:rFonts w:hint="eastAsia" w:ascii="宋体" w:hAnsi="宋体" w:eastAsia="宋体" w:cs="宋体"/>
          <w:color w:val="auto"/>
          <w:spacing w:val="8"/>
          <w:sz w:val="21"/>
          <w:szCs w:val="21"/>
          <w:highlight w:val="none"/>
          <w:u w:val="single"/>
          <w:shd w:val="clear" w:color="080000" w:fill="FFFFFF"/>
        </w:rPr>
        <w:t>代理机构）</w:t>
      </w:r>
      <w:r>
        <w:rPr>
          <w:rFonts w:hint="eastAsia" w:ascii="宋体" w:hAnsi="宋体" w:eastAsia="宋体" w:cs="宋体"/>
          <w:color w:val="auto"/>
          <w:spacing w:val="8"/>
          <w:sz w:val="21"/>
          <w:szCs w:val="21"/>
          <w:highlight w:val="none"/>
          <w:shd w:val="clear" w:color="080000" w:fill="FFFFFF"/>
        </w:rPr>
        <w:t>：</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我公司作为本次采购项目的</w:t>
      </w:r>
      <w:r>
        <w:rPr>
          <w:rFonts w:hint="eastAsia" w:cs="宋体"/>
          <w:color w:val="auto"/>
          <w:spacing w:val="8"/>
          <w:sz w:val="21"/>
          <w:szCs w:val="21"/>
          <w:highlight w:val="none"/>
          <w:shd w:val="clear" w:color="080000" w:fill="FFFFFF"/>
          <w:lang w:eastAsia="zh-CN"/>
        </w:rPr>
        <w:t>投标人</w:t>
      </w:r>
      <w:r>
        <w:rPr>
          <w:rFonts w:hint="eastAsia" w:ascii="宋体" w:hAnsi="宋体" w:eastAsia="宋体" w:cs="宋体"/>
          <w:color w:val="auto"/>
          <w:spacing w:val="8"/>
          <w:sz w:val="21"/>
          <w:szCs w:val="21"/>
          <w:highlight w:val="none"/>
          <w:shd w:val="clear" w:color="080000" w:fill="FFFFFF"/>
        </w:rPr>
        <w:t>，根据招标文件要求，现郑重承诺如下：</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一、具备《中华人民共和国政府采购法》第二十二条第一款和本项目规定的条件：</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（一）具有独立承担民事责任的能力； 　　</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（二）具有良好的商业信誉和健全的财务会计制度； 　</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（三）具有履行合同所必需的设备和专业技术能力； 　　</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（四）有依法缴纳税收和社会保障资金的良好记录； 　　</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（五）参加政府采购活动</w:t>
      </w:r>
      <w:r>
        <w:rPr>
          <w:rFonts w:hint="eastAsia" w:ascii="宋体" w:hAnsi="宋体" w:eastAsia="宋体" w:cs="宋体"/>
          <w:color w:val="auto"/>
          <w:spacing w:val="8"/>
          <w:sz w:val="21"/>
          <w:szCs w:val="21"/>
          <w:highlight w:val="none"/>
          <w:shd w:val="clear" w:color="080000" w:fill="FFFFFF"/>
          <w:lang w:eastAsia="zh-CN"/>
        </w:rPr>
        <w:t>近</w:t>
      </w:r>
      <w:r>
        <w:rPr>
          <w:rFonts w:hint="eastAsia" w:ascii="宋体" w:hAnsi="宋体" w:eastAsia="宋体" w:cs="宋体"/>
          <w:color w:val="auto"/>
          <w:spacing w:val="8"/>
          <w:sz w:val="21"/>
          <w:szCs w:val="21"/>
          <w:highlight w:val="none"/>
          <w:shd w:val="clear" w:color="080000" w:fill="FFFFFF"/>
        </w:rPr>
        <w:t>三年内，在经营活动中没有重大违法记录；</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（六）法律、行政法规规定的其他条件；</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（七）根据采购项目提出的特殊条件。</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三、参加本次招标采购活动，不存在与单位负责人为同一人或者存在直接控股、管理关系的其他</w:t>
      </w:r>
      <w:r>
        <w:rPr>
          <w:rFonts w:hint="eastAsia" w:cs="宋体"/>
          <w:color w:val="auto"/>
          <w:spacing w:val="8"/>
          <w:sz w:val="21"/>
          <w:szCs w:val="21"/>
          <w:highlight w:val="none"/>
          <w:shd w:val="clear" w:color="080000" w:fill="FFFFFF"/>
          <w:lang w:eastAsia="zh-CN"/>
        </w:rPr>
        <w:t>投标人</w:t>
      </w:r>
      <w:r>
        <w:rPr>
          <w:rFonts w:hint="eastAsia" w:ascii="宋体" w:hAnsi="宋体" w:eastAsia="宋体" w:cs="宋体"/>
          <w:color w:val="auto"/>
          <w:spacing w:val="8"/>
          <w:sz w:val="21"/>
          <w:szCs w:val="21"/>
          <w:highlight w:val="none"/>
          <w:shd w:val="clear" w:color="080000" w:fill="FFFFFF"/>
        </w:rPr>
        <w:t>参与同一合同项下的政府采购活动的行为。    </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四、参加本次招标采购活动，不存在为采购项目提供整体设计、规范编制或者项目管理、监理、检测等服务的行为。</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五、参加本次招标采购活动，不存在和其他</w:t>
      </w:r>
      <w:r>
        <w:rPr>
          <w:rFonts w:hint="eastAsia" w:cs="宋体"/>
          <w:color w:val="auto"/>
          <w:spacing w:val="8"/>
          <w:sz w:val="21"/>
          <w:szCs w:val="21"/>
          <w:highlight w:val="none"/>
          <w:shd w:val="clear" w:color="080000" w:fill="FFFFFF"/>
          <w:lang w:eastAsia="zh-CN"/>
        </w:rPr>
        <w:t>投标人</w:t>
      </w:r>
      <w:r>
        <w:rPr>
          <w:rFonts w:hint="eastAsia" w:ascii="宋体" w:hAnsi="宋体" w:eastAsia="宋体" w:cs="宋体"/>
          <w:color w:val="auto"/>
          <w:spacing w:val="8"/>
          <w:sz w:val="21"/>
          <w:szCs w:val="21"/>
          <w:highlight w:val="none"/>
          <w:shd w:val="clear" w:color="080000" w:fill="FFFFFF"/>
        </w:rPr>
        <w:t>在同一合同项下的采购项目中，同时委托同一个自然人、同一家庭的人员、同一单位的人员作为代理人的行为。</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六、投标人参加本次政府采购活动要求在近三年内投标人和其法定代表人没有行贿犯罪行为。</w:t>
      </w:r>
    </w:p>
    <w:p>
      <w:pPr>
        <w:pStyle w:val="25"/>
        <w:shd w:val="clear" w:color="070000" w:fill="auto"/>
        <w:spacing w:before="0" w:beforeAutospacing="0" w:after="0" w:afterAutospacing="0" w:line="360" w:lineRule="auto"/>
        <w:ind w:firstLine="480"/>
        <w:rPr>
          <w:rFonts w:hint="eastAsia" w:ascii="宋体" w:hAnsi="宋体" w:eastAsia="宋体" w:cs="宋体"/>
          <w:color w:val="auto"/>
          <w:spacing w:val="8"/>
          <w:sz w:val="21"/>
          <w:szCs w:val="21"/>
          <w:highlight w:val="none"/>
        </w:rPr>
      </w:pPr>
      <w:r>
        <w:rPr>
          <w:rFonts w:hint="eastAsia" w:cs="宋体"/>
          <w:color w:val="auto"/>
          <w:spacing w:val="8"/>
          <w:sz w:val="21"/>
          <w:szCs w:val="21"/>
          <w:highlight w:val="none"/>
          <w:shd w:val="clear" w:color="080000" w:fill="FFFFFF"/>
          <w:lang w:val="en-US" w:eastAsia="zh-CN"/>
        </w:rPr>
        <w:t>七</w:t>
      </w:r>
      <w:r>
        <w:rPr>
          <w:rFonts w:hint="eastAsia" w:ascii="宋体" w:hAnsi="宋体" w:eastAsia="宋体" w:cs="宋体"/>
          <w:color w:val="auto"/>
          <w:spacing w:val="8"/>
          <w:sz w:val="21"/>
          <w:szCs w:val="21"/>
          <w:highlight w:val="none"/>
          <w:shd w:val="clear" w:color="080000" w:fill="FFFFFF"/>
        </w:rPr>
        <w:t>、投标文件中提供的能够给予我公司带来优惠、好处的任何材料资料和技术、服务、商务等响应承诺情况都是真实的、有效的、合法的。   </w:t>
      </w:r>
    </w:p>
    <w:p>
      <w:pPr>
        <w:pStyle w:val="25"/>
        <w:shd w:val="clear" w:color="070000" w:fill="auto"/>
        <w:spacing w:before="0" w:beforeAutospacing="0" w:after="0" w:afterAutospacing="0" w:line="360" w:lineRule="auto"/>
        <w:jc w:val="both"/>
        <w:outlineLvl w:val="1"/>
        <w:rPr>
          <w:rFonts w:hint="eastAsia" w:ascii="宋体" w:hAnsi="宋体" w:eastAsia="宋体" w:cs="宋体"/>
          <w:color w:val="auto"/>
          <w:spacing w:val="8"/>
          <w:sz w:val="21"/>
          <w:szCs w:val="21"/>
          <w:highlight w:val="none"/>
        </w:rPr>
      </w:pPr>
      <w:bookmarkStart w:id="285" w:name="_Toc7135"/>
      <w:r>
        <w:rPr>
          <w:rFonts w:hint="eastAsia" w:ascii="宋体" w:hAnsi="宋体" w:eastAsia="宋体" w:cs="宋体"/>
          <w:color w:val="auto"/>
          <w:spacing w:val="8"/>
          <w:sz w:val="21"/>
          <w:szCs w:val="21"/>
          <w:highlight w:val="none"/>
          <w:shd w:val="clear" w:color="080000" w:fill="FFFFFF"/>
        </w:rPr>
        <w:t>   </w:t>
      </w:r>
      <w:r>
        <w:rPr>
          <w:rFonts w:hint="eastAsia" w:cs="宋体"/>
          <w:color w:val="auto"/>
          <w:spacing w:val="8"/>
          <w:sz w:val="21"/>
          <w:szCs w:val="21"/>
          <w:highlight w:val="none"/>
          <w:shd w:val="clear" w:color="080000" w:fill="FFFFFF"/>
          <w:lang w:val="en-US" w:eastAsia="zh-CN"/>
        </w:rPr>
        <w:t>八</w:t>
      </w:r>
      <w:r>
        <w:rPr>
          <w:rFonts w:hint="eastAsia" w:ascii="宋体" w:hAnsi="宋体" w:eastAsia="宋体" w:cs="宋体"/>
          <w:color w:val="auto"/>
          <w:spacing w:val="8"/>
          <w:sz w:val="21"/>
          <w:szCs w:val="21"/>
          <w:highlight w:val="none"/>
          <w:shd w:val="clear" w:color="080000" w:fill="FFFFFF"/>
        </w:rPr>
        <w:t>、存在以下行为之一的愿意接受相关部门的处理：</w:t>
      </w:r>
      <w:bookmarkEnd w:id="285"/>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（一）投标有效期内撤销投标文件的；</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（二）在采购人确定中标人以前放弃中标候选资格的；</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（三）由于中标人的原因未能按照招标文件的规定与采购人签订合同；</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r>
        <w:rPr>
          <w:rFonts w:hint="eastAsia" w:ascii="宋体" w:hAnsi="宋体" w:eastAsia="宋体" w:cs="宋体"/>
          <w:color w:val="auto"/>
          <w:spacing w:val="8"/>
          <w:sz w:val="21"/>
          <w:szCs w:val="21"/>
          <w:highlight w:val="none"/>
          <w:shd w:val="clear" w:color="080000" w:fill="FFFFFF"/>
          <w:lang w:eastAsia="zh-CN"/>
        </w:rPr>
        <w:t>四</w:t>
      </w:r>
      <w:r>
        <w:rPr>
          <w:rFonts w:hint="eastAsia" w:ascii="宋体" w:hAnsi="宋体" w:eastAsia="宋体" w:cs="宋体"/>
          <w:color w:val="auto"/>
          <w:spacing w:val="8"/>
          <w:sz w:val="21"/>
          <w:szCs w:val="21"/>
          <w:highlight w:val="none"/>
          <w:shd w:val="clear" w:color="080000" w:fill="FFFFFF"/>
        </w:rPr>
        <w:t>）在投标文件中提供虚假材料谋取中标；</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r>
        <w:rPr>
          <w:rFonts w:hint="eastAsia" w:ascii="宋体" w:hAnsi="宋体" w:eastAsia="宋体" w:cs="宋体"/>
          <w:color w:val="auto"/>
          <w:spacing w:val="8"/>
          <w:sz w:val="21"/>
          <w:szCs w:val="21"/>
          <w:highlight w:val="none"/>
          <w:shd w:val="clear" w:color="080000" w:fill="FFFFFF"/>
          <w:lang w:eastAsia="zh-CN"/>
        </w:rPr>
        <w:t>五</w:t>
      </w:r>
      <w:r>
        <w:rPr>
          <w:rFonts w:hint="eastAsia" w:ascii="宋体" w:hAnsi="宋体" w:eastAsia="宋体" w:cs="宋体"/>
          <w:color w:val="auto"/>
          <w:spacing w:val="8"/>
          <w:sz w:val="21"/>
          <w:szCs w:val="21"/>
          <w:highlight w:val="none"/>
          <w:shd w:val="clear" w:color="080000" w:fill="FFFFFF"/>
        </w:rPr>
        <w:t>）与采购人、其他</w:t>
      </w:r>
      <w:r>
        <w:rPr>
          <w:rFonts w:hint="eastAsia" w:cs="宋体"/>
          <w:color w:val="auto"/>
          <w:spacing w:val="8"/>
          <w:sz w:val="21"/>
          <w:szCs w:val="21"/>
          <w:highlight w:val="none"/>
          <w:shd w:val="clear" w:color="080000" w:fill="FFFFFF"/>
          <w:lang w:eastAsia="zh-CN"/>
        </w:rPr>
        <w:t>投标人</w:t>
      </w:r>
      <w:r>
        <w:rPr>
          <w:rFonts w:hint="eastAsia" w:ascii="宋体" w:hAnsi="宋体" w:eastAsia="宋体" w:cs="宋体"/>
          <w:color w:val="auto"/>
          <w:spacing w:val="8"/>
          <w:sz w:val="21"/>
          <w:szCs w:val="21"/>
          <w:highlight w:val="none"/>
          <w:shd w:val="clear" w:color="080000" w:fill="FFFFFF"/>
        </w:rPr>
        <w:t>或者采购代理机构恶意串通的；</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r>
        <w:rPr>
          <w:rFonts w:hint="eastAsia" w:ascii="宋体" w:hAnsi="宋体" w:eastAsia="宋体" w:cs="宋体"/>
          <w:color w:val="auto"/>
          <w:spacing w:val="8"/>
          <w:sz w:val="21"/>
          <w:szCs w:val="21"/>
          <w:highlight w:val="none"/>
          <w:shd w:val="clear" w:color="080000" w:fill="FFFFFF"/>
          <w:lang w:eastAsia="zh-CN"/>
        </w:rPr>
        <w:t>六</w:t>
      </w:r>
      <w:r>
        <w:rPr>
          <w:rFonts w:hint="eastAsia" w:ascii="宋体" w:hAnsi="宋体" w:eastAsia="宋体" w:cs="宋体"/>
          <w:color w:val="auto"/>
          <w:spacing w:val="8"/>
          <w:sz w:val="21"/>
          <w:szCs w:val="21"/>
          <w:highlight w:val="none"/>
          <w:shd w:val="clear" w:color="080000" w:fill="FFFFFF"/>
        </w:rPr>
        <w:t>）投标有效期内，投标人在政府采购活动中有违法、违规、违纪行为。</w:t>
      </w:r>
    </w:p>
    <w:p>
      <w:pPr>
        <w:pStyle w:val="25"/>
        <w:shd w:val="clear" w:color="070000" w:fill="auto"/>
        <w:spacing w:before="0" w:beforeAutospacing="0" w:after="0" w:afterAutospacing="0" w:line="360" w:lineRule="auto"/>
        <w:ind w:firstLine="226" w:firstLineChars="1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由此产生的一切法律后果和责任由我公司承担。我公司声明放弃对此提出任何异议和追索的权利。</w:t>
      </w:r>
    </w:p>
    <w:p>
      <w:pPr>
        <w:pStyle w:val="25"/>
        <w:shd w:val="clear" w:color="070000" w:fill="auto"/>
        <w:spacing w:before="0" w:beforeAutospacing="0" w:after="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本公司对上述承诺的内容事项真实性负责。如经查实上述承诺的内容事项存在虚假，我公司愿意接受以提供虚假材料谋取中标追究法律责任。</w:t>
      </w:r>
    </w:p>
    <w:p>
      <w:pPr>
        <w:pStyle w:val="25"/>
        <w:shd w:val="clear" w:color="070000" w:fill="auto"/>
        <w:spacing w:before="0" w:beforeAutospacing="0" w:after="0" w:afterAutospacing="0"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60"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投标人名称：</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（单位电子签章）</w:t>
      </w:r>
    </w:p>
    <w:p>
      <w:pPr>
        <w:pStyle w:val="25"/>
        <w:shd w:val="clear" w:color="070000" w:fill="auto"/>
        <w:spacing w:before="0" w:beforeAutospacing="0" w:after="0" w:afterAutospacing="0" w:line="360"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法定代表人或授权代表：</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（电子签名或盖章）</w:t>
      </w:r>
    </w:p>
    <w:p>
      <w:pPr>
        <w:pStyle w:val="25"/>
        <w:shd w:val="clear" w:color="070000" w:fill="auto"/>
        <w:spacing w:before="0" w:beforeAutospacing="0" w:after="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日期：</w:t>
      </w:r>
      <w:r>
        <w:rPr>
          <w:rFonts w:hint="eastAsia" w:ascii="宋体" w:hAnsi="宋体" w:eastAsia="宋体" w:cs="宋体"/>
          <w:color w:val="auto"/>
          <w:spacing w:val="8"/>
          <w:sz w:val="21"/>
          <w:szCs w:val="21"/>
          <w:highlight w:val="none"/>
          <w:u w:val="single"/>
          <w:shd w:val="clear" w:color="090000" w:fill="auto"/>
        </w:rPr>
        <w:t>              </w:t>
      </w:r>
    </w:p>
    <w:p>
      <w:pPr>
        <w:pStyle w:val="25"/>
        <w:shd w:val="clear" w:color="070000" w:fill="auto"/>
        <w:spacing w:before="0" w:beforeAutospacing="0" w:after="0" w:afterAutospacing="0" w:line="360" w:lineRule="auto"/>
        <w:ind w:firstLine="495"/>
        <w:jc w:val="both"/>
        <w:rPr>
          <w:rFonts w:hint="eastAsia" w:ascii="宋体" w:hAnsi="宋体" w:eastAsia="宋体" w:cs="宋体"/>
          <w:color w:val="auto"/>
          <w:spacing w:val="8"/>
          <w:sz w:val="21"/>
          <w:szCs w:val="21"/>
          <w:highlight w:val="none"/>
        </w:rPr>
      </w:pPr>
      <w:r>
        <w:rPr>
          <w:rFonts w:hint="eastAsia" w:ascii="宋体" w:hAnsi="宋体" w:eastAsia="宋体" w:cs="宋体"/>
          <w:color w:val="auto"/>
          <w:sz w:val="21"/>
          <w:szCs w:val="21"/>
          <w:highlight w:val="none"/>
          <w:shd w:val="clear" w:color="080000" w:fill="FFFFFF"/>
        </w:rPr>
        <w:t> </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shd w:val="clear" w:color="080000" w:fill="FFFFFF"/>
        </w:rPr>
      </w:pP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5"/>
          <w:szCs w:val="25"/>
          <w:highlight w:val="none"/>
        </w:rPr>
      </w:pPr>
      <w:r>
        <w:rPr>
          <w:rFonts w:hint="eastAsia" w:ascii="宋体" w:hAnsi="宋体" w:eastAsia="宋体" w:cs="宋体"/>
          <w:color w:val="auto"/>
          <w:spacing w:val="8"/>
          <w:highlight w:val="none"/>
          <w:shd w:val="clear" w:color="080000" w:fill="FFFFFF"/>
        </w:rPr>
        <w:t> </w:t>
      </w: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pStyle w:val="25"/>
        <w:shd w:val="clear" w:color="070000" w:fill="auto"/>
        <w:spacing w:before="0" w:beforeAutospacing="0" w:after="0" w:afterAutospacing="0" w:line="360" w:lineRule="auto"/>
        <w:jc w:val="center"/>
        <w:rPr>
          <w:rFonts w:hint="eastAsia" w:ascii="宋体" w:hAnsi="宋体" w:eastAsia="宋体" w:cs="宋体"/>
          <w:b/>
          <w:bCs/>
          <w:color w:val="auto"/>
          <w:sz w:val="28"/>
          <w:szCs w:val="32"/>
          <w:highlight w:val="none"/>
          <w:lang w:val="en-US" w:eastAsia="zh-CN"/>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spacing w:line="400" w:lineRule="exact"/>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5、招标代理服务费承诺函</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5"/>
          <w:szCs w:val="25"/>
          <w:highlight w:val="none"/>
        </w:rPr>
      </w:pPr>
      <w:r>
        <w:rPr>
          <w:rFonts w:hint="eastAsia" w:ascii="宋体" w:hAnsi="宋体" w:eastAsia="宋体" w:cs="宋体"/>
          <w:color w:val="auto"/>
          <w:spacing w:val="8"/>
          <w:highlight w:val="none"/>
          <w:shd w:val="clear" w:color="080000" w:fill="FFFFFF"/>
        </w:rPr>
        <w:t> </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致</w:t>
      </w:r>
      <w:r>
        <w:rPr>
          <w:rFonts w:hint="eastAsia" w:ascii="宋体" w:hAnsi="宋体" w:eastAsia="宋体" w:cs="宋体"/>
          <w:color w:val="auto"/>
          <w:spacing w:val="8"/>
          <w:sz w:val="21"/>
          <w:szCs w:val="21"/>
          <w:highlight w:val="none"/>
          <w:u w:val="single"/>
          <w:shd w:val="clear" w:color="080000" w:fill="FFFFFF"/>
        </w:rPr>
        <w:t>（招标人及招标代理机构）</w:t>
      </w: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我们在贵公司组织的（项目名称：         ）招标中若获中标，我们保证在中标公告发布后</w:t>
      </w:r>
      <w:r>
        <w:rPr>
          <w:rFonts w:hint="eastAsia" w:cs="宋体"/>
          <w:color w:val="auto"/>
          <w:spacing w:val="8"/>
          <w:sz w:val="21"/>
          <w:szCs w:val="21"/>
          <w:highlight w:val="none"/>
          <w:shd w:val="clear" w:color="080000" w:fill="FFFFFF"/>
          <w:lang w:val="en-US" w:eastAsia="zh-CN"/>
        </w:rPr>
        <w:t>2</w:t>
      </w:r>
      <w:r>
        <w:rPr>
          <w:rFonts w:hint="eastAsia" w:ascii="宋体" w:hAnsi="宋体" w:eastAsia="宋体" w:cs="宋体"/>
          <w:color w:val="auto"/>
          <w:spacing w:val="8"/>
          <w:sz w:val="21"/>
          <w:szCs w:val="21"/>
          <w:highlight w:val="none"/>
          <w:shd w:val="clear" w:color="080000" w:fill="FFFFFF"/>
        </w:rPr>
        <w:t>个工作日内，按招标文件的规定，以支票、银行转账、汇票或现金，向贵公司一次性支付招标代理服务费用。否则，由此产生的一切法律后果和责任由我公司承担。我公司声明放弃对此提出任何异议和追索的权利。</w:t>
      </w:r>
    </w:p>
    <w:p>
      <w:pPr>
        <w:pStyle w:val="25"/>
        <w:shd w:val="clear" w:color="070000" w:fill="auto"/>
        <w:spacing w:before="0" w:beforeAutospacing="0" w:after="0" w:afterAutospacing="0" w:line="360" w:lineRule="auto"/>
        <w:ind w:firstLine="452" w:firstLineChars="20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特此承诺。</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60" w:lineRule="auto"/>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 </w:t>
      </w:r>
    </w:p>
    <w:p>
      <w:pPr>
        <w:pStyle w:val="25"/>
        <w:shd w:val="clear" w:color="070000" w:fill="auto"/>
        <w:spacing w:before="0" w:beforeAutospacing="0" w:after="0" w:afterAutospacing="0" w:line="360"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投标人名称：</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（单位电子签章）</w:t>
      </w:r>
    </w:p>
    <w:p>
      <w:pPr>
        <w:pStyle w:val="25"/>
        <w:shd w:val="clear" w:color="070000" w:fill="auto"/>
        <w:spacing w:before="0" w:beforeAutospacing="0" w:after="0" w:afterAutospacing="0" w:line="360" w:lineRule="auto"/>
        <w:ind w:firstLine="465"/>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法定代表人或授权代表：</w:t>
      </w:r>
      <w:r>
        <w:rPr>
          <w:rFonts w:hint="eastAsia" w:ascii="宋体" w:hAnsi="宋体" w:eastAsia="宋体" w:cs="宋体"/>
          <w:color w:val="auto"/>
          <w:spacing w:val="8"/>
          <w:sz w:val="21"/>
          <w:szCs w:val="21"/>
          <w:highlight w:val="none"/>
          <w:u w:val="single"/>
          <w:shd w:val="clear" w:color="090000" w:fill="auto"/>
        </w:rPr>
        <w:t>                </w:t>
      </w:r>
      <w:r>
        <w:rPr>
          <w:rFonts w:hint="eastAsia" w:ascii="宋体" w:hAnsi="宋体" w:eastAsia="宋体" w:cs="宋体"/>
          <w:color w:val="auto"/>
          <w:spacing w:val="8"/>
          <w:sz w:val="21"/>
          <w:szCs w:val="21"/>
          <w:highlight w:val="none"/>
          <w:shd w:val="clear" w:color="080000" w:fill="FFFFFF"/>
        </w:rPr>
        <w:t>（电子签名或盖章）</w:t>
      </w:r>
    </w:p>
    <w:p>
      <w:pPr>
        <w:pStyle w:val="25"/>
        <w:shd w:val="clear" w:color="070000" w:fill="auto"/>
        <w:spacing w:before="0" w:beforeAutospacing="0" w:after="0" w:afterAutospacing="0" w:line="360" w:lineRule="auto"/>
        <w:ind w:firstLine="480"/>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shd w:val="clear" w:color="080000" w:fill="FFFFFF"/>
        </w:rPr>
        <w:t>日期：</w:t>
      </w:r>
      <w:r>
        <w:rPr>
          <w:rFonts w:hint="eastAsia" w:ascii="宋体" w:hAnsi="宋体" w:eastAsia="宋体" w:cs="宋体"/>
          <w:color w:val="auto"/>
          <w:spacing w:val="8"/>
          <w:sz w:val="21"/>
          <w:szCs w:val="21"/>
          <w:highlight w:val="none"/>
          <w:u w:val="single"/>
          <w:shd w:val="clear" w:color="090000" w:fill="auto"/>
        </w:rPr>
        <w:t>              </w:t>
      </w:r>
    </w:p>
    <w:p>
      <w:pPr>
        <w:numPr>
          <w:ilvl w:val="0"/>
          <w:numId w:val="0"/>
        </w:numPr>
        <w:shd w:val="clear" w:color="auto" w:fill="auto"/>
        <w:spacing w:line="360" w:lineRule="auto"/>
        <w:jc w:val="center"/>
        <w:outlineLvl w:val="9"/>
        <w:rPr>
          <w:rFonts w:hint="eastAsia" w:ascii="宋体" w:hAnsi="宋体" w:eastAsia="宋体" w:cs="宋体"/>
          <w:b/>
          <w:bCs/>
          <w:color w:val="auto"/>
          <w:highlight w:val="none"/>
        </w:rPr>
      </w:pPr>
      <w:bookmarkStart w:id="286" w:name="_Toc19374"/>
    </w:p>
    <w:bookmarkEnd w:id="286"/>
    <w:p>
      <w:pPr>
        <w:numPr>
          <w:ilvl w:val="1"/>
          <w:numId w:val="0"/>
        </w:numPr>
        <w:shd w:val="clear" w:color="auto" w:fill="auto"/>
        <w:tabs>
          <w:tab w:val="left" w:pos="840"/>
        </w:tabs>
        <w:jc w:val="center"/>
        <w:outlineLvl w:val="9"/>
        <w:rPr>
          <w:rFonts w:hint="eastAsia" w:ascii="宋体" w:hAnsi="宋体" w:eastAsia="宋体" w:cs="宋体"/>
          <w:color w:val="auto"/>
          <w:highlight w:val="none"/>
          <w:lang w:eastAsia="zh-CN"/>
        </w:rPr>
      </w:pPr>
    </w:p>
    <w:p>
      <w:pPr>
        <w:pStyle w:val="27"/>
        <w:shd w:val="clear" w:color="auto" w:fill="auto"/>
        <w:ind w:firstLine="280"/>
        <w:outlineLvl w:val="9"/>
        <w:rPr>
          <w:rFonts w:hint="eastAsia" w:ascii="宋体" w:hAnsi="宋体" w:eastAsia="宋体" w:cs="宋体"/>
          <w:color w:val="auto"/>
          <w:sz w:val="28"/>
          <w:highlight w:val="none"/>
        </w:rPr>
      </w:pPr>
    </w:p>
    <w:p>
      <w:pPr>
        <w:pStyle w:val="27"/>
        <w:shd w:val="clear" w:color="auto" w:fill="auto"/>
        <w:ind w:firstLine="280"/>
        <w:outlineLvl w:val="9"/>
        <w:rPr>
          <w:rFonts w:hint="eastAsia" w:ascii="宋体" w:hAnsi="宋体" w:eastAsia="宋体" w:cs="宋体"/>
          <w:color w:val="auto"/>
          <w:sz w:val="28"/>
          <w:highlight w:val="none"/>
        </w:rPr>
      </w:pPr>
    </w:p>
    <w:p>
      <w:pPr>
        <w:numPr>
          <w:ilvl w:val="1"/>
          <w:numId w:val="0"/>
        </w:numPr>
        <w:shd w:val="clear" w:color="auto" w:fill="auto"/>
        <w:tabs>
          <w:tab w:val="left" w:pos="840"/>
        </w:tabs>
        <w:jc w:val="center"/>
        <w:outlineLvl w:val="9"/>
        <w:rPr>
          <w:rFonts w:hint="eastAsia" w:ascii="宋体" w:hAnsi="宋体" w:eastAsia="宋体" w:cs="宋体"/>
          <w:b/>
          <w:bCs/>
          <w:color w:val="auto"/>
          <w:highlight w:val="none"/>
          <w:lang w:val="en-US" w:eastAsia="zh-CN"/>
        </w:rPr>
      </w:pPr>
    </w:p>
    <w:p>
      <w:pPr>
        <w:numPr>
          <w:ilvl w:val="1"/>
          <w:numId w:val="0"/>
        </w:numPr>
        <w:shd w:val="clear" w:color="auto" w:fill="auto"/>
        <w:tabs>
          <w:tab w:val="left" w:pos="840"/>
        </w:tabs>
        <w:jc w:val="center"/>
        <w:outlineLvl w:val="9"/>
        <w:rPr>
          <w:rFonts w:hint="eastAsia" w:ascii="宋体" w:hAnsi="宋体" w:eastAsia="宋体" w:cs="宋体"/>
          <w:b/>
          <w:bCs/>
          <w:color w:val="auto"/>
          <w:highlight w:val="none"/>
          <w:lang w:val="en-US" w:eastAsia="zh-CN"/>
        </w:rPr>
      </w:pPr>
    </w:p>
    <w:p>
      <w:pPr>
        <w:numPr>
          <w:ilvl w:val="1"/>
          <w:numId w:val="0"/>
        </w:numPr>
        <w:tabs>
          <w:tab w:val="left" w:pos="840"/>
        </w:tabs>
        <w:jc w:val="center"/>
        <w:outlineLvl w:val="9"/>
        <w:rPr>
          <w:rFonts w:hint="eastAsia" w:ascii="宋体" w:hAnsi="宋体" w:eastAsia="宋体" w:cs="宋体"/>
          <w:b/>
          <w:bCs/>
          <w:color w:val="auto"/>
          <w:highlight w:val="none"/>
          <w:lang w:val="en-US" w:eastAsia="zh-CN"/>
        </w:rPr>
      </w:pPr>
    </w:p>
    <w:p>
      <w:pPr>
        <w:numPr>
          <w:ilvl w:val="1"/>
          <w:numId w:val="0"/>
        </w:numPr>
        <w:tabs>
          <w:tab w:val="left" w:pos="840"/>
        </w:tabs>
        <w:jc w:val="center"/>
        <w:outlineLvl w:val="9"/>
        <w:rPr>
          <w:rFonts w:hint="eastAsia" w:ascii="宋体" w:hAnsi="宋体" w:eastAsia="宋体" w:cs="宋体"/>
          <w:b/>
          <w:bCs/>
          <w:color w:val="auto"/>
          <w:highlight w:val="none"/>
          <w:lang w:val="en-US" w:eastAsia="zh-CN"/>
        </w:rPr>
      </w:pPr>
    </w:p>
    <w:p>
      <w:pPr>
        <w:outlineLvl w:val="9"/>
        <w:rPr>
          <w:rFonts w:hint="eastAsia" w:ascii="宋体" w:hAnsi="宋体" w:eastAsia="宋体" w:cs="宋体"/>
          <w:color w:val="auto"/>
          <w:sz w:val="28"/>
          <w:highlight w:val="none"/>
        </w:rPr>
      </w:pPr>
    </w:p>
    <w:p>
      <w:pPr>
        <w:outlineLvl w:val="9"/>
        <w:rPr>
          <w:rFonts w:hint="eastAsia" w:ascii="宋体" w:hAnsi="宋体" w:eastAsia="宋体" w:cs="宋体"/>
          <w:color w:val="auto"/>
          <w:sz w:val="28"/>
          <w:highlight w:val="none"/>
        </w:rPr>
      </w:pPr>
    </w:p>
    <w:p>
      <w:pPr>
        <w:numPr>
          <w:ilvl w:val="1"/>
          <w:numId w:val="0"/>
        </w:numPr>
        <w:tabs>
          <w:tab w:val="left" w:pos="840"/>
        </w:tabs>
        <w:jc w:val="both"/>
        <w:outlineLvl w:val="9"/>
        <w:rPr>
          <w:rFonts w:hint="eastAsia" w:ascii="宋体" w:hAnsi="宋体" w:eastAsia="宋体" w:cs="宋体"/>
          <w:b/>
          <w:bCs/>
          <w:color w:val="auto"/>
          <w:highlight w:val="none"/>
          <w:lang w:val="en-US" w:eastAsia="zh-CN"/>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spacing w:line="400" w:lineRule="exact"/>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6、其他资料</w:t>
      </w:r>
    </w:p>
    <w:p>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color w:val="auto"/>
          <w:highlight w:val="none"/>
          <w:lang w:eastAsia="zh-CN"/>
        </w:rPr>
        <w:t>（投标人认为有必要附入的其他资料）</w:t>
      </w:r>
    </w:p>
    <w:p>
      <w:pPr>
        <w:rPr>
          <w:rFonts w:hint="eastAsia" w:ascii="宋体" w:hAnsi="宋体" w:eastAsia="宋体" w:cs="宋体"/>
          <w:color w:val="auto"/>
          <w:sz w:val="28"/>
          <w:highlight w:val="none"/>
          <w:lang w:val="en-US" w:eastAsia="zh-CN"/>
        </w:rPr>
      </w:pPr>
    </w:p>
    <w:p>
      <w:pPr>
        <w:pStyle w:val="9"/>
        <w:rPr>
          <w:rFonts w:hint="eastAsia" w:ascii="宋体" w:hAnsi="宋体" w:eastAsia="宋体" w:cs="宋体"/>
          <w:color w:val="auto"/>
          <w:sz w:val="28"/>
          <w:highlight w:val="none"/>
          <w:lang w:val="en-US" w:eastAsia="zh-CN"/>
        </w:rPr>
      </w:pPr>
    </w:p>
    <w:p>
      <w:pPr>
        <w:jc w:val="center"/>
        <w:rPr>
          <w:rFonts w:hint="eastAsia" w:ascii="宋体" w:hAnsi="宋体" w:eastAsia="宋体" w:cs="宋体"/>
          <w:b/>
          <w:bCs/>
          <w:color w:val="auto"/>
          <w:sz w:val="32"/>
          <w:szCs w:val="32"/>
          <w:highlight w:val="none"/>
          <w:lang w:val="en-US" w:eastAsia="zh-CN"/>
        </w:rPr>
      </w:pPr>
    </w:p>
    <w:p>
      <w:pPr>
        <w:rPr>
          <w:rFonts w:hint="eastAsia" w:ascii="宋体" w:hAnsi="宋体" w:eastAsia="宋体" w:cs="宋体"/>
          <w:color w:val="auto"/>
          <w:sz w:val="24"/>
          <w:szCs w:val="32"/>
          <w:highlight w:val="none"/>
          <w:lang w:val="en-US" w:eastAsia="zh-CN"/>
        </w:rPr>
      </w:pPr>
    </w:p>
    <w:p>
      <w:pPr>
        <w:rPr>
          <w:rFonts w:hint="eastAsia" w:ascii="宋体" w:hAnsi="宋体" w:eastAsia="宋体" w:cs="宋体"/>
          <w:color w:val="auto"/>
          <w:sz w:val="24"/>
          <w:szCs w:val="32"/>
          <w:highlight w:val="none"/>
          <w:lang w:val="en-US" w:eastAsia="zh-CN"/>
        </w:rPr>
      </w:pPr>
    </w:p>
    <w:sectPr>
      <w:headerReference r:id="rId12" w:type="default"/>
      <w:footerReference r:id="rId13" w:type="default"/>
      <w:pgSz w:w="11906" w:h="16838"/>
      <w:pgMar w:top="1418" w:right="1134" w:bottom="1418"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
    <w:altName w:val="Arial"/>
    <w:panose1 w:val="020B06040202020202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252"/>
        <w:tab w:val="left" w:pos="5550"/>
        <w:tab w:val="clear" w:pos="4153"/>
        <w:tab w:val="clear" w:pos="8306"/>
      </w:tabs>
      <w:snapToGrid w:val="0"/>
      <w:jc w:val="left"/>
      <w:rPr>
        <w:rFonts w:hint="default"/>
        <w:i/>
        <w:iCs/>
        <w:color w:val="0000FF"/>
        <w:lang w:val="en-US" w:eastAsia="zh-CN"/>
      </w:rPr>
    </w:pPr>
    <w:r>
      <w:rPr>
        <w:rFonts w:hint="eastAsia" w:ascii="宋体" w:hAnsi="宋体" w:eastAsia="宋体" w:cs="宋体"/>
        <w:b w:val="0"/>
        <w:bCs/>
        <w:i/>
        <w:iCs/>
        <w:color w:val="0000FF"/>
        <w:spacing w:val="0"/>
        <w:kern w:val="0"/>
        <w:sz w:val="18"/>
        <w:szCs w:val="18"/>
        <w:highlight w:val="none"/>
        <w:u w:val="none"/>
        <w:lang w:val="en-US" w:eastAsia="zh-CN" w:bidi="ar-SA"/>
      </w:rPr>
      <w:t>河南明祥工程咨询有限公司</w:t>
    </w:r>
    <w:r>
      <w:rPr>
        <w:rFonts w:hint="eastAsia"/>
        <w:i/>
        <w:iCs/>
        <w:color w:val="0000FF"/>
        <w:lang w:val="en-US" w:eastAsia="zh-CN"/>
      </w:rPr>
      <w:tab/>
    </w:r>
    <w:r>
      <w:rPr>
        <w:rFonts w:hint="eastAsia"/>
        <w:i/>
        <w:iCs/>
        <w:color w:val="0000FF"/>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252"/>
        <w:tab w:val="left" w:pos="5550"/>
        <w:tab w:val="clear" w:pos="4153"/>
        <w:tab w:val="clear" w:pos="8306"/>
      </w:tabs>
      <w:snapToGrid w:val="0"/>
      <w:jc w:val="left"/>
      <w:rPr>
        <w:rFonts w:hint="default"/>
        <w:i/>
        <w:iCs/>
        <w:color w:val="0000FF"/>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i/>
        <w:iCs/>
        <w:color w:val="0000FF"/>
        <w:spacing w:val="0"/>
        <w:kern w:val="0"/>
        <w:sz w:val="18"/>
        <w:szCs w:val="18"/>
        <w:highlight w:val="none"/>
        <w:u w:val="none"/>
        <w:lang w:val="en-US" w:eastAsia="zh-CN" w:bidi="ar-SA"/>
      </w:rPr>
      <w:t>河南明祥工程咨询有限公司</w:t>
    </w:r>
    <w:r>
      <w:rPr>
        <w:rFonts w:hint="eastAsia"/>
        <w:i/>
        <w:iCs/>
        <w:color w:val="0000FF"/>
        <w:lang w:val="en-US" w:eastAsia="zh-CN"/>
      </w:rPr>
      <w:tab/>
    </w:r>
    <w:r>
      <w:rPr>
        <w:rFonts w:hint="eastAsia"/>
        <w:i/>
        <w:iCs/>
        <w:color w:val="0000FF"/>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left" w:pos="1744"/>
        <w:tab w:val="clear" w:pos="4153"/>
      </w:tabs>
      <w:snapToGrid w:val="0"/>
      <w:jc w:val="left"/>
      <w:rPr>
        <w:rFonts w:hint="default"/>
        <w:sz w:val="18"/>
        <w:szCs w:val="18"/>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36</w:t>
                    </w:r>
                    <w:r>
                      <w:fldChar w:fldCharType="end"/>
                    </w:r>
                  </w:p>
                </w:txbxContent>
              </v:textbox>
            </v:shape>
          </w:pict>
        </mc:Fallback>
      </mc:AlternateContent>
    </w:r>
    <w:r>
      <w:rPr>
        <w:rFonts w:hint="default" w:ascii="Times New Roman" w:hAnsi="Times New Roman" w:eastAsia="宋体" w:cs="Times New Roman"/>
        <w:i/>
        <w:iCs/>
        <w:color w:val="0000FF"/>
        <w:lang w:val="en-US" w:eastAsia="zh-CN"/>
      </w:rPr>
      <w:t>河南明祥工程咨询有限公司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right"/>
      <w:rPr>
        <w:rFonts w:hint="eastAsia" w:ascii="黑体" w:eastAsia="黑体"/>
        <w:color w:val="0000FF"/>
        <w:sz w:val="18"/>
        <w:szCs w:val="18"/>
      </w:rPr>
    </w:pPr>
    <w:r>
      <w:rPr>
        <w:rFonts w:hint="eastAsia" w:ascii="宋体" w:hAnsi="宋体"/>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right"/>
      <w:rPr>
        <w:rFonts w:hint="eastAsia" w:ascii="宋体" w:hAnsi="宋体" w:cs="宋体"/>
        <w:b/>
        <w:color w:val="auto"/>
        <w:spacing w:val="0"/>
        <w:kern w:val="0"/>
        <w:sz w:val="18"/>
        <w:szCs w:val="18"/>
        <w:highlight w:val="none"/>
        <w:lang w:eastAsia="zh-CN"/>
      </w:rPr>
    </w:pPr>
  </w:p>
  <w:p>
    <w:pPr>
      <w:pBdr>
        <w:bottom w:val="single" w:color="auto" w:sz="4" w:space="0"/>
      </w:pBdr>
      <w:wordWrap w:val="0"/>
      <w:adjustRightInd w:val="0"/>
      <w:snapToGrid w:val="0"/>
      <w:jc w:val="right"/>
      <w:rPr>
        <w:rFonts w:hint="default" w:ascii="黑体" w:eastAsia="黑体"/>
        <w:b w:val="0"/>
        <w:bCs/>
        <w:i/>
        <w:iCs/>
        <w:color w:val="0000FF"/>
        <w:sz w:val="18"/>
        <w:szCs w:val="18"/>
        <w:u w:val="none"/>
        <w:lang w:val="en-US"/>
      </w:rPr>
    </w:pPr>
    <w:r>
      <w:rPr>
        <w:rFonts w:hint="eastAsia" w:ascii="宋体" w:hAnsi="宋体" w:cs="宋体"/>
        <w:b w:val="0"/>
        <w:bCs/>
        <w:i/>
        <w:iCs/>
        <w:color w:val="0000FF"/>
        <w:spacing w:val="0"/>
        <w:kern w:val="0"/>
        <w:sz w:val="18"/>
        <w:szCs w:val="18"/>
        <w:highlight w:val="none"/>
        <w:u w:val="none"/>
        <w:lang w:eastAsia="zh-CN"/>
      </w:rPr>
      <w:t>信阳市羊山新区民政局羊山新区养老服务中心运营服务项目</w:t>
    </w:r>
    <w:r>
      <w:rPr>
        <w:rFonts w:hint="eastAsia" w:ascii="宋体" w:hAnsi="宋体" w:cs="宋体"/>
        <w:b w:val="0"/>
        <w:bCs/>
        <w:i/>
        <w:iCs/>
        <w:color w:val="0000FF"/>
        <w:spacing w:val="0"/>
        <w:kern w:val="0"/>
        <w:sz w:val="18"/>
        <w:szCs w:val="18"/>
        <w:highlight w:val="none"/>
        <w:u w:val="none"/>
        <w:lang w:val="en-US" w:eastAsia="zh-CN"/>
      </w:rPr>
      <w:t xml:space="preserve"> 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wordWrap w:val="0"/>
      <w:adjustRightInd w:val="0"/>
      <w:snapToGrid w:val="0"/>
      <w:jc w:val="right"/>
      <w:rPr>
        <w:rFonts w:hint="eastAsia" w:ascii="宋体" w:hAnsi="宋体" w:eastAsia="宋体" w:cs="宋体"/>
        <w:b w:val="0"/>
        <w:bCs/>
        <w:i/>
        <w:iCs/>
        <w:color w:val="0000FF"/>
        <w:spacing w:val="0"/>
        <w:kern w:val="0"/>
        <w:sz w:val="18"/>
        <w:szCs w:val="18"/>
        <w:highlight w:val="none"/>
        <w:u w:val="none"/>
        <w:lang w:eastAsia="zh-CN"/>
      </w:rPr>
    </w:pPr>
    <w:r>
      <w:rPr>
        <w:rFonts w:hint="eastAsia" w:ascii="宋体" w:hAnsi="宋体" w:cs="宋体"/>
        <w:b w:val="0"/>
        <w:bCs/>
        <w:i/>
        <w:iCs/>
        <w:color w:val="0000FF"/>
        <w:spacing w:val="0"/>
        <w:kern w:val="0"/>
        <w:sz w:val="18"/>
        <w:szCs w:val="18"/>
        <w:highlight w:val="none"/>
        <w:u w:val="none"/>
        <w:lang w:eastAsia="zh-CN"/>
      </w:rPr>
      <w:t>信阳市羊山新区民政局羊山新区养老服务中心运营服务项目</w:t>
    </w:r>
    <w:r>
      <w:rPr>
        <w:rFonts w:hint="eastAsia" w:ascii="宋体" w:hAnsi="宋体" w:eastAsia="宋体" w:cs="宋体"/>
        <w:b w:val="0"/>
        <w:bCs/>
        <w:i/>
        <w:iCs/>
        <w:color w:val="0000FF"/>
        <w:spacing w:val="0"/>
        <w:kern w:val="0"/>
        <w:sz w:val="18"/>
        <w:szCs w:val="18"/>
        <w:highlight w:val="none"/>
        <w:u w:val="none"/>
        <w:lang w:val="en-US" w:eastAsia="zh-CN"/>
      </w:rPr>
      <w:t xml:space="preserve"> 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963F"/>
    <w:multiLevelType w:val="singleLevel"/>
    <w:tmpl w:val="98D2963F"/>
    <w:lvl w:ilvl="0" w:tentative="0">
      <w:start w:val="1"/>
      <w:numFmt w:val="decimal"/>
      <w:lvlText w:val="%1."/>
      <w:lvlJc w:val="left"/>
      <w:pPr>
        <w:tabs>
          <w:tab w:val="left" w:pos="312"/>
        </w:tabs>
      </w:pPr>
    </w:lvl>
  </w:abstractNum>
  <w:abstractNum w:abstractNumId="1">
    <w:nsid w:val="B5E08322"/>
    <w:multiLevelType w:val="singleLevel"/>
    <w:tmpl w:val="B5E08322"/>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pStyle w:val="4"/>
      <w:suff w:val="nothing"/>
      <w:lvlText w:val="%1."/>
      <w:lvlJc w:val="left"/>
    </w:lvl>
    <w:lvl w:ilvl="1" w:tentative="0">
      <w:start w:val="1"/>
      <w:numFmt w:val="decimal"/>
      <w:pStyle w:val="2"/>
      <w:lvlText w:val="(%2)"/>
      <w:lvlJc w:val="left"/>
      <w:pPr>
        <w:tabs>
          <w:tab w:val="left" w:pos="840"/>
        </w:tabs>
        <w:ind w:left="840" w:leftChars="0" w:hanging="420" w:firstLineChars="0"/>
      </w:pPr>
      <w:rPr>
        <w:rFonts w:hint="default"/>
      </w:rPr>
    </w:lvl>
    <w:lvl w:ilvl="2" w:tentative="0">
      <w:start w:val="1"/>
      <w:numFmt w:val="none"/>
      <w:pStyle w:val="5"/>
      <w:lvlText w:val="%3"/>
      <w:lvlJc w:val="left"/>
      <w:pPr>
        <w:tabs>
          <w:tab w:val="left" w:pos="1260"/>
        </w:tabs>
        <w:ind w:left="1260" w:leftChars="0" w:hanging="420" w:firstLineChars="0"/>
      </w:pPr>
      <w:rPr>
        <w:rFonts w:hint="default"/>
      </w:rPr>
    </w:lvl>
    <w:lvl w:ilvl="3" w:tentative="0">
      <w:start w:val="1"/>
      <w:numFmt w:val="decimal"/>
      <w:pStyle w:val="6"/>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0000000E"/>
    <w:multiLevelType w:val="multilevel"/>
    <w:tmpl w:val="0000000E"/>
    <w:lvl w:ilvl="0" w:tentative="0">
      <w:start w:val="1"/>
      <w:numFmt w:val="decimal"/>
      <w:lvlText w:val="第%1条"/>
      <w:lvlJc w:val="left"/>
      <w:pPr>
        <w:ind w:left="0" w:firstLine="0"/>
      </w:pPr>
    </w:lvl>
    <w:lvl w:ilvl="1" w:tentative="0">
      <w:start w:val="1"/>
      <w:numFmt w:val="decimal"/>
      <w:pStyle w:val="78"/>
      <w:lvlText w:val="%1.%2"/>
      <w:lvlJc w:val="left"/>
      <w:pPr>
        <w:ind w:left="0" w:firstLine="0"/>
      </w:pPr>
    </w:lvl>
    <w:lvl w:ilvl="2" w:tentative="0">
      <w:start w:val="1"/>
      <w:numFmt w:val="decimal"/>
      <w:pStyle w:val="79"/>
      <w:lvlText w:val="%1.%2.%3"/>
      <w:lvlJc w:val="left"/>
      <w:pPr>
        <w:ind w:left="426" w:firstLine="0"/>
      </w:pPr>
    </w:lvl>
    <w:lvl w:ilvl="3" w:tentative="0">
      <w:start w:val="1"/>
      <w:numFmt w:val="decimal"/>
      <w:lvlText w:val="（%4）"/>
      <w:lvlJc w:val="left"/>
      <w:pPr>
        <w:ind w:left="1135"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072D785B"/>
    <w:multiLevelType w:val="singleLevel"/>
    <w:tmpl w:val="072D785B"/>
    <w:lvl w:ilvl="0" w:tentative="0">
      <w:start w:val="3"/>
      <w:numFmt w:val="chineseCounting"/>
      <w:suff w:val="nothing"/>
      <w:lvlText w:val="%1、"/>
      <w:lvlJc w:val="left"/>
      <w:rPr>
        <w:rFonts w:hint="eastAsia"/>
      </w:rPr>
    </w:lvl>
  </w:abstractNum>
  <w:abstractNum w:abstractNumId="5">
    <w:nsid w:val="0DE3004A"/>
    <w:multiLevelType w:val="singleLevel"/>
    <w:tmpl w:val="0DE3004A"/>
    <w:lvl w:ilvl="0" w:tentative="0">
      <w:start w:val="1"/>
      <w:numFmt w:val="decimal"/>
      <w:pStyle w:val="65"/>
      <w:lvlText w:val="%1."/>
      <w:lvlJc w:val="left"/>
      <w:pPr>
        <w:tabs>
          <w:tab w:val="left" w:pos="312"/>
        </w:tabs>
      </w:pPr>
    </w:lvl>
  </w:abstractNum>
  <w:abstractNum w:abstractNumId="6">
    <w:nsid w:val="1E035372"/>
    <w:multiLevelType w:val="singleLevel"/>
    <w:tmpl w:val="1E035372"/>
    <w:lvl w:ilvl="0" w:tentative="0">
      <w:start w:val="1"/>
      <w:numFmt w:val="decimal"/>
      <w:suff w:val="space"/>
      <w:lvlText w:val="%1."/>
      <w:lvlJc w:val="left"/>
    </w:lvl>
  </w:abstractNum>
  <w:abstractNum w:abstractNumId="7">
    <w:nsid w:val="42A989AA"/>
    <w:multiLevelType w:val="singleLevel"/>
    <w:tmpl w:val="42A989AA"/>
    <w:lvl w:ilvl="0" w:tentative="0">
      <w:start w:val="1"/>
      <w:numFmt w:val="chineseCounting"/>
      <w:suff w:val="nothing"/>
      <w:lvlText w:val="（%1）"/>
      <w:lvlJc w:val="left"/>
      <w:pPr>
        <w:ind w:left="315" w:firstLine="0"/>
      </w:pPr>
      <w:rPr>
        <w:rFonts w:hint="eastAsia"/>
      </w:rPr>
    </w:lvl>
  </w:abstractNum>
  <w:abstractNum w:abstractNumId="8">
    <w:nsid w:val="5FBDBAAA"/>
    <w:multiLevelType w:val="singleLevel"/>
    <w:tmpl w:val="5FBDBAAA"/>
    <w:lvl w:ilvl="0" w:tentative="0">
      <w:start w:val="5"/>
      <w:numFmt w:val="chineseCounting"/>
      <w:suff w:val="space"/>
      <w:lvlText w:val="第%1章"/>
      <w:lvlJc w:val="left"/>
      <w:rPr>
        <w:rFonts w:hint="eastAsia"/>
      </w:rPr>
    </w:lvl>
  </w:abstractNum>
  <w:abstractNum w:abstractNumId="9">
    <w:nsid w:val="67E29CB1"/>
    <w:multiLevelType w:val="singleLevel"/>
    <w:tmpl w:val="67E29CB1"/>
    <w:lvl w:ilvl="0" w:tentative="0">
      <w:start w:val="2"/>
      <w:numFmt w:val="decimal"/>
      <w:suff w:val="nothing"/>
      <w:lvlText w:val="%1、"/>
      <w:lvlJc w:val="left"/>
    </w:lvl>
  </w:abstractNum>
  <w:abstractNum w:abstractNumId="10">
    <w:nsid w:val="68CADB2E"/>
    <w:multiLevelType w:val="singleLevel"/>
    <w:tmpl w:val="68CADB2E"/>
    <w:lvl w:ilvl="0" w:tentative="0">
      <w:start w:val="4"/>
      <w:numFmt w:val="chineseCounting"/>
      <w:suff w:val="space"/>
      <w:lvlText w:val="第%1章"/>
      <w:lvlJc w:val="left"/>
      <w:rPr>
        <w:rFonts w:hint="eastAsia"/>
      </w:rPr>
    </w:lvl>
  </w:abstractNum>
  <w:num w:numId="1">
    <w:abstractNumId w:val="2"/>
  </w:num>
  <w:num w:numId="2">
    <w:abstractNumId w:val="5"/>
  </w:num>
  <w:num w:numId="3">
    <w:abstractNumId w:val="3"/>
  </w:num>
  <w:num w:numId="4">
    <w:abstractNumId w:val="0"/>
  </w:num>
  <w:num w:numId="5">
    <w:abstractNumId w:val="10"/>
  </w:num>
  <w:num w:numId="6">
    <w:abstractNumId w:val="8"/>
  </w:num>
  <w:num w:numId="7">
    <w:abstractNumId w:val="9"/>
  </w:num>
  <w:num w:numId="8">
    <w:abstractNumId w:val="4"/>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WE0OGU1OTUyOTkyMGE1ZTlkZDdmNDA1YzZjYTMifQ=="/>
    <w:docVar w:name="KSO_WPS_MARK_KEY" w:val="6b23572e-f07a-44c5-a351-0a63a748c90d"/>
  </w:docVars>
  <w:rsids>
    <w:rsidRoot w:val="00000000"/>
    <w:rsid w:val="003357D8"/>
    <w:rsid w:val="006360BD"/>
    <w:rsid w:val="007276C4"/>
    <w:rsid w:val="007E2EF7"/>
    <w:rsid w:val="00B26912"/>
    <w:rsid w:val="00CB5A10"/>
    <w:rsid w:val="01427401"/>
    <w:rsid w:val="01465965"/>
    <w:rsid w:val="014D2330"/>
    <w:rsid w:val="014F6641"/>
    <w:rsid w:val="01761E20"/>
    <w:rsid w:val="01791910"/>
    <w:rsid w:val="01A21DD4"/>
    <w:rsid w:val="01B110AA"/>
    <w:rsid w:val="01B72B02"/>
    <w:rsid w:val="01D9369C"/>
    <w:rsid w:val="01E95E37"/>
    <w:rsid w:val="022C5330"/>
    <w:rsid w:val="0236351E"/>
    <w:rsid w:val="02510197"/>
    <w:rsid w:val="0254252C"/>
    <w:rsid w:val="025832D3"/>
    <w:rsid w:val="025D6B3C"/>
    <w:rsid w:val="028A44CD"/>
    <w:rsid w:val="02B124B4"/>
    <w:rsid w:val="02B97DF0"/>
    <w:rsid w:val="02D05560"/>
    <w:rsid w:val="03151A5E"/>
    <w:rsid w:val="03277C96"/>
    <w:rsid w:val="033D138E"/>
    <w:rsid w:val="037743FF"/>
    <w:rsid w:val="03912F41"/>
    <w:rsid w:val="03A10CAA"/>
    <w:rsid w:val="03CB196A"/>
    <w:rsid w:val="03D11133"/>
    <w:rsid w:val="03EE3EEF"/>
    <w:rsid w:val="044B6641"/>
    <w:rsid w:val="045D2E23"/>
    <w:rsid w:val="049023D8"/>
    <w:rsid w:val="04B862AB"/>
    <w:rsid w:val="04BA2023"/>
    <w:rsid w:val="04D02570"/>
    <w:rsid w:val="04E70697"/>
    <w:rsid w:val="04E734BD"/>
    <w:rsid w:val="04F25230"/>
    <w:rsid w:val="04FA7EB0"/>
    <w:rsid w:val="05137986"/>
    <w:rsid w:val="052F7B7C"/>
    <w:rsid w:val="05777F14"/>
    <w:rsid w:val="0580326D"/>
    <w:rsid w:val="05C014ED"/>
    <w:rsid w:val="05C23886"/>
    <w:rsid w:val="05DD246D"/>
    <w:rsid w:val="06172AAC"/>
    <w:rsid w:val="06314567"/>
    <w:rsid w:val="065B7C3D"/>
    <w:rsid w:val="06707D11"/>
    <w:rsid w:val="06971CB5"/>
    <w:rsid w:val="06AF7941"/>
    <w:rsid w:val="06B30D73"/>
    <w:rsid w:val="06B37672"/>
    <w:rsid w:val="06C21663"/>
    <w:rsid w:val="07072694"/>
    <w:rsid w:val="07391925"/>
    <w:rsid w:val="074327A4"/>
    <w:rsid w:val="07576AE2"/>
    <w:rsid w:val="07646D5A"/>
    <w:rsid w:val="077A3CEC"/>
    <w:rsid w:val="078C0605"/>
    <w:rsid w:val="07B55BE9"/>
    <w:rsid w:val="07BC2556"/>
    <w:rsid w:val="07CD7318"/>
    <w:rsid w:val="07D2450C"/>
    <w:rsid w:val="07F4174D"/>
    <w:rsid w:val="082D4AAE"/>
    <w:rsid w:val="08404F36"/>
    <w:rsid w:val="08760957"/>
    <w:rsid w:val="08971A59"/>
    <w:rsid w:val="08AC4379"/>
    <w:rsid w:val="08AC51A2"/>
    <w:rsid w:val="09242161"/>
    <w:rsid w:val="092C7B94"/>
    <w:rsid w:val="093F51ED"/>
    <w:rsid w:val="094B3B92"/>
    <w:rsid w:val="094D3EF4"/>
    <w:rsid w:val="09A432A2"/>
    <w:rsid w:val="09AE2D7C"/>
    <w:rsid w:val="0A000F56"/>
    <w:rsid w:val="0A03446D"/>
    <w:rsid w:val="0A54737B"/>
    <w:rsid w:val="0A6767AA"/>
    <w:rsid w:val="0A9D666F"/>
    <w:rsid w:val="0A9E47A1"/>
    <w:rsid w:val="0AA03A6A"/>
    <w:rsid w:val="0AE56B30"/>
    <w:rsid w:val="0B060002"/>
    <w:rsid w:val="0B527F16"/>
    <w:rsid w:val="0B73259C"/>
    <w:rsid w:val="0B9077ED"/>
    <w:rsid w:val="0BA8707A"/>
    <w:rsid w:val="0BBB6542"/>
    <w:rsid w:val="0BCB70B5"/>
    <w:rsid w:val="0C157850"/>
    <w:rsid w:val="0C2D57D1"/>
    <w:rsid w:val="0C384E43"/>
    <w:rsid w:val="0C3C5A14"/>
    <w:rsid w:val="0C6D3E1F"/>
    <w:rsid w:val="0C762CD4"/>
    <w:rsid w:val="0C8A677F"/>
    <w:rsid w:val="0C8C24F7"/>
    <w:rsid w:val="0C9141AC"/>
    <w:rsid w:val="0CB27348"/>
    <w:rsid w:val="0CB42738"/>
    <w:rsid w:val="0CF62067"/>
    <w:rsid w:val="0D441B12"/>
    <w:rsid w:val="0D4508F8"/>
    <w:rsid w:val="0D474670"/>
    <w:rsid w:val="0D63594E"/>
    <w:rsid w:val="0D647C15"/>
    <w:rsid w:val="0D9F625A"/>
    <w:rsid w:val="0DB859E5"/>
    <w:rsid w:val="0DC94CD9"/>
    <w:rsid w:val="0DF72AAA"/>
    <w:rsid w:val="0E0A401C"/>
    <w:rsid w:val="0E2055ED"/>
    <w:rsid w:val="0E386761"/>
    <w:rsid w:val="0E682A23"/>
    <w:rsid w:val="0EA40CAF"/>
    <w:rsid w:val="0EB2020F"/>
    <w:rsid w:val="0EDB1514"/>
    <w:rsid w:val="0EDD7F65"/>
    <w:rsid w:val="0EE368BE"/>
    <w:rsid w:val="0EF06EE0"/>
    <w:rsid w:val="0EFF2549"/>
    <w:rsid w:val="0F331350"/>
    <w:rsid w:val="0F5D4E76"/>
    <w:rsid w:val="0F6A2D2B"/>
    <w:rsid w:val="0F731265"/>
    <w:rsid w:val="0F7D6A6F"/>
    <w:rsid w:val="0F94453D"/>
    <w:rsid w:val="0F9C6C01"/>
    <w:rsid w:val="0FB71DFC"/>
    <w:rsid w:val="0FBD1DC3"/>
    <w:rsid w:val="0FFD14E3"/>
    <w:rsid w:val="100571F8"/>
    <w:rsid w:val="101271B8"/>
    <w:rsid w:val="101F782A"/>
    <w:rsid w:val="1021564D"/>
    <w:rsid w:val="10225B22"/>
    <w:rsid w:val="10481276"/>
    <w:rsid w:val="10501A8E"/>
    <w:rsid w:val="105B6CE8"/>
    <w:rsid w:val="10633F49"/>
    <w:rsid w:val="10857989"/>
    <w:rsid w:val="109528E7"/>
    <w:rsid w:val="109732F9"/>
    <w:rsid w:val="10BA4BD5"/>
    <w:rsid w:val="10C23712"/>
    <w:rsid w:val="10CD7582"/>
    <w:rsid w:val="10CF6E57"/>
    <w:rsid w:val="10F000FA"/>
    <w:rsid w:val="10F31E3E"/>
    <w:rsid w:val="1124657B"/>
    <w:rsid w:val="11360C84"/>
    <w:rsid w:val="114A472F"/>
    <w:rsid w:val="116F4196"/>
    <w:rsid w:val="118B5F3C"/>
    <w:rsid w:val="11934D85"/>
    <w:rsid w:val="119921B4"/>
    <w:rsid w:val="11B06C88"/>
    <w:rsid w:val="11B524F0"/>
    <w:rsid w:val="11D706B9"/>
    <w:rsid w:val="120C44AB"/>
    <w:rsid w:val="120E7E53"/>
    <w:rsid w:val="122479B3"/>
    <w:rsid w:val="126463AF"/>
    <w:rsid w:val="12751C80"/>
    <w:rsid w:val="127557DC"/>
    <w:rsid w:val="127754F6"/>
    <w:rsid w:val="12813563"/>
    <w:rsid w:val="128235DD"/>
    <w:rsid w:val="128F7744"/>
    <w:rsid w:val="12910C6D"/>
    <w:rsid w:val="129C0FBA"/>
    <w:rsid w:val="12A4427E"/>
    <w:rsid w:val="12EC1F42"/>
    <w:rsid w:val="130903B9"/>
    <w:rsid w:val="130A23C8"/>
    <w:rsid w:val="132229D9"/>
    <w:rsid w:val="13294F44"/>
    <w:rsid w:val="13404233"/>
    <w:rsid w:val="13E11700"/>
    <w:rsid w:val="13E8076A"/>
    <w:rsid w:val="1444190A"/>
    <w:rsid w:val="14456D19"/>
    <w:rsid w:val="144B713C"/>
    <w:rsid w:val="1464235D"/>
    <w:rsid w:val="148E671E"/>
    <w:rsid w:val="152810E0"/>
    <w:rsid w:val="15284D87"/>
    <w:rsid w:val="152C0D1B"/>
    <w:rsid w:val="153951E6"/>
    <w:rsid w:val="15422568"/>
    <w:rsid w:val="157E55BA"/>
    <w:rsid w:val="159B37AB"/>
    <w:rsid w:val="15A05265"/>
    <w:rsid w:val="16096967"/>
    <w:rsid w:val="160E6673"/>
    <w:rsid w:val="161A490A"/>
    <w:rsid w:val="16337E88"/>
    <w:rsid w:val="16461969"/>
    <w:rsid w:val="16532F04"/>
    <w:rsid w:val="166242C9"/>
    <w:rsid w:val="1663363A"/>
    <w:rsid w:val="16881E07"/>
    <w:rsid w:val="168E3310"/>
    <w:rsid w:val="169070D5"/>
    <w:rsid w:val="169508A9"/>
    <w:rsid w:val="16BD3B7A"/>
    <w:rsid w:val="16C240F4"/>
    <w:rsid w:val="16EA0BEE"/>
    <w:rsid w:val="16EB42BE"/>
    <w:rsid w:val="16F82BE7"/>
    <w:rsid w:val="16F92E7F"/>
    <w:rsid w:val="1700637B"/>
    <w:rsid w:val="170830C2"/>
    <w:rsid w:val="17190E2C"/>
    <w:rsid w:val="172128C0"/>
    <w:rsid w:val="17325A72"/>
    <w:rsid w:val="173E73C8"/>
    <w:rsid w:val="17741DE1"/>
    <w:rsid w:val="177936CF"/>
    <w:rsid w:val="17940FB8"/>
    <w:rsid w:val="179775A1"/>
    <w:rsid w:val="17B943BD"/>
    <w:rsid w:val="17E0693C"/>
    <w:rsid w:val="17FA7B76"/>
    <w:rsid w:val="18005D4F"/>
    <w:rsid w:val="18316485"/>
    <w:rsid w:val="185F4F64"/>
    <w:rsid w:val="188154D8"/>
    <w:rsid w:val="188509A8"/>
    <w:rsid w:val="18861E7B"/>
    <w:rsid w:val="189C1D14"/>
    <w:rsid w:val="18BB169F"/>
    <w:rsid w:val="18BF32EC"/>
    <w:rsid w:val="18CB084B"/>
    <w:rsid w:val="18CD6371"/>
    <w:rsid w:val="18D81E43"/>
    <w:rsid w:val="18DA3C7E"/>
    <w:rsid w:val="18E504B1"/>
    <w:rsid w:val="18EE4330"/>
    <w:rsid w:val="18F559EC"/>
    <w:rsid w:val="19006747"/>
    <w:rsid w:val="196C1925"/>
    <w:rsid w:val="19720CC7"/>
    <w:rsid w:val="1981620A"/>
    <w:rsid w:val="198A7452"/>
    <w:rsid w:val="198C1D89"/>
    <w:rsid w:val="199930AE"/>
    <w:rsid w:val="199D7F4F"/>
    <w:rsid w:val="19C05ED6"/>
    <w:rsid w:val="1A333C4F"/>
    <w:rsid w:val="1A710622"/>
    <w:rsid w:val="1A911621"/>
    <w:rsid w:val="1A997188"/>
    <w:rsid w:val="1AC66F36"/>
    <w:rsid w:val="1AE13C5B"/>
    <w:rsid w:val="1AF71A51"/>
    <w:rsid w:val="1AFC1190"/>
    <w:rsid w:val="1B304996"/>
    <w:rsid w:val="1B38739B"/>
    <w:rsid w:val="1B397CEE"/>
    <w:rsid w:val="1B593EEC"/>
    <w:rsid w:val="1BAB0FAE"/>
    <w:rsid w:val="1BCA6B98"/>
    <w:rsid w:val="1BEA5984"/>
    <w:rsid w:val="1BF64102"/>
    <w:rsid w:val="1BF80424"/>
    <w:rsid w:val="1BFA7B2D"/>
    <w:rsid w:val="1C090F78"/>
    <w:rsid w:val="1C3109C5"/>
    <w:rsid w:val="1C393F99"/>
    <w:rsid w:val="1C443FFD"/>
    <w:rsid w:val="1C510124"/>
    <w:rsid w:val="1C5F7EF1"/>
    <w:rsid w:val="1C760ACE"/>
    <w:rsid w:val="1CD54E10"/>
    <w:rsid w:val="1CD852E5"/>
    <w:rsid w:val="1CE67A02"/>
    <w:rsid w:val="1D060A74"/>
    <w:rsid w:val="1D1E53EE"/>
    <w:rsid w:val="1D310004"/>
    <w:rsid w:val="1D3E783E"/>
    <w:rsid w:val="1D7B10CF"/>
    <w:rsid w:val="1D8965DF"/>
    <w:rsid w:val="1D940DB0"/>
    <w:rsid w:val="1D9D24D3"/>
    <w:rsid w:val="1DE5415D"/>
    <w:rsid w:val="1E0C16EA"/>
    <w:rsid w:val="1E2C3B3A"/>
    <w:rsid w:val="1E3C7E96"/>
    <w:rsid w:val="1E454BFC"/>
    <w:rsid w:val="1E6B65BD"/>
    <w:rsid w:val="1E74728F"/>
    <w:rsid w:val="1E807BEB"/>
    <w:rsid w:val="1E85324A"/>
    <w:rsid w:val="1E9F430C"/>
    <w:rsid w:val="1EA94E3E"/>
    <w:rsid w:val="1ED30CB1"/>
    <w:rsid w:val="1EE47F71"/>
    <w:rsid w:val="1EFE30F7"/>
    <w:rsid w:val="1F040613"/>
    <w:rsid w:val="1F1C68C8"/>
    <w:rsid w:val="1F372797"/>
    <w:rsid w:val="1F396491"/>
    <w:rsid w:val="1F58270D"/>
    <w:rsid w:val="1F884232"/>
    <w:rsid w:val="1F996A3F"/>
    <w:rsid w:val="1FA870F1"/>
    <w:rsid w:val="1FAA11BB"/>
    <w:rsid w:val="1FFD7D66"/>
    <w:rsid w:val="2000702C"/>
    <w:rsid w:val="200D7927"/>
    <w:rsid w:val="20443395"/>
    <w:rsid w:val="20487E9B"/>
    <w:rsid w:val="204A0286"/>
    <w:rsid w:val="20A8587E"/>
    <w:rsid w:val="20BE5BD1"/>
    <w:rsid w:val="20C444FE"/>
    <w:rsid w:val="20CE7FB1"/>
    <w:rsid w:val="20DD736E"/>
    <w:rsid w:val="20DE690D"/>
    <w:rsid w:val="20EA329F"/>
    <w:rsid w:val="21356A28"/>
    <w:rsid w:val="213C149B"/>
    <w:rsid w:val="21570ECE"/>
    <w:rsid w:val="216D06F2"/>
    <w:rsid w:val="218440E3"/>
    <w:rsid w:val="21A460DD"/>
    <w:rsid w:val="21A84E05"/>
    <w:rsid w:val="2205092A"/>
    <w:rsid w:val="22066450"/>
    <w:rsid w:val="22090D50"/>
    <w:rsid w:val="22140A43"/>
    <w:rsid w:val="221943D6"/>
    <w:rsid w:val="2224151B"/>
    <w:rsid w:val="223E05A7"/>
    <w:rsid w:val="224A172C"/>
    <w:rsid w:val="226A4C31"/>
    <w:rsid w:val="228A0E2F"/>
    <w:rsid w:val="22AB2EC8"/>
    <w:rsid w:val="22AD4B1E"/>
    <w:rsid w:val="22BC7FA6"/>
    <w:rsid w:val="22CF0785"/>
    <w:rsid w:val="22D2146A"/>
    <w:rsid w:val="23190AF3"/>
    <w:rsid w:val="231F3C6E"/>
    <w:rsid w:val="23360FB7"/>
    <w:rsid w:val="238E494F"/>
    <w:rsid w:val="23AE08D7"/>
    <w:rsid w:val="23C860B3"/>
    <w:rsid w:val="23DF1A1B"/>
    <w:rsid w:val="23E944F0"/>
    <w:rsid w:val="23FA1FE5"/>
    <w:rsid w:val="240878F1"/>
    <w:rsid w:val="241560F8"/>
    <w:rsid w:val="241E3F25"/>
    <w:rsid w:val="245C75C1"/>
    <w:rsid w:val="2466767A"/>
    <w:rsid w:val="24945F95"/>
    <w:rsid w:val="249B5576"/>
    <w:rsid w:val="24C00CB3"/>
    <w:rsid w:val="24D92020"/>
    <w:rsid w:val="24E32A79"/>
    <w:rsid w:val="24EC4023"/>
    <w:rsid w:val="24F37160"/>
    <w:rsid w:val="24FF1572"/>
    <w:rsid w:val="2508586F"/>
    <w:rsid w:val="250A26FB"/>
    <w:rsid w:val="25382DC5"/>
    <w:rsid w:val="254F21FE"/>
    <w:rsid w:val="256040C9"/>
    <w:rsid w:val="257162D7"/>
    <w:rsid w:val="25783B09"/>
    <w:rsid w:val="2579474B"/>
    <w:rsid w:val="25826736"/>
    <w:rsid w:val="25867FD4"/>
    <w:rsid w:val="258E62E3"/>
    <w:rsid w:val="25B032A3"/>
    <w:rsid w:val="25E60248"/>
    <w:rsid w:val="25F62D7B"/>
    <w:rsid w:val="26046186"/>
    <w:rsid w:val="262148B1"/>
    <w:rsid w:val="26383046"/>
    <w:rsid w:val="26383B1A"/>
    <w:rsid w:val="26661BB3"/>
    <w:rsid w:val="267C621E"/>
    <w:rsid w:val="26813E04"/>
    <w:rsid w:val="26860EAA"/>
    <w:rsid w:val="26B90F8E"/>
    <w:rsid w:val="26BB5A5B"/>
    <w:rsid w:val="271B474C"/>
    <w:rsid w:val="2725351F"/>
    <w:rsid w:val="27280C06"/>
    <w:rsid w:val="2753038A"/>
    <w:rsid w:val="276205CD"/>
    <w:rsid w:val="276C4FA7"/>
    <w:rsid w:val="27D62633"/>
    <w:rsid w:val="27E70AD2"/>
    <w:rsid w:val="27E84CE8"/>
    <w:rsid w:val="27F1185C"/>
    <w:rsid w:val="27F136FF"/>
    <w:rsid w:val="28013F40"/>
    <w:rsid w:val="280A5815"/>
    <w:rsid w:val="283D3872"/>
    <w:rsid w:val="28404377"/>
    <w:rsid w:val="286270DA"/>
    <w:rsid w:val="28872E71"/>
    <w:rsid w:val="28B4150A"/>
    <w:rsid w:val="28D551AC"/>
    <w:rsid w:val="28E84B02"/>
    <w:rsid w:val="29270C80"/>
    <w:rsid w:val="292875F4"/>
    <w:rsid w:val="292C2C40"/>
    <w:rsid w:val="299320E4"/>
    <w:rsid w:val="29D05CC2"/>
    <w:rsid w:val="29DD2A86"/>
    <w:rsid w:val="29F714A0"/>
    <w:rsid w:val="2A144016"/>
    <w:rsid w:val="2A1B6314"/>
    <w:rsid w:val="2A225DF1"/>
    <w:rsid w:val="2A65738E"/>
    <w:rsid w:val="2A6C2CCF"/>
    <w:rsid w:val="2A866380"/>
    <w:rsid w:val="2A88073D"/>
    <w:rsid w:val="2A9211C9"/>
    <w:rsid w:val="2AA35184"/>
    <w:rsid w:val="2AA6670E"/>
    <w:rsid w:val="2AC11AAE"/>
    <w:rsid w:val="2ADE0FC3"/>
    <w:rsid w:val="2AE01EFD"/>
    <w:rsid w:val="2AED4651"/>
    <w:rsid w:val="2B277B63"/>
    <w:rsid w:val="2B300888"/>
    <w:rsid w:val="2B585F6F"/>
    <w:rsid w:val="2B7D59D5"/>
    <w:rsid w:val="2BE37B42"/>
    <w:rsid w:val="2BFA7026"/>
    <w:rsid w:val="2BFC72E5"/>
    <w:rsid w:val="2C11611D"/>
    <w:rsid w:val="2C1F4CDE"/>
    <w:rsid w:val="2C4A6E2B"/>
    <w:rsid w:val="2C522185"/>
    <w:rsid w:val="2C680433"/>
    <w:rsid w:val="2C935343"/>
    <w:rsid w:val="2C9A25B7"/>
    <w:rsid w:val="2CD5539D"/>
    <w:rsid w:val="2CDE06F5"/>
    <w:rsid w:val="2CE63FAE"/>
    <w:rsid w:val="2CFD7A7D"/>
    <w:rsid w:val="2D3E4965"/>
    <w:rsid w:val="2D430559"/>
    <w:rsid w:val="2D4517E4"/>
    <w:rsid w:val="2D482013"/>
    <w:rsid w:val="2D574004"/>
    <w:rsid w:val="2D616C31"/>
    <w:rsid w:val="2D652BC5"/>
    <w:rsid w:val="2D710CFE"/>
    <w:rsid w:val="2D747C79"/>
    <w:rsid w:val="2D80355B"/>
    <w:rsid w:val="2D807CB9"/>
    <w:rsid w:val="2D9C6806"/>
    <w:rsid w:val="2DA90D03"/>
    <w:rsid w:val="2DBF55B7"/>
    <w:rsid w:val="2DC72800"/>
    <w:rsid w:val="2DD613CD"/>
    <w:rsid w:val="2E0917A2"/>
    <w:rsid w:val="2E112D94"/>
    <w:rsid w:val="2E5A0250"/>
    <w:rsid w:val="2E870919"/>
    <w:rsid w:val="2E89643F"/>
    <w:rsid w:val="2E8A2413"/>
    <w:rsid w:val="2EA0720B"/>
    <w:rsid w:val="2EB060C2"/>
    <w:rsid w:val="2EB3170E"/>
    <w:rsid w:val="2EBC4A66"/>
    <w:rsid w:val="2EC65FA2"/>
    <w:rsid w:val="2EE67CD4"/>
    <w:rsid w:val="2EF911C0"/>
    <w:rsid w:val="2F124686"/>
    <w:rsid w:val="2F350375"/>
    <w:rsid w:val="2F475694"/>
    <w:rsid w:val="2F48454C"/>
    <w:rsid w:val="2F516105"/>
    <w:rsid w:val="2F7E1D1C"/>
    <w:rsid w:val="2F8310E0"/>
    <w:rsid w:val="2FA749FB"/>
    <w:rsid w:val="2FC75889"/>
    <w:rsid w:val="2FCB1AD3"/>
    <w:rsid w:val="2FFB24E7"/>
    <w:rsid w:val="300F7202"/>
    <w:rsid w:val="30134B5A"/>
    <w:rsid w:val="30244EF4"/>
    <w:rsid w:val="303B19BB"/>
    <w:rsid w:val="304D715E"/>
    <w:rsid w:val="304E5B92"/>
    <w:rsid w:val="309F63EE"/>
    <w:rsid w:val="30A6391F"/>
    <w:rsid w:val="30A9101A"/>
    <w:rsid w:val="30AD1ADB"/>
    <w:rsid w:val="30DC13F0"/>
    <w:rsid w:val="30E6597C"/>
    <w:rsid w:val="310B5831"/>
    <w:rsid w:val="311F752F"/>
    <w:rsid w:val="313A3321"/>
    <w:rsid w:val="31813D45"/>
    <w:rsid w:val="318D4498"/>
    <w:rsid w:val="3199108F"/>
    <w:rsid w:val="31CE3B55"/>
    <w:rsid w:val="31DE35DD"/>
    <w:rsid w:val="320E382B"/>
    <w:rsid w:val="32125565"/>
    <w:rsid w:val="32166D38"/>
    <w:rsid w:val="321E3342"/>
    <w:rsid w:val="32262382"/>
    <w:rsid w:val="324049E5"/>
    <w:rsid w:val="325925CC"/>
    <w:rsid w:val="325C6409"/>
    <w:rsid w:val="3293102B"/>
    <w:rsid w:val="3299637A"/>
    <w:rsid w:val="32B555C0"/>
    <w:rsid w:val="32D57EA5"/>
    <w:rsid w:val="32DD4FAB"/>
    <w:rsid w:val="33010C9A"/>
    <w:rsid w:val="331C5130"/>
    <w:rsid w:val="33224751"/>
    <w:rsid w:val="33381C34"/>
    <w:rsid w:val="33462B51"/>
    <w:rsid w:val="33565F5A"/>
    <w:rsid w:val="335C44B2"/>
    <w:rsid w:val="337E053C"/>
    <w:rsid w:val="338D64EF"/>
    <w:rsid w:val="339A10EE"/>
    <w:rsid w:val="33A72B7D"/>
    <w:rsid w:val="33CA19D4"/>
    <w:rsid w:val="33DB7416"/>
    <w:rsid w:val="34133B7E"/>
    <w:rsid w:val="34384B8F"/>
    <w:rsid w:val="34781430"/>
    <w:rsid w:val="34927387"/>
    <w:rsid w:val="34E46AC5"/>
    <w:rsid w:val="350347A6"/>
    <w:rsid w:val="354E0685"/>
    <w:rsid w:val="35676D88"/>
    <w:rsid w:val="357339A5"/>
    <w:rsid w:val="358919B2"/>
    <w:rsid w:val="359A63BB"/>
    <w:rsid w:val="35D10B19"/>
    <w:rsid w:val="35DD7D17"/>
    <w:rsid w:val="35FE7713"/>
    <w:rsid w:val="36054F45"/>
    <w:rsid w:val="360C62D3"/>
    <w:rsid w:val="365E6403"/>
    <w:rsid w:val="36714388"/>
    <w:rsid w:val="3698328C"/>
    <w:rsid w:val="36BA5D6D"/>
    <w:rsid w:val="3709636F"/>
    <w:rsid w:val="371066FA"/>
    <w:rsid w:val="37296998"/>
    <w:rsid w:val="37304231"/>
    <w:rsid w:val="37361CB0"/>
    <w:rsid w:val="374E6786"/>
    <w:rsid w:val="37783573"/>
    <w:rsid w:val="37BF3733"/>
    <w:rsid w:val="37C07B1C"/>
    <w:rsid w:val="37CA79FF"/>
    <w:rsid w:val="37E868CC"/>
    <w:rsid w:val="37EA43F2"/>
    <w:rsid w:val="381527C2"/>
    <w:rsid w:val="38237904"/>
    <w:rsid w:val="38276047"/>
    <w:rsid w:val="38286CC9"/>
    <w:rsid w:val="382F3FE7"/>
    <w:rsid w:val="38312021"/>
    <w:rsid w:val="38392C84"/>
    <w:rsid w:val="38511EE4"/>
    <w:rsid w:val="38591B7C"/>
    <w:rsid w:val="385B3E59"/>
    <w:rsid w:val="387719FE"/>
    <w:rsid w:val="3910754E"/>
    <w:rsid w:val="395104A1"/>
    <w:rsid w:val="3966323C"/>
    <w:rsid w:val="397622DF"/>
    <w:rsid w:val="39765798"/>
    <w:rsid w:val="39971A51"/>
    <w:rsid w:val="39A6259B"/>
    <w:rsid w:val="39AE711C"/>
    <w:rsid w:val="39C24EFB"/>
    <w:rsid w:val="39F16E57"/>
    <w:rsid w:val="39FF48F3"/>
    <w:rsid w:val="3A184B1B"/>
    <w:rsid w:val="3A1C285D"/>
    <w:rsid w:val="3A2D4A6A"/>
    <w:rsid w:val="3A410516"/>
    <w:rsid w:val="3A69578F"/>
    <w:rsid w:val="3A6A78DD"/>
    <w:rsid w:val="3A6A7A6C"/>
    <w:rsid w:val="3A7A7584"/>
    <w:rsid w:val="3A9545B6"/>
    <w:rsid w:val="3AC54CA3"/>
    <w:rsid w:val="3B1016F3"/>
    <w:rsid w:val="3B225A7F"/>
    <w:rsid w:val="3B334539"/>
    <w:rsid w:val="3B3F768A"/>
    <w:rsid w:val="3B8D4795"/>
    <w:rsid w:val="3BB6283D"/>
    <w:rsid w:val="3BD038FF"/>
    <w:rsid w:val="3C12216A"/>
    <w:rsid w:val="3C8B3CCA"/>
    <w:rsid w:val="3CDB3C22"/>
    <w:rsid w:val="3CDF4F95"/>
    <w:rsid w:val="3CE60F00"/>
    <w:rsid w:val="3CFB2BFE"/>
    <w:rsid w:val="3D29776B"/>
    <w:rsid w:val="3D2C725B"/>
    <w:rsid w:val="3D3516F1"/>
    <w:rsid w:val="3D3971F6"/>
    <w:rsid w:val="3D532A3A"/>
    <w:rsid w:val="3D6B3FEF"/>
    <w:rsid w:val="3D8F570E"/>
    <w:rsid w:val="3DAC5CA6"/>
    <w:rsid w:val="3DBA03C3"/>
    <w:rsid w:val="3DBD4357"/>
    <w:rsid w:val="3DBE40B4"/>
    <w:rsid w:val="3DD86A9B"/>
    <w:rsid w:val="3E03620E"/>
    <w:rsid w:val="3E1A5233"/>
    <w:rsid w:val="3E1F46CA"/>
    <w:rsid w:val="3E410AE4"/>
    <w:rsid w:val="3E4C2743"/>
    <w:rsid w:val="3E5230A6"/>
    <w:rsid w:val="3E703177"/>
    <w:rsid w:val="3E864749"/>
    <w:rsid w:val="3EAD7F28"/>
    <w:rsid w:val="3EC47B82"/>
    <w:rsid w:val="3ED05507"/>
    <w:rsid w:val="3EF773F5"/>
    <w:rsid w:val="3F0005CC"/>
    <w:rsid w:val="3F0C6803"/>
    <w:rsid w:val="3F4E74D7"/>
    <w:rsid w:val="3F666E93"/>
    <w:rsid w:val="3F95020B"/>
    <w:rsid w:val="3FD01F04"/>
    <w:rsid w:val="40330901"/>
    <w:rsid w:val="405A40DF"/>
    <w:rsid w:val="406E53A2"/>
    <w:rsid w:val="4090485C"/>
    <w:rsid w:val="40A35A86"/>
    <w:rsid w:val="40AD5DD8"/>
    <w:rsid w:val="40BA0813"/>
    <w:rsid w:val="40CB1480"/>
    <w:rsid w:val="40CC5439"/>
    <w:rsid w:val="40EA138C"/>
    <w:rsid w:val="41006A35"/>
    <w:rsid w:val="4114603C"/>
    <w:rsid w:val="412B7CE8"/>
    <w:rsid w:val="413A684F"/>
    <w:rsid w:val="414032D5"/>
    <w:rsid w:val="4142704D"/>
    <w:rsid w:val="417037F6"/>
    <w:rsid w:val="41711BF5"/>
    <w:rsid w:val="4171348E"/>
    <w:rsid w:val="41870C1C"/>
    <w:rsid w:val="41A03D74"/>
    <w:rsid w:val="41CF1EF3"/>
    <w:rsid w:val="41DD0428"/>
    <w:rsid w:val="41F517BB"/>
    <w:rsid w:val="41FB71FC"/>
    <w:rsid w:val="420F2CA7"/>
    <w:rsid w:val="42530DE6"/>
    <w:rsid w:val="42650575"/>
    <w:rsid w:val="427F607F"/>
    <w:rsid w:val="42957651"/>
    <w:rsid w:val="429A404C"/>
    <w:rsid w:val="42A706A9"/>
    <w:rsid w:val="42B45D29"/>
    <w:rsid w:val="42B850ED"/>
    <w:rsid w:val="4300375D"/>
    <w:rsid w:val="43160791"/>
    <w:rsid w:val="43395642"/>
    <w:rsid w:val="43521CBA"/>
    <w:rsid w:val="438A7AD3"/>
    <w:rsid w:val="43917E18"/>
    <w:rsid w:val="43AC4C52"/>
    <w:rsid w:val="43C279FD"/>
    <w:rsid w:val="43CA332A"/>
    <w:rsid w:val="43CE1D42"/>
    <w:rsid w:val="43D23F8D"/>
    <w:rsid w:val="43D249D4"/>
    <w:rsid w:val="43EA39CC"/>
    <w:rsid w:val="440C3942"/>
    <w:rsid w:val="440D4A6B"/>
    <w:rsid w:val="441B761F"/>
    <w:rsid w:val="4455331D"/>
    <w:rsid w:val="445B14BB"/>
    <w:rsid w:val="446A7986"/>
    <w:rsid w:val="44787E12"/>
    <w:rsid w:val="44A1052F"/>
    <w:rsid w:val="44B813D4"/>
    <w:rsid w:val="44B8583F"/>
    <w:rsid w:val="44D8315A"/>
    <w:rsid w:val="44DD25AD"/>
    <w:rsid w:val="44E62039"/>
    <w:rsid w:val="44FE163F"/>
    <w:rsid w:val="45010FCD"/>
    <w:rsid w:val="451D2064"/>
    <w:rsid w:val="45221A17"/>
    <w:rsid w:val="45433394"/>
    <w:rsid w:val="45554434"/>
    <w:rsid w:val="456401A6"/>
    <w:rsid w:val="457F49CD"/>
    <w:rsid w:val="458D460F"/>
    <w:rsid w:val="45B95404"/>
    <w:rsid w:val="45C82BC2"/>
    <w:rsid w:val="460F3D68"/>
    <w:rsid w:val="462D2AFF"/>
    <w:rsid w:val="469B0FAE"/>
    <w:rsid w:val="46AA2F9F"/>
    <w:rsid w:val="46AF6B94"/>
    <w:rsid w:val="47022DDB"/>
    <w:rsid w:val="47134FE8"/>
    <w:rsid w:val="47152B0E"/>
    <w:rsid w:val="47172729"/>
    <w:rsid w:val="471A45C8"/>
    <w:rsid w:val="471C7D7D"/>
    <w:rsid w:val="47282841"/>
    <w:rsid w:val="474B1C64"/>
    <w:rsid w:val="47606452"/>
    <w:rsid w:val="47721D0E"/>
    <w:rsid w:val="479954ED"/>
    <w:rsid w:val="47B265C4"/>
    <w:rsid w:val="47D06A35"/>
    <w:rsid w:val="47E80223"/>
    <w:rsid w:val="47EA3F9B"/>
    <w:rsid w:val="48074B4D"/>
    <w:rsid w:val="48345216"/>
    <w:rsid w:val="4849647C"/>
    <w:rsid w:val="487C113A"/>
    <w:rsid w:val="487E1B09"/>
    <w:rsid w:val="487F0B87"/>
    <w:rsid w:val="48C3058E"/>
    <w:rsid w:val="48E11952"/>
    <w:rsid w:val="48FD5F50"/>
    <w:rsid w:val="49153299"/>
    <w:rsid w:val="492229F7"/>
    <w:rsid w:val="493E459E"/>
    <w:rsid w:val="49520049"/>
    <w:rsid w:val="496B1639"/>
    <w:rsid w:val="496E6505"/>
    <w:rsid w:val="49804BB7"/>
    <w:rsid w:val="49A52086"/>
    <w:rsid w:val="49BF3373"/>
    <w:rsid w:val="49ED38CE"/>
    <w:rsid w:val="4A064990"/>
    <w:rsid w:val="4A090C90"/>
    <w:rsid w:val="4A396B13"/>
    <w:rsid w:val="4A781F92"/>
    <w:rsid w:val="4A7B0F4F"/>
    <w:rsid w:val="4A800BE6"/>
    <w:rsid w:val="4AB443EC"/>
    <w:rsid w:val="4AD60806"/>
    <w:rsid w:val="4AE63AE3"/>
    <w:rsid w:val="4B17019B"/>
    <w:rsid w:val="4B4C0AC8"/>
    <w:rsid w:val="4B55736F"/>
    <w:rsid w:val="4B7324F9"/>
    <w:rsid w:val="4B7B7ABD"/>
    <w:rsid w:val="4B84756E"/>
    <w:rsid w:val="4B971D44"/>
    <w:rsid w:val="4BF930BB"/>
    <w:rsid w:val="4C0511A0"/>
    <w:rsid w:val="4C1756BD"/>
    <w:rsid w:val="4C673E0C"/>
    <w:rsid w:val="4C915AE9"/>
    <w:rsid w:val="4CAF7561"/>
    <w:rsid w:val="4CE25863"/>
    <w:rsid w:val="4CEA67EB"/>
    <w:rsid w:val="4CEF7664"/>
    <w:rsid w:val="4D085A60"/>
    <w:rsid w:val="4D094EC3"/>
    <w:rsid w:val="4D100502"/>
    <w:rsid w:val="4D1B2866"/>
    <w:rsid w:val="4D3637DE"/>
    <w:rsid w:val="4D40640B"/>
    <w:rsid w:val="4D6420F9"/>
    <w:rsid w:val="4D7311B2"/>
    <w:rsid w:val="4D783DF7"/>
    <w:rsid w:val="4D8E7063"/>
    <w:rsid w:val="4D8F3EE8"/>
    <w:rsid w:val="4DA644C0"/>
    <w:rsid w:val="4DBA51C4"/>
    <w:rsid w:val="4DBF1A26"/>
    <w:rsid w:val="4DCB6336"/>
    <w:rsid w:val="4DCD7C9F"/>
    <w:rsid w:val="4DE3634C"/>
    <w:rsid w:val="4DF3347D"/>
    <w:rsid w:val="4E6D5FC6"/>
    <w:rsid w:val="4E716EDF"/>
    <w:rsid w:val="4EA76741"/>
    <w:rsid w:val="4EFA38BA"/>
    <w:rsid w:val="4EFC63A0"/>
    <w:rsid w:val="4F0911AA"/>
    <w:rsid w:val="4F2A2ECF"/>
    <w:rsid w:val="4F4A216E"/>
    <w:rsid w:val="4FD277EE"/>
    <w:rsid w:val="4FE37C4D"/>
    <w:rsid w:val="4FFD4B9C"/>
    <w:rsid w:val="501A73E7"/>
    <w:rsid w:val="504E24AD"/>
    <w:rsid w:val="507B505D"/>
    <w:rsid w:val="5098435F"/>
    <w:rsid w:val="50B33BB9"/>
    <w:rsid w:val="50CA6182"/>
    <w:rsid w:val="512E187A"/>
    <w:rsid w:val="51310939"/>
    <w:rsid w:val="51312C3A"/>
    <w:rsid w:val="513B239A"/>
    <w:rsid w:val="51685599"/>
    <w:rsid w:val="516A5769"/>
    <w:rsid w:val="51764F66"/>
    <w:rsid w:val="51E5212A"/>
    <w:rsid w:val="51E968FD"/>
    <w:rsid w:val="51EE4687"/>
    <w:rsid w:val="51F35B99"/>
    <w:rsid w:val="51F7602F"/>
    <w:rsid w:val="5208399B"/>
    <w:rsid w:val="52391DA6"/>
    <w:rsid w:val="524300B0"/>
    <w:rsid w:val="526153FD"/>
    <w:rsid w:val="52783FF0"/>
    <w:rsid w:val="52A402A5"/>
    <w:rsid w:val="52D715BF"/>
    <w:rsid w:val="52DB4C0C"/>
    <w:rsid w:val="52F263F9"/>
    <w:rsid w:val="52F4388B"/>
    <w:rsid w:val="52F73D3C"/>
    <w:rsid w:val="5370307C"/>
    <w:rsid w:val="53737DDF"/>
    <w:rsid w:val="537B5586"/>
    <w:rsid w:val="53DC50DF"/>
    <w:rsid w:val="543E2E2E"/>
    <w:rsid w:val="5463310B"/>
    <w:rsid w:val="546753B3"/>
    <w:rsid w:val="547A0454"/>
    <w:rsid w:val="547C1350"/>
    <w:rsid w:val="54C6369A"/>
    <w:rsid w:val="55207DCA"/>
    <w:rsid w:val="55487EFB"/>
    <w:rsid w:val="555F7E72"/>
    <w:rsid w:val="556E746F"/>
    <w:rsid w:val="557B26D6"/>
    <w:rsid w:val="5595588A"/>
    <w:rsid w:val="55A439DB"/>
    <w:rsid w:val="55D814C7"/>
    <w:rsid w:val="55D97283"/>
    <w:rsid w:val="5604091D"/>
    <w:rsid w:val="561B3AEF"/>
    <w:rsid w:val="56203462"/>
    <w:rsid w:val="56C500AD"/>
    <w:rsid w:val="56E908C0"/>
    <w:rsid w:val="56F91067"/>
    <w:rsid w:val="57122BC6"/>
    <w:rsid w:val="572245B5"/>
    <w:rsid w:val="576378C6"/>
    <w:rsid w:val="57842AF3"/>
    <w:rsid w:val="578D0348"/>
    <w:rsid w:val="579D5869"/>
    <w:rsid w:val="57B136DE"/>
    <w:rsid w:val="57B27F05"/>
    <w:rsid w:val="57B65C47"/>
    <w:rsid w:val="57F16C7F"/>
    <w:rsid w:val="57FB5D50"/>
    <w:rsid w:val="581D236D"/>
    <w:rsid w:val="58221FED"/>
    <w:rsid w:val="58440F78"/>
    <w:rsid w:val="5847293C"/>
    <w:rsid w:val="58584F50"/>
    <w:rsid w:val="586F01CE"/>
    <w:rsid w:val="589B4759"/>
    <w:rsid w:val="58BB5E31"/>
    <w:rsid w:val="58D740C7"/>
    <w:rsid w:val="59161CC5"/>
    <w:rsid w:val="59260BAB"/>
    <w:rsid w:val="592870F2"/>
    <w:rsid w:val="592D1F39"/>
    <w:rsid w:val="59442D7B"/>
    <w:rsid w:val="5963595B"/>
    <w:rsid w:val="59660305"/>
    <w:rsid w:val="596D2D7B"/>
    <w:rsid w:val="59A869D8"/>
    <w:rsid w:val="59A8761B"/>
    <w:rsid w:val="59B0437E"/>
    <w:rsid w:val="59CD1026"/>
    <w:rsid w:val="59CD34CB"/>
    <w:rsid w:val="59D3061A"/>
    <w:rsid w:val="59D67A6F"/>
    <w:rsid w:val="59D70A8B"/>
    <w:rsid w:val="59FD3E9D"/>
    <w:rsid w:val="5A020223"/>
    <w:rsid w:val="5A6000EC"/>
    <w:rsid w:val="5A6C4CE3"/>
    <w:rsid w:val="5A7E7CF5"/>
    <w:rsid w:val="5A8C0EE1"/>
    <w:rsid w:val="5A98363A"/>
    <w:rsid w:val="5ABE74A5"/>
    <w:rsid w:val="5ABF3451"/>
    <w:rsid w:val="5AEE1D8B"/>
    <w:rsid w:val="5B150ED7"/>
    <w:rsid w:val="5B3107EB"/>
    <w:rsid w:val="5B3A26EB"/>
    <w:rsid w:val="5B3A6B8F"/>
    <w:rsid w:val="5B510BB0"/>
    <w:rsid w:val="5B5163B3"/>
    <w:rsid w:val="5B5639C9"/>
    <w:rsid w:val="5B6559BA"/>
    <w:rsid w:val="5BA109BC"/>
    <w:rsid w:val="5BB03E2C"/>
    <w:rsid w:val="5BF705DC"/>
    <w:rsid w:val="5BF925A6"/>
    <w:rsid w:val="5C0F47B3"/>
    <w:rsid w:val="5C380AF1"/>
    <w:rsid w:val="5C534E4A"/>
    <w:rsid w:val="5C691F38"/>
    <w:rsid w:val="5C9D7561"/>
    <w:rsid w:val="5CB0245E"/>
    <w:rsid w:val="5CBD1826"/>
    <w:rsid w:val="5CDA23D8"/>
    <w:rsid w:val="5CDF179C"/>
    <w:rsid w:val="5CED7B33"/>
    <w:rsid w:val="5D137698"/>
    <w:rsid w:val="5D2E6280"/>
    <w:rsid w:val="5D355860"/>
    <w:rsid w:val="5D6D0B56"/>
    <w:rsid w:val="5D850596"/>
    <w:rsid w:val="5DAD5244"/>
    <w:rsid w:val="5DD60DF1"/>
    <w:rsid w:val="5DF64FF0"/>
    <w:rsid w:val="5E015742"/>
    <w:rsid w:val="5E0C56F7"/>
    <w:rsid w:val="5E113BD7"/>
    <w:rsid w:val="5E4A0E97"/>
    <w:rsid w:val="5E604B5F"/>
    <w:rsid w:val="5E6B5BBC"/>
    <w:rsid w:val="5E7A79CF"/>
    <w:rsid w:val="5E8A398A"/>
    <w:rsid w:val="5EAE0B30"/>
    <w:rsid w:val="5EBD4695"/>
    <w:rsid w:val="5EC94D4A"/>
    <w:rsid w:val="5EF47E6F"/>
    <w:rsid w:val="5F047DE2"/>
    <w:rsid w:val="5F404964"/>
    <w:rsid w:val="5F5A15AE"/>
    <w:rsid w:val="5F6D12E1"/>
    <w:rsid w:val="5F716F1F"/>
    <w:rsid w:val="5F775CBC"/>
    <w:rsid w:val="5F8416CD"/>
    <w:rsid w:val="5F922AF6"/>
    <w:rsid w:val="5F9745B0"/>
    <w:rsid w:val="5FA14929"/>
    <w:rsid w:val="5FB525C8"/>
    <w:rsid w:val="5FE05068"/>
    <w:rsid w:val="5FE315A4"/>
    <w:rsid w:val="5FFB68ED"/>
    <w:rsid w:val="600532C8"/>
    <w:rsid w:val="600734E4"/>
    <w:rsid w:val="60083C95"/>
    <w:rsid w:val="601E6EE1"/>
    <w:rsid w:val="60361880"/>
    <w:rsid w:val="604D4C6F"/>
    <w:rsid w:val="605129B1"/>
    <w:rsid w:val="60C969EB"/>
    <w:rsid w:val="60CC64DC"/>
    <w:rsid w:val="60CE4C3E"/>
    <w:rsid w:val="60D8174F"/>
    <w:rsid w:val="60F51DD8"/>
    <w:rsid w:val="60F732A4"/>
    <w:rsid w:val="610D044D"/>
    <w:rsid w:val="611D44F1"/>
    <w:rsid w:val="613E355B"/>
    <w:rsid w:val="614B1824"/>
    <w:rsid w:val="6166423A"/>
    <w:rsid w:val="616D6416"/>
    <w:rsid w:val="617A0862"/>
    <w:rsid w:val="618B5A4F"/>
    <w:rsid w:val="61AA5013"/>
    <w:rsid w:val="61B50D1E"/>
    <w:rsid w:val="61C242DB"/>
    <w:rsid w:val="61CB234A"/>
    <w:rsid w:val="6247719D"/>
    <w:rsid w:val="62570027"/>
    <w:rsid w:val="627209BD"/>
    <w:rsid w:val="62742987"/>
    <w:rsid w:val="62757F6C"/>
    <w:rsid w:val="628C1A7E"/>
    <w:rsid w:val="62956A80"/>
    <w:rsid w:val="62AA3D54"/>
    <w:rsid w:val="62CA0B23"/>
    <w:rsid w:val="632A1D95"/>
    <w:rsid w:val="633D1916"/>
    <w:rsid w:val="633D721D"/>
    <w:rsid w:val="637F7835"/>
    <w:rsid w:val="6381535B"/>
    <w:rsid w:val="63905840"/>
    <w:rsid w:val="63A63014"/>
    <w:rsid w:val="63BC51D5"/>
    <w:rsid w:val="63BE2695"/>
    <w:rsid w:val="63D24B67"/>
    <w:rsid w:val="63FA4FD0"/>
    <w:rsid w:val="64485E79"/>
    <w:rsid w:val="647A728D"/>
    <w:rsid w:val="64805613"/>
    <w:rsid w:val="64846E8C"/>
    <w:rsid w:val="648669A1"/>
    <w:rsid w:val="64A52BD2"/>
    <w:rsid w:val="64BB0DB4"/>
    <w:rsid w:val="64D37E39"/>
    <w:rsid w:val="64DA345B"/>
    <w:rsid w:val="64DF3425"/>
    <w:rsid w:val="64FE5714"/>
    <w:rsid w:val="650A5824"/>
    <w:rsid w:val="658A6517"/>
    <w:rsid w:val="65DD1C89"/>
    <w:rsid w:val="65E73470"/>
    <w:rsid w:val="65EA5ABC"/>
    <w:rsid w:val="6609444C"/>
    <w:rsid w:val="662A00B6"/>
    <w:rsid w:val="663669CA"/>
    <w:rsid w:val="66650F64"/>
    <w:rsid w:val="66725DEB"/>
    <w:rsid w:val="66A16E18"/>
    <w:rsid w:val="66BB5028"/>
    <w:rsid w:val="66C35C8B"/>
    <w:rsid w:val="66C450B4"/>
    <w:rsid w:val="66D60BA6"/>
    <w:rsid w:val="66D912C0"/>
    <w:rsid w:val="66DF76D4"/>
    <w:rsid w:val="66F607A6"/>
    <w:rsid w:val="670C5884"/>
    <w:rsid w:val="672030DD"/>
    <w:rsid w:val="67206DB8"/>
    <w:rsid w:val="673D2DDC"/>
    <w:rsid w:val="6751774F"/>
    <w:rsid w:val="67566AFF"/>
    <w:rsid w:val="67626D5E"/>
    <w:rsid w:val="679D472E"/>
    <w:rsid w:val="67C347C8"/>
    <w:rsid w:val="67C441A9"/>
    <w:rsid w:val="67D874DC"/>
    <w:rsid w:val="682D7860"/>
    <w:rsid w:val="683C7AA3"/>
    <w:rsid w:val="68476448"/>
    <w:rsid w:val="684D1CB0"/>
    <w:rsid w:val="68555008"/>
    <w:rsid w:val="687D36DC"/>
    <w:rsid w:val="68805275"/>
    <w:rsid w:val="688908DB"/>
    <w:rsid w:val="68E1689C"/>
    <w:rsid w:val="68EC4BC4"/>
    <w:rsid w:val="68F33602"/>
    <w:rsid w:val="68F55EA4"/>
    <w:rsid w:val="690A5DF3"/>
    <w:rsid w:val="693B5FAC"/>
    <w:rsid w:val="693C7E0D"/>
    <w:rsid w:val="69444DDA"/>
    <w:rsid w:val="694D7A8E"/>
    <w:rsid w:val="69584DB0"/>
    <w:rsid w:val="695B21AB"/>
    <w:rsid w:val="69714D18"/>
    <w:rsid w:val="69B26647"/>
    <w:rsid w:val="69CF009A"/>
    <w:rsid w:val="69F74380"/>
    <w:rsid w:val="69F97D3B"/>
    <w:rsid w:val="6A0301AA"/>
    <w:rsid w:val="6A040A94"/>
    <w:rsid w:val="6A054C65"/>
    <w:rsid w:val="6A19332F"/>
    <w:rsid w:val="6A42336B"/>
    <w:rsid w:val="6A49294B"/>
    <w:rsid w:val="6A5D6ABC"/>
    <w:rsid w:val="6A7F3DE5"/>
    <w:rsid w:val="6A960E91"/>
    <w:rsid w:val="6AAC5478"/>
    <w:rsid w:val="6AB9187F"/>
    <w:rsid w:val="6AD6255B"/>
    <w:rsid w:val="6AE01709"/>
    <w:rsid w:val="6AE302FE"/>
    <w:rsid w:val="6AF1726A"/>
    <w:rsid w:val="6AF91C7B"/>
    <w:rsid w:val="6B077849"/>
    <w:rsid w:val="6B0A3E88"/>
    <w:rsid w:val="6B0B7C00"/>
    <w:rsid w:val="6B347157"/>
    <w:rsid w:val="6B56423B"/>
    <w:rsid w:val="6B573065"/>
    <w:rsid w:val="6B616091"/>
    <w:rsid w:val="6B710679"/>
    <w:rsid w:val="6B7457A6"/>
    <w:rsid w:val="6BBA3B00"/>
    <w:rsid w:val="6BCB6EDE"/>
    <w:rsid w:val="6BD779E9"/>
    <w:rsid w:val="6BF863D7"/>
    <w:rsid w:val="6C4C227F"/>
    <w:rsid w:val="6C547FA5"/>
    <w:rsid w:val="6C67530A"/>
    <w:rsid w:val="6C787517"/>
    <w:rsid w:val="6C80783F"/>
    <w:rsid w:val="6C950756"/>
    <w:rsid w:val="6CA83A95"/>
    <w:rsid w:val="6CB06CB1"/>
    <w:rsid w:val="6CD625AA"/>
    <w:rsid w:val="6CD70489"/>
    <w:rsid w:val="6CE801F9"/>
    <w:rsid w:val="6D001653"/>
    <w:rsid w:val="6D0F6219"/>
    <w:rsid w:val="6D1624B9"/>
    <w:rsid w:val="6D23026E"/>
    <w:rsid w:val="6D296234"/>
    <w:rsid w:val="6D503CC0"/>
    <w:rsid w:val="6D581EA1"/>
    <w:rsid w:val="6D6725B7"/>
    <w:rsid w:val="6D9143ED"/>
    <w:rsid w:val="6D9B0330"/>
    <w:rsid w:val="6DA93E2C"/>
    <w:rsid w:val="6DD15131"/>
    <w:rsid w:val="6DF42BCE"/>
    <w:rsid w:val="6E3E3969"/>
    <w:rsid w:val="6E532EA4"/>
    <w:rsid w:val="6E5D0773"/>
    <w:rsid w:val="6E8421A4"/>
    <w:rsid w:val="6E906D9A"/>
    <w:rsid w:val="6EA12D56"/>
    <w:rsid w:val="6EB14DA4"/>
    <w:rsid w:val="6EB333C4"/>
    <w:rsid w:val="6EE271D2"/>
    <w:rsid w:val="6EEA6ECE"/>
    <w:rsid w:val="6EFA3973"/>
    <w:rsid w:val="6F03595C"/>
    <w:rsid w:val="6F103FEE"/>
    <w:rsid w:val="6F1F3C7A"/>
    <w:rsid w:val="6F4A0EA7"/>
    <w:rsid w:val="6F6B5112"/>
    <w:rsid w:val="6F6C40D6"/>
    <w:rsid w:val="6F796E42"/>
    <w:rsid w:val="6FB841F1"/>
    <w:rsid w:val="6FEA0282"/>
    <w:rsid w:val="700C27C9"/>
    <w:rsid w:val="701F03D6"/>
    <w:rsid w:val="70271038"/>
    <w:rsid w:val="70603595"/>
    <w:rsid w:val="707B3132"/>
    <w:rsid w:val="708E730A"/>
    <w:rsid w:val="70CE2F30"/>
    <w:rsid w:val="70E84C6C"/>
    <w:rsid w:val="70F02815"/>
    <w:rsid w:val="70F3557E"/>
    <w:rsid w:val="70F76C5D"/>
    <w:rsid w:val="71017623"/>
    <w:rsid w:val="7124062B"/>
    <w:rsid w:val="71494FDF"/>
    <w:rsid w:val="715F4EBA"/>
    <w:rsid w:val="71681909"/>
    <w:rsid w:val="716A414A"/>
    <w:rsid w:val="71713FF1"/>
    <w:rsid w:val="717E4868"/>
    <w:rsid w:val="719A5B77"/>
    <w:rsid w:val="71A770C4"/>
    <w:rsid w:val="71A843FB"/>
    <w:rsid w:val="71DB5CBA"/>
    <w:rsid w:val="71DC40A5"/>
    <w:rsid w:val="71DD357F"/>
    <w:rsid w:val="72024E5B"/>
    <w:rsid w:val="72084E9A"/>
    <w:rsid w:val="722F6C64"/>
    <w:rsid w:val="728C4DF1"/>
    <w:rsid w:val="72BE26BA"/>
    <w:rsid w:val="72BF35BD"/>
    <w:rsid w:val="72DF7D18"/>
    <w:rsid w:val="72E370B9"/>
    <w:rsid w:val="72FC49FE"/>
    <w:rsid w:val="73052B03"/>
    <w:rsid w:val="730D09BA"/>
    <w:rsid w:val="734D44BC"/>
    <w:rsid w:val="73520AC2"/>
    <w:rsid w:val="737A1DC7"/>
    <w:rsid w:val="737E3F2F"/>
    <w:rsid w:val="73A54B31"/>
    <w:rsid w:val="73A66718"/>
    <w:rsid w:val="73C05A2C"/>
    <w:rsid w:val="73CD0149"/>
    <w:rsid w:val="73D347D4"/>
    <w:rsid w:val="73DC7E63"/>
    <w:rsid w:val="74183A8D"/>
    <w:rsid w:val="74681C20"/>
    <w:rsid w:val="7479207F"/>
    <w:rsid w:val="74B22DF3"/>
    <w:rsid w:val="74C3370B"/>
    <w:rsid w:val="74D42B13"/>
    <w:rsid w:val="74E47ABD"/>
    <w:rsid w:val="75045DEC"/>
    <w:rsid w:val="757D60E2"/>
    <w:rsid w:val="75DA7A43"/>
    <w:rsid w:val="76464F31"/>
    <w:rsid w:val="7675518C"/>
    <w:rsid w:val="76760624"/>
    <w:rsid w:val="76876941"/>
    <w:rsid w:val="76AA1098"/>
    <w:rsid w:val="76CA4E14"/>
    <w:rsid w:val="76E079B9"/>
    <w:rsid w:val="76E9146B"/>
    <w:rsid w:val="772E0EFE"/>
    <w:rsid w:val="774537F5"/>
    <w:rsid w:val="77536BB7"/>
    <w:rsid w:val="77A65C39"/>
    <w:rsid w:val="77C11D73"/>
    <w:rsid w:val="77CD6969"/>
    <w:rsid w:val="77D62BCB"/>
    <w:rsid w:val="781146E5"/>
    <w:rsid w:val="782711E1"/>
    <w:rsid w:val="78484242"/>
    <w:rsid w:val="78570929"/>
    <w:rsid w:val="785726D7"/>
    <w:rsid w:val="78576B33"/>
    <w:rsid w:val="7859644F"/>
    <w:rsid w:val="78850FF2"/>
    <w:rsid w:val="78992CEF"/>
    <w:rsid w:val="789C48DA"/>
    <w:rsid w:val="78D01EB5"/>
    <w:rsid w:val="792C4E84"/>
    <w:rsid w:val="795D3D1D"/>
    <w:rsid w:val="795F7D0C"/>
    <w:rsid w:val="79903A5E"/>
    <w:rsid w:val="79A973D9"/>
    <w:rsid w:val="79B002F1"/>
    <w:rsid w:val="79C16A05"/>
    <w:rsid w:val="79E67179"/>
    <w:rsid w:val="79EB30D7"/>
    <w:rsid w:val="7A255033"/>
    <w:rsid w:val="7A295323"/>
    <w:rsid w:val="7A3902E6"/>
    <w:rsid w:val="7A4F2063"/>
    <w:rsid w:val="7AE344B5"/>
    <w:rsid w:val="7AF745AA"/>
    <w:rsid w:val="7AFF261B"/>
    <w:rsid w:val="7B1448AF"/>
    <w:rsid w:val="7B164183"/>
    <w:rsid w:val="7B3E79FC"/>
    <w:rsid w:val="7B7315D6"/>
    <w:rsid w:val="7B89704B"/>
    <w:rsid w:val="7B8A0059"/>
    <w:rsid w:val="7B8C2698"/>
    <w:rsid w:val="7B91432A"/>
    <w:rsid w:val="7BAB6FC2"/>
    <w:rsid w:val="7BB816DF"/>
    <w:rsid w:val="7BFE1DCD"/>
    <w:rsid w:val="7C635013"/>
    <w:rsid w:val="7C7E611D"/>
    <w:rsid w:val="7C947A56"/>
    <w:rsid w:val="7CB414EB"/>
    <w:rsid w:val="7D0C425F"/>
    <w:rsid w:val="7D1961AD"/>
    <w:rsid w:val="7D253442"/>
    <w:rsid w:val="7D2668CC"/>
    <w:rsid w:val="7D4D0AB9"/>
    <w:rsid w:val="7D5E1E12"/>
    <w:rsid w:val="7D7F0706"/>
    <w:rsid w:val="7D85273A"/>
    <w:rsid w:val="7DBC3708"/>
    <w:rsid w:val="7DD3786C"/>
    <w:rsid w:val="7DF95A79"/>
    <w:rsid w:val="7E103C57"/>
    <w:rsid w:val="7E1075B0"/>
    <w:rsid w:val="7E1150D6"/>
    <w:rsid w:val="7E621F83"/>
    <w:rsid w:val="7E63586D"/>
    <w:rsid w:val="7E69764D"/>
    <w:rsid w:val="7E6E0DA6"/>
    <w:rsid w:val="7E70631C"/>
    <w:rsid w:val="7E751B09"/>
    <w:rsid w:val="7E7F0292"/>
    <w:rsid w:val="7E88183C"/>
    <w:rsid w:val="7E97161A"/>
    <w:rsid w:val="7EA01E7E"/>
    <w:rsid w:val="7EC42148"/>
    <w:rsid w:val="7EE973CA"/>
    <w:rsid w:val="7F203823"/>
    <w:rsid w:val="7F480FCB"/>
    <w:rsid w:val="7F611080"/>
    <w:rsid w:val="7F741DC0"/>
    <w:rsid w:val="7FA011FB"/>
    <w:rsid w:val="7FA94392"/>
    <w:rsid w:val="7FA95AC7"/>
    <w:rsid w:val="7FD51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numPr>
        <w:ilvl w:val="0"/>
        <w:numId w:val="1"/>
      </w:numPr>
      <w:adjustRightInd w:val="0"/>
      <w:spacing w:before="160" w:beforeAutospacing="0" w:after="160" w:afterAutospacing="0" w:line="160" w:lineRule="atLeast"/>
      <w:textAlignment w:val="baseline"/>
      <w:outlineLvl w:val="0"/>
    </w:pPr>
    <w:rPr>
      <w:rFonts w:ascii="Ari" w:eastAsia="Ari"/>
      <w:kern w:val="44"/>
      <w:sz w:val="32"/>
      <w:szCs w:val="20"/>
    </w:rPr>
  </w:style>
  <w:style w:type="paragraph" w:styleId="2">
    <w:name w:val="heading 2"/>
    <w:basedOn w:val="1"/>
    <w:next w:val="3"/>
    <w:qFormat/>
    <w:uiPriority w:val="0"/>
    <w:pPr>
      <w:numPr>
        <w:ilvl w:val="1"/>
        <w:numId w:val="1"/>
      </w:numPr>
      <w:adjustRightInd w:val="0"/>
      <w:spacing w:before="160" w:beforeAutospacing="0" w:after="160" w:afterAutospacing="0" w:line="160" w:lineRule="atLeast"/>
      <w:ind w:hanging="284"/>
      <w:textAlignment w:val="baseline"/>
      <w:outlineLvl w:val="1"/>
    </w:pPr>
    <w:rPr>
      <w:rFonts w:ascii="Ari" w:hAnsi="Ari" w:eastAsia="Ari"/>
      <w:kern w:val="0"/>
      <w:sz w:val="28"/>
      <w:szCs w:val="20"/>
    </w:rPr>
  </w:style>
  <w:style w:type="paragraph" w:styleId="5">
    <w:name w:val="heading 3"/>
    <w:basedOn w:val="1"/>
    <w:next w:val="1"/>
    <w:qFormat/>
    <w:uiPriority w:val="0"/>
    <w:pPr>
      <w:numPr>
        <w:ilvl w:val="2"/>
        <w:numId w:val="1"/>
      </w:numPr>
      <w:adjustRightInd w:val="0"/>
      <w:spacing w:before="160" w:beforeAutospacing="0" w:after="160" w:afterAutospacing="0" w:line="160" w:lineRule="atLeast"/>
      <w:ind w:hanging="284"/>
      <w:textAlignment w:val="baseline"/>
      <w:outlineLvl w:val="2"/>
    </w:pPr>
    <w:rPr>
      <w:rFonts w:ascii="Ari" w:eastAsia="Ari"/>
      <w:kern w:val="0"/>
      <w:sz w:val="28"/>
      <w:szCs w:val="20"/>
    </w:rPr>
  </w:style>
  <w:style w:type="paragraph" w:styleId="6">
    <w:name w:val="heading 4"/>
    <w:basedOn w:val="1"/>
    <w:next w:val="1"/>
    <w:qFormat/>
    <w:uiPriority w:val="0"/>
    <w:pPr>
      <w:numPr>
        <w:ilvl w:val="3"/>
        <w:numId w:val="1"/>
      </w:numPr>
      <w:adjustRightInd w:val="0"/>
      <w:spacing w:before="280" w:beforeAutospacing="0" w:after="290" w:afterAutospacing="0" w:line="376" w:lineRule="atLeast"/>
      <w:textAlignment w:val="baseline"/>
      <w:outlineLvl w:val="3"/>
    </w:pPr>
    <w:rPr>
      <w:rFonts w:ascii="Ari" w:hAnsi="Ari" w:eastAsia="Ari"/>
      <w:b/>
      <w:kern w:val="0"/>
      <w:sz w:val="28"/>
      <w:szCs w:val="20"/>
    </w:rPr>
  </w:style>
  <w:style w:type="character" w:default="1" w:styleId="31">
    <w:name w:val="Default Paragraph Font"/>
    <w:semiHidden/>
    <w:qFormat/>
    <w:uiPriority w:val="0"/>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basedOn w:val="1"/>
    <w:qFormat/>
    <w:uiPriority w:val="0"/>
    <w:pPr>
      <w:spacing w:beforeAutospacing="0" w:after="120" w:afterAutospacing="0"/>
    </w:pPr>
    <w:rPr>
      <w:sz w:val="16"/>
      <w:szCs w:val="16"/>
    </w:rPr>
  </w:style>
  <w:style w:type="paragraph" w:styleId="9">
    <w:name w:val="Body Text"/>
    <w:basedOn w:val="1"/>
    <w:next w:val="10"/>
    <w:qFormat/>
    <w:uiPriority w:val="0"/>
    <w:pPr>
      <w:spacing w:beforeAutospacing="0" w:after="120" w:afterAutospacing="0"/>
    </w:pPr>
  </w:style>
  <w:style w:type="paragraph" w:styleId="10">
    <w:name w:val="Body Text 2"/>
    <w:basedOn w:val="1"/>
    <w:next w:val="1"/>
    <w:qFormat/>
    <w:uiPriority w:val="0"/>
    <w:pPr>
      <w:spacing w:beforeAutospacing="0" w:afterAutospacing="0" w:line="700" w:lineRule="exact"/>
    </w:pPr>
    <w:rPr>
      <w:sz w:val="28"/>
    </w:rPr>
  </w:style>
  <w:style w:type="paragraph" w:styleId="11">
    <w:name w:val="Body Text Indent"/>
    <w:basedOn w:val="1"/>
    <w:next w:val="12"/>
    <w:qFormat/>
    <w:uiPriority w:val="0"/>
    <w:pPr>
      <w:tabs>
        <w:tab w:val="left" w:pos="945"/>
        <w:tab w:val="left" w:pos="1155"/>
      </w:tabs>
      <w:ind w:firstLine="435"/>
    </w:pPr>
    <w:rPr>
      <w:rFonts w:ascii="Ari"/>
      <w:sz w:val="24"/>
      <w:szCs w:val="20"/>
    </w:rPr>
  </w:style>
  <w:style w:type="paragraph" w:customStyle="1" w:styleId="12">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3">
    <w:name w:val="Block Text"/>
    <w:basedOn w:val="1"/>
    <w:next w:val="6"/>
    <w:qFormat/>
    <w:uiPriority w:val="0"/>
    <w:pPr>
      <w:spacing w:after="120"/>
    </w:pPr>
  </w:style>
  <w:style w:type="paragraph" w:styleId="14">
    <w:name w:val="Plain Text"/>
    <w:basedOn w:val="1"/>
    <w:qFormat/>
    <w:uiPriority w:val="0"/>
    <w:rPr>
      <w:rFonts w:ascii="宋体" w:hAnsi="Courier New" w:cs="Times New Roman"/>
      <w:kern w:val="0"/>
      <w:sz w:val="20"/>
      <w:szCs w:val="21"/>
    </w:rPr>
  </w:style>
  <w:style w:type="paragraph" w:styleId="15">
    <w:name w:val="Body Text Indent 2"/>
    <w:basedOn w:val="1"/>
    <w:qFormat/>
    <w:uiPriority w:val="0"/>
    <w:pPr>
      <w:ind w:firstLine="630"/>
    </w:pPr>
    <w:rPr>
      <w:rFonts w:ascii="Ari"/>
      <w:sz w:val="32"/>
      <w:szCs w:val="20"/>
    </w:rPr>
  </w:style>
  <w:style w:type="paragraph" w:styleId="16">
    <w:name w:val="footer"/>
    <w:basedOn w:val="1"/>
    <w:next w:val="1"/>
    <w:qFormat/>
    <w:uiPriority w:val="99"/>
    <w:pPr>
      <w:tabs>
        <w:tab w:val="center" w:pos="4153"/>
        <w:tab w:val="right" w:pos="8306"/>
      </w:tabs>
      <w:snapToGrid w:val="0"/>
      <w:jc w:val="left"/>
    </w:pPr>
    <w:rPr>
      <w:sz w:val="18"/>
      <w:szCs w:val="20"/>
    </w:rPr>
  </w:style>
  <w:style w:type="paragraph" w:styleId="17">
    <w:name w:val="envelope return"/>
    <w:basedOn w:val="1"/>
    <w:unhideWhenUsed/>
    <w:qFormat/>
    <w:uiPriority w:val="99"/>
    <w:pPr>
      <w:snapToGrid w:val="0"/>
    </w:pPr>
    <w:rPr>
      <w:rFonts w:ascii="Arial" w:hAnsi="Arial"/>
    </w:rPr>
  </w:style>
  <w:style w:type="paragraph" w:styleId="18">
    <w:name w:val="header"/>
    <w:basedOn w:val="1"/>
    <w:next w:val="19"/>
    <w:qFormat/>
    <w:uiPriority w:val="99"/>
    <w:pPr>
      <w:pBdr>
        <w:bottom w:val="single" w:color="auto" w:sz="6" w:space="1"/>
      </w:pBdr>
      <w:tabs>
        <w:tab w:val="center" w:pos="4153"/>
        <w:tab w:val="right" w:pos="8306"/>
      </w:tabs>
      <w:snapToGrid w:val="0"/>
      <w:jc w:val="center"/>
    </w:pPr>
    <w:rPr>
      <w:sz w:val="18"/>
      <w:szCs w:val="20"/>
    </w:rPr>
  </w:style>
  <w:style w:type="paragraph" w:customStyle="1" w:styleId="19">
    <w:name w:val="Quote"/>
    <w:basedOn w:val="1"/>
    <w:next w:val="1"/>
    <w:qFormat/>
    <w:uiPriority w:val="0"/>
    <w:rPr>
      <w:i/>
      <w:iCs/>
      <w:color w:val="000000"/>
      <w:sz w:val="22"/>
      <w:szCs w:val="22"/>
    </w:rPr>
  </w:style>
  <w:style w:type="paragraph" w:styleId="20">
    <w:name w:val="toc 1"/>
    <w:basedOn w:val="1"/>
    <w:next w:val="1"/>
    <w:qFormat/>
    <w:uiPriority w:val="39"/>
  </w:style>
  <w:style w:type="paragraph" w:styleId="21">
    <w:name w:val="Subtitle"/>
    <w:basedOn w:val="1"/>
    <w:qFormat/>
    <w:uiPriority w:val="0"/>
    <w:pPr>
      <w:jc w:val="left"/>
      <w:outlineLvl w:val="1"/>
    </w:pPr>
    <w:rPr>
      <w:rFonts w:ascii="Cambria" w:hAnsi="Cambria"/>
      <w:b/>
      <w:bCs/>
      <w:kern w:val="28"/>
      <w:szCs w:val="32"/>
    </w:rPr>
  </w:style>
  <w:style w:type="paragraph" w:styleId="22">
    <w:name w:val="footnote text"/>
    <w:basedOn w:val="1"/>
    <w:qFormat/>
    <w:uiPriority w:val="0"/>
    <w:rPr>
      <w:sz w:val="20"/>
      <w:szCs w:val="20"/>
    </w:rPr>
  </w:style>
  <w:style w:type="paragraph" w:styleId="23">
    <w:name w:val="toc 2"/>
    <w:basedOn w:val="1"/>
    <w:next w:val="1"/>
    <w:qFormat/>
    <w:uiPriority w:val="0"/>
    <w:pPr>
      <w:ind w:left="420" w:leftChars="200"/>
    </w:pPr>
  </w:style>
  <w:style w:type="paragraph" w:styleId="2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5">
    <w:name w:val="Normal (Web)"/>
    <w:basedOn w:val="1"/>
    <w:qFormat/>
    <w:uiPriority w:val="99"/>
    <w:pPr>
      <w:spacing w:before="100" w:beforeAutospacing="1" w:after="100" w:afterAutospacing="1"/>
      <w:jc w:val="left"/>
    </w:pPr>
    <w:rPr>
      <w:rFonts w:ascii="宋体" w:hAnsi="宋体"/>
      <w:kern w:val="0"/>
      <w:sz w:val="24"/>
    </w:rPr>
  </w:style>
  <w:style w:type="paragraph" w:styleId="26">
    <w:name w:val="Title"/>
    <w:basedOn w:val="1"/>
    <w:next w:val="1"/>
    <w:qFormat/>
    <w:uiPriority w:val="0"/>
    <w:pPr>
      <w:spacing w:before="240" w:beforeAutospacing="0" w:after="60" w:afterAutospacing="0"/>
      <w:jc w:val="center"/>
      <w:outlineLvl w:val="0"/>
    </w:pPr>
    <w:rPr>
      <w:rFonts w:ascii="Cambria" w:hAnsi="Cambria"/>
      <w:b/>
      <w:bCs/>
      <w:sz w:val="32"/>
      <w:szCs w:val="32"/>
    </w:rPr>
  </w:style>
  <w:style w:type="paragraph" w:styleId="27">
    <w:name w:val="Body Text First Indent"/>
    <w:basedOn w:val="9"/>
    <w:next w:val="28"/>
    <w:qFormat/>
    <w:uiPriority w:val="0"/>
    <w:pPr>
      <w:ind w:firstLine="420" w:firstLineChars="100"/>
    </w:pPr>
  </w:style>
  <w:style w:type="paragraph" w:styleId="28">
    <w:name w:val="Body Text First Indent 2"/>
    <w:basedOn w:val="11"/>
    <w:next w:val="1"/>
    <w:unhideWhenUsed/>
    <w:qFormat/>
    <w:uiPriority w:val="0"/>
    <w:pPr>
      <w:ind w:firstLine="200" w:firstLineChars="200"/>
      <w:jc w:val="left"/>
    </w:pPr>
    <w:rPr>
      <w:rFonts w:ascii="Calibri" w:hAnsi="Calibri" w:eastAsia="宋体" w:cs="Times New Roman"/>
      <w:sz w:val="28"/>
    </w:rPr>
  </w:style>
  <w:style w:type="table" w:styleId="30">
    <w:name w:val="Table Grid"/>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none"/>
    </w:rPr>
  </w:style>
  <w:style w:type="character" w:styleId="35">
    <w:name w:val="HTML Definition"/>
    <w:basedOn w:val="31"/>
    <w:qFormat/>
    <w:uiPriority w:val="0"/>
  </w:style>
  <w:style w:type="character" w:styleId="36">
    <w:name w:val="HTML Typewriter"/>
    <w:basedOn w:val="31"/>
    <w:qFormat/>
    <w:uiPriority w:val="0"/>
    <w:rPr>
      <w:rFonts w:hint="default" w:ascii="monospace" w:hAnsi="monospace" w:eastAsia="monospace" w:cs="monospace"/>
      <w:sz w:val="20"/>
    </w:rPr>
  </w:style>
  <w:style w:type="character" w:styleId="37">
    <w:name w:val="HTML Acronym"/>
    <w:basedOn w:val="31"/>
    <w:qFormat/>
    <w:uiPriority w:val="0"/>
  </w:style>
  <w:style w:type="character" w:styleId="38">
    <w:name w:val="HTML Variable"/>
    <w:basedOn w:val="31"/>
    <w:qFormat/>
    <w:uiPriority w:val="0"/>
  </w:style>
  <w:style w:type="character" w:styleId="39">
    <w:name w:val="Hyperlink"/>
    <w:basedOn w:val="31"/>
    <w:qFormat/>
    <w:uiPriority w:val="0"/>
    <w:rPr>
      <w:color w:val="0000FF"/>
      <w:u w:val="none"/>
    </w:rPr>
  </w:style>
  <w:style w:type="character" w:styleId="40">
    <w:name w:val="HTML Code"/>
    <w:basedOn w:val="31"/>
    <w:qFormat/>
    <w:uiPriority w:val="0"/>
    <w:rPr>
      <w:rFonts w:hint="default" w:ascii="monospace" w:hAnsi="monospace" w:eastAsia="monospace" w:cs="monospace"/>
      <w:sz w:val="20"/>
    </w:rPr>
  </w:style>
  <w:style w:type="character" w:styleId="41">
    <w:name w:val="HTML Cite"/>
    <w:basedOn w:val="31"/>
    <w:qFormat/>
    <w:uiPriority w:val="0"/>
  </w:style>
  <w:style w:type="character" w:styleId="42">
    <w:name w:val="HTML Keyboard"/>
    <w:basedOn w:val="31"/>
    <w:qFormat/>
    <w:uiPriority w:val="0"/>
    <w:rPr>
      <w:rFonts w:hint="default" w:ascii="monospace" w:hAnsi="monospace" w:eastAsia="monospace" w:cs="monospace"/>
      <w:sz w:val="20"/>
    </w:rPr>
  </w:style>
  <w:style w:type="character" w:styleId="43">
    <w:name w:val="HTML Sample"/>
    <w:basedOn w:val="31"/>
    <w:qFormat/>
    <w:uiPriority w:val="0"/>
    <w:rPr>
      <w:rFonts w:ascii="monospace" w:hAnsi="monospace" w:eastAsia="monospace" w:cs="monospace"/>
    </w:rPr>
  </w:style>
  <w:style w:type="paragraph" w:customStyle="1" w:styleId="44">
    <w:name w:val="无间隔1"/>
    <w:basedOn w:val="1"/>
    <w:qFormat/>
    <w:uiPriority w:val="1"/>
    <w:pPr>
      <w:spacing w:beforeAutospacing="0" w:afterAutospacing="0" w:line="400" w:lineRule="exact"/>
    </w:pPr>
    <w:rPr>
      <w:sz w:val="24"/>
    </w:rPr>
  </w:style>
  <w:style w:type="paragraph" w:customStyle="1" w:styleId="45">
    <w:name w:val="style4"/>
    <w:basedOn w:val="46"/>
    <w:next w:val="47"/>
    <w:qFormat/>
    <w:uiPriority w:val="0"/>
    <w:pPr>
      <w:spacing w:before="100" w:beforeAutospacing="1" w:after="100" w:afterAutospacing="1"/>
      <w:jc w:val="left"/>
    </w:pPr>
    <w:rPr>
      <w:rFonts w:ascii="宋体" w:hAnsi="宋体" w:eastAsia="宋体" w:cs="宋体"/>
      <w:kern w:val="0"/>
      <w:sz w:val="18"/>
      <w:szCs w:val="18"/>
    </w:rPr>
  </w:style>
  <w:style w:type="paragraph" w:customStyle="1" w:styleId="46">
    <w:name w:val="正文_0"/>
    <w:next w:val="27"/>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文本_0"/>
    <w:basedOn w:val="46"/>
    <w:unhideWhenUsed/>
    <w:qFormat/>
    <w:uiPriority w:val="99"/>
    <w:pPr>
      <w:spacing w:beforeAutospacing="0" w:after="120" w:afterLines="0" w:afterAutospacing="0"/>
    </w:pPr>
    <w:rPr>
      <w:kern w:val="0"/>
      <w:sz w:val="20"/>
    </w:rPr>
  </w:style>
  <w:style w:type="paragraph" w:customStyle="1" w:styleId="49">
    <w:name w:val="正文1"/>
    <w:basedOn w:val="1"/>
    <w:next w:val="50"/>
    <w:qFormat/>
    <w:uiPriority w:val="0"/>
    <w:pPr>
      <w:adjustRightInd w:val="0"/>
      <w:spacing w:line="360" w:lineRule="atLeast"/>
      <w:jc w:val="left"/>
      <w:textAlignment w:val="baseline"/>
    </w:pPr>
    <w:rPr>
      <w:rFonts w:ascii="宋体" w:hAnsi="Times New Roman" w:eastAsia="宋体" w:cs="Times New Roman"/>
      <w:kern w:val="0"/>
      <w:sz w:val="24"/>
      <w:szCs w:val="20"/>
    </w:rPr>
  </w:style>
  <w:style w:type="paragraph" w:customStyle="1" w:styleId="50">
    <w:name w:val="正文文本1"/>
    <w:basedOn w:val="49"/>
    <w:next w:val="45"/>
    <w:qFormat/>
    <w:uiPriority w:val="0"/>
    <w:pPr>
      <w:spacing w:after="120" w:afterLines="0"/>
    </w:pPr>
    <w:rPr>
      <w:rFonts w:ascii="Times New Roman" w:hAnsi="Times New Roman" w:eastAsia="宋体" w:cs="Times New Roman"/>
      <w:kern w:val="0"/>
      <w:sz w:val="20"/>
    </w:rPr>
  </w:style>
  <w:style w:type="paragraph" w:customStyle="1" w:styleId="51">
    <w:name w:val="BodyText1I2"/>
    <w:basedOn w:val="52"/>
    <w:next w:val="53"/>
    <w:qFormat/>
    <w:uiPriority w:val="0"/>
    <w:pPr>
      <w:ind w:firstLine="420" w:firstLineChars="200"/>
    </w:pPr>
    <w:rPr>
      <w:rFonts w:ascii="Calibri" w:hAnsi="Calibri" w:eastAsia="楷体_GB2312"/>
      <w:kern w:val="44"/>
      <w:sz w:val="44"/>
    </w:rPr>
  </w:style>
  <w:style w:type="paragraph" w:customStyle="1" w:styleId="52">
    <w:name w:val="BodyTextIndent"/>
    <w:basedOn w:val="1"/>
    <w:qFormat/>
    <w:uiPriority w:val="0"/>
    <w:pPr>
      <w:spacing w:beforeAutospacing="0" w:after="120" w:afterAutospacing="0"/>
      <w:ind w:left="420" w:leftChars="200"/>
    </w:pPr>
    <w:rPr>
      <w:rFonts w:ascii="Times New Roman" w:hAnsi="Times New Roman"/>
      <w:kern w:val="0"/>
      <w:sz w:val="20"/>
    </w:rPr>
  </w:style>
  <w:style w:type="paragraph" w:customStyle="1" w:styleId="53">
    <w:name w:val="UserStyle_136"/>
    <w:basedOn w:val="1"/>
    <w:next w:val="1"/>
    <w:qFormat/>
    <w:uiPriority w:val="0"/>
    <w:pPr>
      <w:spacing w:beforeAutospacing="0" w:after="120" w:afterAutospacing="0" w:line="320" w:lineRule="atLeast"/>
      <w:ind w:firstLine="200" w:firstLineChars="200"/>
    </w:pPr>
    <w:rPr>
      <w:rFonts w:ascii="Arial" w:hAnsi="Arial"/>
      <w:kern w:val="0"/>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正文"/>
    <w:basedOn w:val="1"/>
    <w:next w:val="1"/>
    <w:qFormat/>
    <w:uiPriority w:val="0"/>
    <w:pPr>
      <w:ind w:firstLine="482"/>
    </w:pPr>
    <w:rPr>
      <w:rFonts w:ascii="微软雅黑" w:hAnsi="微软雅黑" w:eastAsia="微软雅黑"/>
      <w:szCs w:val="32"/>
    </w:rPr>
  </w:style>
  <w:style w:type="paragraph" w:customStyle="1" w:styleId="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大标题"/>
    <w:basedOn w:val="1"/>
    <w:next w:val="28"/>
    <w:qFormat/>
    <w:uiPriority w:val="0"/>
    <w:pPr>
      <w:jc w:val="center"/>
    </w:pPr>
    <w:rPr>
      <w:rFonts w:ascii="Arial" w:hAnsi="Arial"/>
      <w:b/>
      <w:sz w:val="28"/>
    </w:rPr>
  </w:style>
  <w:style w:type="paragraph" w:customStyle="1" w:styleId="59">
    <w:name w:val="文档正文"/>
    <w:basedOn w:val="1"/>
    <w:qFormat/>
    <w:uiPriority w:val="0"/>
    <w:pPr>
      <w:adjustRightInd w:val="0"/>
      <w:spacing w:beforeAutospacing="0" w:afterAutospacing="0" w:line="480" w:lineRule="atLeast"/>
      <w:ind w:firstLine="567"/>
      <w:textAlignment w:val="baseline"/>
    </w:pPr>
    <w:rPr>
      <w:rFonts w:ascii="Ari" w:eastAsia="Ari"/>
      <w:kern w:val="0"/>
      <w:sz w:val="28"/>
      <w:szCs w:val="20"/>
    </w:rPr>
  </w:style>
  <w:style w:type="paragraph" w:customStyle="1" w:styleId="60">
    <w:name w:val="List Paragraph"/>
    <w:basedOn w:val="1"/>
    <w:qFormat/>
    <w:uiPriority w:val="34"/>
    <w:pPr>
      <w:ind w:firstLine="420" w:firstLineChars="200"/>
    </w:pPr>
    <w:rPr>
      <w:rFonts w:ascii="Calibri" w:hAnsi="Calibri"/>
      <w:szCs w:val="22"/>
    </w:rPr>
  </w:style>
  <w:style w:type="paragraph" w:customStyle="1" w:styleId="61">
    <w:name w:val="JSFA 模板正文"/>
    <w:basedOn w:val="1"/>
    <w:qFormat/>
    <w:uiPriority w:val="0"/>
    <w:pPr>
      <w:spacing w:beforeAutospacing="0" w:afterAutospacing="0" w:line="360" w:lineRule="auto"/>
      <w:ind w:firstLine="200" w:firstLineChars="200"/>
      <w:jc w:val="left"/>
    </w:pPr>
    <w:rPr>
      <w:rFonts w:ascii="Times New Roman" w:hAnsi="Times New Roman"/>
      <w:sz w:val="24"/>
      <w:szCs w:val="24"/>
    </w:rPr>
  </w:style>
  <w:style w:type="paragraph" w:customStyle="1" w:styleId="62">
    <w:name w:val="Normal_51"/>
    <w:qFormat/>
    <w:uiPriority w:val="0"/>
    <w:pPr>
      <w:spacing w:before="120" w:beforeAutospacing="0" w:after="240" w:afterAutospacing="0"/>
      <w:jc w:val="both"/>
    </w:pPr>
    <w:rPr>
      <w:rFonts w:ascii="Times New Roman" w:hAnsi="Times New Roman" w:eastAsia="Calibri" w:cs="Times New Roman"/>
      <w:sz w:val="22"/>
      <w:szCs w:val="22"/>
      <w:lang w:val="en-US" w:eastAsia="en-US" w:bidi="ar-SA"/>
    </w:rPr>
  </w:style>
  <w:style w:type="paragraph" w:customStyle="1" w:styleId="63">
    <w:name w:val="图"/>
    <w:basedOn w:val="1"/>
    <w:qFormat/>
    <w:uiPriority w:val="0"/>
    <w:pPr>
      <w:adjustRightInd w:val="0"/>
      <w:spacing w:before="60" w:beforeAutospacing="0" w:after="60" w:afterAutospacing="0" w:line="300" w:lineRule="auto"/>
      <w:jc w:val="center"/>
      <w:textAlignment w:val="center"/>
    </w:pPr>
    <w:rPr>
      <w:snapToGrid w:val="0"/>
      <w:spacing w:val="20"/>
      <w:kern w:val="0"/>
      <w:sz w:val="24"/>
      <w:szCs w:val="20"/>
    </w:rPr>
  </w:style>
  <w:style w:type="paragraph" w:customStyle="1" w:styleId="6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标题3-1"/>
    <w:basedOn w:val="5"/>
    <w:qFormat/>
    <w:uiPriority w:val="0"/>
    <w:pPr>
      <w:widowControl w:val="0"/>
      <w:numPr>
        <w:ilvl w:val="0"/>
        <w:numId w:val="2"/>
      </w:numPr>
      <w:tabs>
        <w:tab w:val="left" w:pos="425"/>
        <w:tab w:val="clear" w:pos="1260"/>
      </w:tabs>
      <w:spacing w:before="160" w:beforeAutospacing="0" w:after="160" w:afterAutospacing="0" w:line="160" w:lineRule="atLeast"/>
      <w:jc w:val="both"/>
      <w:textAlignment w:val="baseline"/>
    </w:pPr>
    <w:rPr>
      <w:rFonts w:ascii="Ari" w:hAnsi="Times New Roman" w:eastAsia="Ari" w:cs="Times New Roman"/>
      <w:sz w:val="24"/>
      <w:szCs w:val="20"/>
    </w:rPr>
  </w:style>
  <w:style w:type="paragraph" w:customStyle="1" w:styleId="66">
    <w:name w:val="Table Paragraph"/>
    <w:basedOn w:val="1"/>
    <w:qFormat/>
    <w:uiPriority w:val="1"/>
    <w:rPr>
      <w:rFonts w:ascii="Calibri Light" w:hAnsi="Calibri Light" w:eastAsia="Calibri Light" w:cs="Calibri Light"/>
      <w:lang w:val="zh-CN" w:eastAsia="zh-CN" w:bidi="zh-CN"/>
    </w:rPr>
  </w:style>
  <w:style w:type="paragraph" w:customStyle="1" w:styleId="67">
    <w:name w:val="正文_5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8">
    <w:name w:val="p12"/>
    <w:basedOn w:val="31"/>
    <w:qFormat/>
    <w:uiPriority w:val="0"/>
  </w:style>
  <w:style w:type="paragraph" w:customStyle="1" w:styleId="69">
    <w:name w:val="Normal_0"/>
    <w:next w:val="70"/>
    <w:qFormat/>
    <w:uiPriority w:val="0"/>
    <w:pPr>
      <w:widowControl w:val="0"/>
      <w:jc w:val="both"/>
    </w:pPr>
    <w:rPr>
      <w:rFonts w:ascii="仿宋_GB2312" w:hAnsi="仿宋_GB2312" w:eastAsia="仿宋_GB2312" w:cs="??"/>
      <w:kern w:val="2"/>
      <w:sz w:val="21"/>
      <w:szCs w:val="24"/>
      <w:lang w:val="en-US" w:eastAsia="zh-CN" w:bidi="ar-SA"/>
    </w:rPr>
  </w:style>
  <w:style w:type="paragraph" w:customStyle="1" w:styleId="70">
    <w:name w:val="Body Text_0"/>
    <w:basedOn w:val="69"/>
    <w:qFormat/>
    <w:uiPriority w:val="0"/>
    <w:pPr>
      <w:spacing w:after="120" w:afterLines="0"/>
    </w:pPr>
    <w:rPr>
      <w:rFonts w:ascii="Calibri" w:hAnsi="Calibri"/>
      <w:kern w:val="0"/>
      <w:sz w:val="20"/>
      <w:szCs w:val="20"/>
    </w:rPr>
  </w:style>
  <w:style w:type="paragraph" w:customStyle="1" w:styleId="71">
    <w:name w:val="正文内容"/>
    <w:basedOn w:val="1"/>
    <w:next w:val="1"/>
    <w:link w:val="75"/>
    <w:qFormat/>
    <w:uiPriority w:val="0"/>
    <w:rPr>
      <w:rFonts w:eastAsia="仿宋"/>
      <w:sz w:val="32"/>
    </w:rPr>
  </w:style>
  <w:style w:type="paragraph" w:customStyle="1" w:styleId="72">
    <w:name w:val="一级标题"/>
    <w:basedOn w:val="71"/>
    <w:qFormat/>
    <w:uiPriority w:val="0"/>
    <w:rPr>
      <w:rFonts w:eastAsia="黑体"/>
    </w:rPr>
  </w:style>
  <w:style w:type="character" w:customStyle="1" w:styleId="73">
    <w:name w:val="三级标题 字符"/>
    <w:link w:val="74"/>
    <w:qFormat/>
    <w:uiPriority w:val="0"/>
    <w:rPr>
      <w:b/>
    </w:rPr>
  </w:style>
  <w:style w:type="paragraph" w:customStyle="1" w:styleId="74">
    <w:name w:val="三级标题"/>
    <w:basedOn w:val="71"/>
    <w:link w:val="73"/>
    <w:qFormat/>
    <w:uiPriority w:val="0"/>
    <w:rPr>
      <w:b/>
    </w:rPr>
  </w:style>
  <w:style w:type="character" w:customStyle="1" w:styleId="75">
    <w:name w:val="正文内容 字符"/>
    <w:link w:val="71"/>
    <w:qFormat/>
    <w:uiPriority w:val="0"/>
    <w:rPr>
      <w:rFonts w:eastAsia="仿宋"/>
      <w:sz w:val="32"/>
    </w:rPr>
  </w:style>
  <w:style w:type="paragraph" w:customStyle="1" w:styleId="76">
    <w:name w:val="二级标题"/>
    <w:basedOn w:val="26"/>
    <w:qFormat/>
    <w:uiPriority w:val="0"/>
    <w:pPr>
      <w:spacing w:before="0" w:after="0"/>
      <w:jc w:val="left"/>
    </w:pPr>
    <w:rPr>
      <w:rFonts w:eastAsia="楷体"/>
    </w:rPr>
  </w:style>
  <w:style w:type="paragraph" w:customStyle="1" w:styleId="77">
    <w:name w:val="Body text|1"/>
    <w:basedOn w:val="1"/>
    <w:qFormat/>
    <w:uiPriority w:val="0"/>
    <w:pPr>
      <w:widowControl w:val="0"/>
      <w:shd w:val="clear" w:color="auto" w:fill="auto"/>
      <w:spacing w:line="394" w:lineRule="auto"/>
      <w:ind w:firstLine="400"/>
    </w:pPr>
    <w:rPr>
      <w:rFonts w:ascii="宋体" w:hAnsi="宋体" w:eastAsia="宋体" w:cs="宋体"/>
      <w:sz w:val="20"/>
      <w:szCs w:val="20"/>
      <w:u w:val="none"/>
      <w:shd w:val="clear" w:color="auto" w:fill="auto"/>
      <w:lang w:val="zh-TW" w:eastAsia="zh-TW" w:bidi="zh-TW"/>
    </w:rPr>
  </w:style>
  <w:style w:type="paragraph" w:customStyle="1" w:styleId="78">
    <w:name w:val="通用标题3"/>
    <w:next w:val="1"/>
    <w:qFormat/>
    <w:uiPriority w:val="0"/>
    <w:pPr>
      <w:widowControl w:val="0"/>
      <w:numPr>
        <w:ilvl w:val="1"/>
        <w:numId w:val="3"/>
      </w:numPr>
      <w:tabs>
        <w:tab w:val="left" w:pos="709"/>
      </w:tabs>
      <w:adjustRightInd w:val="0"/>
      <w:snapToGrid w:val="0"/>
      <w:spacing w:after="156" w:afterLines="50" w:line="360" w:lineRule="auto"/>
      <w:ind w:firstLine="482" w:firstLineChars="200"/>
      <w:jc w:val="both"/>
      <w:outlineLvl w:val="2"/>
    </w:pPr>
    <w:rPr>
      <w:rFonts w:ascii="宋体" w:hAnsi="宋体" w:eastAsia="宋体" w:cs="黑体"/>
      <w:b/>
      <w:kern w:val="2"/>
      <w:sz w:val="24"/>
      <w:szCs w:val="24"/>
    </w:rPr>
  </w:style>
  <w:style w:type="paragraph" w:customStyle="1" w:styleId="79">
    <w:name w:val="通用标题4"/>
    <w:next w:val="1"/>
    <w:qFormat/>
    <w:uiPriority w:val="0"/>
    <w:pPr>
      <w:widowControl w:val="0"/>
      <w:numPr>
        <w:ilvl w:val="2"/>
        <w:numId w:val="3"/>
      </w:numPr>
      <w:tabs>
        <w:tab w:val="left" w:pos="709"/>
      </w:tabs>
      <w:adjustRightInd w:val="0"/>
      <w:snapToGrid w:val="0"/>
      <w:spacing w:after="156" w:afterLines="50" w:line="360" w:lineRule="auto"/>
      <w:ind w:left="0" w:firstLine="480" w:firstLineChars="200"/>
      <w:jc w:val="both"/>
      <w:outlineLvl w:val="3"/>
    </w:pPr>
    <w:rPr>
      <w:rFonts w:ascii="宋体" w:hAnsi="宋体" w:eastAsia="宋体" w:cs="黑体"/>
      <w:kern w:val="2"/>
      <w:sz w:val="24"/>
      <w:szCs w:val="24"/>
    </w:rPr>
  </w:style>
  <w:style w:type="paragraph" w:customStyle="1" w:styleId="80">
    <w:name w:val="Table caption|1"/>
    <w:basedOn w:val="1"/>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 w:type="paragraph" w:customStyle="1" w:styleId="81">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8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31620</Words>
  <Characters>33454</Characters>
  <Lines>0</Lines>
  <Paragraphs>0</Paragraphs>
  <TotalTime>0</TotalTime>
  <ScaleCrop>false</ScaleCrop>
  <LinksUpToDate>false</LinksUpToDate>
  <CharactersWithSpaces>34805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综合办</cp:lastModifiedBy>
  <cp:lastPrinted>2025-06-09T09:55:00Z</cp:lastPrinted>
  <dcterms:modified xsi:type="dcterms:W3CDTF">2025-06-27T07:26:12Z</dcterms:modified>
  <dc:title>信阳市浉河三期水环境综合治理工程PPP项目工程造价全过程跟踪服务</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2D6D1EF469B94973B9F8A7E968AEE7AD_13</vt:lpwstr>
  </property>
  <property fmtid="{D5CDD505-2E9C-101B-9397-08002B2CF9AE}" pid="4" name="KSOTemplateDocerSaveRecord">
    <vt:lpwstr>eyJoZGlkIjoiYTg2YWRmZGU0MDUxMGY0NWQyMTNhNjJiOTc3NzFiMjIiLCJ1c2VySWQiOiI1NzQyMzE5NTQifQ==</vt:lpwstr>
  </property>
</Properties>
</file>