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0"/>
          <w:sz w:val="32"/>
          <w:szCs w:val="32"/>
        </w:rPr>
      </w:pPr>
      <w:r>
        <w:rPr>
          <w:rFonts w:ascii="宋体" w:hAnsi="宋体" w:eastAsia="宋体" w:cs="宋体"/>
          <w:b/>
          <w:kern w:val="0"/>
          <w:sz w:val="32"/>
          <w:szCs w:val="32"/>
        </w:rPr>
        <w:drawing>
          <wp:inline distT="0" distB="0" distL="114300" distR="114300">
            <wp:extent cx="5719445" cy="8219440"/>
            <wp:effectExtent l="0" t="0" r="14605" b="10160"/>
            <wp:docPr id="1" name="图片 1" descr="661a612fc6c86d990074e84da75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1a612fc6c86d990074e84da751253"/>
                    <pic:cNvPicPr>
                      <a:picLocks noChangeAspect="1"/>
                    </pic:cNvPicPr>
                  </pic:nvPicPr>
                  <pic:blipFill>
                    <a:blip r:embed="rId6"/>
                    <a:stretch>
                      <a:fillRect/>
                    </a:stretch>
                  </pic:blipFill>
                  <pic:spPr>
                    <a:xfrm>
                      <a:off x="0" y="0"/>
                      <a:ext cx="5719445" cy="8219440"/>
                    </a:xfrm>
                    <a:prstGeom prst="rect">
                      <a:avLst/>
                    </a:prstGeom>
                  </pic:spPr>
                </pic:pic>
              </a:graphicData>
            </a:graphic>
          </wp:inline>
        </w:drawing>
      </w:r>
      <w:r>
        <w:rPr>
          <w:rFonts w:ascii="宋体" w:hAnsi="宋体" w:eastAsia="宋体" w:cs="宋体"/>
          <w:b/>
          <w:kern w:val="0"/>
          <w:sz w:val="32"/>
          <w:szCs w:val="32"/>
        </w:rPr>
        <w:br w:type="page"/>
      </w:r>
      <w:r>
        <w:rPr>
          <w:rFonts w:hint="eastAsia" w:ascii="宋体" w:hAnsi="宋体" w:eastAsia="宋体" w:cs="宋体"/>
          <w:b/>
          <w:kern w:val="0"/>
          <w:sz w:val="32"/>
          <w:szCs w:val="32"/>
        </w:rPr>
        <w:t>招标文件目录</w:t>
      </w:r>
    </w:p>
    <w:p>
      <w:pPr>
        <w:pStyle w:val="20"/>
        <w:tabs>
          <w:tab w:val="right" w:leader="dot" w:pos="8789"/>
        </w:tabs>
        <w:rPr>
          <w:rFonts w:ascii="宋体" w:hAnsi="宋体" w:cstheme="minorBidi"/>
          <w:b w:val="0"/>
          <w:bCs w:val="0"/>
          <w:caps w:val="0"/>
          <w:sz w:val="28"/>
          <w:szCs w:val="28"/>
        </w:rPr>
      </w:pPr>
      <w:r>
        <w:rPr>
          <w:rFonts w:ascii="宋体" w:hAnsi="宋体" w:cstheme="majorEastAsia"/>
          <w:b w:val="0"/>
          <w:caps w:val="0"/>
          <w:sz w:val="28"/>
          <w:szCs w:val="28"/>
          <w:lang w:val="zh-CN"/>
        </w:rPr>
        <w:fldChar w:fldCharType="begin"/>
      </w:r>
      <w:r>
        <w:rPr>
          <w:rFonts w:ascii="宋体" w:hAnsi="宋体" w:cstheme="majorEastAsia"/>
          <w:b w:val="0"/>
          <w:caps w:val="0"/>
          <w:sz w:val="28"/>
          <w:szCs w:val="28"/>
          <w:lang w:val="zh-CN"/>
        </w:rPr>
        <w:instrText xml:space="preserve"> TOC \o "1-2" \h \z \u </w:instrText>
      </w:r>
      <w:r>
        <w:rPr>
          <w:rFonts w:ascii="宋体" w:hAnsi="宋体" w:cstheme="majorEastAsia"/>
          <w:b w:val="0"/>
          <w:caps w:val="0"/>
          <w:sz w:val="28"/>
          <w:szCs w:val="28"/>
          <w:lang w:val="zh-CN"/>
        </w:rPr>
        <w:fldChar w:fldCharType="separate"/>
      </w:r>
      <w:r>
        <w:fldChar w:fldCharType="begin"/>
      </w:r>
      <w:r>
        <w:instrText xml:space="preserve"> HYPERLINK \l "_Toc14299187" </w:instrText>
      </w:r>
      <w:r>
        <w:fldChar w:fldCharType="separate"/>
      </w:r>
      <w:r>
        <w:rPr>
          <w:rStyle w:val="29"/>
          <w:rFonts w:hint="eastAsia" w:ascii="宋体" w:hAnsi="宋体" w:cs="宋体"/>
          <w:b w:val="0"/>
          <w:color w:val="auto"/>
          <w:kern w:val="0"/>
          <w:sz w:val="28"/>
          <w:szCs w:val="28"/>
        </w:rPr>
        <w:t>第一章投标邀请</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_Toc14299187 \h </w:instrText>
      </w:r>
      <w:r>
        <w:rPr>
          <w:rFonts w:ascii="宋体" w:hAnsi="宋体"/>
          <w:b w:val="0"/>
          <w:sz w:val="28"/>
          <w:szCs w:val="28"/>
        </w:rPr>
        <w:fldChar w:fldCharType="separate"/>
      </w:r>
      <w:r>
        <w:rPr>
          <w:rFonts w:ascii="宋体" w:hAnsi="宋体"/>
          <w:b w:val="0"/>
          <w:sz w:val="28"/>
          <w:szCs w:val="28"/>
        </w:rPr>
        <w:t>1</w:t>
      </w:r>
      <w:r>
        <w:rPr>
          <w:rFonts w:ascii="宋体" w:hAnsi="宋体"/>
          <w:b w:val="0"/>
          <w:sz w:val="28"/>
          <w:szCs w:val="28"/>
        </w:rPr>
        <w:fldChar w:fldCharType="end"/>
      </w:r>
      <w:r>
        <w:rPr>
          <w:rFonts w:ascii="宋体" w:hAnsi="宋体"/>
          <w:b w:val="0"/>
          <w:sz w:val="28"/>
          <w:szCs w:val="28"/>
        </w:rPr>
        <w:fldChar w:fldCharType="end"/>
      </w:r>
    </w:p>
    <w:p>
      <w:pPr>
        <w:pStyle w:val="20"/>
        <w:tabs>
          <w:tab w:val="right" w:leader="dot" w:pos="8789"/>
        </w:tabs>
        <w:rPr>
          <w:rFonts w:ascii="宋体" w:hAnsi="宋体" w:cstheme="minorBidi"/>
          <w:b w:val="0"/>
          <w:bCs w:val="0"/>
          <w:caps w:val="0"/>
          <w:sz w:val="28"/>
          <w:szCs w:val="28"/>
        </w:rPr>
      </w:pPr>
      <w:r>
        <w:fldChar w:fldCharType="begin"/>
      </w:r>
      <w:r>
        <w:instrText xml:space="preserve"> HYPERLINK \l "_Toc14299188" </w:instrText>
      </w:r>
      <w:r>
        <w:fldChar w:fldCharType="separate"/>
      </w:r>
      <w:r>
        <w:rPr>
          <w:rStyle w:val="29"/>
          <w:rFonts w:hint="eastAsia" w:ascii="宋体" w:hAnsi="宋体" w:cs="宋体"/>
          <w:b w:val="0"/>
          <w:color w:val="auto"/>
          <w:kern w:val="0"/>
          <w:sz w:val="28"/>
          <w:szCs w:val="28"/>
        </w:rPr>
        <w:t>第二章项目需求</w:t>
      </w:r>
      <w:r>
        <w:rPr>
          <w:rFonts w:ascii="宋体" w:hAnsi="宋体"/>
          <w:b w:val="0"/>
          <w:sz w:val="28"/>
          <w:szCs w:val="28"/>
        </w:rPr>
        <w:tab/>
      </w:r>
      <w:r>
        <w:rPr>
          <w:rFonts w:hint="eastAsia" w:ascii="宋体" w:hAnsi="宋体"/>
          <w:b w:val="0"/>
          <w:sz w:val="28"/>
          <w:szCs w:val="28"/>
        </w:rPr>
        <w:t>6</w:t>
      </w:r>
      <w:r>
        <w:rPr>
          <w:rFonts w:hint="eastAsia" w:ascii="宋体" w:hAnsi="宋体"/>
          <w:b w:val="0"/>
          <w:sz w:val="28"/>
          <w:szCs w:val="28"/>
        </w:rPr>
        <w:fldChar w:fldCharType="end"/>
      </w:r>
    </w:p>
    <w:p>
      <w:pPr>
        <w:pStyle w:val="20"/>
        <w:tabs>
          <w:tab w:val="right" w:leader="dot" w:pos="8789"/>
        </w:tabs>
        <w:rPr>
          <w:rFonts w:ascii="宋体" w:hAnsi="宋体" w:cstheme="minorBidi"/>
          <w:b w:val="0"/>
          <w:bCs w:val="0"/>
          <w:caps w:val="0"/>
          <w:sz w:val="28"/>
          <w:szCs w:val="28"/>
        </w:rPr>
      </w:pPr>
      <w:r>
        <w:fldChar w:fldCharType="begin"/>
      </w:r>
      <w:r>
        <w:instrText xml:space="preserve"> HYPERLINK \l "_Toc14299189" </w:instrText>
      </w:r>
      <w:r>
        <w:fldChar w:fldCharType="separate"/>
      </w:r>
      <w:r>
        <w:rPr>
          <w:rStyle w:val="29"/>
          <w:rFonts w:hint="eastAsia" w:ascii="宋体" w:hAnsi="宋体" w:cs="宋体"/>
          <w:b w:val="0"/>
          <w:color w:val="auto"/>
          <w:kern w:val="0"/>
          <w:sz w:val="28"/>
          <w:szCs w:val="28"/>
        </w:rPr>
        <w:t>第三章投标人须知前附表</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_Toc14299189 \h </w:instrText>
      </w:r>
      <w:r>
        <w:rPr>
          <w:rFonts w:ascii="宋体" w:hAnsi="宋体"/>
          <w:b w:val="0"/>
          <w:sz w:val="28"/>
          <w:szCs w:val="28"/>
        </w:rPr>
        <w:fldChar w:fldCharType="separate"/>
      </w:r>
      <w:r>
        <w:rPr>
          <w:rFonts w:ascii="宋体" w:hAnsi="宋体"/>
          <w:b w:val="0"/>
          <w:sz w:val="28"/>
          <w:szCs w:val="28"/>
        </w:rPr>
        <w:t>12</w:t>
      </w:r>
      <w:r>
        <w:rPr>
          <w:rFonts w:ascii="宋体" w:hAnsi="宋体"/>
          <w:b w:val="0"/>
          <w:sz w:val="28"/>
          <w:szCs w:val="28"/>
        </w:rPr>
        <w:fldChar w:fldCharType="end"/>
      </w:r>
      <w:r>
        <w:rPr>
          <w:rFonts w:ascii="宋体" w:hAnsi="宋体"/>
          <w:b w:val="0"/>
          <w:sz w:val="28"/>
          <w:szCs w:val="28"/>
        </w:rPr>
        <w:fldChar w:fldCharType="end"/>
      </w:r>
    </w:p>
    <w:p>
      <w:pPr>
        <w:pStyle w:val="20"/>
        <w:tabs>
          <w:tab w:val="right" w:leader="dot" w:pos="8789"/>
        </w:tabs>
        <w:rPr>
          <w:rFonts w:ascii="宋体" w:hAnsi="宋体" w:cstheme="minorBidi"/>
          <w:b w:val="0"/>
          <w:bCs w:val="0"/>
          <w:caps w:val="0"/>
          <w:sz w:val="28"/>
          <w:szCs w:val="28"/>
        </w:rPr>
      </w:pPr>
      <w:r>
        <w:fldChar w:fldCharType="begin"/>
      </w:r>
      <w:r>
        <w:instrText xml:space="preserve"> HYPERLINK \l "_Toc14299190" </w:instrText>
      </w:r>
      <w:r>
        <w:fldChar w:fldCharType="separate"/>
      </w:r>
      <w:r>
        <w:rPr>
          <w:rStyle w:val="29"/>
          <w:rFonts w:hint="eastAsia" w:ascii="宋体" w:hAnsi="宋体" w:cs="宋体"/>
          <w:b w:val="0"/>
          <w:color w:val="auto"/>
          <w:kern w:val="0"/>
          <w:sz w:val="28"/>
          <w:szCs w:val="28"/>
        </w:rPr>
        <w:t>第四章投标人须知</w:t>
      </w:r>
      <w:r>
        <w:rPr>
          <w:rFonts w:ascii="宋体" w:hAnsi="宋体"/>
          <w:b w:val="0"/>
          <w:sz w:val="28"/>
          <w:szCs w:val="28"/>
        </w:rPr>
        <w:tab/>
      </w:r>
      <w:r>
        <w:rPr>
          <w:rFonts w:hint="eastAsia" w:ascii="宋体" w:hAnsi="宋体"/>
          <w:b w:val="0"/>
          <w:sz w:val="28"/>
          <w:szCs w:val="28"/>
        </w:rPr>
        <w:t>21</w:t>
      </w:r>
      <w:r>
        <w:rPr>
          <w:rFonts w:hint="eastAsia" w:ascii="宋体" w:hAnsi="宋体"/>
          <w:b w:val="0"/>
          <w:sz w:val="28"/>
          <w:szCs w:val="28"/>
        </w:rPr>
        <w:fldChar w:fldCharType="end"/>
      </w:r>
    </w:p>
    <w:p>
      <w:pPr>
        <w:pStyle w:val="21"/>
        <w:tabs>
          <w:tab w:val="right" w:leader="dot" w:pos="8789"/>
        </w:tabs>
        <w:rPr>
          <w:rFonts w:ascii="宋体" w:hAnsi="宋体" w:eastAsia="宋体"/>
          <w:sz w:val="28"/>
          <w:szCs w:val="28"/>
        </w:rPr>
      </w:pPr>
      <w:r>
        <w:fldChar w:fldCharType="begin"/>
      </w:r>
      <w:r>
        <w:instrText xml:space="preserve"> HYPERLINK \l "_Toc14299191" </w:instrText>
      </w:r>
      <w:r>
        <w:fldChar w:fldCharType="separate"/>
      </w:r>
      <w:r>
        <w:rPr>
          <w:rStyle w:val="29"/>
          <w:rFonts w:hint="eastAsia" w:ascii="宋体" w:hAnsi="宋体" w:eastAsia="宋体" w:cs="宋体"/>
          <w:color w:val="auto"/>
          <w:kern w:val="0"/>
          <w:sz w:val="28"/>
          <w:szCs w:val="28"/>
        </w:rPr>
        <w:t>一、概念释义</w:t>
      </w:r>
      <w:r>
        <w:rPr>
          <w:rFonts w:ascii="宋体" w:hAnsi="宋体" w:eastAsia="宋体"/>
          <w:sz w:val="28"/>
          <w:szCs w:val="28"/>
        </w:rPr>
        <w:tab/>
      </w:r>
      <w:r>
        <w:rPr>
          <w:rFonts w:hint="eastAsia" w:ascii="宋体" w:hAnsi="宋体" w:eastAsia="宋体"/>
          <w:sz w:val="28"/>
          <w:szCs w:val="28"/>
        </w:rPr>
        <w:t>21</w:t>
      </w:r>
      <w:r>
        <w:rPr>
          <w:rFonts w:hint="eastAsia" w:ascii="宋体" w:hAnsi="宋体" w:eastAsia="宋体"/>
          <w:sz w:val="28"/>
          <w:szCs w:val="28"/>
        </w:rPr>
        <w:fldChar w:fldCharType="end"/>
      </w:r>
    </w:p>
    <w:p>
      <w:pPr>
        <w:pStyle w:val="21"/>
        <w:tabs>
          <w:tab w:val="right" w:leader="dot" w:pos="8789"/>
        </w:tabs>
        <w:rPr>
          <w:rFonts w:ascii="宋体" w:hAnsi="宋体" w:eastAsia="宋体"/>
          <w:sz w:val="28"/>
          <w:szCs w:val="28"/>
        </w:rPr>
      </w:pPr>
      <w:r>
        <w:fldChar w:fldCharType="begin"/>
      </w:r>
      <w:r>
        <w:instrText xml:space="preserve"> HYPERLINK \l "_Toc14299192" </w:instrText>
      </w:r>
      <w:r>
        <w:fldChar w:fldCharType="separate"/>
      </w:r>
      <w:r>
        <w:rPr>
          <w:rStyle w:val="29"/>
          <w:rFonts w:hint="eastAsia" w:ascii="宋体" w:hAnsi="宋体" w:eastAsia="宋体" w:cs="宋体"/>
          <w:color w:val="auto"/>
          <w:kern w:val="0"/>
          <w:sz w:val="28"/>
          <w:szCs w:val="28"/>
        </w:rPr>
        <w:t>二、招标文件说明</w:t>
      </w:r>
      <w:r>
        <w:rPr>
          <w:rFonts w:ascii="宋体" w:hAnsi="宋体" w:eastAsia="宋体"/>
          <w:sz w:val="28"/>
          <w:szCs w:val="28"/>
        </w:rPr>
        <w:tab/>
      </w:r>
      <w:r>
        <w:rPr>
          <w:rFonts w:hint="eastAsia" w:ascii="宋体" w:hAnsi="宋体" w:eastAsia="宋体"/>
          <w:sz w:val="28"/>
          <w:szCs w:val="28"/>
        </w:rPr>
        <w:t>24</w:t>
      </w:r>
      <w:r>
        <w:rPr>
          <w:rFonts w:hint="eastAsia" w:ascii="宋体" w:hAnsi="宋体" w:eastAsia="宋体"/>
          <w:sz w:val="28"/>
          <w:szCs w:val="28"/>
        </w:rPr>
        <w:fldChar w:fldCharType="end"/>
      </w:r>
    </w:p>
    <w:p>
      <w:pPr>
        <w:pStyle w:val="21"/>
        <w:tabs>
          <w:tab w:val="right" w:leader="dot" w:pos="8789"/>
        </w:tabs>
        <w:rPr>
          <w:rFonts w:ascii="宋体" w:hAnsi="宋体" w:eastAsia="宋体"/>
          <w:sz w:val="28"/>
          <w:szCs w:val="28"/>
        </w:rPr>
      </w:pPr>
      <w:r>
        <w:fldChar w:fldCharType="begin"/>
      </w:r>
      <w:r>
        <w:instrText xml:space="preserve"> HYPERLINK \l "_Toc14299193" </w:instrText>
      </w:r>
      <w:r>
        <w:fldChar w:fldCharType="separate"/>
      </w:r>
      <w:r>
        <w:rPr>
          <w:rStyle w:val="29"/>
          <w:rFonts w:hint="eastAsia" w:ascii="宋体" w:hAnsi="宋体" w:eastAsia="宋体" w:cs="宋体"/>
          <w:color w:val="auto"/>
          <w:kern w:val="0"/>
          <w:sz w:val="28"/>
          <w:szCs w:val="28"/>
        </w:rPr>
        <w:t>三、投标文件的编制</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_Toc14299193 \h </w:instrText>
      </w:r>
      <w:r>
        <w:rPr>
          <w:rFonts w:ascii="宋体" w:hAnsi="宋体" w:eastAsia="宋体"/>
          <w:sz w:val="28"/>
          <w:szCs w:val="28"/>
        </w:rPr>
        <w:fldChar w:fldCharType="separate"/>
      </w:r>
      <w:r>
        <w:rPr>
          <w:rFonts w:ascii="宋体" w:hAnsi="宋体" w:eastAsia="宋体"/>
          <w:sz w:val="28"/>
          <w:szCs w:val="28"/>
        </w:rPr>
        <w:t>23</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789"/>
        </w:tabs>
        <w:rPr>
          <w:rFonts w:ascii="宋体" w:hAnsi="宋体" w:eastAsia="宋体"/>
          <w:sz w:val="28"/>
          <w:szCs w:val="28"/>
        </w:rPr>
      </w:pPr>
      <w:r>
        <w:fldChar w:fldCharType="begin"/>
      </w:r>
      <w:r>
        <w:instrText xml:space="preserve"> HYPERLINK \l "_Toc14299194" </w:instrText>
      </w:r>
      <w:r>
        <w:fldChar w:fldCharType="separate"/>
      </w:r>
      <w:r>
        <w:rPr>
          <w:rStyle w:val="29"/>
          <w:rFonts w:hint="eastAsia" w:ascii="宋体" w:hAnsi="宋体" w:eastAsia="宋体" w:cs="宋体"/>
          <w:color w:val="auto"/>
          <w:kern w:val="0"/>
          <w:sz w:val="28"/>
          <w:szCs w:val="28"/>
        </w:rPr>
        <w:t>四、投标文件的递交</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_Toc14299194 \h </w:instrText>
      </w:r>
      <w:r>
        <w:rPr>
          <w:rFonts w:ascii="宋体" w:hAnsi="宋体" w:eastAsia="宋体"/>
          <w:sz w:val="28"/>
          <w:szCs w:val="28"/>
        </w:rPr>
        <w:fldChar w:fldCharType="separate"/>
      </w:r>
      <w:r>
        <w:rPr>
          <w:rFonts w:ascii="宋体" w:hAnsi="宋体" w:eastAsia="宋体"/>
          <w:sz w:val="28"/>
          <w:szCs w:val="28"/>
        </w:rPr>
        <w:t>25</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789"/>
        </w:tabs>
        <w:rPr>
          <w:rFonts w:ascii="宋体" w:hAnsi="宋体" w:eastAsia="宋体"/>
          <w:sz w:val="28"/>
          <w:szCs w:val="28"/>
        </w:rPr>
      </w:pPr>
      <w:r>
        <w:fldChar w:fldCharType="begin"/>
      </w:r>
      <w:r>
        <w:instrText xml:space="preserve"> HYPERLINK \l "_Toc14299195" </w:instrText>
      </w:r>
      <w:r>
        <w:fldChar w:fldCharType="separate"/>
      </w:r>
      <w:r>
        <w:rPr>
          <w:rStyle w:val="29"/>
          <w:rFonts w:hint="eastAsia" w:ascii="宋体" w:hAnsi="宋体" w:eastAsia="宋体" w:cs="宋体"/>
          <w:color w:val="auto"/>
          <w:kern w:val="0"/>
          <w:sz w:val="28"/>
          <w:szCs w:val="28"/>
        </w:rPr>
        <w:t>五、开标和评标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_Toc14299195 \h </w:instrText>
      </w:r>
      <w:r>
        <w:rPr>
          <w:rFonts w:ascii="宋体" w:hAnsi="宋体" w:eastAsia="宋体"/>
          <w:sz w:val="28"/>
          <w:szCs w:val="28"/>
        </w:rPr>
        <w:fldChar w:fldCharType="separate"/>
      </w:r>
      <w:r>
        <w:rPr>
          <w:rFonts w:ascii="宋体" w:hAnsi="宋体" w:eastAsia="宋体"/>
          <w:sz w:val="28"/>
          <w:szCs w:val="28"/>
        </w:rPr>
        <w:t>26</w:t>
      </w:r>
      <w:r>
        <w:rPr>
          <w:rFonts w:ascii="宋体" w:hAnsi="宋体" w:eastAsia="宋体"/>
          <w:sz w:val="28"/>
          <w:szCs w:val="28"/>
        </w:rPr>
        <w:fldChar w:fldCharType="end"/>
      </w:r>
      <w:r>
        <w:rPr>
          <w:rFonts w:ascii="宋体" w:hAnsi="宋体" w:eastAsia="宋体"/>
          <w:sz w:val="28"/>
          <w:szCs w:val="28"/>
        </w:rPr>
        <w:fldChar w:fldCharType="end"/>
      </w:r>
    </w:p>
    <w:p>
      <w:pPr>
        <w:pStyle w:val="21"/>
        <w:tabs>
          <w:tab w:val="right" w:leader="dot" w:pos="8789"/>
        </w:tabs>
        <w:rPr>
          <w:rFonts w:ascii="宋体" w:hAnsi="宋体" w:eastAsia="宋体"/>
          <w:sz w:val="28"/>
          <w:szCs w:val="28"/>
        </w:rPr>
      </w:pPr>
      <w:r>
        <w:fldChar w:fldCharType="begin"/>
      </w:r>
      <w:r>
        <w:instrText xml:space="preserve"> HYPERLINK \l "_Toc14299196" </w:instrText>
      </w:r>
      <w:r>
        <w:fldChar w:fldCharType="separate"/>
      </w:r>
      <w:r>
        <w:rPr>
          <w:rStyle w:val="29"/>
          <w:rFonts w:hint="eastAsia" w:ascii="宋体" w:hAnsi="宋体" w:eastAsia="宋体" w:cs="宋体"/>
          <w:color w:val="auto"/>
          <w:kern w:val="0"/>
          <w:sz w:val="28"/>
          <w:szCs w:val="28"/>
        </w:rPr>
        <w:t>六、定标和授予合同</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_Toc14299196 \h </w:instrText>
      </w:r>
      <w:r>
        <w:rPr>
          <w:rFonts w:ascii="宋体" w:hAnsi="宋体" w:eastAsia="宋体"/>
          <w:sz w:val="28"/>
          <w:szCs w:val="28"/>
        </w:rPr>
        <w:fldChar w:fldCharType="separate"/>
      </w:r>
      <w:r>
        <w:rPr>
          <w:rFonts w:ascii="宋体" w:hAnsi="宋体" w:eastAsia="宋体"/>
          <w:sz w:val="28"/>
          <w:szCs w:val="28"/>
        </w:rPr>
        <w:t>32</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8789"/>
        </w:tabs>
        <w:rPr>
          <w:rFonts w:ascii="宋体" w:hAnsi="宋体" w:cstheme="minorBidi"/>
          <w:b w:val="0"/>
          <w:bCs w:val="0"/>
          <w:caps w:val="0"/>
          <w:sz w:val="28"/>
          <w:szCs w:val="28"/>
        </w:rPr>
      </w:pPr>
      <w:r>
        <w:fldChar w:fldCharType="begin"/>
      </w:r>
      <w:r>
        <w:instrText xml:space="preserve"> HYPERLINK \l "_Toc14299197" </w:instrText>
      </w:r>
      <w:r>
        <w:fldChar w:fldCharType="separate"/>
      </w:r>
      <w:r>
        <w:rPr>
          <w:rStyle w:val="29"/>
          <w:rFonts w:hint="eastAsia" w:ascii="宋体" w:hAnsi="宋体" w:cs="宋体"/>
          <w:b w:val="0"/>
          <w:color w:val="auto"/>
          <w:kern w:val="0"/>
          <w:sz w:val="28"/>
          <w:szCs w:val="28"/>
        </w:rPr>
        <w:t>第五章政府采购政策功能</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_Toc14299197 \h </w:instrText>
      </w:r>
      <w:r>
        <w:rPr>
          <w:rFonts w:ascii="宋体" w:hAnsi="宋体"/>
          <w:b w:val="0"/>
          <w:sz w:val="28"/>
          <w:szCs w:val="28"/>
        </w:rPr>
        <w:fldChar w:fldCharType="separate"/>
      </w:r>
      <w:r>
        <w:rPr>
          <w:rFonts w:ascii="宋体" w:hAnsi="宋体"/>
          <w:b w:val="0"/>
          <w:sz w:val="28"/>
          <w:szCs w:val="28"/>
        </w:rPr>
        <w:t>34</w:t>
      </w:r>
      <w:r>
        <w:rPr>
          <w:rFonts w:ascii="宋体" w:hAnsi="宋体"/>
          <w:b w:val="0"/>
          <w:sz w:val="28"/>
          <w:szCs w:val="28"/>
        </w:rPr>
        <w:fldChar w:fldCharType="end"/>
      </w:r>
      <w:r>
        <w:rPr>
          <w:rFonts w:ascii="宋体" w:hAnsi="宋体"/>
          <w:b w:val="0"/>
          <w:sz w:val="28"/>
          <w:szCs w:val="28"/>
        </w:rPr>
        <w:fldChar w:fldCharType="end"/>
      </w:r>
    </w:p>
    <w:p>
      <w:pPr>
        <w:pStyle w:val="20"/>
        <w:tabs>
          <w:tab w:val="right" w:leader="dot" w:pos="8789"/>
        </w:tabs>
        <w:rPr>
          <w:rFonts w:ascii="宋体" w:hAnsi="宋体" w:cstheme="minorBidi"/>
          <w:b w:val="0"/>
          <w:bCs w:val="0"/>
          <w:caps w:val="0"/>
          <w:sz w:val="28"/>
          <w:szCs w:val="28"/>
        </w:rPr>
      </w:pPr>
      <w:r>
        <w:fldChar w:fldCharType="begin"/>
      </w:r>
      <w:r>
        <w:instrText xml:space="preserve"> HYPERLINK \l "_Toc14299198" </w:instrText>
      </w:r>
      <w:r>
        <w:fldChar w:fldCharType="separate"/>
      </w:r>
      <w:r>
        <w:rPr>
          <w:rStyle w:val="29"/>
          <w:rFonts w:hint="eastAsia" w:ascii="宋体" w:hAnsi="宋体" w:cs="宋体"/>
          <w:b w:val="0"/>
          <w:color w:val="auto"/>
          <w:kern w:val="0"/>
          <w:sz w:val="28"/>
          <w:szCs w:val="28"/>
        </w:rPr>
        <w:t>第六章资格审查与评标</w:t>
      </w:r>
      <w:r>
        <w:rPr>
          <w:rFonts w:ascii="宋体" w:hAnsi="宋体"/>
          <w:b w:val="0"/>
          <w:sz w:val="28"/>
          <w:szCs w:val="28"/>
        </w:rPr>
        <w:tab/>
      </w:r>
      <w:r>
        <w:rPr>
          <w:rFonts w:hint="eastAsia" w:ascii="宋体" w:hAnsi="宋体"/>
          <w:b w:val="0"/>
          <w:sz w:val="28"/>
          <w:szCs w:val="28"/>
        </w:rPr>
        <w:t>40</w:t>
      </w:r>
      <w:r>
        <w:rPr>
          <w:rFonts w:hint="eastAsia" w:ascii="宋体" w:hAnsi="宋体"/>
          <w:b w:val="0"/>
          <w:sz w:val="28"/>
          <w:szCs w:val="28"/>
        </w:rPr>
        <w:fldChar w:fldCharType="end"/>
      </w:r>
    </w:p>
    <w:p>
      <w:pPr>
        <w:pStyle w:val="20"/>
        <w:tabs>
          <w:tab w:val="right" w:leader="dot" w:pos="8789"/>
        </w:tabs>
        <w:rPr>
          <w:rFonts w:ascii="宋体" w:hAnsi="宋体" w:cstheme="minorBidi"/>
          <w:b w:val="0"/>
          <w:bCs w:val="0"/>
          <w:caps w:val="0"/>
          <w:sz w:val="28"/>
          <w:szCs w:val="28"/>
        </w:rPr>
      </w:pPr>
      <w:r>
        <w:fldChar w:fldCharType="begin"/>
      </w:r>
      <w:r>
        <w:instrText xml:space="preserve"> HYPERLINK \l "_Toc14299199" </w:instrText>
      </w:r>
      <w:r>
        <w:fldChar w:fldCharType="separate"/>
      </w:r>
      <w:r>
        <w:rPr>
          <w:rStyle w:val="29"/>
          <w:rFonts w:hint="eastAsia" w:ascii="宋体" w:hAnsi="宋体" w:cs="宋体"/>
          <w:b w:val="0"/>
          <w:color w:val="auto"/>
          <w:kern w:val="0"/>
          <w:sz w:val="28"/>
          <w:szCs w:val="28"/>
        </w:rPr>
        <w:t>第七章合同条款及格式</w:t>
      </w:r>
      <w:r>
        <w:rPr>
          <w:rFonts w:ascii="宋体" w:hAnsi="宋体"/>
          <w:b w:val="0"/>
          <w:sz w:val="28"/>
          <w:szCs w:val="28"/>
        </w:rPr>
        <w:tab/>
      </w:r>
      <w:r>
        <w:rPr>
          <w:rFonts w:hint="eastAsia" w:ascii="宋体" w:hAnsi="宋体"/>
          <w:b w:val="0"/>
          <w:sz w:val="28"/>
          <w:szCs w:val="28"/>
        </w:rPr>
        <w:t>50</w:t>
      </w:r>
      <w:r>
        <w:rPr>
          <w:rFonts w:hint="eastAsia" w:ascii="宋体" w:hAnsi="宋体"/>
          <w:b w:val="0"/>
          <w:sz w:val="28"/>
          <w:szCs w:val="28"/>
        </w:rPr>
        <w:fldChar w:fldCharType="end"/>
      </w:r>
    </w:p>
    <w:p>
      <w:pPr>
        <w:pStyle w:val="20"/>
        <w:tabs>
          <w:tab w:val="right" w:leader="dot" w:pos="8789"/>
        </w:tabs>
        <w:rPr>
          <w:rFonts w:asciiTheme="minorHAnsi" w:hAnsiTheme="minorHAnsi" w:eastAsiaTheme="minorEastAsia" w:cstheme="minorBidi"/>
          <w:b w:val="0"/>
          <w:bCs w:val="0"/>
          <w:caps w:val="0"/>
          <w:sz w:val="21"/>
          <w:szCs w:val="22"/>
        </w:rPr>
      </w:pPr>
      <w:r>
        <w:fldChar w:fldCharType="begin"/>
      </w:r>
      <w:r>
        <w:instrText xml:space="preserve"> HYPERLINK \l "_Toc14299200" </w:instrText>
      </w:r>
      <w:r>
        <w:fldChar w:fldCharType="separate"/>
      </w:r>
      <w:r>
        <w:rPr>
          <w:rStyle w:val="29"/>
          <w:rFonts w:hint="eastAsia" w:ascii="宋体" w:hAnsi="宋体" w:cs="宋体"/>
          <w:b w:val="0"/>
          <w:color w:val="auto"/>
          <w:kern w:val="0"/>
          <w:sz w:val="28"/>
          <w:szCs w:val="28"/>
        </w:rPr>
        <w:t>第八章投标文件有关格式</w:t>
      </w:r>
      <w:r>
        <w:rPr>
          <w:rFonts w:ascii="宋体" w:hAnsi="宋体"/>
          <w:b w:val="0"/>
          <w:sz w:val="28"/>
          <w:szCs w:val="28"/>
        </w:rPr>
        <w:tab/>
      </w:r>
      <w:r>
        <w:rPr>
          <w:rFonts w:ascii="宋体" w:hAnsi="宋体"/>
          <w:b w:val="0"/>
          <w:sz w:val="28"/>
          <w:szCs w:val="28"/>
        </w:rPr>
        <w:fldChar w:fldCharType="begin"/>
      </w:r>
      <w:r>
        <w:rPr>
          <w:rFonts w:ascii="宋体" w:hAnsi="宋体"/>
          <w:b w:val="0"/>
          <w:sz w:val="28"/>
          <w:szCs w:val="28"/>
        </w:rPr>
        <w:instrText xml:space="preserve"> PAGEREF _Toc14299200 \h </w:instrText>
      </w:r>
      <w:r>
        <w:rPr>
          <w:rFonts w:ascii="宋体" w:hAnsi="宋体"/>
          <w:b w:val="0"/>
          <w:sz w:val="28"/>
          <w:szCs w:val="28"/>
        </w:rPr>
        <w:fldChar w:fldCharType="separate"/>
      </w:r>
      <w:r>
        <w:rPr>
          <w:rFonts w:ascii="宋体" w:hAnsi="宋体"/>
          <w:b w:val="0"/>
          <w:sz w:val="28"/>
          <w:szCs w:val="28"/>
        </w:rPr>
        <w:t>48</w:t>
      </w:r>
      <w:r>
        <w:rPr>
          <w:rFonts w:ascii="宋体" w:hAnsi="宋体"/>
          <w:b w:val="0"/>
          <w:sz w:val="28"/>
          <w:szCs w:val="28"/>
        </w:rPr>
        <w:fldChar w:fldCharType="end"/>
      </w:r>
      <w:r>
        <w:rPr>
          <w:rFonts w:ascii="宋体" w:hAnsi="宋体"/>
          <w:b w:val="0"/>
          <w:sz w:val="28"/>
          <w:szCs w:val="28"/>
        </w:rPr>
        <w:fldChar w:fldCharType="end"/>
      </w:r>
    </w:p>
    <w:p>
      <w:pPr>
        <w:autoSpaceDE w:val="0"/>
        <w:autoSpaceDN w:val="0"/>
        <w:adjustRightInd w:val="0"/>
        <w:spacing w:line="700" w:lineRule="exact"/>
        <w:rPr>
          <w:rFonts w:ascii="宋体" w:hAnsi="宋体" w:eastAsia="宋体" w:cstheme="majorEastAsia"/>
          <w:bCs/>
          <w:sz w:val="32"/>
          <w:szCs w:val="32"/>
          <w:lang w:val="zh-CN"/>
        </w:rPr>
      </w:pPr>
      <w:r>
        <w:rPr>
          <w:rFonts w:ascii="宋体" w:hAnsi="宋体" w:eastAsia="宋体" w:cstheme="majorEastAsia"/>
          <w:b/>
          <w:caps/>
          <w:sz w:val="28"/>
          <w:szCs w:val="28"/>
          <w:lang w:val="zh-CN"/>
        </w:rPr>
        <w:fldChar w:fldCharType="end"/>
      </w:r>
    </w:p>
    <w:p>
      <w:pPr>
        <w:jc w:val="center"/>
        <w:rPr>
          <w:rFonts w:ascii="宋体" w:hAnsi="宋体" w:eastAsia="宋体" w:cstheme="majorEastAsia"/>
          <w:bCs/>
          <w:sz w:val="32"/>
          <w:szCs w:val="32"/>
          <w:lang w:val="zh-CN"/>
        </w:rPr>
      </w:pPr>
      <w:r>
        <w:rPr>
          <w:rFonts w:ascii="宋体" w:hAnsi="宋体" w:eastAsia="宋体" w:cstheme="majorEastAsia"/>
          <w:b/>
          <w:kern w:val="0"/>
          <w:sz w:val="32"/>
          <w:szCs w:val="32"/>
        </w:rPr>
        <w:br w:type="page"/>
      </w:r>
    </w:p>
    <w:p>
      <w:pPr>
        <w:jc w:val="left"/>
        <w:rPr>
          <w:rFonts w:ascii="宋体" w:hAnsi="宋体" w:eastAsia="宋体" w:cs="宋体"/>
          <w:b/>
          <w:kern w:val="0"/>
          <w:sz w:val="32"/>
          <w:szCs w:val="32"/>
        </w:rPr>
        <w:sectPr>
          <w:pgSz w:w="11906" w:h="16838"/>
          <w:pgMar w:top="1797" w:right="1440" w:bottom="1797" w:left="1440" w:header="851" w:footer="992" w:gutter="0"/>
          <w:cols w:space="425" w:num="1"/>
          <w:docGrid w:type="lines" w:linePitch="312" w:charSpace="0"/>
        </w:sectPr>
      </w:pPr>
    </w:p>
    <w:p>
      <w:pPr>
        <w:spacing w:beforeLines="50" w:afterLines="50"/>
        <w:jc w:val="center"/>
        <w:outlineLvl w:val="0"/>
        <w:rPr>
          <w:rFonts w:ascii="宋体" w:hAnsi="宋体" w:eastAsia="宋体" w:cs="宋体"/>
          <w:b/>
          <w:kern w:val="0"/>
          <w:sz w:val="32"/>
          <w:szCs w:val="32"/>
        </w:rPr>
      </w:pPr>
      <w:bookmarkStart w:id="0" w:name="_Toc14299187"/>
      <w:bookmarkStart w:id="1" w:name="_Toc14299032"/>
      <w:r>
        <w:rPr>
          <w:rFonts w:hint="eastAsia" w:ascii="宋体" w:hAnsi="宋体" w:eastAsia="宋体" w:cs="宋体"/>
          <w:b/>
          <w:kern w:val="0"/>
          <w:sz w:val="32"/>
          <w:szCs w:val="32"/>
        </w:rPr>
        <w:t>第一章 投标邀请</w:t>
      </w:r>
      <w:bookmarkEnd w:id="0"/>
      <w:bookmarkEnd w:id="1"/>
    </w:p>
    <w:p>
      <w:pPr>
        <w:pStyle w:val="56"/>
        <w:shd w:val="clear" w:color="auto" w:fill="FFFFFF"/>
        <w:spacing w:line="360" w:lineRule="auto"/>
        <w:contextualSpacing/>
        <w:jc w:val="left"/>
        <w:rPr>
          <w:rFonts w:ascii="宋体" w:hAnsi="宋体" w:cs="仿宋_GB2312"/>
          <w:shd w:val="clear" w:color="auto" w:fill="FFFFFF"/>
        </w:rPr>
      </w:pPr>
      <w:r>
        <w:rPr>
          <w:rFonts w:hint="eastAsia" w:ascii="宋体" w:hAnsi="宋体" w:cs="仿宋_GB2312"/>
          <w:shd w:val="clear" w:color="auto" w:fill="FFFFFF"/>
        </w:rPr>
        <w:t>项目概况：</w:t>
      </w:r>
    </w:p>
    <w:p>
      <w:pPr>
        <w:pStyle w:val="56"/>
        <w:shd w:val="clear" w:color="auto" w:fill="FFFFFF"/>
        <w:spacing w:line="360" w:lineRule="auto"/>
        <w:ind w:firstLine="567"/>
        <w:contextualSpacing/>
        <w:jc w:val="left"/>
        <w:rPr>
          <w:rFonts w:ascii="宋体" w:hAnsi="宋体" w:cs="宋体"/>
          <w:highlight w:val="none"/>
          <w:shd w:val="clear" w:color="auto" w:fill="FFFFFF"/>
        </w:rPr>
      </w:pPr>
      <w:r>
        <w:rPr>
          <w:rFonts w:hint="eastAsia" w:ascii="宋体" w:hAnsi="宋体" w:cs="宋体"/>
          <w:shd w:val="clear" w:color="auto" w:fill="FFFFFF"/>
        </w:rPr>
        <w:t>许昌市东城区综合执法局绿化管养项目（不见面开标）招标项目的潜在投标人应持 CA 数字认证证书，登录《全国公共资源交易平台（ 河南省•许昌市）》“系统用户注册”入口（http://ggzy.xuchang.gov.cn:8088/ggzy/eps/public/RegistAllJcxx.html）进行免费注</w:t>
      </w:r>
      <w:r>
        <w:rPr>
          <w:rFonts w:hint="eastAsia" w:ascii="宋体" w:hAnsi="宋体" w:cs="宋体"/>
          <w:highlight w:val="none"/>
          <w:shd w:val="clear" w:color="auto" w:fill="FFFFFF"/>
        </w:rPr>
        <w:t xml:space="preserve">册登记（详见“常见问题解答－诚信库网上注册相关资料下载”）；获取招标文件，并于 2022 年 </w:t>
      </w:r>
      <w:r>
        <w:rPr>
          <w:rFonts w:hint="eastAsia" w:ascii="宋体" w:hAnsi="宋体" w:cs="宋体"/>
          <w:highlight w:val="none"/>
          <w:shd w:val="clear" w:color="auto" w:fill="FFFFFF"/>
          <w:lang w:val="en-US" w:eastAsia="zh-CN"/>
        </w:rPr>
        <w:t>12</w:t>
      </w:r>
      <w:r>
        <w:rPr>
          <w:rFonts w:hint="eastAsia" w:ascii="宋体" w:hAnsi="宋体" w:cs="宋体"/>
          <w:highlight w:val="none"/>
          <w:shd w:val="clear" w:color="auto" w:fill="FFFFFF"/>
        </w:rPr>
        <w:t xml:space="preserve">  月 </w:t>
      </w:r>
      <w:r>
        <w:rPr>
          <w:rFonts w:hint="eastAsia" w:ascii="宋体" w:hAnsi="宋体" w:cs="宋体"/>
          <w:highlight w:val="none"/>
          <w:shd w:val="clear" w:color="auto" w:fill="FFFFFF"/>
          <w:lang w:val="en-US" w:eastAsia="zh-CN"/>
        </w:rPr>
        <w:t>22</w:t>
      </w:r>
      <w:r>
        <w:rPr>
          <w:rFonts w:hint="eastAsia" w:ascii="宋体" w:hAnsi="宋体" w:cs="宋体"/>
          <w:highlight w:val="none"/>
          <w:shd w:val="clear" w:color="auto" w:fill="FFFFFF"/>
        </w:rPr>
        <w:t xml:space="preserve">  日 08 时 30 分（北京时间）前递交投标文件。</w:t>
      </w:r>
    </w:p>
    <w:p>
      <w:pPr>
        <w:pStyle w:val="56"/>
        <w:shd w:val="clear" w:color="auto" w:fill="FFFFFF"/>
        <w:spacing w:line="360" w:lineRule="auto"/>
        <w:ind w:firstLine="241" w:firstLineChars="100"/>
        <w:contextualSpacing/>
        <w:jc w:val="left"/>
        <w:rPr>
          <w:rFonts w:ascii="宋体" w:hAnsi="宋体" w:cs="宋体"/>
          <w:highlight w:val="none"/>
          <w:shd w:val="clear" w:color="auto" w:fill="FFFFFF"/>
        </w:rPr>
      </w:pPr>
      <w:r>
        <w:rPr>
          <w:rFonts w:hint="eastAsia" w:ascii="宋体" w:hAnsi="宋体" w:cs="黑体"/>
          <w:b/>
          <w:bCs/>
          <w:highlight w:val="none"/>
          <w:shd w:val="clear" w:color="auto" w:fill="FFFFFF"/>
        </w:rPr>
        <w:t>一、项目基本情况：</w:t>
      </w:r>
    </w:p>
    <w:p>
      <w:pPr>
        <w:pStyle w:val="23"/>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1、项目编号：JZFCG-G2022038号</w:t>
      </w:r>
    </w:p>
    <w:p>
      <w:pPr>
        <w:pStyle w:val="23"/>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2、项目名称：许昌市东城区综合执法局绿化管养项目</w:t>
      </w:r>
    </w:p>
    <w:p>
      <w:pPr>
        <w:pStyle w:val="23"/>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3、采购方式：公开招标</w:t>
      </w:r>
    </w:p>
    <w:p>
      <w:pPr>
        <w:pStyle w:val="23"/>
        <w:spacing w:line="360" w:lineRule="auto"/>
        <w:ind w:firstLine="480" w:firstLineChars="200"/>
        <w:contextualSpacing/>
        <w:jc w:val="left"/>
        <w:rPr>
          <w:rFonts w:ascii="宋体" w:hAnsi="宋体" w:cs="宋体"/>
          <w:shd w:val="clear" w:color="auto" w:fill="FFFFFF"/>
        </w:rPr>
      </w:pPr>
      <w:r>
        <w:rPr>
          <w:rFonts w:hint="eastAsia" w:ascii="宋体" w:hAnsi="宋体" w:cs="宋体"/>
          <w:shd w:val="clear" w:color="auto" w:fill="FFFFFF"/>
        </w:rPr>
        <w:t>4、预算金额：</w:t>
      </w:r>
      <w:r>
        <w:rPr>
          <w:rFonts w:hint="eastAsia" w:ascii="宋体" w:hAnsi="宋体" w:cs="仿宋_GB2312"/>
          <w:shd w:val="clear" w:color="auto" w:fill="FFFFFF"/>
        </w:rPr>
        <w:t>159000000元</w:t>
      </w:r>
      <w:r>
        <w:rPr>
          <w:rFonts w:hint="eastAsia" w:ascii="宋体" w:hAnsi="宋体" w:cs="宋体"/>
          <w:shd w:val="clear" w:color="auto" w:fill="FFFFFF"/>
        </w:rPr>
        <w:t>。</w:t>
      </w:r>
    </w:p>
    <w:p>
      <w:pPr>
        <w:pStyle w:val="23"/>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5、最高限价：159000000元</w:t>
      </w:r>
      <w:r>
        <w:rPr>
          <w:rFonts w:hint="eastAsia" w:ascii="宋体" w:hAnsi="宋体" w:cs="宋体"/>
          <w:shd w:val="clear" w:color="auto" w:fill="FFFFFF"/>
        </w:rPr>
        <w:t>。</w:t>
      </w:r>
    </w:p>
    <w:p>
      <w:pPr>
        <w:pStyle w:val="23"/>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6、项目内容：本项目辖区现绿化总面积约4216807平方米。其中，一级养护路段2999194平方米；二级养护路段835336平方米；三级养护路段382277平方米（</w:t>
      </w:r>
      <w:r>
        <w:rPr>
          <w:rFonts w:hint="eastAsia" w:ascii="宋体" w:hAnsi="宋体" w:cs="宋体"/>
          <w:kern w:val="0"/>
          <w:szCs w:val="21"/>
        </w:rPr>
        <w:t>具体面积以第三方出具的测绘报告为准</w:t>
      </w:r>
      <w:r>
        <w:rPr>
          <w:rFonts w:hint="eastAsia" w:ascii="宋体" w:hAnsi="宋体" w:cs="仿宋_GB2312"/>
          <w:shd w:val="clear" w:color="auto" w:fill="FFFFFF"/>
        </w:rPr>
        <w:t>）；项目包含城市道路绿化修剪、灌溉、病虫害防治、补植补栽及游园内保洁等工作；</w:t>
      </w:r>
    </w:p>
    <w:p>
      <w:pPr>
        <w:pStyle w:val="23"/>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7、服务期限：</w:t>
      </w:r>
      <w:r>
        <w:rPr>
          <w:rFonts w:hint="eastAsia" w:ascii="宋体" w:hAnsi="宋体" w:cs="仿宋_GB2312"/>
          <w:shd w:val="clear" w:color="auto" w:fill="FFFFFF"/>
          <w:lang w:eastAsia="zh-CN"/>
        </w:rPr>
        <w:t>自合同生效之日起 3 年</w:t>
      </w:r>
      <w:r>
        <w:rPr>
          <w:rFonts w:hint="eastAsia" w:ascii="宋体" w:hAnsi="宋体" w:cs="仿宋_GB2312"/>
          <w:shd w:val="clear" w:color="auto" w:fill="FFFFFF"/>
        </w:rPr>
        <w:t>。</w:t>
      </w:r>
    </w:p>
    <w:p>
      <w:pPr>
        <w:pStyle w:val="23"/>
        <w:shd w:val="clear" w:color="auto" w:fill="FFFFFF"/>
        <w:spacing w:line="360" w:lineRule="auto"/>
        <w:ind w:left="1919" w:leftChars="228" w:hanging="1440" w:hangingChars="600"/>
        <w:contextualSpacing/>
        <w:jc w:val="left"/>
        <w:rPr>
          <w:rFonts w:ascii="宋体" w:hAnsi="宋体" w:cs="仿宋_GB2312"/>
          <w:shd w:val="clear" w:color="auto" w:fill="FFFFFF"/>
        </w:rPr>
      </w:pPr>
      <w:r>
        <w:rPr>
          <w:rFonts w:hint="eastAsia" w:ascii="宋体" w:hAnsi="宋体" w:cs="仿宋_GB2312"/>
          <w:shd w:val="clear" w:color="auto" w:fill="FFFFFF"/>
        </w:rPr>
        <w:t>8、项目地址：许昌市东城区辖区内养护绿地及游园广场。</w:t>
      </w:r>
    </w:p>
    <w:p>
      <w:pPr>
        <w:pStyle w:val="23"/>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9、本项目（是/否）接受联合体投标：否。</w:t>
      </w:r>
    </w:p>
    <w:p>
      <w:pPr>
        <w:pStyle w:val="23"/>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二、投标人资格要求</w:t>
      </w:r>
    </w:p>
    <w:p>
      <w:pPr>
        <w:pStyle w:val="23"/>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1、符合《政府采购法》第二十二条规定；</w:t>
      </w:r>
    </w:p>
    <w:p>
      <w:pPr>
        <w:pStyle w:val="23"/>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2、本项目落实节能环保、中小微型企业、残疾人福利性单位扶持等相关政府采购政策；</w:t>
      </w:r>
    </w:p>
    <w:p>
      <w:pPr>
        <w:pStyle w:val="23"/>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3、投标人应具备的特殊要求：无；</w:t>
      </w:r>
    </w:p>
    <w:p>
      <w:pPr>
        <w:pStyle w:val="23"/>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宋体"/>
          <w:kern w:val="0"/>
          <w:lang w:val="zh-CN"/>
        </w:rPr>
        <w:t>4、本次招标不接受联合体投标。</w:t>
      </w:r>
    </w:p>
    <w:p>
      <w:pPr>
        <w:pStyle w:val="23"/>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三、招标文件的获取</w:t>
      </w:r>
    </w:p>
    <w:p>
      <w:pPr>
        <w:pStyle w:val="23"/>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1、时间：即日起至投标截止时间止；</w:t>
      </w:r>
    </w:p>
    <w:p>
      <w:pPr>
        <w:pStyle w:val="23"/>
        <w:shd w:val="clear" w:color="auto" w:fill="FFFFFF"/>
        <w:spacing w:line="360" w:lineRule="auto"/>
        <w:ind w:firstLine="480" w:firstLineChars="200"/>
        <w:contextualSpacing/>
        <w:jc w:val="left"/>
        <w:rPr>
          <w:rFonts w:ascii="宋体" w:hAnsi="宋体" w:cs="仿宋_GB2312"/>
          <w:shd w:val="clear" w:color="auto" w:fill="FFFFFF"/>
        </w:rPr>
      </w:pPr>
      <w:r>
        <w:rPr>
          <w:rFonts w:hint="eastAsia" w:ascii="宋体" w:hAnsi="宋体" w:cs="仿宋_GB2312"/>
          <w:shd w:val="clear" w:color="auto" w:fill="FFFFFF"/>
        </w:rPr>
        <w:t>2、地点：《全国公共资源交易平台（河南省·许昌市）》</w:t>
      </w:r>
    </w:p>
    <w:p>
      <w:pPr>
        <w:pStyle w:val="23"/>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w:t>
      </w:r>
      <w:r>
        <w:fldChar w:fldCharType="begin"/>
      </w:r>
      <w:r>
        <w:instrText xml:space="preserve"> HYPERLINK "http://ggzy.xuchang.gov.cn/" </w:instrText>
      </w:r>
      <w:r>
        <w:fldChar w:fldCharType="separate"/>
      </w:r>
      <w:r>
        <w:rPr>
          <w:rStyle w:val="29"/>
          <w:rFonts w:hint="eastAsia" w:ascii="宋体" w:hAnsi="宋体" w:cs="仿宋_GB2312"/>
          <w:shd w:val="clear" w:color="auto" w:fill="FFFFFF"/>
        </w:rPr>
        <w:t>http://ggzy.xuchang.gov.cn/</w:t>
      </w:r>
      <w:r>
        <w:rPr>
          <w:rStyle w:val="29"/>
          <w:rFonts w:hint="eastAsia" w:ascii="宋体" w:hAnsi="宋体" w:cs="仿宋_GB2312"/>
          <w:shd w:val="clear" w:color="auto" w:fill="FFFFFF"/>
        </w:rPr>
        <w:fldChar w:fldCharType="end"/>
      </w:r>
      <w:r>
        <w:rPr>
          <w:rFonts w:hint="eastAsia" w:ascii="宋体" w:hAnsi="宋体" w:cs="仿宋_GB2312"/>
          <w:shd w:val="clear" w:color="auto" w:fill="FFFFFF"/>
        </w:rPr>
        <w:t>）；</w:t>
      </w:r>
    </w:p>
    <w:p>
      <w:pPr>
        <w:pStyle w:val="23"/>
        <w:shd w:val="clear" w:color="auto" w:fill="FFFFFF"/>
        <w:spacing w:line="360" w:lineRule="auto"/>
        <w:ind w:firstLine="420"/>
        <w:contextualSpacing/>
        <w:jc w:val="left"/>
        <w:rPr>
          <w:rFonts w:ascii="宋体" w:hAnsi="宋体" w:cs="仿宋_GB2312"/>
          <w:shd w:val="clear" w:color="auto" w:fill="FFFFFF"/>
        </w:rPr>
      </w:pPr>
      <w:r>
        <w:rPr>
          <w:rFonts w:hint="eastAsia" w:ascii="宋体" w:hAnsi="宋体" w:cs="仿宋_GB2312"/>
          <w:shd w:val="clear" w:color="auto" w:fill="FFFFFF"/>
        </w:rPr>
        <w:t>3、方式：在线下载；</w:t>
      </w:r>
    </w:p>
    <w:p>
      <w:pPr>
        <w:pStyle w:val="23"/>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shd w:val="clear" w:color="auto" w:fill="FFFFFF"/>
        </w:rPr>
        <w:t>4、售价</w:t>
      </w:r>
      <w:r>
        <w:rPr>
          <w:rFonts w:hint="eastAsia" w:ascii="宋体" w:hAnsi="宋体" w:cs="仿宋_GB2312"/>
          <w:highlight w:val="none"/>
          <w:shd w:val="clear" w:color="auto" w:fill="FFFFFF"/>
        </w:rPr>
        <w:t>：0 元。</w:t>
      </w:r>
    </w:p>
    <w:p>
      <w:pPr>
        <w:pStyle w:val="23"/>
        <w:shd w:val="clear" w:color="auto" w:fill="FFFFFF"/>
        <w:spacing w:line="360" w:lineRule="auto"/>
        <w:ind w:firstLine="241" w:firstLineChars="100"/>
        <w:contextualSpacing/>
        <w:jc w:val="left"/>
        <w:rPr>
          <w:rFonts w:ascii="宋体" w:hAnsi="宋体" w:cs="黑体"/>
          <w:b/>
          <w:bCs/>
          <w:highlight w:val="none"/>
          <w:shd w:val="clear" w:color="auto" w:fill="FFFFFF"/>
        </w:rPr>
      </w:pPr>
      <w:r>
        <w:rPr>
          <w:rFonts w:hint="eastAsia" w:ascii="宋体" w:hAnsi="宋体" w:cs="黑体"/>
          <w:b/>
          <w:bCs/>
          <w:highlight w:val="none"/>
          <w:shd w:val="clear" w:color="auto" w:fill="FFFFFF"/>
        </w:rPr>
        <w:t>四、投标截止时间及地点</w:t>
      </w:r>
    </w:p>
    <w:p>
      <w:pPr>
        <w:pStyle w:val="23"/>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 xml:space="preserve">1、时间：2022 年 </w:t>
      </w:r>
      <w:r>
        <w:rPr>
          <w:rFonts w:hint="eastAsia" w:ascii="宋体" w:hAnsi="宋体" w:cs="仿宋_GB2312"/>
          <w:highlight w:val="none"/>
          <w:lang w:val="en-US" w:eastAsia="zh-CN"/>
        </w:rPr>
        <w:t>12</w:t>
      </w:r>
      <w:r>
        <w:rPr>
          <w:rFonts w:hint="eastAsia" w:ascii="宋体" w:hAnsi="宋体" w:cs="仿宋_GB2312"/>
          <w:highlight w:val="none"/>
        </w:rPr>
        <w:t xml:space="preserve"> 月 22 日 08 时 30 分（北京时间）</w:t>
      </w:r>
    </w:p>
    <w:p>
      <w:pPr>
        <w:pStyle w:val="23"/>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2、地点：本项目采用网上投标，请符合投标条件的供应商使用 CA 数字证书加密上传投标文件。</w:t>
      </w:r>
    </w:p>
    <w:p>
      <w:pPr>
        <w:pStyle w:val="23"/>
        <w:shd w:val="clear" w:color="auto" w:fill="FFFFFF"/>
        <w:spacing w:line="360" w:lineRule="auto"/>
        <w:ind w:firstLine="241" w:firstLineChars="100"/>
        <w:contextualSpacing/>
        <w:jc w:val="left"/>
        <w:rPr>
          <w:rFonts w:ascii="宋体" w:hAnsi="宋体" w:cs="仿宋_GB2312"/>
          <w:highlight w:val="none"/>
        </w:rPr>
      </w:pPr>
      <w:r>
        <w:rPr>
          <w:rFonts w:hint="eastAsia" w:ascii="宋体" w:hAnsi="宋体" w:cs="黑体"/>
          <w:b/>
          <w:bCs/>
          <w:highlight w:val="none"/>
          <w:shd w:val="clear" w:color="auto" w:fill="FFFFFF"/>
        </w:rPr>
        <w:t>五、开标时间及地点</w:t>
      </w:r>
    </w:p>
    <w:p>
      <w:pPr>
        <w:pStyle w:val="23"/>
        <w:shd w:val="clear" w:color="auto" w:fill="FFFFFF"/>
        <w:spacing w:line="360" w:lineRule="auto"/>
        <w:ind w:firstLine="480" w:firstLineChars="200"/>
        <w:contextualSpacing/>
        <w:jc w:val="left"/>
        <w:rPr>
          <w:rFonts w:ascii="宋体" w:hAnsi="宋体" w:cs="仿宋_GB2312"/>
          <w:highlight w:val="none"/>
        </w:rPr>
      </w:pPr>
      <w:r>
        <w:rPr>
          <w:rFonts w:hint="eastAsia" w:ascii="宋体" w:hAnsi="宋体" w:cs="仿宋_GB2312"/>
          <w:highlight w:val="none"/>
        </w:rPr>
        <w:t xml:space="preserve">1、时间：2022 年 </w:t>
      </w:r>
      <w:r>
        <w:rPr>
          <w:rFonts w:hint="eastAsia" w:ascii="宋体" w:hAnsi="宋体" w:cs="仿宋_GB2312"/>
          <w:highlight w:val="none"/>
          <w:lang w:val="en-US" w:eastAsia="zh-CN"/>
        </w:rPr>
        <w:t>12</w:t>
      </w:r>
      <w:r>
        <w:rPr>
          <w:rFonts w:hint="eastAsia" w:ascii="宋体" w:hAnsi="宋体" w:cs="仿宋_GB2312"/>
          <w:highlight w:val="none"/>
        </w:rPr>
        <w:t xml:space="preserve"> 月 22 日 08 时 30 分（北京时间）</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2、地点：本项目采用“不见面”网上开标方式，请投标供应商使用 CA 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23"/>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六、发布公告的媒介及招标公告期限</w:t>
      </w:r>
    </w:p>
    <w:p>
      <w:pPr>
        <w:pStyle w:val="23"/>
        <w:shd w:val="clear" w:color="auto" w:fill="FFFFFF"/>
        <w:spacing w:line="360" w:lineRule="auto"/>
        <w:ind w:firstLine="480" w:firstLineChars="200"/>
        <w:contextualSpacing/>
        <w:jc w:val="left"/>
        <w:rPr>
          <w:rFonts w:ascii="宋体" w:hAnsi="宋体" w:cs="黑体"/>
          <w:b/>
          <w:bCs/>
          <w:shd w:val="clear" w:color="auto" w:fill="FFFFFF"/>
        </w:rPr>
      </w:pPr>
      <w:r>
        <w:rPr>
          <w:rFonts w:hint="eastAsia" w:ascii="宋体" w:hAnsi="宋体" w:cs="仿宋_GB2312"/>
        </w:rPr>
        <w:t>本次招标公告在“河南省政府采购网”、《许昌市政府采购网》、《全国公共资源交易平台（河南省·许昌市）”》上发布。招标公告期限为五个工作日。</w:t>
      </w:r>
    </w:p>
    <w:p>
      <w:pPr>
        <w:pStyle w:val="23"/>
        <w:shd w:val="clear" w:color="auto" w:fill="FFFFFF"/>
        <w:spacing w:line="360" w:lineRule="auto"/>
        <w:ind w:firstLine="241" w:firstLineChars="100"/>
        <w:contextualSpacing/>
        <w:jc w:val="left"/>
        <w:rPr>
          <w:rFonts w:ascii="宋体" w:hAnsi="宋体" w:cs="黑体"/>
          <w:b/>
          <w:bCs/>
          <w:shd w:val="clear" w:color="auto" w:fill="FFFFFF"/>
        </w:rPr>
      </w:pPr>
      <w:r>
        <w:rPr>
          <w:rFonts w:hint="eastAsia" w:ascii="宋体" w:hAnsi="宋体" w:cs="黑体"/>
          <w:b/>
          <w:bCs/>
          <w:shd w:val="clear" w:color="auto" w:fill="FFFFFF"/>
        </w:rPr>
        <w:t>七、其他补充事宜</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1、本项目采用电子系统进行招投标，请在投标前详细阅读全国公共资源交易平台（河南省·许昌市）首页“资料下载”栏目的《交易系统全电子操作手册（投标人）》及其附件。</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2、投标供应商在电子系统使用过程中遇到涉及系统使用的问题，可致电0374-2961598 进行咨询，CA 证书办理可致电 0374-3377787 进行咨询。</w:t>
      </w:r>
    </w:p>
    <w:p>
      <w:pPr>
        <w:pStyle w:val="23"/>
        <w:shd w:val="clear" w:color="auto" w:fill="FFFFFF"/>
        <w:spacing w:line="360" w:lineRule="auto"/>
        <w:ind w:firstLine="241" w:firstLineChars="100"/>
        <w:contextualSpacing/>
        <w:jc w:val="left"/>
        <w:rPr>
          <w:rFonts w:ascii="宋体" w:hAnsi="宋体" w:cs="仿宋_GB2312"/>
        </w:rPr>
      </w:pPr>
      <w:r>
        <w:rPr>
          <w:rFonts w:hint="eastAsia" w:ascii="宋体" w:hAnsi="宋体" w:cs="黑体"/>
          <w:b/>
          <w:bCs/>
        </w:rPr>
        <w:t>八、</w:t>
      </w:r>
      <w:r>
        <w:rPr>
          <w:rFonts w:ascii="宋体" w:hAnsi="宋体" w:cs="黑体"/>
          <w:b/>
          <w:bCs/>
        </w:rPr>
        <w:t>凡对本次招标提出询问，请按照以下方式联系</w:t>
      </w:r>
    </w:p>
    <w:p>
      <w:pPr>
        <w:pStyle w:val="23"/>
        <w:shd w:val="clear" w:color="auto" w:fill="FFFFFF"/>
        <w:spacing w:line="360" w:lineRule="auto"/>
        <w:ind w:firstLine="240" w:firstLineChars="100"/>
        <w:contextualSpacing/>
        <w:jc w:val="left"/>
        <w:rPr>
          <w:rFonts w:ascii="宋体" w:hAnsi="宋体" w:cs="仿宋_GB2312"/>
        </w:rPr>
      </w:pPr>
      <w:r>
        <w:rPr>
          <w:rFonts w:hint="eastAsia" w:ascii="宋体" w:hAnsi="宋体" w:cs="仿宋_GB2312"/>
        </w:rPr>
        <w:t>1、采购人信息</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名称：许昌市东城区综合执法局</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地  址：许昌市新兴路东段</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联系人：王先生</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 xml:space="preserve">联系电话：13733691210 </w:t>
      </w:r>
    </w:p>
    <w:p>
      <w:pPr>
        <w:pStyle w:val="23"/>
        <w:shd w:val="clear" w:color="auto" w:fill="FFFFFF"/>
        <w:spacing w:line="360" w:lineRule="auto"/>
        <w:ind w:firstLine="240" w:firstLineChars="100"/>
        <w:contextualSpacing/>
        <w:jc w:val="left"/>
        <w:rPr>
          <w:rFonts w:ascii="宋体" w:hAnsi="宋体" w:cs="仿宋_GB2312"/>
        </w:rPr>
      </w:pPr>
      <w:r>
        <w:rPr>
          <w:rFonts w:hint="eastAsia" w:ascii="宋体" w:hAnsi="宋体" w:cs="仿宋_GB2312"/>
        </w:rPr>
        <w:t>2、采购代理机构信息</w:t>
      </w:r>
    </w:p>
    <w:p>
      <w:pPr>
        <w:pStyle w:val="23"/>
        <w:shd w:val="clear" w:color="auto" w:fill="FFFFFF"/>
        <w:spacing w:line="360" w:lineRule="auto"/>
        <w:ind w:firstLine="420"/>
        <w:contextualSpacing/>
        <w:jc w:val="left"/>
        <w:rPr>
          <w:rFonts w:ascii="宋体" w:hAnsi="宋体" w:cs="仿宋_GB2312"/>
        </w:rPr>
      </w:pPr>
      <w:r>
        <w:rPr>
          <w:rFonts w:hint="eastAsia" w:ascii="宋体" w:hAnsi="宋体" w:cs="仿宋_GB2312"/>
        </w:rPr>
        <w:t>代理机构：河南立创工程管理有限公司</w:t>
      </w:r>
    </w:p>
    <w:p>
      <w:pPr>
        <w:pStyle w:val="23"/>
        <w:shd w:val="clear" w:color="auto" w:fill="FFFFFF"/>
        <w:spacing w:line="360" w:lineRule="auto"/>
        <w:ind w:firstLine="420"/>
        <w:contextualSpacing/>
        <w:jc w:val="left"/>
        <w:rPr>
          <w:rFonts w:ascii="宋体" w:hAnsi="宋体" w:cs="仿宋_GB2312"/>
        </w:rPr>
      </w:pPr>
      <w:r>
        <w:rPr>
          <w:rFonts w:hint="eastAsia" w:ascii="宋体" w:hAnsi="宋体" w:cs="仿宋_GB2312"/>
        </w:rPr>
        <w:t>地 址：</w:t>
      </w:r>
      <w:r>
        <w:rPr>
          <w:rFonts w:hint="eastAsia" w:ascii="宋体" w:hAnsi="宋体" w:cs="Arial"/>
        </w:rPr>
        <w:t>许昌市莲城大厦</w:t>
      </w:r>
      <w:r>
        <w:rPr>
          <w:rFonts w:hint="eastAsia" w:ascii="宋体" w:hAnsi="宋体" w:cs="Arial"/>
          <w:lang w:val="en-US" w:eastAsia="zh-CN"/>
        </w:rPr>
        <w:t>6</w:t>
      </w:r>
      <w:r>
        <w:rPr>
          <w:rFonts w:hint="eastAsia" w:ascii="宋体" w:hAnsi="宋体" w:cs="Arial"/>
        </w:rPr>
        <w:t>楼</w:t>
      </w:r>
    </w:p>
    <w:p>
      <w:pPr>
        <w:pStyle w:val="23"/>
        <w:shd w:val="clear" w:color="auto" w:fill="FFFFFF"/>
        <w:spacing w:line="360" w:lineRule="auto"/>
        <w:ind w:firstLine="420"/>
        <w:contextualSpacing/>
        <w:jc w:val="left"/>
        <w:rPr>
          <w:rFonts w:ascii="宋体" w:hAnsi="宋体" w:cs="仿宋_GB2312"/>
        </w:rPr>
      </w:pPr>
      <w:r>
        <w:rPr>
          <w:rFonts w:hint="eastAsia" w:ascii="宋体" w:hAnsi="宋体" w:cs="仿宋_GB2312"/>
        </w:rPr>
        <w:t>联系人：王先生</w:t>
      </w:r>
    </w:p>
    <w:p>
      <w:pPr>
        <w:pStyle w:val="23"/>
        <w:shd w:val="clear" w:color="auto" w:fill="FFFFFF"/>
        <w:spacing w:line="360" w:lineRule="auto"/>
        <w:ind w:firstLine="420"/>
        <w:contextualSpacing/>
        <w:jc w:val="left"/>
        <w:rPr>
          <w:rFonts w:ascii="宋体" w:hAnsi="宋体" w:cs="仿宋_GB2312"/>
        </w:rPr>
      </w:pPr>
      <w:r>
        <w:rPr>
          <w:rFonts w:hint="eastAsia" w:ascii="宋体" w:hAnsi="宋体" w:cs="仿宋_GB2312"/>
        </w:rPr>
        <w:t>联系电话：18839971626</w:t>
      </w:r>
    </w:p>
    <w:p>
      <w:pPr>
        <w:widowControl/>
        <w:jc w:val="left"/>
        <w:rPr>
          <w:rFonts w:ascii="宋体" w:hAnsi="宋体" w:eastAsia="宋体"/>
          <w:b/>
          <w:sz w:val="28"/>
          <w:szCs w:val="28"/>
        </w:rPr>
      </w:pPr>
      <w:r>
        <w:rPr>
          <w:rFonts w:ascii="宋体" w:hAnsi="宋体" w:eastAsia="宋体"/>
          <w:b/>
          <w:sz w:val="28"/>
          <w:szCs w:val="28"/>
        </w:rPr>
        <w:br w:type="page"/>
      </w:r>
    </w:p>
    <w:p>
      <w:pPr>
        <w:jc w:val="left"/>
        <w:rPr>
          <w:rFonts w:ascii="宋体" w:hAnsi="宋体" w:eastAsia="宋体"/>
          <w:b/>
          <w:sz w:val="24"/>
          <w:szCs w:val="28"/>
        </w:rPr>
      </w:pPr>
      <w:r>
        <w:rPr>
          <w:rFonts w:hint="eastAsia" w:ascii="宋体" w:hAnsi="宋体" w:eastAsia="宋体"/>
          <w:b/>
          <w:sz w:val="24"/>
          <w:szCs w:val="28"/>
        </w:rPr>
        <w:t>温馨提示：本项目为全流程电子化交易项目，请注意以下事项。</w:t>
      </w:r>
    </w:p>
    <w:p>
      <w:pPr>
        <w:ind w:firstLine="240" w:firstLineChars="100"/>
        <w:jc w:val="left"/>
        <w:rPr>
          <w:rFonts w:ascii="宋体" w:hAnsi="宋体" w:eastAsia="宋体"/>
          <w:b/>
          <w:sz w:val="24"/>
          <w:szCs w:val="28"/>
        </w:rPr>
      </w:pPr>
      <w:r>
        <w:rPr>
          <w:rFonts w:hint="eastAsia" w:ascii="宋体" w:hAnsi="宋体" w:eastAsia="宋体" w:cs="仿宋_GB2312"/>
          <w:sz w:val="24"/>
          <w:szCs w:val="24"/>
        </w:rPr>
        <w:t>1、供应商参加本项目投标，需提前自行联系 CA 服务机构办理数字认证证书并进行电子签章。</w:t>
      </w:r>
    </w:p>
    <w:p>
      <w:pPr>
        <w:pStyle w:val="23"/>
        <w:shd w:val="clear" w:color="auto" w:fill="FFFFFF"/>
        <w:spacing w:line="360" w:lineRule="auto"/>
        <w:ind w:firstLine="240" w:firstLineChars="100"/>
        <w:contextualSpacing/>
        <w:jc w:val="left"/>
        <w:rPr>
          <w:rFonts w:ascii="宋体" w:hAnsi="宋体" w:cs="仿宋_GB2312"/>
        </w:rPr>
      </w:pPr>
      <w:r>
        <w:rPr>
          <w:rFonts w:hint="eastAsia" w:ascii="宋体" w:hAnsi="宋体" w:cs="仿宋_GB2312"/>
        </w:rPr>
        <w:t>2、招标文件下载、投标文件制作、提交、远程不见面开标（电子投标文件的解密）环节，投标人须使用同一个 CA 数字证书（证书须在有效期内并可正常使用））</w:t>
      </w:r>
    </w:p>
    <w:p>
      <w:pPr>
        <w:pStyle w:val="23"/>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3.电子投标文件的制作</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3.1 投标人登录《全国公共资源交易平台（河南省•许昌市）》公共资源交易系统（http://ggzy.xuchang.gov.cn:8088/ggzy/）下载“许昌投标文件制作系统 SEARUN 最新版本”，制作投标文件。</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3.2 投标人对同一项目多个标段进行投标的，应分别下载所投标段的招标文件，按标段制作投标文件。一个标段对应生成一个文件夹（xxxx 项目xx 标段），其中后缀名为“.file”的文件用于投标。</w:t>
      </w:r>
    </w:p>
    <w:p>
      <w:pPr>
        <w:pStyle w:val="23"/>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4、加密电子投标文件的提交</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4.1 投标人对同一项目多个标段进行投标的，加密电子投标文件应按标段分别提交。</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4.2 加密电子投标文件成功提交后，《全国公共资源交易平台（河南省•许昌市）》公共资源交易系统（http://ggzy.xuchang.gov.cn:8088/ggzy/）生成“投标文件提交回执单”。</w:t>
      </w:r>
    </w:p>
    <w:p>
      <w:pPr>
        <w:pStyle w:val="23"/>
        <w:shd w:val="clear" w:color="auto" w:fill="FFFFFF"/>
        <w:spacing w:line="360" w:lineRule="auto"/>
        <w:ind w:firstLine="241" w:firstLineChars="100"/>
        <w:contextualSpacing/>
        <w:jc w:val="left"/>
        <w:rPr>
          <w:rFonts w:ascii="宋体" w:hAnsi="宋体" w:cs="仿宋_GB2312"/>
          <w:b/>
        </w:rPr>
      </w:pPr>
      <w:r>
        <w:rPr>
          <w:rFonts w:hint="eastAsia" w:ascii="宋体" w:hAnsi="宋体" w:cs="仿宋_GB2312"/>
          <w:b/>
        </w:rPr>
        <w:t>5、远程不见面开标（电子投标文件的解密）</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5.1 本项目采用远程“不见面”开标方式，投标前请详细阅读全国公共资源交易平台（河南省•许昌市）首页“资料下载”栏目的《许昌市不见面操作手册（代理机构/投标人）》。</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5.2 投标人提前设置不见面开标浏览器，并于开标时间前登录本项目不见面开标大厅，按照规定的开标时间准时参加网上开标。</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5.4 开标活动结束时，投标人应在《开标记录表》上进行电子签章。投标人未签章的，视同认可开标结果。</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5.5 投标人对开标过程和开标记录如有疑义，可在本项目不见面开标大厅“文字互动”对话框或“新增质疑”处在线提出询问。</w:t>
      </w:r>
    </w:p>
    <w:p>
      <w:pPr>
        <w:pStyle w:val="23"/>
        <w:shd w:val="clear" w:color="auto" w:fill="FFFFFF"/>
        <w:spacing w:line="360" w:lineRule="auto"/>
        <w:ind w:firstLine="241" w:firstLineChars="100"/>
        <w:contextualSpacing/>
        <w:jc w:val="left"/>
        <w:rPr>
          <w:rFonts w:ascii="宋体" w:hAnsi="宋体" w:cs="仿宋_GB2312"/>
        </w:rPr>
      </w:pPr>
      <w:r>
        <w:rPr>
          <w:rFonts w:hint="eastAsia" w:ascii="宋体" w:hAnsi="宋体" w:cs="仿宋_GB2312"/>
          <w:b/>
        </w:rPr>
        <w:t>6、评标依据</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6.1 全流程电子化交易（不见面开标）项目，评标委员会以成功上传、解密的电子投标文件为依据评审。</w:t>
      </w:r>
    </w:p>
    <w:p>
      <w:pPr>
        <w:pStyle w:val="23"/>
        <w:shd w:val="clear" w:color="auto" w:fill="FFFFFF"/>
        <w:spacing w:line="360" w:lineRule="auto"/>
        <w:ind w:firstLine="480" w:firstLineChars="200"/>
        <w:contextualSpacing/>
        <w:jc w:val="left"/>
        <w:rPr>
          <w:rFonts w:ascii="宋体" w:hAnsi="宋体" w:cs="仿宋_GB2312"/>
        </w:rPr>
      </w:pPr>
      <w:r>
        <w:rPr>
          <w:rFonts w:hint="eastAsia" w:ascii="宋体" w:hAnsi="宋体" w:cs="仿宋_GB2312"/>
        </w:rPr>
        <w:t>6.2 评标期间，投标人应保持通讯手机畅通。评标委员会如要求投标人作出澄清、说明或者补正等，投标人应在评标委员会要求的评标期间合理的时间内通过电子邮件形式提供。</w:t>
      </w:r>
    </w:p>
    <w:p>
      <w:pPr>
        <w:pStyle w:val="23"/>
        <w:shd w:val="clear" w:color="auto" w:fill="FFFFFF"/>
        <w:spacing w:line="360" w:lineRule="auto"/>
        <w:ind w:firstLine="480" w:firstLineChars="200"/>
        <w:contextualSpacing/>
        <w:jc w:val="left"/>
        <w:rPr>
          <w:rFonts w:ascii="宋体" w:hAnsi="宋体" w:cs="仿宋_GB2312"/>
        </w:rPr>
        <w:sectPr>
          <w:footerReference r:id="rId3" w:type="default"/>
          <w:pgSz w:w="11906" w:h="16838"/>
          <w:pgMar w:top="1797" w:right="1440" w:bottom="1702" w:left="1440" w:header="851" w:footer="567" w:gutter="0"/>
          <w:pgNumType w:start="1"/>
          <w:cols w:space="425" w:num="1"/>
          <w:docGrid w:type="lines" w:linePitch="312" w:charSpace="0"/>
        </w:sectPr>
      </w:pPr>
      <w:r>
        <w:rPr>
          <w:rFonts w:hint="eastAsia" w:ascii="宋体" w:hAnsi="宋体" w:cs="仿宋_GB2312"/>
        </w:rPr>
        <w:t>6.3 投标人通过电子邮件提供的书面说明或相关证明材料应加盖公章，或者由法定代表人或其授权的代表签字</w:t>
      </w:r>
      <w:r>
        <w:rPr>
          <w:rFonts w:ascii="宋体" w:hAnsi="宋体" w:cs="仿宋_GB2312"/>
          <w:b/>
        </w:rPr>
        <w:br w:type="page"/>
      </w:r>
    </w:p>
    <w:p>
      <w:pPr>
        <w:spacing w:beforeLines="50" w:afterLines="50"/>
        <w:jc w:val="center"/>
        <w:outlineLvl w:val="0"/>
        <w:rPr>
          <w:rFonts w:ascii="宋体" w:hAnsi="宋体" w:eastAsia="宋体" w:cs="宋体"/>
          <w:b/>
          <w:kern w:val="0"/>
          <w:sz w:val="32"/>
          <w:szCs w:val="32"/>
        </w:rPr>
      </w:pPr>
      <w:bookmarkStart w:id="2" w:name="_Toc14299033"/>
      <w:bookmarkStart w:id="3" w:name="_Toc14299188"/>
      <w:r>
        <w:rPr>
          <w:rFonts w:hint="eastAsia" w:ascii="宋体" w:hAnsi="宋体" w:eastAsia="宋体" w:cs="宋体"/>
          <w:b/>
          <w:kern w:val="0"/>
          <w:sz w:val="32"/>
          <w:szCs w:val="32"/>
        </w:rPr>
        <w:t>第二章 项目需求</w:t>
      </w:r>
      <w:bookmarkEnd w:id="2"/>
      <w:bookmarkEnd w:id="3"/>
    </w:p>
    <w:p>
      <w:pPr>
        <w:pStyle w:val="41"/>
        <w:spacing w:afterLines="70"/>
        <w:ind w:left="720" w:firstLine="0" w:firstLineChars="0"/>
        <w:rPr>
          <w:rFonts w:ascii="宋体" w:hAnsi="宋体" w:eastAsia="宋体" w:cs="微软雅黑"/>
          <w:b/>
          <w:sz w:val="24"/>
          <w:szCs w:val="24"/>
        </w:rPr>
      </w:pPr>
    </w:p>
    <w:p>
      <w:pPr>
        <w:jc w:val="left"/>
        <w:rPr>
          <w:rFonts w:ascii="宋体" w:hAnsi="宋体" w:eastAsia="宋体" w:cs="微软雅黑"/>
          <w:b/>
          <w:sz w:val="24"/>
          <w:szCs w:val="24"/>
        </w:rPr>
      </w:pP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★一、采购标的执行标准</w:t>
      </w:r>
    </w:p>
    <w:p>
      <w:pPr>
        <w:spacing w:line="360" w:lineRule="auto"/>
        <w:ind w:firstLine="424" w:firstLineChars="177"/>
        <w:jc w:val="left"/>
        <w:rPr>
          <w:rFonts w:ascii="宋体" w:hAnsi="宋体" w:eastAsia="宋体" w:cs="宋体"/>
          <w:kern w:val="0"/>
          <w:sz w:val="24"/>
        </w:rPr>
      </w:pPr>
      <w:r>
        <w:rPr>
          <w:rFonts w:hint="eastAsia" w:ascii="宋体" w:hAnsi="宋体" w:eastAsia="宋体" w:cs="微软雅黑"/>
          <w:sz w:val="24"/>
          <w:szCs w:val="24"/>
        </w:rPr>
        <w:t>1、</w:t>
      </w:r>
      <w:r>
        <w:rPr>
          <w:rFonts w:hint="eastAsia" w:ascii="宋体" w:hAnsi="宋体" w:eastAsia="宋体" w:cs="宋体"/>
          <w:kern w:val="0"/>
          <w:sz w:val="24"/>
        </w:rPr>
        <w:t>按照采购清单所列的管养范围及等级要求进行对应的绿化管养；</w:t>
      </w:r>
    </w:p>
    <w:p>
      <w:pPr>
        <w:spacing w:line="360" w:lineRule="auto"/>
        <w:ind w:firstLine="424" w:firstLineChars="177"/>
        <w:jc w:val="left"/>
        <w:rPr>
          <w:rFonts w:ascii="宋体" w:hAnsi="宋体" w:eastAsia="宋体" w:cs="宋体"/>
          <w:kern w:val="0"/>
          <w:sz w:val="24"/>
        </w:rPr>
      </w:pPr>
      <w:r>
        <w:rPr>
          <w:rFonts w:hint="eastAsia" w:ascii="宋体" w:hAnsi="宋体" w:eastAsia="宋体" w:cs="微软雅黑"/>
          <w:sz w:val="24"/>
          <w:szCs w:val="24"/>
        </w:rPr>
        <w:t>2、</w:t>
      </w:r>
      <w:r>
        <w:rPr>
          <w:rFonts w:hint="eastAsia" w:ascii="宋体" w:hAnsi="宋体" w:eastAsia="宋体" w:cs="宋体"/>
          <w:kern w:val="0"/>
          <w:sz w:val="24"/>
        </w:rPr>
        <w:t>本项目的绿化管养执行《河南省城市绿地养护标准》（DBJ41/T172-2017）、《许昌市城市绿地养护标准（试行）》；</w:t>
      </w:r>
    </w:p>
    <w:p>
      <w:pPr>
        <w:spacing w:line="360" w:lineRule="auto"/>
        <w:ind w:firstLine="424" w:firstLineChars="177"/>
        <w:jc w:val="left"/>
        <w:rPr>
          <w:rFonts w:ascii="宋体" w:hAnsi="宋体" w:eastAsia="宋体" w:cs="微软雅黑"/>
          <w:b/>
          <w:sz w:val="24"/>
          <w:szCs w:val="24"/>
        </w:rPr>
      </w:pPr>
      <w:r>
        <w:rPr>
          <w:rFonts w:hint="eastAsia" w:ascii="宋体" w:hAnsi="宋体" w:eastAsia="宋体" w:cs="宋体"/>
          <w:kern w:val="0"/>
          <w:sz w:val="24"/>
        </w:rPr>
        <w:t>3、国家及地方颁布的法律、法规，许昌市及东城区制定的其他相关工作标准。</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★二、采购清单</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本项目辖区现绿化总面积约4216807平方米。其中，一级养护路段2999194平方米；二级养护路段835336平方米；三级养护路段382277平方米（具体面积以第三方出具的测绘报告为准）；项目包含城市道路绿化修剪、灌溉、病虫害防治、补植补栽及游园内保洁等工作。项目地址：许昌市东城区辖区内养护绿地及游园广场。</w:t>
      </w:r>
    </w:p>
    <w:tbl>
      <w:tblPr>
        <w:tblStyle w:val="24"/>
        <w:tblW w:w="7218" w:type="dxa"/>
        <w:jc w:val="center"/>
        <w:tblLayout w:type="fixed"/>
        <w:tblCellMar>
          <w:top w:w="0" w:type="dxa"/>
          <w:left w:w="108" w:type="dxa"/>
          <w:bottom w:w="0" w:type="dxa"/>
          <w:right w:w="108" w:type="dxa"/>
        </w:tblCellMar>
      </w:tblPr>
      <w:tblGrid>
        <w:gridCol w:w="932"/>
        <w:gridCol w:w="2117"/>
        <w:gridCol w:w="2831"/>
        <w:gridCol w:w="1338"/>
      </w:tblGrid>
      <w:tr>
        <w:tblPrEx>
          <w:tblCellMar>
            <w:top w:w="0" w:type="dxa"/>
            <w:left w:w="108" w:type="dxa"/>
            <w:bottom w:w="0" w:type="dxa"/>
            <w:right w:w="108" w:type="dxa"/>
          </w:tblCellMar>
        </w:tblPrEx>
        <w:trPr>
          <w:trHeight w:val="591" w:hRule="atLeast"/>
          <w:jc w:val="center"/>
        </w:trPr>
        <w:tc>
          <w:tcPr>
            <w:tcW w:w="932" w:type="dxa"/>
            <w:vMerge w:val="restart"/>
            <w:tcBorders>
              <w:top w:val="single" w:color="auto" w:sz="8" w:space="0"/>
              <w:left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2117"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名称</w:t>
            </w:r>
          </w:p>
        </w:tc>
        <w:tc>
          <w:tcPr>
            <w:tcW w:w="2831"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管养面积（㎡）</w:t>
            </w:r>
          </w:p>
        </w:tc>
        <w:tc>
          <w:tcPr>
            <w:tcW w:w="1338"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备注</w:t>
            </w:r>
          </w:p>
        </w:tc>
      </w:tr>
      <w:tr>
        <w:tblPrEx>
          <w:tblCellMar>
            <w:top w:w="0" w:type="dxa"/>
            <w:left w:w="108" w:type="dxa"/>
            <w:bottom w:w="0" w:type="dxa"/>
            <w:right w:w="108" w:type="dxa"/>
          </w:tblCellMar>
        </w:tblPrEx>
        <w:trPr>
          <w:trHeight w:val="312" w:hRule="atLeast"/>
          <w:jc w:val="center"/>
        </w:trPr>
        <w:tc>
          <w:tcPr>
            <w:tcW w:w="93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2117"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2831"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338"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trHeight w:val="578"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21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cs="仿宋_GB2312"/>
                <w:shd w:val="clear" w:color="auto" w:fill="FFFFFF"/>
              </w:rPr>
              <w:t>一级养护路段</w:t>
            </w:r>
          </w:p>
        </w:tc>
        <w:tc>
          <w:tcPr>
            <w:tcW w:w="283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cs="仿宋_GB2312"/>
                <w:shd w:val="clear" w:color="auto" w:fill="FFFFFF"/>
              </w:rPr>
              <w:t>2999194</w:t>
            </w:r>
          </w:p>
        </w:tc>
        <w:tc>
          <w:tcPr>
            <w:tcW w:w="1338" w:type="dxa"/>
            <w:vMerge w:val="restart"/>
            <w:tcBorders>
              <w:top w:val="nil"/>
              <w:left w:val="nil"/>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具体面积以第三方出具的测绘报告为准</w:t>
            </w:r>
          </w:p>
        </w:tc>
      </w:tr>
      <w:tr>
        <w:tblPrEx>
          <w:tblCellMar>
            <w:top w:w="0" w:type="dxa"/>
            <w:left w:w="108" w:type="dxa"/>
            <w:bottom w:w="0" w:type="dxa"/>
            <w:right w:w="108" w:type="dxa"/>
          </w:tblCellMar>
        </w:tblPrEx>
        <w:trPr>
          <w:trHeight w:val="578"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21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cs="仿宋_GB2312"/>
                <w:shd w:val="clear" w:color="auto" w:fill="FFFFFF"/>
              </w:rPr>
              <w:t>二级养护路段</w:t>
            </w:r>
          </w:p>
        </w:tc>
        <w:tc>
          <w:tcPr>
            <w:tcW w:w="283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835336</w:t>
            </w:r>
          </w:p>
        </w:tc>
        <w:tc>
          <w:tcPr>
            <w:tcW w:w="1338" w:type="dxa"/>
            <w:vMerge w:val="continue"/>
            <w:tcBorders>
              <w:left w:val="nil"/>
              <w:right w:val="single" w:color="auto" w:sz="4" w:space="0"/>
            </w:tcBorders>
            <w:shd w:val="clear" w:color="auto" w:fill="auto"/>
            <w:vAlign w:val="center"/>
          </w:tcPr>
          <w:p>
            <w:pPr>
              <w:jc w:val="center"/>
              <w:rPr>
                <w:rFonts w:ascii="宋体" w:hAnsi="宋体" w:cs="仿宋_GB2312"/>
                <w:shd w:val="clear" w:color="auto" w:fill="FFFFFF"/>
              </w:rPr>
            </w:pPr>
          </w:p>
        </w:tc>
      </w:tr>
      <w:tr>
        <w:tblPrEx>
          <w:tblCellMar>
            <w:top w:w="0" w:type="dxa"/>
            <w:left w:w="108" w:type="dxa"/>
            <w:bottom w:w="0" w:type="dxa"/>
            <w:right w:w="108" w:type="dxa"/>
          </w:tblCellMar>
        </w:tblPrEx>
        <w:trPr>
          <w:trHeight w:val="578"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3</w:t>
            </w:r>
          </w:p>
        </w:tc>
        <w:tc>
          <w:tcPr>
            <w:tcW w:w="21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cs="仿宋_GB2312"/>
                <w:shd w:val="clear" w:color="auto" w:fill="FFFFFF"/>
              </w:rPr>
              <w:t>三级养护路段</w:t>
            </w:r>
          </w:p>
        </w:tc>
        <w:tc>
          <w:tcPr>
            <w:tcW w:w="283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382277</w:t>
            </w:r>
          </w:p>
        </w:tc>
        <w:tc>
          <w:tcPr>
            <w:tcW w:w="1338" w:type="dxa"/>
            <w:vMerge w:val="continue"/>
            <w:tcBorders>
              <w:left w:val="nil"/>
              <w:right w:val="single" w:color="auto" w:sz="4" w:space="0"/>
            </w:tcBorders>
            <w:shd w:val="clear" w:color="auto" w:fill="auto"/>
            <w:vAlign w:val="center"/>
          </w:tcPr>
          <w:p>
            <w:pPr>
              <w:jc w:val="center"/>
              <w:rPr>
                <w:rFonts w:ascii="宋体" w:hAnsi="宋体" w:cs="仿宋_GB2312"/>
                <w:shd w:val="clear" w:color="auto" w:fill="FFFFFF"/>
              </w:rPr>
            </w:pPr>
          </w:p>
        </w:tc>
      </w:tr>
      <w:tr>
        <w:tblPrEx>
          <w:tblCellMar>
            <w:top w:w="0" w:type="dxa"/>
            <w:left w:w="108" w:type="dxa"/>
            <w:bottom w:w="0" w:type="dxa"/>
            <w:right w:w="108" w:type="dxa"/>
          </w:tblCellMar>
        </w:tblPrEx>
        <w:trPr>
          <w:trHeight w:val="578"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4</w:t>
            </w:r>
          </w:p>
        </w:tc>
        <w:tc>
          <w:tcPr>
            <w:tcW w:w="21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cs="仿宋_GB2312"/>
                <w:shd w:val="clear" w:color="auto" w:fill="FFFFFF"/>
              </w:rPr>
              <w:t>合计</w:t>
            </w:r>
          </w:p>
        </w:tc>
        <w:tc>
          <w:tcPr>
            <w:tcW w:w="283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4216807</w:t>
            </w:r>
          </w:p>
        </w:tc>
        <w:tc>
          <w:tcPr>
            <w:tcW w:w="1338" w:type="dxa"/>
            <w:vMerge w:val="continue"/>
            <w:tcBorders>
              <w:left w:val="nil"/>
              <w:bottom w:val="single" w:color="auto" w:sz="4" w:space="0"/>
              <w:right w:val="single" w:color="auto" w:sz="4" w:space="0"/>
            </w:tcBorders>
            <w:shd w:val="clear" w:color="auto" w:fill="auto"/>
            <w:vAlign w:val="center"/>
          </w:tcPr>
          <w:p>
            <w:pPr>
              <w:jc w:val="center"/>
              <w:rPr>
                <w:rFonts w:ascii="宋体" w:hAnsi="宋体" w:cs="仿宋_GB2312"/>
                <w:shd w:val="clear" w:color="auto" w:fill="FFFFFF"/>
              </w:rPr>
            </w:pPr>
          </w:p>
        </w:tc>
      </w:tr>
    </w:tbl>
    <w:p>
      <w:pPr>
        <w:spacing w:line="360" w:lineRule="auto"/>
        <w:jc w:val="left"/>
        <w:rPr>
          <w:rFonts w:ascii="宋体" w:hAnsi="宋体" w:eastAsia="宋体" w:cs="微软雅黑"/>
          <w:b/>
          <w:sz w:val="24"/>
          <w:szCs w:val="24"/>
        </w:rPr>
      </w:pPr>
    </w:p>
    <w:p>
      <w:pPr>
        <w:spacing w:line="360" w:lineRule="auto"/>
        <w:jc w:val="left"/>
        <w:rPr>
          <w:rFonts w:ascii="宋体" w:hAnsi="宋体" w:eastAsia="宋体" w:cs="微软雅黑"/>
          <w:b/>
          <w:sz w:val="24"/>
          <w:szCs w:val="24"/>
        </w:rPr>
      </w:pP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★三、服务标准、期限等要求</w:t>
      </w:r>
    </w:p>
    <w:p>
      <w:pPr>
        <w:widowControl/>
        <w:spacing w:line="360" w:lineRule="auto"/>
        <w:ind w:firstLine="424" w:firstLineChars="177"/>
        <w:jc w:val="left"/>
        <w:rPr>
          <w:rFonts w:ascii="宋体" w:hAnsi="宋体" w:eastAsia="宋体" w:cs="微软雅黑"/>
          <w:sz w:val="24"/>
          <w:szCs w:val="24"/>
        </w:rPr>
      </w:pPr>
      <w:r>
        <w:rPr>
          <w:rFonts w:hint="eastAsia" w:ascii="宋体" w:hAnsi="宋体" w:eastAsia="宋体" w:cs="微软雅黑"/>
          <w:sz w:val="24"/>
          <w:szCs w:val="24"/>
        </w:rPr>
        <w:t>1、服务标准要求：达到</w:t>
      </w:r>
      <w:r>
        <w:rPr>
          <w:rFonts w:hint="eastAsia" w:ascii="宋体" w:hAnsi="宋体" w:eastAsia="宋体" w:cs="宋体"/>
          <w:kern w:val="0"/>
          <w:sz w:val="24"/>
        </w:rPr>
        <w:t>《河南省城市绿地养护标准》（DBJ41/T172-2017）、《许昌市城市绿地养护标准（试行）》园林绿化养护标准“分类养护”、“游园广场内绿地保洁”、“</w:t>
      </w:r>
      <w:r>
        <w:rPr>
          <w:rFonts w:hint="eastAsia" w:eastAsia="宋体"/>
        </w:rPr>
        <w:t>抗旱、防汛、防火</w:t>
      </w:r>
      <w:r>
        <w:rPr>
          <w:rFonts w:hint="eastAsia" w:ascii="宋体" w:hAnsi="宋体" w:eastAsia="宋体" w:cs="宋体"/>
          <w:kern w:val="0"/>
          <w:sz w:val="24"/>
        </w:rPr>
        <w:t>”。</w:t>
      </w:r>
    </w:p>
    <w:p>
      <w:pPr>
        <w:widowControl/>
        <w:spacing w:line="360" w:lineRule="auto"/>
        <w:ind w:firstLine="424" w:firstLineChars="177"/>
        <w:jc w:val="left"/>
        <w:rPr>
          <w:rFonts w:ascii="宋体" w:hAnsi="宋体" w:eastAsia="宋体" w:cs="微软雅黑"/>
          <w:sz w:val="24"/>
          <w:szCs w:val="24"/>
        </w:rPr>
      </w:pPr>
      <w:r>
        <w:rPr>
          <w:rFonts w:hint="eastAsia" w:ascii="宋体" w:hAnsi="宋体" w:eastAsia="宋体" w:cs="微软雅黑"/>
          <w:sz w:val="24"/>
          <w:szCs w:val="24"/>
        </w:rPr>
        <w:t>2、服务期限：自合同</w:t>
      </w:r>
      <w:r>
        <w:rPr>
          <w:rFonts w:hint="eastAsia" w:ascii="宋体" w:hAnsi="宋体" w:eastAsia="宋体" w:cs="微软雅黑"/>
          <w:sz w:val="24"/>
          <w:szCs w:val="24"/>
          <w:lang w:val="en-US" w:eastAsia="zh-CN"/>
        </w:rPr>
        <w:t>生效</w:t>
      </w:r>
      <w:r>
        <w:rPr>
          <w:rFonts w:hint="eastAsia" w:ascii="宋体" w:hAnsi="宋体" w:eastAsia="宋体" w:cs="微软雅黑"/>
          <w:sz w:val="24"/>
          <w:szCs w:val="24"/>
        </w:rPr>
        <w:t>之日起3年。</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四、采购标的的其他技术、服务等要求</w:t>
      </w:r>
    </w:p>
    <w:p>
      <w:pPr>
        <w:spacing w:line="360" w:lineRule="auto"/>
        <w:ind w:firstLine="426" w:firstLineChars="177"/>
        <w:jc w:val="left"/>
        <w:rPr>
          <w:rFonts w:ascii="宋体" w:hAnsi="宋体" w:eastAsia="宋体" w:cs="宋体"/>
          <w:b/>
          <w:bCs/>
          <w:kern w:val="0"/>
          <w:sz w:val="24"/>
        </w:rPr>
      </w:pPr>
      <w:r>
        <w:rPr>
          <w:rFonts w:hint="eastAsia" w:ascii="宋体" w:hAnsi="宋体" w:eastAsia="宋体" w:cs="宋体"/>
          <w:b/>
          <w:bCs/>
          <w:kern w:val="0"/>
          <w:sz w:val="24"/>
        </w:rPr>
        <w:t xml:space="preserve">1、绿化养护 </w:t>
      </w:r>
    </w:p>
    <w:p>
      <w:pPr>
        <w:spacing w:line="360" w:lineRule="auto"/>
        <w:ind w:firstLine="426" w:firstLineChars="177"/>
        <w:jc w:val="left"/>
        <w:rPr>
          <w:rFonts w:ascii="宋体" w:hAnsi="宋体" w:eastAsia="宋体" w:cs="宋体"/>
          <w:b/>
          <w:bCs/>
          <w:kern w:val="0"/>
          <w:sz w:val="24"/>
        </w:rPr>
      </w:pPr>
      <w:r>
        <w:rPr>
          <w:rFonts w:hint="eastAsia" w:ascii="宋体" w:hAnsi="宋体" w:eastAsia="宋体" w:cs="宋体"/>
          <w:b/>
          <w:bCs/>
          <w:kern w:val="0"/>
          <w:sz w:val="24"/>
        </w:rPr>
        <w:t>1.1绿化养护管理要求：</w:t>
      </w:r>
    </w:p>
    <w:p>
      <w:pPr>
        <w:spacing w:line="360" w:lineRule="auto"/>
        <w:ind w:firstLine="424" w:firstLineChars="177"/>
        <w:jc w:val="left"/>
        <w:rPr>
          <w:rFonts w:ascii="宋体" w:hAnsi="宋体" w:eastAsia="宋体" w:cs="宋体"/>
          <w:color w:val="auto"/>
          <w:kern w:val="0"/>
          <w:sz w:val="24"/>
        </w:rPr>
      </w:pPr>
      <w:r>
        <w:rPr>
          <w:rFonts w:hint="eastAsia" w:ascii="宋体" w:hAnsi="宋体" w:eastAsia="宋体" w:cs="宋体"/>
          <w:kern w:val="0"/>
          <w:sz w:val="24"/>
        </w:rPr>
        <w:t>（1）人员配备：项目管理人员配备中包括（但不限于）技术人员10名、专业车辆</w:t>
      </w:r>
      <w:r>
        <w:rPr>
          <w:rFonts w:hint="eastAsia" w:ascii="宋体" w:hAnsi="宋体" w:eastAsia="宋体" w:cs="宋体"/>
          <w:color w:val="auto"/>
          <w:kern w:val="0"/>
          <w:sz w:val="24"/>
        </w:rPr>
        <w:t>司机人员15人，保洁人员74名、管养人员195名。</w:t>
      </w:r>
    </w:p>
    <w:p>
      <w:pPr>
        <w:spacing w:line="360" w:lineRule="auto"/>
        <w:ind w:firstLine="424" w:firstLineChars="177"/>
        <w:jc w:val="left"/>
        <w:rPr>
          <w:rFonts w:ascii="宋体" w:hAnsi="宋体" w:eastAsia="宋体" w:cs="宋体"/>
          <w:color w:val="auto"/>
          <w:kern w:val="0"/>
          <w:sz w:val="24"/>
        </w:rPr>
      </w:pPr>
      <w:r>
        <w:rPr>
          <w:rFonts w:hint="eastAsia" w:ascii="宋体" w:hAnsi="宋体" w:eastAsia="宋体" w:cs="宋体"/>
          <w:color w:val="auto"/>
          <w:kern w:val="0"/>
          <w:sz w:val="24"/>
        </w:rPr>
        <w:t>（2）按照标准配备管养及保洁人员（游园人均保洁面积：每人不低于18400㎡、</w:t>
      </w:r>
      <w:r>
        <w:rPr>
          <w:rFonts w:hint="eastAsia" w:ascii="宋体" w:hAnsi="宋体" w:eastAsia="宋体" w:cs="宋体"/>
          <w:color w:val="auto"/>
          <w:kern w:val="0"/>
          <w:sz w:val="24"/>
          <w:lang w:eastAsia="zh-CN"/>
        </w:rPr>
        <w:t>绿地</w:t>
      </w:r>
      <w:r>
        <w:rPr>
          <w:rFonts w:hint="eastAsia" w:ascii="宋体" w:hAnsi="宋体" w:eastAsia="宋体" w:cs="宋体"/>
          <w:color w:val="auto"/>
          <w:kern w:val="0"/>
          <w:sz w:val="24"/>
        </w:rPr>
        <w:t>人均管养面积：每人不低于22000㎡），投标人须承诺在中标后所配备管养及保洁人员不低于所列标准要求。</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color w:val="auto"/>
          <w:kern w:val="0"/>
          <w:sz w:val="24"/>
        </w:rPr>
        <w:t>（3）管养设备配备：投标人投入本项目的管养设备包括（但不限于）水车、雾炮车、高空作业车、清运卡车、</w:t>
      </w:r>
      <w:r>
        <w:rPr>
          <w:rFonts w:hint="eastAsia" w:ascii="宋体" w:hAnsi="宋体" w:eastAsia="宋体" w:cs="宋体"/>
          <w:color w:val="auto"/>
          <w:kern w:val="0"/>
          <w:sz w:val="24"/>
          <w:lang w:eastAsia="zh-CN"/>
        </w:rPr>
        <w:t>清运三轮车、</w:t>
      </w:r>
      <w:r>
        <w:rPr>
          <w:rFonts w:hint="eastAsia" w:ascii="宋体" w:hAnsi="宋体" w:eastAsia="宋体" w:cs="宋体"/>
          <w:color w:val="auto"/>
          <w:kern w:val="0"/>
          <w:sz w:val="24"/>
        </w:rPr>
        <w:t>水泵、割灌</w:t>
      </w:r>
      <w:r>
        <w:rPr>
          <w:rFonts w:hint="eastAsia" w:ascii="宋体" w:hAnsi="宋体" w:eastAsia="宋体" w:cs="宋体"/>
          <w:kern w:val="0"/>
          <w:sz w:val="24"/>
        </w:rPr>
        <w:t>机、草坪修剪机、绿篱修剪机、高枝锯、油锯等。</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（4）根据植物生态习性，合理修剪，留枝均匀，疏密合理，剪口平滑，保持树形整齐美观，枝繁叶茂。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（5）绿篱生长旺盛、修剪整齐、合理、无死株、缺档。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（6）草坪生长繁茂、平整、无杂草，高度控制在 5 厘米左右，无裸露地面，无成片枯黄。枯黄面积不得超过总面积的 1%。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（7）草坪等绿地内保持无杂草生长，无杂藤攀援树木，无污物、垃圾等。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（8）树木花草基本无病虫危害症状，病虫害危害率控制在 5%以下，无药害现象。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（9）无人为损害花草树木现象。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（10）基本无枯枝、死树。 </w:t>
      </w:r>
    </w:p>
    <w:p>
      <w:pPr>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（11）园容整洁卫生，园路平整，无坑洼、无积水、无焚烧垃圾树叶现象。</w:t>
      </w:r>
    </w:p>
    <w:p>
      <w:pPr>
        <w:spacing w:line="360" w:lineRule="auto"/>
        <w:ind w:firstLine="426" w:firstLineChars="177"/>
        <w:jc w:val="left"/>
        <w:rPr>
          <w:rFonts w:ascii="宋体" w:hAnsi="宋体" w:eastAsia="宋体" w:cs="宋体"/>
          <w:b/>
          <w:bCs/>
          <w:kern w:val="0"/>
          <w:sz w:val="24"/>
        </w:rPr>
      </w:pPr>
      <w:r>
        <w:rPr>
          <w:rFonts w:hint="eastAsia" w:ascii="宋体" w:hAnsi="宋体" w:eastAsia="宋体" w:cs="宋体"/>
          <w:b/>
          <w:bCs/>
          <w:kern w:val="0"/>
          <w:sz w:val="24"/>
        </w:rPr>
        <w:t xml:space="preserve">1.2养护标准：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（1）乔、灌木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春：①逐步撤除防寒设施和防寒物，根据墒情进行灌溉与施肥，为树木萌发生长创造适宜的水肥条件；②补植缺株；③对原有和新植树木进行抹芽；④风害树木顺势扶正，根部培土成馒头型，并立支柱；⑤做好春季病虫害防治工作，三月份即开始进 行全面预防喷药；⑥做好雨季防涝的工作准备。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夏：①抓紧浇水抗旱，雨水过多时加强排水防涝；②严防病虫害，特别是叶面病虫害的发生；③进行生长期修剪，宜尽量从轻，主要控制竞争枝、内膛枝、直立枝、徒长枝的发生和长势，以集中营养供骨干枝旺盛生长之需；④及时清除杂草以防草荒。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秋：①继续做好抗旱排涝后期工作，旱时灌水，涝时及时排积水；②做好秋季植树；③防治病虫害，及时进行药物喷洒；④沤制菜枯肥，为施冬肥做好准备。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冬：①进行冬季整形修剪，幼树的修剪以整形为主，对观叶树以控制侧枝生长，促进主枝生长为目的，修去病虫枝、徒长枝、过密枝、枯死枝以及藤蔓寄生植物，保持树形优美；②开环状沟施冬肥，保障来年生长；③做好防寒工作，对新栽不耐寒树种树干基部以上缠绕草绳御寒；④防治病虫害，消灭越冬虫包、虫茧和幼虫；⑤做好防火工作，堆积落叶及时清理。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（2）草坪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春：①对已被破坏的草皮地段进行春季修复工作；②防治草皮病虫害，春季主要防治地老虎和草坪锈病、枯萎病；③四月份开始对草坪进行修剪及草坪与植株带之间的切边④春末进行草坪施肥，以氮、鳞、钾为主；⑤杂草防除是春季草坪养护重点。对阔叶型杂草可用除莠剂进行化学防治，其他杂草应加紧预防，加强人工拔除。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夏：①做好草坪抗旱工作，及时浇水，水量要充足；②根据草坪营养状况，酌情施肥；③继续草坪除杂工作；④草坪到一定高度及时修剪，及时清场，防止草坪的过于茂盛滋生病害影响后期生长；⑤检查虫情病情，采取预防措施。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秋：①草坪出现缺水指标时及时进行灌溉；②九月份可照旧剪草，到十月份逐渐10 </w:t>
      </w:r>
    </w:p>
    <w:p>
      <w:pPr>
        <w:spacing w:line="360" w:lineRule="auto"/>
        <w:jc w:val="left"/>
        <w:rPr>
          <w:rFonts w:ascii="宋体" w:hAnsi="宋体" w:eastAsia="宋体" w:cs="宋体"/>
          <w:kern w:val="0"/>
          <w:sz w:val="24"/>
        </w:rPr>
      </w:pPr>
      <w:r>
        <w:rPr>
          <w:rFonts w:hint="eastAsia" w:ascii="宋体" w:hAnsi="宋体" w:eastAsia="宋体" w:cs="宋体"/>
          <w:kern w:val="0"/>
          <w:sz w:val="24"/>
        </w:rPr>
        <w:t xml:space="preserve">停止，最后一、二次修剪应提高留茬高度；③挖除丛生的荒草，修复草坪；④做好病虫害防治工作；⑤清除落叶杂物，保持草坪清洁干净；⑥视草坪生长情况，进行一次秋季施肥，以氮肥为主。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冬：①在晴朗天气对草坪进行最后一次高茬修剪；②继续除杂；③清理、保养好所有草坪设备，以便过冬；④全面清理草坪；⑤做好防火工作，对祭祀行为及时上报，并联合办事处、公安进行制止。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（3）绿篱及模纹图案、花坛花带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修剪适时整形，保持整齐美观，修杂乱枝及藤蔓枯枝，做到线直面平或一定的造型形式，及时清理现场，及时掌握病虫害疫情，做好预防措施。冬春两季施有机肥，通过翻挖松土结合抗旱，使有机肥料进入土壤。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（4）卫生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清除游园绿地内（含树上悬挂物）的枯枝落叶和一切杂物垃圾。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（5）养护效果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枝肥叶茂，绿草如茵、平整美观。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2.2、草花施工技术要求：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1）品种要求：采购方每次所采购的花卉中标方必须提供样品，得到采购方认定后以样品苗为标准供应栽植，若送达现场的草花不符合规格要求，采购方有权拒收，供应商需无条件进行更换成符合招标文件要求的规格草花，所有费用由供应商承担。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（2）施工要求：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①对草花的栽植施工阶段每一环节，先与采购方沟通，把影响因素降至最低。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②拌种植土与回填：为确保花卉成活率，种植前需要对土壤进行准备，应将良性种植土与各种肥料，按一定比例进行搅拌，搅拌均匀后进行回填。对不符合要求的土壤需进行必要的改良，撒施营养土和腐殖酸颗粒复合肥进行改良，达到良好的土肥结构。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③整地过程中，花坛内泥土土层面应低于花坛口 4cm 左右。种植前对土壤进行除草、翻晒，清除土壤中的碎石及其他杂物，必要时需对土壤进行喷洒高锰酸钾进行消毒处理。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④种植时，应将新土覆盖原土球 2—3cm，种植后无裸露的根部，覆土平整。尽量不将草花原土球弄散，以防伤根。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⑤草花种植完毕后，及时清理现场杂物以及多余土壤和残花残叶。并及时安排水泵或者水车淋水，第一次浇水时应避免水流过大，造成所栽草花倒伏，并保持植株清洁。二天内再进行第二次浇水，并做到浇透和浇到位。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⑥基本养护：需按绿化养护管理技术规范标准进行养护管理，定期清除残花败叶及杂草，确保观赏效果。定期浇水，做到见干即浇。定期进行病虫害防治和施肥。对于种植区域的草花，如出现死亡、枯叶情况，及时更新补种。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⑦各种材料进场时都要经过检验。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（3）技术要求：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①花卉种植地或摆放地应保持清洁，培育的花苗健壮、品种纯正、无枯黄、无病虫害，各种花卉生长茂盛，开花整齐。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②地栽花卉，每平方米内植株覆盖率小苗期应达到 90%，成苗期应达到 100%以上。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③供应商需据采购方提供的现场施工质量和技术要求及变更及时与采购方保持联系，以满足采购方和技术上的要求，掌握绿地施工、养管、验收规范和标准。现场人员还要与采购方协商解决施工过程中出现的问题。采购方协助中标单位协调外部关系。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（4）质量要求：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①项目涉及的各种肥料花卉应严格按照设计所要求的规格进行采购及选种并认真进行检疫。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②施工过程中严格检验各种工程材料的合格证、化验单、实验报告等材质单。加强工序管理，实行中间验收制度，均在自检的基础上，由采购方验收。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③花卉栽植保证成活率达到 98%以上，郁闭率达到 100%。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④种植前对场地进行平整、精平、沉降经采购方验收合格后方可进行种植。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（5）管养内容：管养期内，中标人应负责本工程范围内所有花卉供应、栽植、养护、正常浇水、施肥、防治病虫害以及及时进行复绿补栽工作等。 </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 xml:space="preserve">（6）日常管养期间，中标人应长期派驻 2 名经验丰富的专职园丁带队进行管养。因出现管养问题采购方提出要求，中标人在接到通知后三天内进行整改。否则采购人可另行委托其他单位和人员进行整改，造成的相关费用由中标人承担。 </w:t>
      </w:r>
    </w:p>
    <w:p>
      <w:pPr>
        <w:spacing w:line="360" w:lineRule="auto"/>
        <w:ind w:firstLine="424" w:firstLineChars="177"/>
        <w:jc w:val="left"/>
        <w:rPr>
          <w:rFonts w:ascii="宋体" w:hAnsi="宋体" w:eastAsia="宋体" w:cs="宋体"/>
          <w:kern w:val="0"/>
          <w:sz w:val="24"/>
        </w:rPr>
      </w:pP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rPr>
        <w:t>5、中标人设施、车辆配备包含（但不限于）以下内容</w:t>
      </w:r>
    </w:p>
    <w:p>
      <w:pPr>
        <w:spacing w:line="360" w:lineRule="auto"/>
        <w:ind w:firstLine="426" w:firstLineChars="177"/>
        <w:jc w:val="left"/>
        <w:rPr>
          <w:rFonts w:ascii="宋体" w:hAnsi="宋体" w:eastAsia="宋体" w:cs="宋体"/>
          <w:b/>
          <w:bCs/>
          <w:kern w:val="0"/>
          <w:sz w:val="24"/>
        </w:rPr>
      </w:pPr>
      <w:r>
        <w:rPr>
          <w:rFonts w:hint="eastAsia" w:ascii="宋体" w:hAnsi="宋体" w:eastAsia="宋体" w:cs="宋体"/>
          <w:b/>
          <w:bCs/>
          <w:kern w:val="0"/>
          <w:sz w:val="24"/>
        </w:rPr>
        <w:t>设施配备清单</w:t>
      </w:r>
    </w:p>
    <w:tbl>
      <w:tblPr>
        <w:tblStyle w:val="24"/>
        <w:tblW w:w="8998" w:type="dxa"/>
        <w:tblInd w:w="91" w:type="dxa"/>
        <w:tblLayout w:type="autofit"/>
        <w:tblCellMar>
          <w:top w:w="0" w:type="dxa"/>
          <w:left w:w="108" w:type="dxa"/>
          <w:bottom w:w="0" w:type="dxa"/>
          <w:right w:w="108" w:type="dxa"/>
        </w:tblCellMar>
      </w:tblPr>
      <w:tblGrid>
        <w:gridCol w:w="1316"/>
        <w:gridCol w:w="3707"/>
        <w:gridCol w:w="2524"/>
        <w:gridCol w:w="1451"/>
      </w:tblGrid>
      <w:tr>
        <w:tblPrEx>
          <w:tblCellMar>
            <w:top w:w="0" w:type="dxa"/>
            <w:left w:w="108" w:type="dxa"/>
            <w:bottom w:w="0" w:type="dxa"/>
            <w:right w:w="108" w:type="dxa"/>
          </w:tblCellMar>
        </w:tblPrEx>
        <w:trPr>
          <w:trHeight w:val="369" w:hRule="exact"/>
        </w:trPr>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序号</w:t>
            </w:r>
          </w:p>
        </w:tc>
        <w:tc>
          <w:tcPr>
            <w:tcW w:w="3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种类</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数量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单位</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圆盘机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推草机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绿篱修剪机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大油锯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高枝锯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高杆油锯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小手锯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液压剪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大平剪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小手剪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铁锨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大耙子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小耙子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大扫帚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簸箕加小扫把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镊子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垃圾包（大）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垃圾包（小）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r>
      <w:tr>
        <w:tblPrEx>
          <w:tblCellMar>
            <w:top w:w="0" w:type="dxa"/>
            <w:left w:w="108" w:type="dxa"/>
            <w:bottom w:w="0" w:type="dxa"/>
            <w:right w:w="108" w:type="dxa"/>
          </w:tblCellMar>
        </w:tblPrEx>
        <w:trPr>
          <w:trHeight w:val="369"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抽水泵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个</w:t>
            </w:r>
          </w:p>
        </w:tc>
      </w:tr>
    </w:tbl>
    <w:p>
      <w:pPr>
        <w:spacing w:line="360" w:lineRule="auto"/>
        <w:ind w:firstLine="426" w:firstLineChars="177"/>
        <w:jc w:val="left"/>
        <w:rPr>
          <w:rFonts w:ascii="宋体" w:hAnsi="宋体" w:eastAsia="宋体" w:cs="宋体"/>
          <w:b/>
          <w:bCs/>
          <w:kern w:val="0"/>
          <w:sz w:val="24"/>
        </w:rPr>
      </w:pPr>
      <w:r>
        <w:rPr>
          <w:rFonts w:hint="eastAsia" w:ascii="宋体" w:hAnsi="宋体" w:eastAsia="宋体" w:cs="宋体"/>
          <w:b/>
          <w:bCs/>
          <w:kern w:val="0"/>
          <w:sz w:val="24"/>
        </w:rPr>
        <w:t>车辆配备清单</w:t>
      </w:r>
    </w:p>
    <w:tbl>
      <w:tblPr>
        <w:tblStyle w:val="24"/>
        <w:tblW w:w="9147" w:type="dxa"/>
        <w:jc w:val="center"/>
        <w:tblLayout w:type="fixed"/>
        <w:tblCellMar>
          <w:top w:w="0" w:type="dxa"/>
          <w:left w:w="108" w:type="dxa"/>
          <w:bottom w:w="0" w:type="dxa"/>
          <w:right w:w="108" w:type="dxa"/>
        </w:tblCellMar>
      </w:tblPr>
      <w:tblGrid>
        <w:gridCol w:w="1151"/>
        <w:gridCol w:w="3244"/>
        <w:gridCol w:w="1408"/>
        <w:gridCol w:w="1020"/>
        <w:gridCol w:w="2324"/>
      </w:tblGrid>
      <w:tr>
        <w:tblPrEx>
          <w:tblCellMar>
            <w:top w:w="0" w:type="dxa"/>
            <w:left w:w="108" w:type="dxa"/>
            <w:bottom w:w="0" w:type="dxa"/>
            <w:right w:w="108" w:type="dxa"/>
          </w:tblCellMar>
        </w:tblPrEx>
        <w:trPr>
          <w:trHeight w:val="456" w:hRule="atLeast"/>
          <w:jc w:val="center"/>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bookmarkStart w:id="4" w:name="OLE_LINK1" w:colFirst="4" w:colLast="4"/>
            <w:r>
              <w:rPr>
                <w:rFonts w:hint="eastAsia" w:ascii="宋体" w:hAnsi="宋体" w:eastAsia="宋体" w:cs="宋体"/>
                <w:color w:val="000000"/>
                <w:kern w:val="0"/>
                <w:sz w:val="24"/>
                <w:szCs w:val="24"/>
              </w:rPr>
              <w:t>1</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清运卡车</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4"/>
                <w:szCs w:val="24"/>
              </w:rPr>
            </w:pPr>
            <w:r>
              <w:rPr>
                <w:rFonts w:hint="eastAsia" w:ascii="宋体" w:hAnsi="宋体"/>
                <w:color w:val="000000"/>
                <w:sz w:val="24"/>
                <w:szCs w:val="24"/>
              </w:rPr>
              <w:t>车斗4.2米以上</w:t>
            </w:r>
          </w:p>
        </w:tc>
      </w:tr>
      <w:tr>
        <w:tblPrEx>
          <w:tblCellMar>
            <w:top w:w="0" w:type="dxa"/>
            <w:left w:w="108" w:type="dxa"/>
            <w:bottom w:w="0" w:type="dxa"/>
            <w:right w:w="108" w:type="dxa"/>
          </w:tblCellMar>
        </w:tblPrEx>
        <w:trPr>
          <w:trHeight w:val="456" w:hRule="atLeast"/>
          <w:jc w:val="center"/>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高空作业车</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4"/>
                <w:szCs w:val="24"/>
              </w:rPr>
            </w:pPr>
            <w:r>
              <w:rPr>
                <w:rFonts w:hint="eastAsia" w:ascii="宋体" w:hAnsi="宋体"/>
                <w:color w:val="000000"/>
                <w:sz w:val="24"/>
                <w:szCs w:val="24"/>
              </w:rPr>
              <w:t>升降高度15米以上</w:t>
            </w:r>
          </w:p>
        </w:tc>
      </w:tr>
      <w:tr>
        <w:tblPrEx>
          <w:tblCellMar>
            <w:top w:w="0" w:type="dxa"/>
            <w:left w:w="108" w:type="dxa"/>
            <w:bottom w:w="0" w:type="dxa"/>
            <w:right w:w="108" w:type="dxa"/>
          </w:tblCellMar>
        </w:tblPrEx>
        <w:trPr>
          <w:trHeight w:val="456" w:hRule="atLeast"/>
          <w:jc w:val="center"/>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胶轮钩机</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4"/>
                <w:szCs w:val="24"/>
              </w:rPr>
            </w:pPr>
            <w:r>
              <w:rPr>
                <w:rFonts w:hint="eastAsia" w:ascii="宋体" w:hAnsi="宋体"/>
                <w:color w:val="000000"/>
                <w:sz w:val="24"/>
                <w:szCs w:val="24"/>
              </w:rPr>
              <w:t>16吨以上</w:t>
            </w:r>
          </w:p>
        </w:tc>
      </w:tr>
      <w:tr>
        <w:tblPrEx>
          <w:tblCellMar>
            <w:top w:w="0" w:type="dxa"/>
            <w:left w:w="108" w:type="dxa"/>
            <w:bottom w:w="0" w:type="dxa"/>
            <w:right w:w="108" w:type="dxa"/>
          </w:tblCellMar>
        </w:tblPrEx>
        <w:trPr>
          <w:trHeight w:val="456" w:hRule="atLeast"/>
          <w:jc w:val="center"/>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洒水车</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4"/>
                <w:szCs w:val="24"/>
              </w:rPr>
            </w:pPr>
            <w:r>
              <w:rPr>
                <w:rFonts w:hint="eastAsia" w:ascii="宋体" w:hAnsi="宋体"/>
                <w:color w:val="000000"/>
                <w:sz w:val="24"/>
                <w:szCs w:val="24"/>
              </w:rPr>
              <w:t>20吨以上</w:t>
            </w:r>
          </w:p>
        </w:tc>
      </w:tr>
      <w:tr>
        <w:tblPrEx>
          <w:tblCellMar>
            <w:top w:w="0" w:type="dxa"/>
            <w:left w:w="108" w:type="dxa"/>
            <w:bottom w:w="0" w:type="dxa"/>
            <w:right w:w="108" w:type="dxa"/>
          </w:tblCellMar>
        </w:tblPrEx>
        <w:trPr>
          <w:trHeight w:val="456" w:hRule="atLeast"/>
          <w:jc w:val="center"/>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喷雾车</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4"/>
                <w:szCs w:val="24"/>
              </w:rPr>
            </w:pPr>
            <w:r>
              <w:rPr>
                <w:rFonts w:hint="eastAsia" w:ascii="宋体" w:hAnsi="宋体"/>
                <w:color w:val="000000"/>
                <w:sz w:val="24"/>
                <w:szCs w:val="24"/>
              </w:rPr>
              <w:t>20吨以上</w:t>
            </w:r>
          </w:p>
        </w:tc>
      </w:tr>
      <w:tr>
        <w:tblPrEx>
          <w:tblCellMar>
            <w:top w:w="0" w:type="dxa"/>
            <w:left w:w="108" w:type="dxa"/>
            <w:bottom w:w="0" w:type="dxa"/>
            <w:right w:w="108" w:type="dxa"/>
          </w:tblCellMar>
        </w:tblPrEx>
        <w:trPr>
          <w:trHeight w:val="456" w:hRule="atLeast"/>
          <w:jc w:val="center"/>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绿篱修剪车</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4"/>
                <w:szCs w:val="24"/>
              </w:rPr>
            </w:pPr>
            <w:r>
              <w:rPr>
                <w:rFonts w:hint="eastAsia" w:ascii="宋体" w:hAnsi="宋体"/>
                <w:color w:val="000000"/>
                <w:sz w:val="24"/>
                <w:szCs w:val="24"/>
              </w:rPr>
              <w:t>/</w:t>
            </w:r>
          </w:p>
        </w:tc>
      </w:tr>
      <w:tr>
        <w:tblPrEx>
          <w:tblCellMar>
            <w:top w:w="0" w:type="dxa"/>
            <w:left w:w="108" w:type="dxa"/>
            <w:bottom w:w="0" w:type="dxa"/>
            <w:right w:w="108" w:type="dxa"/>
          </w:tblCellMar>
        </w:tblPrEx>
        <w:trPr>
          <w:trHeight w:val="468" w:hRule="atLeast"/>
          <w:jc w:val="center"/>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电动三轮</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olor w:val="000000"/>
                <w:sz w:val="24"/>
                <w:szCs w:val="24"/>
              </w:rPr>
            </w:pPr>
            <w:r>
              <w:rPr>
                <w:rFonts w:hint="eastAsia" w:ascii="宋体" w:hAnsi="宋体"/>
                <w:color w:val="000000"/>
                <w:sz w:val="24"/>
                <w:szCs w:val="24"/>
              </w:rPr>
              <w:t>宽1.2m，长2m</w:t>
            </w:r>
          </w:p>
        </w:tc>
      </w:tr>
      <w:bookmarkEnd w:id="4"/>
    </w:tbl>
    <w:p>
      <w:pPr>
        <w:spacing w:line="360" w:lineRule="auto"/>
        <w:ind w:firstLine="424" w:firstLineChars="177"/>
        <w:jc w:val="left"/>
        <w:rPr>
          <w:rFonts w:ascii="宋体" w:hAnsi="宋体" w:eastAsia="宋体" w:cs="宋体"/>
          <w:kern w:val="0"/>
          <w:sz w:val="24"/>
        </w:rPr>
      </w:pP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★五、验收标准</w:t>
      </w:r>
    </w:p>
    <w:p>
      <w:pPr>
        <w:spacing w:line="360" w:lineRule="auto"/>
        <w:ind w:firstLine="424" w:firstLineChars="177"/>
        <w:contextualSpacing/>
        <w:rPr>
          <w:rFonts w:ascii="宋体" w:hAnsi="宋体" w:eastAsia="宋体" w:cs="仿宋_GB2312"/>
          <w:sz w:val="24"/>
          <w:szCs w:val="24"/>
          <w:lang w:val="zh-CN"/>
        </w:rPr>
      </w:pPr>
      <w:r>
        <w:rPr>
          <w:rFonts w:hint="eastAsia" w:ascii="宋体" w:hAnsi="宋体" w:eastAsia="宋体" w:cs="仿宋_GB2312"/>
          <w:sz w:val="24"/>
          <w:szCs w:val="24"/>
          <w:lang w:val="zh-CN"/>
        </w:rPr>
        <w:t>由采购人成立验收小组，按照招标文件要求、投标文件响应和承诺以及采购合同的约定的标准，每年度末对中标人的每一项技术、服务、安全标准履约情况进行验收。</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★六、本项目预算金额：</w:t>
      </w:r>
      <w:r>
        <w:rPr>
          <w:rFonts w:hint="eastAsia" w:ascii="宋体" w:hAnsi="宋体" w:eastAsia="宋体" w:cs="仿宋_GB2312"/>
          <w:sz w:val="24"/>
          <w:szCs w:val="24"/>
        </w:rPr>
        <w:t>159000000元</w:t>
      </w:r>
      <w:r>
        <w:rPr>
          <w:rFonts w:hint="eastAsia" w:ascii="宋体" w:hAnsi="宋体" w:eastAsia="宋体" w:cs="仿宋_GB2312"/>
          <w:sz w:val="24"/>
          <w:szCs w:val="24"/>
          <w:lang w:val="zh-CN"/>
        </w:rPr>
        <w:t>；最高限价：159000000元</w:t>
      </w:r>
      <w:r>
        <w:rPr>
          <w:rFonts w:hint="eastAsia" w:ascii="宋体" w:hAnsi="宋体" w:eastAsia="宋体" w:cs="仿宋_GB2312"/>
          <w:sz w:val="24"/>
          <w:szCs w:val="24"/>
        </w:rPr>
        <w:t>，超出最高限价的投标无效。</w:t>
      </w:r>
    </w:p>
    <w:p>
      <w:pPr>
        <w:spacing w:line="360" w:lineRule="auto"/>
        <w:jc w:val="left"/>
        <w:rPr>
          <w:rFonts w:ascii="宋体" w:hAnsi="宋体" w:eastAsia="宋体" w:cs="微软雅黑"/>
          <w:b/>
          <w:sz w:val="24"/>
          <w:szCs w:val="24"/>
        </w:rPr>
      </w:pPr>
      <w:r>
        <w:rPr>
          <w:rFonts w:hint="eastAsia" w:ascii="宋体" w:hAnsi="宋体" w:eastAsia="宋体" w:cs="微软雅黑"/>
          <w:b/>
          <w:sz w:val="24"/>
          <w:szCs w:val="24"/>
        </w:rPr>
        <w:t>★七、资金支付</w:t>
      </w:r>
    </w:p>
    <w:p>
      <w:pPr>
        <w:spacing w:line="360" w:lineRule="auto"/>
        <w:ind w:firstLine="424" w:firstLineChars="177"/>
        <w:jc w:val="left"/>
        <w:rPr>
          <w:rFonts w:ascii="宋体" w:hAnsi="宋体" w:eastAsia="宋体" w:cs="宋体"/>
          <w:kern w:val="0"/>
          <w:sz w:val="24"/>
        </w:rPr>
      </w:pPr>
      <w:r>
        <w:rPr>
          <w:rFonts w:hint="eastAsia" w:ascii="宋体" w:hAnsi="宋体" w:eastAsia="宋体" w:cs="宋体"/>
          <w:kern w:val="0"/>
          <w:sz w:val="24"/>
          <w:szCs w:val="24"/>
          <w:lang w:val="zh-CN"/>
        </w:rPr>
        <w:t>1、支付方式：银行转账。</w:t>
      </w:r>
    </w:p>
    <w:p>
      <w:pPr>
        <w:widowControl/>
        <w:shd w:val="clear" w:color="auto" w:fill="FFFFFF"/>
        <w:spacing w:line="360" w:lineRule="auto"/>
        <w:ind w:firstLine="424" w:firstLineChars="177"/>
        <w:contextualSpacing/>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2、支付时间及条件：一年支付一次，服务期满支付全部费用，付款前中标人按照合同向招标人提供正规发票。（管养面积以第三方测绘公司出具的正式报告为准）</w:t>
      </w:r>
    </w:p>
    <w:p>
      <w:pPr>
        <w:rPr>
          <w:rFonts w:ascii="宋体" w:hAnsi="宋体" w:eastAsia="宋体" w:cs="宋体"/>
          <w:b/>
          <w:kern w:val="0"/>
          <w:sz w:val="32"/>
          <w:szCs w:val="32"/>
        </w:rPr>
      </w:pPr>
      <w:bookmarkStart w:id="5" w:name="_Toc14299189"/>
      <w:bookmarkStart w:id="6" w:name="_Toc14299034"/>
      <w:r>
        <w:rPr>
          <w:rFonts w:hint="eastAsia" w:ascii="宋体" w:hAnsi="宋体" w:eastAsia="宋体" w:cs="宋体"/>
          <w:b/>
          <w:kern w:val="0"/>
          <w:sz w:val="32"/>
          <w:szCs w:val="32"/>
        </w:rPr>
        <w:br w:type="page"/>
      </w:r>
    </w:p>
    <w:p>
      <w:pPr>
        <w:spacing w:beforeLines="50" w:afterLines="50"/>
        <w:jc w:val="center"/>
        <w:outlineLvl w:val="0"/>
        <w:rPr>
          <w:rFonts w:ascii="宋体" w:hAnsi="宋体" w:eastAsia="宋体" w:cs="宋体"/>
          <w:b/>
          <w:kern w:val="0"/>
          <w:sz w:val="32"/>
          <w:szCs w:val="32"/>
        </w:rPr>
      </w:pPr>
      <w:r>
        <w:rPr>
          <w:rFonts w:hint="eastAsia" w:ascii="宋体" w:hAnsi="宋体" w:eastAsia="宋体" w:cs="宋体"/>
          <w:b/>
          <w:kern w:val="0"/>
          <w:sz w:val="32"/>
          <w:szCs w:val="32"/>
        </w:rPr>
        <w:t>第三章 投标人须知前附表</w:t>
      </w:r>
      <w:bookmarkEnd w:id="5"/>
      <w:bookmarkEnd w:id="6"/>
    </w:p>
    <w:p>
      <w:pPr>
        <w:autoSpaceDE w:val="0"/>
        <w:autoSpaceDN w:val="0"/>
        <w:adjustRightInd w:val="0"/>
        <w:spacing w:line="360" w:lineRule="auto"/>
        <w:ind w:right="-11" w:firstLine="424" w:firstLineChars="201"/>
        <w:jc w:val="left"/>
        <w:rPr>
          <w:rFonts w:ascii="宋体" w:hAnsi="宋体" w:eastAsia="宋体" w:cs="宋体"/>
          <w:b/>
          <w:kern w:val="0"/>
          <w:szCs w:val="21"/>
        </w:rPr>
      </w:pPr>
      <w:r>
        <w:rPr>
          <w:rFonts w:hint="eastAsia" w:ascii="宋体" w:hAnsi="宋体" w:eastAsia="宋体" w:cs="微软雅黑"/>
          <w:b/>
          <w:szCs w:val="21"/>
        </w:rPr>
        <w:t>招标文件中凡标有★条款均为实质性要求条款，投标文件须完全响应，未实质响应的，按照无效投标处理。</w:t>
      </w:r>
    </w:p>
    <w:tbl>
      <w:tblPr>
        <w:tblStyle w:val="24"/>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79"/>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1779"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738"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177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738" w:type="dxa"/>
          </w:tcPr>
          <w:p>
            <w:pPr>
              <w:autoSpaceDE w:val="0"/>
              <w:autoSpaceDN w:val="0"/>
              <w:adjustRightInd w:val="0"/>
              <w:spacing w:line="360" w:lineRule="auto"/>
              <w:jc w:val="left"/>
            </w:pPr>
            <w:r>
              <w:rPr>
                <w:rFonts w:hint="eastAsia"/>
              </w:rPr>
              <w:t>项目名称：许昌市东城区综合执法局绿化管养项目</w:t>
            </w:r>
          </w:p>
          <w:p>
            <w:pPr>
              <w:autoSpaceDE w:val="0"/>
              <w:autoSpaceDN w:val="0"/>
              <w:adjustRightInd w:val="0"/>
              <w:spacing w:line="360" w:lineRule="auto"/>
              <w:jc w:val="left"/>
            </w:pPr>
            <w:r>
              <w:rPr>
                <w:rFonts w:hint="eastAsia"/>
              </w:rPr>
              <w:t>项目编号：JZFCG-G2022038号</w:t>
            </w:r>
          </w:p>
          <w:p>
            <w:pPr>
              <w:autoSpaceDE w:val="0"/>
              <w:autoSpaceDN w:val="0"/>
              <w:adjustRightInd w:val="0"/>
              <w:spacing w:line="360" w:lineRule="auto"/>
              <w:jc w:val="left"/>
            </w:pPr>
            <w:r>
              <w:rPr>
                <w:rFonts w:hint="eastAsia"/>
              </w:rPr>
              <w:t>项目内容：</w:t>
            </w:r>
            <w:r>
              <w:rPr>
                <w:rFonts w:hint="eastAsia" w:ascii="宋体" w:hAnsi="宋体" w:cs="仿宋_GB2312"/>
                <w:shd w:val="clear" w:color="auto" w:fill="FFFFFF"/>
              </w:rPr>
              <w:t>本项目辖区现绿化总面积约4216807平方米。其中，一级养护路段2999194平方米；二级养护路段835336平方米；三级养护路段382277平方米（</w:t>
            </w:r>
            <w:r>
              <w:rPr>
                <w:rFonts w:hint="eastAsia" w:ascii="宋体" w:hAnsi="宋体" w:eastAsia="宋体" w:cs="宋体"/>
                <w:kern w:val="0"/>
                <w:szCs w:val="21"/>
              </w:rPr>
              <w:t>具体面积以第三方出具的测绘报告为准</w:t>
            </w:r>
            <w:r>
              <w:rPr>
                <w:rFonts w:hint="eastAsia" w:ascii="宋体" w:hAnsi="宋体" w:cs="仿宋_GB2312"/>
                <w:shd w:val="clear" w:color="auto" w:fill="FFFFFF"/>
              </w:rPr>
              <w:t>）；项目包含城市道路绿化修剪、灌溉、病虫害防治、补植补栽及游园内保洁等工作；</w:t>
            </w:r>
          </w:p>
          <w:p>
            <w:pPr>
              <w:autoSpaceDE w:val="0"/>
              <w:autoSpaceDN w:val="0"/>
              <w:adjustRightInd w:val="0"/>
              <w:spacing w:line="360" w:lineRule="auto"/>
              <w:jc w:val="left"/>
            </w:pPr>
            <w:r>
              <w:rPr>
                <w:rFonts w:hint="eastAsia"/>
              </w:rPr>
              <w:t>项目地址：</w:t>
            </w:r>
            <w:r>
              <w:rPr>
                <w:rFonts w:hint="eastAsia" w:ascii="宋体" w:hAnsi="宋体" w:cs="仿宋_GB2312"/>
                <w:shd w:val="clear" w:color="auto" w:fill="FFFFFF"/>
              </w:rPr>
              <w:t>许昌市东城区辖区内养护绿地及游园广场。</w:t>
            </w:r>
          </w:p>
          <w:p>
            <w:pPr>
              <w:pStyle w:val="2"/>
              <w:ind w:firstLine="0" w:firstLineChars="0"/>
              <w:rPr>
                <w:rFonts w:hint="eastAsia" w:eastAsiaTheme="minorEastAsia"/>
                <w:lang w:eastAsia="zh-CN"/>
              </w:rPr>
            </w:pPr>
            <w:r>
              <w:rPr>
                <w:rFonts w:hint="eastAsia" w:asciiTheme="minorHAnsi" w:hAnsiTheme="minorHAnsi" w:eastAsiaTheme="minorEastAsia" w:cstheme="minorBidi"/>
                <w:kern w:val="2"/>
                <w:sz w:val="21"/>
                <w:szCs w:val="22"/>
              </w:rPr>
              <w:t>服务期限：</w:t>
            </w:r>
            <w:r>
              <w:rPr>
                <w:rFonts w:hint="eastAsia" w:asciiTheme="minorHAnsi" w:hAnsiTheme="minorHAnsi" w:eastAsiaTheme="minorEastAsia" w:cstheme="minorBidi"/>
                <w:kern w:val="2"/>
                <w:sz w:val="21"/>
                <w:szCs w:val="22"/>
                <w:lang w:eastAsia="zh-CN"/>
              </w:rPr>
              <w:t>自合同生效之日起 3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177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738"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名称：许昌市东城区综合执法局</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地址：许昌市新兴路东段</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联系人：王先生</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 xml:space="preserve">联系电话：13733691210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177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代理机构</w:t>
            </w:r>
          </w:p>
        </w:tc>
        <w:tc>
          <w:tcPr>
            <w:tcW w:w="6738"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代理机构：河南立创工程管理有限公司</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 址：许昌市莲城大厦</w:t>
            </w:r>
            <w:r>
              <w:rPr>
                <w:rFonts w:hint="eastAsia" w:ascii="宋体" w:hAnsi="宋体" w:eastAsia="宋体" w:cs="仿宋_GB2312"/>
                <w:szCs w:val="21"/>
                <w:lang w:val="en-US" w:eastAsia="zh-CN"/>
              </w:rPr>
              <w:t>6</w:t>
            </w:r>
            <w:r>
              <w:rPr>
                <w:rFonts w:hint="eastAsia" w:ascii="宋体" w:hAnsi="宋体" w:eastAsia="宋体" w:cs="仿宋_GB2312"/>
                <w:szCs w:val="21"/>
              </w:rPr>
              <w:t>楼</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联系人：王先生</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联系电话：18839971626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177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投标人资格</w:t>
            </w:r>
          </w:p>
        </w:tc>
        <w:tc>
          <w:tcPr>
            <w:tcW w:w="6738" w:type="dxa"/>
            <w:vAlign w:val="center"/>
          </w:tcPr>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一、中小企业或者残疾人福利性单位声明函</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 中小企业出具《中小企业声明函》</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 残疾人福利性单位出具《残疾人福利企业声明函》</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二、符合《政府采购法》第二十二条规定</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 具有独立承担民事责任的能力；</w:t>
            </w:r>
          </w:p>
          <w:p>
            <w:pPr>
              <w:autoSpaceDE w:val="0"/>
              <w:autoSpaceDN w:val="0"/>
              <w:adjustRightInd w:val="0"/>
              <w:spacing w:line="360" w:lineRule="auto"/>
              <w:ind w:right="-11"/>
              <w:rPr>
                <w:rFonts w:ascii="宋体" w:hAnsi="宋体" w:eastAsia="宋体" w:cs="仿宋_GB2312"/>
                <w:bCs/>
                <w:szCs w:val="21"/>
              </w:rPr>
            </w:pPr>
            <w:r>
              <w:rPr>
                <w:rFonts w:hint="eastAsia" w:ascii="宋体" w:hAnsi="宋体" w:eastAsia="宋体" w:cs="仿宋_GB2312"/>
                <w:bCs/>
                <w:szCs w:val="21"/>
              </w:rPr>
              <w:t>2. 具有良好的商业信誉和健全的财务会计制度；</w:t>
            </w:r>
          </w:p>
          <w:p>
            <w:pPr>
              <w:autoSpaceDE w:val="0"/>
              <w:autoSpaceDN w:val="0"/>
              <w:adjustRightInd w:val="0"/>
              <w:spacing w:line="360" w:lineRule="auto"/>
              <w:ind w:right="-11"/>
              <w:rPr>
                <w:rFonts w:ascii="宋体" w:hAnsi="宋体" w:eastAsia="宋体" w:cs="仿宋_GB2312"/>
                <w:bCs/>
                <w:szCs w:val="21"/>
              </w:rPr>
            </w:pPr>
            <w:r>
              <w:rPr>
                <w:rFonts w:hint="eastAsia" w:ascii="宋体" w:hAnsi="宋体" w:eastAsia="宋体" w:cs="仿宋_GB2312"/>
                <w:bCs/>
                <w:szCs w:val="21"/>
              </w:rPr>
              <w:t>3. 具有履行合同所必需的设备和专业技术能力；</w:t>
            </w:r>
          </w:p>
          <w:p>
            <w:pPr>
              <w:autoSpaceDE w:val="0"/>
              <w:autoSpaceDN w:val="0"/>
              <w:adjustRightInd w:val="0"/>
              <w:spacing w:line="360" w:lineRule="auto"/>
              <w:ind w:right="-11"/>
              <w:rPr>
                <w:rFonts w:ascii="宋体" w:hAnsi="宋体" w:eastAsia="宋体" w:cs="仿宋_GB2312"/>
                <w:bCs/>
                <w:szCs w:val="21"/>
              </w:rPr>
            </w:pPr>
            <w:r>
              <w:rPr>
                <w:rFonts w:hint="eastAsia" w:ascii="宋体" w:hAnsi="宋体" w:eastAsia="宋体" w:cs="仿宋_GB2312"/>
                <w:bCs/>
                <w:szCs w:val="21"/>
              </w:rPr>
              <w:t>4. 具有依法缴纳税收和社会保障资金的良好记录；</w:t>
            </w:r>
          </w:p>
          <w:p>
            <w:pPr>
              <w:autoSpaceDE w:val="0"/>
              <w:autoSpaceDN w:val="0"/>
              <w:adjustRightInd w:val="0"/>
              <w:spacing w:line="360" w:lineRule="auto"/>
              <w:ind w:right="-11"/>
              <w:rPr>
                <w:rFonts w:ascii="宋体" w:hAnsi="宋体" w:eastAsia="宋体" w:cs="仿宋_GB2312"/>
                <w:bCs/>
                <w:szCs w:val="21"/>
              </w:rPr>
            </w:pPr>
            <w:r>
              <w:rPr>
                <w:rFonts w:hint="eastAsia" w:ascii="宋体" w:hAnsi="宋体" w:eastAsia="宋体" w:cs="仿宋_GB2312"/>
                <w:bCs/>
                <w:szCs w:val="21"/>
              </w:rPr>
              <w:t>5. 参加政府采购活动前三年内，在经营活动中没有重大违法记录；</w:t>
            </w:r>
          </w:p>
          <w:p>
            <w:pPr>
              <w:autoSpaceDE w:val="0"/>
              <w:autoSpaceDN w:val="0"/>
              <w:adjustRightInd w:val="0"/>
              <w:spacing w:line="360" w:lineRule="auto"/>
              <w:ind w:right="-11"/>
              <w:rPr>
                <w:rFonts w:ascii="宋体" w:hAnsi="宋体" w:eastAsia="宋体" w:cs="仿宋_GB2312"/>
                <w:bCs/>
                <w:szCs w:val="21"/>
              </w:rPr>
            </w:pPr>
            <w:r>
              <w:rPr>
                <w:rFonts w:hint="eastAsia" w:ascii="宋体" w:hAnsi="宋体" w:eastAsia="宋体" w:cs="仿宋_GB2312"/>
                <w:bCs/>
                <w:szCs w:val="21"/>
              </w:rPr>
              <w:t>注：</w:t>
            </w:r>
          </w:p>
          <w:p>
            <w:pPr>
              <w:autoSpaceDE w:val="0"/>
              <w:autoSpaceDN w:val="0"/>
              <w:adjustRightInd w:val="0"/>
              <w:spacing w:line="360" w:lineRule="auto"/>
              <w:ind w:right="-11"/>
              <w:rPr>
                <w:rFonts w:ascii="宋体" w:hAnsi="宋体" w:eastAsia="宋体" w:cs="仿宋_GB2312"/>
                <w:bCs/>
                <w:szCs w:val="21"/>
              </w:rPr>
            </w:pPr>
            <w:r>
              <w:rPr>
                <w:rFonts w:hint="eastAsia" w:ascii="宋体" w:hAnsi="宋体" w:eastAsia="宋体" w:cs="仿宋_GB2312"/>
                <w:bCs/>
                <w:szCs w:val="21"/>
              </w:rPr>
              <w:t>1、 供应商在投标时，提供《许昌市政府采购供应商信用承诺函》（详见招标文件第八章 3.7 格式），无需再提交上述证明材料。</w:t>
            </w:r>
          </w:p>
          <w:p>
            <w:pPr>
              <w:autoSpaceDE w:val="0"/>
              <w:autoSpaceDN w:val="0"/>
              <w:adjustRightInd w:val="0"/>
              <w:spacing w:line="360" w:lineRule="auto"/>
              <w:ind w:right="-11"/>
              <w:rPr>
                <w:rFonts w:ascii="宋体" w:hAnsi="宋体" w:eastAsia="宋体" w:cs="仿宋_GB2312"/>
                <w:bCs/>
                <w:szCs w:val="21"/>
              </w:rPr>
            </w:pPr>
            <w:r>
              <w:rPr>
                <w:rFonts w:hint="eastAsia" w:ascii="宋体" w:hAnsi="宋体" w:eastAsia="宋体" w:cs="仿宋_GB2312"/>
                <w:bCs/>
                <w:szCs w:val="21"/>
              </w:rPr>
              <w:t>2、 采购人有权在签订合同前要求中标供应商提供相关证明材料以核实中标供应商承诺事项的真实性。</w:t>
            </w:r>
          </w:p>
          <w:p>
            <w:pPr>
              <w:autoSpaceDE w:val="0"/>
              <w:autoSpaceDN w:val="0"/>
              <w:adjustRightInd w:val="0"/>
              <w:spacing w:line="360" w:lineRule="auto"/>
              <w:ind w:right="-11"/>
              <w:rPr>
                <w:rFonts w:ascii="宋体" w:hAnsi="宋体" w:eastAsia="宋体" w:cs="仿宋_GB2312"/>
                <w:bCs/>
                <w:szCs w:val="21"/>
              </w:rPr>
            </w:pPr>
            <w:r>
              <w:rPr>
                <w:rFonts w:hint="eastAsia" w:ascii="宋体" w:hAnsi="宋体" w:eastAsia="宋体" w:cs="仿宋_GB2312"/>
                <w:bCs/>
                <w:szCs w:val="21"/>
              </w:rPr>
              <w:t>3、 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1779"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联合体投标</w:t>
            </w:r>
          </w:p>
        </w:tc>
        <w:tc>
          <w:tcPr>
            <w:tcW w:w="6738"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1779"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最高限价</w:t>
            </w:r>
          </w:p>
        </w:tc>
        <w:tc>
          <w:tcPr>
            <w:tcW w:w="6738" w:type="dxa"/>
            <w:vAlign w:val="center"/>
          </w:tcPr>
          <w:p>
            <w:pPr>
              <w:autoSpaceDE w:val="0"/>
              <w:autoSpaceDN w:val="0"/>
              <w:adjustRightInd w:val="0"/>
              <w:spacing w:line="276" w:lineRule="auto"/>
              <w:rPr>
                <w:rFonts w:ascii="宋体" w:hAnsi="宋体" w:eastAsia="宋体" w:cs="宋体"/>
                <w:b/>
                <w:bCs/>
                <w:szCs w:val="21"/>
                <w:lang w:val="zh-CN"/>
              </w:rPr>
            </w:pPr>
            <w:r>
              <w:rPr>
                <w:rFonts w:hint="eastAsia" w:ascii="宋体" w:hAnsi="宋体" w:eastAsia="宋体" w:cs="宋体"/>
                <w:b/>
                <w:bCs/>
                <w:szCs w:val="21"/>
                <w:lang w:val="zh-CN"/>
              </w:rPr>
              <w:t>本项目最高限价为：159000000元</w:t>
            </w:r>
            <w:r>
              <w:rPr>
                <w:rFonts w:hint="eastAsia" w:ascii="宋体" w:hAnsi="宋体" w:eastAsia="宋体" w:cs="宋体"/>
                <w:b/>
                <w:bCs/>
                <w:szCs w:val="21"/>
              </w:rPr>
              <w:t>，</w:t>
            </w:r>
            <w:r>
              <w:rPr>
                <w:rFonts w:hint="eastAsia" w:ascii="宋体" w:hAnsi="宋体" w:eastAsia="宋体" w:cs="宋体"/>
                <w:b/>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1779"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现场考察</w:t>
            </w:r>
          </w:p>
        </w:tc>
        <w:tc>
          <w:tcPr>
            <w:tcW w:w="6738"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1779"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738"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177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738" w:type="dxa"/>
            <w:vAlign w:val="center"/>
          </w:tcPr>
          <w:p>
            <w:pPr>
              <w:autoSpaceDE w:val="0"/>
              <w:autoSpaceDN w:val="0"/>
              <w:adjustRightInd w:val="0"/>
              <w:spacing w:line="276" w:lineRule="auto"/>
              <w:rPr>
                <w:rFonts w:ascii="宋体" w:hAnsi="宋体" w:eastAsia="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177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投标有效期</w:t>
            </w:r>
          </w:p>
        </w:tc>
        <w:tc>
          <w:tcPr>
            <w:tcW w:w="6738" w:type="dxa"/>
            <w:vAlign w:val="center"/>
          </w:tcPr>
          <w:p>
            <w:pPr>
              <w:autoSpaceDE w:val="0"/>
              <w:autoSpaceDN w:val="0"/>
              <w:adjustRightInd w:val="0"/>
              <w:spacing w:line="360" w:lineRule="auto"/>
              <w:ind w:right="-11" w:firstLine="336" w:firstLineChars="160"/>
              <w:rPr>
                <w:rFonts w:ascii="宋体" w:hAnsi="宋体" w:eastAsia="宋体" w:cs="宋体"/>
                <w:bCs/>
                <w:szCs w:val="21"/>
                <w:lang w:val="zh-CN"/>
              </w:rPr>
            </w:pPr>
            <w:r>
              <w:rPr>
                <w:rFonts w:hint="eastAsia" w:ascii="宋体" w:hAnsi="宋体" w:eastAsia="宋体" w:cs="仿宋_GB2312"/>
                <w:szCs w:val="21"/>
              </w:rPr>
              <w:t>90日历天（</w:t>
            </w:r>
            <w:r>
              <w:rPr>
                <w:rFonts w:hint="eastAsia" w:ascii="宋体" w:hAnsi="宋体" w:eastAsia="宋体" w:cs="宋体"/>
                <w:bCs/>
                <w:szCs w:val="21"/>
                <w:lang w:val="zh-CN"/>
              </w:rPr>
              <w:t>自提交投标文件的截止之日起算）</w:t>
            </w:r>
          </w:p>
          <w:p>
            <w:pPr>
              <w:autoSpaceDE w:val="0"/>
              <w:autoSpaceDN w:val="0"/>
              <w:adjustRightInd w:val="0"/>
              <w:spacing w:line="360" w:lineRule="auto"/>
              <w:ind w:right="-11" w:firstLine="336" w:firstLineChars="160"/>
              <w:rPr>
                <w:rFonts w:ascii="宋体" w:hAnsi="宋体" w:eastAsia="宋体" w:cs="仿宋_GB2312"/>
                <w:szCs w:val="21"/>
              </w:rPr>
            </w:pPr>
            <w:r>
              <w:rPr>
                <w:rFonts w:ascii="宋体" w:hAnsi="宋体" w:eastAsia="宋体" w:cs="宋体"/>
                <w:bCs/>
                <w:szCs w:val="21"/>
                <w:lang w:val="zh-CN"/>
              </w:rPr>
              <w:t>中标</w:t>
            </w:r>
            <w:r>
              <w:rPr>
                <w:rFonts w:hint="eastAsia" w:ascii="宋体" w:hAnsi="宋体" w:eastAsia="宋体" w:cs="宋体"/>
                <w:bCs/>
                <w:szCs w:val="21"/>
                <w:lang w:val="zh-CN"/>
              </w:rPr>
              <w:t>人</w:t>
            </w:r>
            <w:r>
              <w:rPr>
                <w:rFonts w:hint="eastAsia" w:ascii="宋体" w:hAnsi="宋体" w:eastAsia="宋体" w:cs="仿宋_GB2312"/>
                <w:szCs w:val="21"/>
                <w:lang w:val="zh-CN"/>
              </w:rPr>
              <w:t>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1779" w:type="dxa"/>
            <w:vAlign w:val="center"/>
          </w:tcPr>
          <w:p>
            <w:pPr>
              <w:autoSpaceDE w:val="0"/>
              <w:autoSpaceDN w:val="0"/>
              <w:adjustRightInd w:val="0"/>
              <w:spacing w:line="360" w:lineRule="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738" w:type="dxa"/>
            <w:vAlign w:val="center"/>
          </w:tcPr>
          <w:p>
            <w:pPr>
              <w:autoSpaceDE w:val="0"/>
              <w:autoSpaceDN w:val="0"/>
              <w:adjustRightInd w:val="0"/>
              <w:spacing w:line="276" w:lineRule="auto"/>
              <w:rPr>
                <w:rFonts w:ascii="宋体" w:hAnsi="宋体" w:eastAsia="宋体" w:cs="仿宋_GB2312"/>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1779" w:type="dxa"/>
            <w:vAlign w:val="center"/>
          </w:tcPr>
          <w:p>
            <w:pPr>
              <w:autoSpaceDE w:val="0"/>
              <w:autoSpaceDN w:val="0"/>
              <w:adjustRightInd w:val="0"/>
              <w:spacing w:line="360" w:lineRule="auto"/>
              <w:jc w:val="center"/>
              <w:rPr>
                <w:rFonts w:ascii="宋体" w:hAnsi="宋体" w:eastAsia="宋体" w:cs="宋体"/>
                <w:bCs/>
                <w:szCs w:val="21"/>
                <w:highlight w:val="none"/>
                <w:lang w:val="zh-CN"/>
              </w:rPr>
            </w:pPr>
            <w:r>
              <w:rPr>
                <w:rFonts w:hint="eastAsia" w:ascii="宋体" w:hAnsi="宋体" w:eastAsia="宋体" w:cs="宋体"/>
                <w:bCs/>
                <w:szCs w:val="21"/>
                <w:highlight w:val="none"/>
                <w:lang w:val="zh-CN"/>
              </w:rPr>
              <w:t>投标截止及开标时间</w:t>
            </w:r>
          </w:p>
        </w:tc>
        <w:tc>
          <w:tcPr>
            <w:tcW w:w="6738" w:type="dxa"/>
            <w:vAlign w:val="center"/>
          </w:tcPr>
          <w:p>
            <w:pPr>
              <w:autoSpaceDE w:val="0"/>
              <w:autoSpaceDN w:val="0"/>
              <w:adjustRightInd w:val="0"/>
              <w:spacing w:line="360" w:lineRule="auto"/>
              <w:rPr>
                <w:rFonts w:ascii="宋体" w:hAnsi="宋体" w:eastAsia="宋体" w:cs="宋体"/>
                <w:bCs/>
                <w:szCs w:val="21"/>
                <w:highlight w:val="none"/>
                <w:lang w:val="zh-CN"/>
              </w:rPr>
            </w:pPr>
            <w:r>
              <w:rPr>
                <w:rFonts w:hint="eastAsia" w:ascii="宋体" w:hAnsi="宋体" w:eastAsia="宋体" w:cs="宋体"/>
                <w:bCs/>
                <w:szCs w:val="21"/>
                <w:highlight w:val="none"/>
                <w:lang w:val="zh-CN"/>
              </w:rPr>
              <w:t xml:space="preserve">2022年 </w:t>
            </w:r>
            <w:r>
              <w:rPr>
                <w:rFonts w:hint="eastAsia" w:ascii="宋体" w:hAnsi="宋体" w:eastAsia="宋体" w:cs="宋体"/>
                <w:bCs/>
                <w:szCs w:val="21"/>
                <w:highlight w:val="none"/>
                <w:lang w:val="en-US" w:eastAsia="zh-CN"/>
              </w:rPr>
              <w:t>12</w:t>
            </w:r>
            <w:r>
              <w:rPr>
                <w:rFonts w:hint="eastAsia" w:ascii="宋体" w:hAnsi="宋体" w:eastAsia="宋体" w:cs="宋体"/>
                <w:bCs/>
                <w:szCs w:val="21"/>
                <w:highlight w:val="none"/>
                <w:lang w:val="zh-CN"/>
              </w:rPr>
              <w:t xml:space="preserve"> 月 </w:t>
            </w:r>
            <w:r>
              <w:rPr>
                <w:rFonts w:hint="eastAsia" w:ascii="宋体" w:hAnsi="宋体" w:eastAsia="宋体" w:cs="宋体"/>
                <w:bCs/>
                <w:szCs w:val="21"/>
                <w:highlight w:val="none"/>
                <w:lang w:val="en-US" w:eastAsia="zh-CN"/>
              </w:rPr>
              <w:t>22</w:t>
            </w:r>
            <w:r>
              <w:rPr>
                <w:rFonts w:hint="eastAsia" w:ascii="宋体" w:hAnsi="宋体" w:eastAsia="宋体" w:cs="宋体"/>
                <w:bCs/>
                <w:szCs w:val="21"/>
                <w:highlight w:val="none"/>
                <w:lang w:val="zh-CN"/>
              </w:rPr>
              <w:t xml:space="preserve">  日 0</w:t>
            </w:r>
            <w:r>
              <w:rPr>
                <w:rFonts w:hint="eastAsia" w:ascii="宋体" w:hAnsi="宋体" w:eastAsia="宋体" w:cs="宋体"/>
                <w:bCs/>
                <w:szCs w:val="21"/>
                <w:highlight w:val="none"/>
              </w:rPr>
              <w:t>8</w:t>
            </w:r>
            <w:r>
              <w:rPr>
                <w:rFonts w:hint="eastAsia" w:ascii="宋体" w:hAnsi="宋体" w:eastAsia="宋体" w:cs="宋体"/>
                <w:bCs/>
                <w:szCs w:val="21"/>
                <w:highlight w:val="none"/>
                <w:lang w:val="zh-CN"/>
              </w:rPr>
              <w:t xml:space="preserve">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177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开标地点</w:t>
            </w:r>
          </w:p>
        </w:tc>
        <w:tc>
          <w:tcPr>
            <w:tcW w:w="6738" w:type="dxa"/>
            <w:vAlign w:val="center"/>
          </w:tcPr>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开标地点：许昌市公共资源交易中心</w:t>
            </w:r>
            <w:r>
              <w:rPr>
                <w:rFonts w:hint="eastAsia" w:ascii="宋体" w:hAnsi="宋体" w:eastAsia="宋体" w:cs="宋体"/>
                <w:bCs/>
                <w:szCs w:val="21"/>
                <w:highlight w:val="none"/>
                <w:lang w:val="en-US" w:eastAsia="zh-CN"/>
              </w:rPr>
              <w:t>不见面</w:t>
            </w:r>
            <w:r>
              <w:rPr>
                <w:rFonts w:hint="eastAsia" w:ascii="宋体" w:hAnsi="宋体" w:eastAsia="宋体" w:cs="宋体"/>
                <w:bCs/>
                <w:szCs w:val="21"/>
                <w:highlight w:val="none"/>
                <w:lang w:val="zh-CN"/>
              </w:rPr>
              <w:t>开标</w:t>
            </w:r>
            <w:r>
              <w:rPr>
                <w:rFonts w:hint="eastAsia" w:ascii="宋体" w:hAnsi="宋体" w:eastAsia="宋体" w:cs="宋体"/>
                <w:bCs/>
                <w:szCs w:val="21"/>
                <w:highlight w:val="none"/>
                <w:lang w:val="en-US" w:eastAsia="zh-CN"/>
              </w:rPr>
              <w:t>四</w:t>
            </w:r>
            <w:r>
              <w:rPr>
                <w:rFonts w:hint="eastAsia" w:ascii="宋体" w:hAnsi="宋体" w:eastAsia="宋体" w:cs="宋体"/>
                <w:bCs/>
                <w:szCs w:val="21"/>
                <w:highlight w:val="none"/>
                <w:lang w:val="zh-CN"/>
              </w:rPr>
              <w:t>室</w:t>
            </w:r>
            <w:r>
              <w:rPr>
                <w:rFonts w:hint="eastAsia" w:ascii="宋体" w:hAnsi="宋体" w:eastAsia="宋体" w:cs="宋体"/>
                <w:bCs/>
                <w:szCs w:val="21"/>
                <w:lang w:val="zh-CN"/>
              </w:rPr>
              <w:t>（ 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177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投标保证金</w:t>
            </w:r>
          </w:p>
        </w:tc>
        <w:tc>
          <w:tcPr>
            <w:tcW w:w="6738" w:type="dxa"/>
            <w:vAlign w:val="center"/>
          </w:tcPr>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本项目不收取。</w:t>
            </w:r>
          </w:p>
          <w:p>
            <w:pPr>
              <w:autoSpaceDE w:val="0"/>
              <w:autoSpaceDN w:val="0"/>
              <w:adjustRightInd w:val="0"/>
              <w:spacing w:line="360" w:lineRule="auto"/>
              <w:ind w:right="-11"/>
              <w:rPr>
                <w:rFonts w:ascii="宋体" w:hAnsi="宋体" w:eastAsia="宋体" w:cs="宋体"/>
                <w:bCs/>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1779"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738" w:type="dxa"/>
            <w:tcBorders>
              <w:top w:val="single" w:color="auto" w:sz="4" w:space="0"/>
            </w:tcBorders>
            <w:vAlign w:val="center"/>
          </w:tcPr>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177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采购人澄清或修改招标文件时间</w:t>
            </w:r>
          </w:p>
        </w:tc>
        <w:tc>
          <w:tcPr>
            <w:tcW w:w="6738"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177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投标人对采购文件质疑截止时间</w:t>
            </w:r>
          </w:p>
        </w:tc>
        <w:tc>
          <w:tcPr>
            <w:tcW w:w="6738"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177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投标文件份数</w:t>
            </w:r>
          </w:p>
        </w:tc>
        <w:tc>
          <w:tcPr>
            <w:tcW w:w="6738" w:type="dxa"/>
            <w:vAlign w:val="center"/>
          </w:tcPr>
          <w:p>
            <w:pPr>
              <w:autoSpaceDE w:val="0"/>
              <w:autoSpaceDN w:val="0"/>
              <w:adjustRightInd w:val="0"/>
              <w:spacing w:line="360" w:lineRule="auto"/>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 1 份（文件格式为：XXX公司 XXX 项目编号.file）。</w:t>
            </w:r>
          </w:p>
          <w:p>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纸质投标文件：正本</w:t>
            </w:r>
            <w:r>
              <w:rPr>
                <w:rFonts w:ascii="宋体" w:hAnsi="宋体" w:eastAsia="宋体"/>
                <w:szCs w:val="21"/>
              </w:rPr>
              <w:t xml:space="preserve"> </w:t>
            </w:r>
            <w:r>
              <w:rPr>
                <w:rFonts w:hint="eastAsia" w:ascii="宋体" w:hAnsi="宋体" w:eastAsia="宋体"/>
                <w:szCs w:val="21"/>
              </w:rPr>
              <w:t>一份，副本一份。使用格式为“投标文件（供打印）.PDF”的文件。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19</w:t>
            </w:r>
          </w:p>
        </w:tc>
        <w:tc>
          <w:tcPr>
            <w:tcW w:w="1779"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738" w:type="dxa"/>
            <w:vAlign w:val="center"/>
          </w:tcPr>
          <w:p>
            <w:pPr>
              <w:autoSpaceDE w:val="0"/>
              <w:autoSpaceDN w:val="0"/>
              <w:adjustRightInd w:val="0"/>
              <w:spacing w:line="420" w:lineRule="exact"/>
              <w:rPr>
                <w:rFonts w:ascii="宋体" w:hAnsi="宋体" w:eastAsia="宋体"/>
                <w:szCs w:val="21"/>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autoSpaceDE w:val="0"/>
              <w:autoSpaceDN w:val="0"/>
              <w:adjustRightInd w:val="0"/>
              <w:spacing w:line="420" w:lineRule="exact"/>
              <w:rPr>
                <w:rFonts w:ascii="宋体" w:hAnsi="宋体" w:eastAsia="宋体" w:cs="仿宋_GB2312"/>
                <w:szCs w:val="21"/>
              </w:rPr>
            </w:pPr>
            <w:r>
              <w:rPr>
                <w:rFonts w:hint="eastAsia" w:ascii="宋体" w:hAnsi="宋体" w:eastAsia="宋体" w:cs="宋体"/>
                <w:b/>
                <w:bCs/>
                <w:szCs w:val="21"/>
                <w:lang w:val="zh-CN"/>
              </w:rPr>
              <w:t>□</w:t>
            </w:r>
            <w:r>
              <w:rPr>
                <w:rFonts w:hint="eastAsia" w:ascii="宋体" w:hAnsi="宋体" w:eastAsia="宋体"/>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1779"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评标委员会组建</w:t>
            </w:r>
          </w:p>
        </w:tc>
        <w:tc>
          <w:tcPr>
            <w:tcW w:w="6738" w:type="dxa"/>
            <w:vAlign w:val="center"/>
          </w:tcPr>
          <w:p>
            <w:pPr>
              <w:autoSpaceDE w:val="0"/>
              <w:autoSpaceDN w:val="0"/>
              <w:adjustRightInd w:val="0"/>
              <w:spacing w:line="360" w:lineRule="auto"/>
              <w:ind w:right="-11"/>
              <w:rPr>
                <w:rFonts w:ascii="宋体" w:hAnsi="宋体" w:eastAsia="宋体" w:cs="仿宋_GB2312"/>
                <w:szCs w:val="21"/>
                <w:lang w:val="zh-CN"/>
              </w:rPr>
            </w:pPr>
            <w:r>
              <w:rPr>
                <w:rFonts w:ascii="宋体" w:hAnsi="宋体" w:eastAsia="宋体"/>
                <w:b/>
                <w:szCs w:val="21"/>
              </w:rPr>
              <w:fldChar w:fldCharType="begin"/>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cs="仿宋_GB2312"/>
                <w:szCs w:val="21"/>
                <w:lang w:val="zh-CN"/>
              </w:rPr>
              <w:t>评标委员会由相关评审专家和业主代表共7人组成，其中评审专家的人数不少于评标委员会成员总数的三分之二。评审专家从河南省政府采购评审专家库中随机抽取。</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21</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rPr>
              <w:t>评标方法</w:t>
            </w:r>
          </w:p>
        </w:tc>
        <w:tc>
          <w:tcPr>
            <w:tcW w:w="6738" w:type="dxa"/>
            <w:vAlign w:val="center"/>
          </w:tcPr>
          <w:p>
            <w:pPr>
              <w:autoSpaceDE w:val="0"/>
              <w:autoSpaceDN w:val="0"/>
              <w:adjustRightInd w:val="0"/>
              <w:spacing w:line="360" w:lineRule="auto"/>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综合评分法</w:t>
            </w:r>
            <w:r>
              <w:rPr>
                <w:rFonts w:hint="eastAsia" w:ascii="宋体" w:hAnsi="宋体" w:eastAsia="宋体" w:cs="宋体"/>
                <w:b/>
                <w:bCs/>
                <w:szCs w:val="21"/>
                <w:lang w:val="zh-CN"/>
              </w:rPr>
              <w:t>□</w:t>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738" w:type="dxa"/>
            <w:vAlign w:val="center"/>
          </w:tcPr>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1、本项目属于专门面向中小企业采购的项目；本次采购标的对应的中小企业划分标准所</w:t>
            </w:r>
            <w:r>
              <w:rPr>
                <w:rFonts w:hint="eastAsia" w:ascii="宋体" w:hAnsi="宋体" w:eastAsia="宋体" w:cs="宋体"/>
                <w:bCs/>
                <w:szCs w:val="21"/>
                <w:highlight w:val="none"/>
                <w:lang w:val="zh-CN"/>
              </w:rPr>
              <w:t>属行业：</w:t>
            </w:r>
            <w:r>
              <w:rPr>
                <w:rFonts w:hint="eastAsia" w:ascii="宋体" w:hAnsi="宋体" w:eastAsia="宋体" w:cs="宋体"/>
                <w:bCs/>
                <w:szCs w:val="21"/>
                <w:highlight w:val="none"/>
                <w:lang w:val="zh-CN" w:eastAsia="zh-CN"/>
              </w:rPr>
              <w:t>其他未列明行业</w:t>
            </w:r>
            <w:r>
              <w:rPr>
                <w:rFonts w:hint="eastAsia" w:ascii="宋体" w:hAnsi="宋体" w:eastAsia="宋体" w:cs="宋体"/>
                <w:bCs/>
                <w:szCs w:val="21"/>
                <w:highlight w:val="none"/>
                <w:lang w:val="zh-CN"/>
              </w:rPr>
              <w:t>。</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2、根据工信部等部委发布的《关于印发中小企业划型标准规定的通知》（工信部联企业【 2011】0 300 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3、提供由省级以上监狱管理局、戒毒管理局（含新疆生产建设兵团）出具的属于监狱企业证明文件的，视同为小型和微型企业。</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738" w:type="dxa"/>
            <w:vAlign w:val="center"/>
          </w:tcPr>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执行《财政部发展改革委生态环境部市场监管总局关于调整优化节能产品、环境标志产品政府采购执行机制的通知》（财库[2019]9 号）、关于印发节能产品政府采购品目清单的通知（财库[2019]19 号）、关于印发环境标志产品政府采购品目清单的通知（财库[2019]18 号）、市场监管总局关于发布参与实施政府采购节能产品、环境标志产品认证机构名录的公告（2019 年第 16 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信息安全要求</w:t>
            </w:r>
          </w:p>
        </w:tc>
        <w:tc>
          <w:tcPr>
            <w:tcW w:w="6738" w:type="dxa"/>
            <w:vAlign w:val="center"/>
          </w:tcPr>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按照《关于信息安全产品实施政府采购的通知》（财库【2010】48 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738"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b/>
                <w:bCs/>
                <w:szCs w:val="21"/>
                <w:lang w:val="zh-CN"/>
              </w:rPr>
              <w:t>□</w:t>
            </w:r>
            <w:r>
              <w:rPr>
                <w:rFonts w:hint="eastAsia" w:ascii="宋体" w:hAnsi="宋体" w:eastAsia="宋体" w:cs="宋体"/>
                <w:szCs w:val="21"/>
              </w:rPr>
              <w:t>要求提交。履约保证金的数额为合同金额的%（不超过政府采购合同</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金额的10%）。中标人以支票、汇票、本票或者金融机构、担保机构</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738" w:type="dxa"/>
            <w:vAlign w:val="center"/>
          </w:tcPr>
          <w:p>
            <w:pPr>
              <w:autoSpaceDE w:val="0"/>
              <w:autoSpaceDN w:val="0"/>
              <w:spacing w:line="360" w:lineRule="auto"/>
              <w:contextualSpacing/>
              <w:rPr>
                <w:rFonts w:ascii="宋体" w:hAnsi="宋体" w:eastAsia="宋体" w:cs="宋体"/>
                <w:bCs/>
                <w:szCs w:val="21"/>
                <w:lang w:val="zh-CN"/>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收取中标人。</w:t>
            </w:r>
            <w:r>
              <w:rPr>
                <w:rFonts w:hint="eastAsia" w:ascii="宋体" w:hAnsi="宋体" w:eastAsia="宋体" w:cs="宋体"/>
                <w:szCs w:val="21"/>
              </w:rPr>
              <w:t>收取标准：参照按照国家相关标准收取。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738" w:type="dxa"/>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采购单位委派代表参加资格审查、评审委员会的，须向采购代理机构出具授权函。除授权代表外，采购单位委派纪检监察人员对评标过程实施监督的须进入许昌市公共资源交易中心五楼电子监督室，并向采购代理机构出具授权函，且不得超过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738" w:type="dxa"/>
            <w:vAlign w:val="center"/>
          </w:tcPr>
          <w:p>
            <w:pPr>
              <w:autoSpaceDE w:val="0"/>
              <w:autoSpaceDN w:val="0"/>
              <w:adjustRightInd w:val="0"/>
              <w:spacing w:line="360" w:lineRule="auto"/>
              <w:rPr>
                <w:rFonts w:ascii="宋体" w:hAnsi="宋体" w:eastAsia="宋体" w:cs="宋体"/>
                <w:szCs w:val="21"/>
              </w:rPr>
            </w:pPr>
            <w:r>
              <w:rPr>
                <w:rFonts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szCs w:val="21"/>
              </w:rPr>
              <w:t>是。投标人投标时须成功上传、解密电子投标文件。投标人资质、业绩、荣誉及相关人员证明材料等资料原件不再提交（本招标文件第六章另有要求提供原件的除外）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□否。投标人投标时须提供纸质投标文件。投标人资质、业绩、荣誉</w:t>
            </w:r>
          </w:p>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szCs w:val="21"/>
              </w:rPr>
              <w:t>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特别提示</w:t>
            </w:r>
          </w:p>
        </w:tc>
        <w:tc>
          <w:tcPr>
            <w:tcW w:w="6738" w:type="dxa"/>
            <w:vAlign w:val="center"/>
          </w:tcPr>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按照《关于推进全流程电子化交易和在线监管工作有关问题的通知》（许公管办〔 2019 〕3 3 号）规定：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1779"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投标人资格核验</w:t>
            </w:r>
          </w:p>
        </w:tc>
        <w:tc>
          <w:tcPr>
            <w:tcW w:w="6738" w:type="dxa"/>
            <w:vAlign w:val="center"/>
          </w:tcPr>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供应商在中标后，应将由《许昌市政府采购供应商信用承诺函》替代的证明材料提交采购人核验，经核验无误后，招标代理机构发出中标通知书。</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一、法人或者其他组织的营业执照等证明文件，自然人的身份证明</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1、企业法人营业执照或营业执照。（企业投标提供）</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2、事业单位法人证书。（事业单位投标提供）</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3、执业许可证。（非企业专业服务机构投标提供）</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4、个体工商户营业执照。（个体工商户投标提供）</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5、自然人身份证明。（自然人投标提供）</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6、民办非企业单位登记证书。（民办非企业单位投标提供）</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二、财务状况报告相关材料</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1、投标人是法人（法人包括企业法人、机关法人、事业单位法人和社</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会团体法人），提供本单位：</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②基本开户银行出具的资信证明；</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注：仅需提供序号①</w:t>
            </w:r>
            <w:r>
              <w:rPr>
                <w:rFonts w:hint="eastAsia" w:ascii="MS Mincho" w:hAnsi="MS Mincho" w:eastAsia="MS Mincho" w:cs="MS Mincho"/>
                <w:kern w:val="0"/>
                <w:szCs w:val="21"/>
              </w:rPr>
              <w:t>〜</w:t>
            </w:r>
            <w:r>
              <w:rPr>
                <w:rFonts w:hint="eastAsia" w:ascii="宋体" w:hAnsi="宋体" w:eastAsia="宋体" w:cs="宋体"/>
                <w:kern w:val="0"/>
                <w:szCs w:val="21"/>
              </w:rPr>
              <w:t>③其中之一即可。</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2、投标人（其他组织和自然人）提供本单位：</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①2021年度经审计的财务报告，包括资产负债表、利润表、现金流量表、所有者权益变动表及其附注；</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②银行出具的资信证明；</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注：仅需提供序号①</w:t>
            </w:r>
            <w:r>
              <w:rPr>
                <w:rFonts w:hint="eastAsia" w:ascii="MS Mincho" w:hAnsi="MS Mincho" w:eastAsia="MS Mincho" w:cs="MS Mincho"/>
                <w:kern w:val="0"/>
                <w:szCs w:val="21"/>
              </w:rPr>
              <w:t>〜</w:t>
            </w:r>
            <w:r>
              <w:rPr>
                <w:rFonts w:hint="eastAsia" w:ascii="宋体" w:hAnsi="宋体" w:eastAsia="宋体" w:cs="宋体"/>
                <w:kern w:val="0"/>
                <w:szCs w:val="21"/>
              </w:rPr>
              <w:t>③其中之一即可。</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三、依法缴纳税收相关材料</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参加本次政府采购项目投标截止时间前一年内任意一个月缴纳税收凭据。（依法免税的投标人，应提供相应文件证明依法免税）</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四、依法缴纳社会保障资金的证明材料</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五、履行合同所必需的设备和专业技术能力的证明材料</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1、相关设备的购置发票、专业技术人员职称证书、用工合同等；</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2、投标人具备履行合同所必需的设备和专业技术能力承诺函或声明（承诺函或声明格式自拟）。</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注：仅需提供序号</w:t>
            </w:r>
            <w:r>
              <w:rPr>
                <w:rFonts w:ascii="宋体" w:hAnsi="宋体" w:eastAsia="宋体" w:cs="宋体"/>
                <w:kern w:val="0"/>
                <w:szCs w:val="21"/>
              </w:rPr>
              <w:t xml:space="preserve"> 1</w:t>
            </w:r>
            <w:r>
              <w:rPr>
                <w:rFonts w:hint="eastAsia" w:ascii="MS Mincho" w:hAnsi="MS Mincho" w:eastAsia="MS Mincho" w:cs="MS Mincho"/>
                <w:kern w:val="0"/>
                <w:szCs w:val="21"/>
              </w:rPr>
              <w:t>〜</w:t>
            </w:r>
            <w:r>
              <w:rPr>
                <w:rFonts w:ascii="宋体" w:hAnsi="宋体" w:eastAsia="宋体" w:cs="宋体"/>
                <w:kern w:val="0"/>
                <w:szCs w:val="21"/>
              </w:rPr>
              <w:t xml:space="preserve">2 </w:t>
            </w:r>
            <w:r>
              <w:rPr>
                <w:rFonts w:hint="eastAsia" w:ascii="宋体" w:hAnsi="宋体" w:eastAsia="宋体" w:cs="宋体"/>
                <w:kern w:val="0"/>
                <w:szCs w:val="21"/>
              </w:rPr>
              <w:t>其中之一即可。</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六 、 参加政府采购活动前3年内在经营活动中没有重大违法记录的声明</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投标人“参加政府采购活动前3年内在经营活动中没有重大违法记录的书面声明”。重大违法记录，是指投标人因违法经营受到刑事处罚或者责令停产停业、吊销许可证或者执照、较大数额罚款等行政处罚。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七、未被列入“信用中国”网站（ www.creditchina.gov.cn ）失信被</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执行人、重大税收违法失信主体；“中国政府采购网”( www.ccgp.gov.cn) ) 政府采购严重违法失信行为记录名单的投标人；</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 中国社会组织政务服务平台 ” 网站</w:t>
            </w:r>
          </w:p>
          <w:p>
            <w:pPr>
              <w:autoSpaceDE w:val="0"/>
              <w:autoSpaceDN w:val="0"/>
              <w:adjustRightInd w:val="0"/>
              <w:spacing w:line="360" w:lineRule="auto"/>
              <w:contextualSpacing/>
              <w:rPr>
                <w:rFonts w:ascii="宋体" w:hAnsi="宋体" w:eastAsia="宋体" w:cs="宋体"/>
                <w:b/>
                <w:kern w:val="0"/>
                <w:szCs w:val="21"/>
              </w:rPr>
            </w:pPr>
            <w:r>
              <w:rPr>
                <w:rFonts w:hint="eastAsia" w:ascii="宋体" w:hAnsi="宋体" w:eastAsia="宋体" w:cs="宋体"/>
                <w:b/>
                <w:kern w:val="0"/>
                <w:szCs w:val="21"/>
              </w:rPr>
              <w:t>（ https://chinanpo.mca.gov.cn ） 严重违法失信社会组织</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（联合体形式投标的，联合体成员存在不良信用记录，视同联合体存</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在不良信用记录）。</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①“信用中国”网站（www.creditchina.gov.cn)</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②“中国政府采购网”(www.ccgp.gov.cn)</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③“中国社会组织政务服务平台”网站</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(https://chinanpo.mca.gov.cn)（仅查询社会组织）；</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3、信用信息的使用原则：经采购人认定的被列入失信被执行人、 重大税收违法失信主体、政府采购严重违法失信行为记录名单的投标人、严重违法失信社会组织，将拒绝其参与本次政府采购活动。</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jc w:val="center"/>
        <w:rPr>
          <w:rFonts w:ascii="宋体" w:hAnsi="宋体" w:eastAsia="宋体" w:cs="宋体"/>
          <w:b/>
          <w:kern w:val="0"/>
          <w:sz w:val="36"/>
          <w:szCs w:val="36"/>
        </w:rPr>
      </w:pPr>
      <w:r>
        <w:rPr>
          <w:rFonts w:ascii="宋体" w:hAnsi="宋体" w:eastAsia="宋体" w:cs="宋体"/>
          <w:b/>
          <w:kern w:val="0"/>
          <w:sz w:val="36"/>
          <w:szCs w:val="36"/>
        </w:rPr>
        <w:br w:type="page"/>
      </w:r>
      <w:bookmarkStart w:id="7" w:name="_Toc14299190"/>
      <w:bookmarkStart w:id="8" w:name="_Toc14299035"/>
      <w:r>
        <w:rPr>
          <w:rFonts w:hint="eastAsia" w:ascii="宋体" w:hAnsi="宋体" w:eastAsia="宋体" w:cs="宋体"/>
          <w:b/>
          <w:kern w:val="0"/>
          <w:sz w:val="32"/>
          <w:szCs w:val="32"/>
        </w:rPr>
        <w:t>第四章 投标人须知</w:t>
      </w:r>
      <w:bookmarkEnd w:id="7"/>
      <w:bookmarkEnd w:id="8"/>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14299191"/>
      <w:r>
        <w:rPr>
          <w:rFonts w:hint="eastAsia" w:ascii="宋体" w:hAnsi="宋体" w:eastAsia="宋体" w:cs="宋体"/>
          <w:b/>
          <w:kern w:val="0"/>
          <w:sz w:val="28"/>
          <w:szCs w:val="28"/>
        </w:rPr>
        <w:t>一、概念释义</w:t>
      </w:r>
      <w:bookmarkEnd w:id="9"/>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适用范围</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1.1 本招标文件仅适用于本次“投标邀请”中所述采购项目。</w:t>
      </w:r>
    </w:p>
    <w:p>
      <w:pPr>
        <w:autoSpaceDE w:val="0"/>
        <w:autoSpaceDN w:val="0"/>
        <w:spacing w:line="360" w:lineRule="auto"/>
        <w:ind w:firstLine="424" w:firstLineChars="177"/>
        <w:contextualSpacing/>
        <w:rPr>
          <w:rFonts w:ascii="宋体" w:hAnsi="宋体" w:eastAsia="宋体" w:cs="宋体"/>
          <w:kern w:val="0"/>
          <w:sz w:val="24"/>
          <w:szCs w:val="24"/>
        </w:rPr>
      </w:pPr>
      <w:r>
        <w:rPr>
          <w:rFonts w:hint="eastAsia" w:ascii="宋体" w:hAnsi="宋体" w:eastAsia="宋体" w:cs="宋体"/>
          <w:kern w:val="0"/>
          <w:sz w:val="24"/>
          <w:szCs w:val="24"/>
        </w:rPr>
        <w:t>1.2 本招标文件解释权属于“投标邀请”所述的采购人。</w:t>
      </w:r>
    </w:p>
    <w:p>
      <w:pPr>
        <w:autoSpaceDE w:val="0"/>
        <w:autoSpaceDN w:val="0"/>
        <w:spacing w:line="360" w:lineRule="auto"/>
        <w:contextualSpacing/>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定义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 “采购项目”：“投标人须知前附表”中所述的采购项目。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2.2 “招标人”：“投标人须知前附表”中所述的组织本次招标的代理机构和采购人。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2.3 “采购人”：是指依法进行政府采购的国家机关、事业单位、团体组织。采购人名称、地址、电话、联系人见“投标人须知前附表”。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2.4 “代理机构”：接受采购人委托，代理采购项目的采购代理机构。代理机构名称、地址、电话、联系人见“投标人须知前附表”。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2.7 “进口产品”：是指通过中国海关报关验放进入中国境内且产自关境外的产品，包括已经进入中国境内的进口产品。详见《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2.7.1 </w:t>
      </w:r>
      <w:r>
        <w:rPr>
          <w:rFonts w:ascii="宋体" w:hAnsi="宋体" w:eastAsia="宋体" w:cs="宋体"/>
          <w:kern w:val="0"/>
          <w:sz w:val="24"/>
          <w:szCs w:val="24"/>
        </w:rPr>
        <w:t>招标文件列明不允许或未列明允许进口产品参加投标的，均视为拒绝进口产品参加投标。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 xml:space="preserve">2.7.2 </w:t>
      </w: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2.8 招标文件中凡标有“★”的条款均系实质性要求条款。</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3.合格的投标人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2符合本项目“投标邀请”和“投标人须知前附表”中规定的合格投标人所必须具备的条件。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3按照财政部《关于在政府采购活动中查询及使用信用记录有关问题的通知》（财库[2016]125 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3.3.1 查询渠道：“信用中国”网站（www.creditchina.gov.cn)、“中国政府采购网”(www.ccgp.gov.cn)、“中国社会组织政务服务平台”网站（https://chinanpo.mca.gov.cn)；</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3.3.2截止时间：同投标截止时间；</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3.3.3信用信息查询记录和证据留存具体方式：经采购人确认的查询结果网页截图作为查询记录和证据，与其他采购文件一并保存；</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3.3.4信用信息的使用原则：经采购人认定的被列入失信被执行人（全国法院失信被执行人名单）、重大税收违法失信主体、政府采购严重违法失信行为记录名单的投标人、严重违法失信社会组织名单的社会组织，将拒绝其参与本次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3.3.5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5为采购项目提供整体设计、规范编制或者项目管理、监理、检测等服务的供应商，不得再参加该采购项目的其他采购活动。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6“投标邀请”和“投标人须知前附表”规定接受联合体投标的，除应符合本章第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3.6.2联合体中有同类资质的供应商按联合体分工承担相同工作的，应当按照资质等级较低的供应商确定资质等级；</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3.6.3招标人根据采购项目的特殊要求规定投标人特定条件的，联合体各方中至少应当有一方符合采购规定的特定条件。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3.6.4联合体各方不得再单独参加或者与其他供应商另外组成联合体参加同一合同项下的政府采购活动。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3.6.5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3.7 法律、行政法规规定的其他条件。</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4.2 投标人所提供的服务应当没有侵犯任何第三方的知识产权、技术秘密等合法权利。</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4.3 根据《财政部、发展改革委、生态环境部、市场监管总局关于调整优化节能产品、环境标志产品政府采购执行机制的通知》（财库[2019]9 号）要求，采购属于政府强制采购产品的，该产品必须具有国家确定的认证机构出具的、处于有效期之内的节能产品认证证书，否则其投标将被拒绝。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4.4  根据财政部、工业和信息化部、国家质检总局、国家认监委联合发布《关于信息安全产品实施政府采购的通知》（财库[2010]48 号）要求，投标人所投产品如被列入《信息安全产品强制性认证目录》，则该产品应具备中国信息安全认证中心颁发的《中国国家信息安全产品认证证书》。投标人不能提供超出此目录范畴外的替代品。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5．投标费用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本采购项目需要公开的有关信息，包括招标公告、招标文件澄清或修改公告、中标公告以及延长投标截止时间等与招标活动有关的通知，招标人均将通过在、《河南省政府</w:t>
      </w:r>
      <w:r>
        <w:rPr>
          <w:rFonts w:hint="eastAsia" w:ascii="宋体" w:hAnsi="宋体" w:eastAsia="宋体" w:cs="宋体"/>
          <w:sz w:val="24"/>
          <w:szCs w:val="24"/>
        </w:rPr>
        <w:t>采购网》、《许昌市政府采购网》</w:t>
      </w:r>
      <w:r>
        <w:rPr>
          <w:rFonts w:hint="eastAsia" w:ascii="宋体" w:hAnsi="宋体" w:eastAsia="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7.采购代理机构代理费用收取标准和方式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7.1 收取标准：按照中标合同金额的比例收取。详见投标人须知前附表。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8. 其他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0" w:name="_Toc14299192"/>
      <w:r>
        <w:rPr>
          <w:rFonts w:hint="eastAsia" w:ascii="宋体" w:hAnsi="宋体" w:eastAsia="宋体" w:cs="宋体"/>
          <w:b/>
          <w:kern w:val="0"/>
          <w:sz w:val="28"/>
          <w:szCs w:val="28"/>
        </w:rPr>
        <w:t>二、招标文件说明</w:t>
      </w:r>
      <w:bookmarkEnd w:id="10"/>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9．招标文件构成</w:t>
      </w:r>
    </w:p>
    <w:p>
      <w:pPr>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9.1 招标文件由以下部分组成：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（7）拟签订的合同文本</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10.现场考察、开标前答疑会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11.招标文件的澄清或修改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w:t>
      </w:r>
      <w:r>
        <w:rPr>
          <w:rFonts w:ascii="宋体" w:hAnsi="宋体" w:eastAsia="宋体" w:cs="宋体"/>
          <w:kern w:val="0"/>
          <w:sz w:val="24"/>
          <w:szCs w:val="24"/>
        </w:rPr>
        <w:t>.</w:t>
      </w:r>
      <w:r>
        <w:rPr>
          <w:rFonts w:hint="eastAsia" w:ascii="宋体" w:hAnsi="宋体" w:eastAsia="宋体" w:cs="宋体"/>
          <w:kern w:val="0"/>
          <w:sz w:val="24"/>
          <w:szCs w:val="24"/>
        </w:rPr>
        <w:t>2招标人可以对已发出的招标文件进行必要的澄清或者修改。澄清或者修改的内容可能影响投标文件编制的，招标人将在投标截止时间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11.4 如果澄清或者修改发出的时间距规定的投标截止时间不足15日，招标人将顺延提交投标文件的截止时间。</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1" w:name="_Toc14299193"/>
      <w:r>
        <w:rPr>
          <w:rFonts w:hint="eastAsia" w:ascii="宋体" w:hAnsi="宋体" w:eastAsia="宋体" w:cs="宋体"/>
          <w:b/>
          <w:kern w:val="0"/>
          <w:sz w:val="28"/>
          <w:szCs w:val="28"/>
        </w:rPr>
        <w:t>三、投标文件的编制</w:t>
      </w:r>
      <w:bookmarkEnd w:id="11"/>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12． 投标的语言及计量单位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13</w:t>
      </w:r>
      <w:r>
        <w:rPr>
          <w:rFonts w:ascii="宋体" w:hAnsi="宋体" w:eastAsia="宋体" w:cs="宋体"/>
          <w:b/>
          <w:kern w:val="0"/>
          <w:sz w:val="24"/>
          <w:szCs w:val="24"/>
        </w:rPr>
        <w:t xml:space="preserve">. </w:t>
      </w:r>
      <w:r>
        <w:rPr>
          <w:rFonts w:hint="eastAsia" w:ascii="宋体" w:hAnsi="宋体" w:eastAsia="宋体" w:cs="宋体"/>
          <w:b/>
          <w:kern w:val="0"/>
          <w:sz w:val="24"/>
          <w:szCs w:val="24"/>
        </w:rPr>
        <w:t>投标报价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13.1 本次招标项目的投标均以人民币为计算单位。</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13.2 采购人不得向投标人索要或者接受其给予的赠品、回扣或者与采购无关的其他商品、服务。</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13.3 投标人应对项目要求的全部内容进行报价，少报漏报将导致其投标</w:t>
      </w:r>
      <w:r>
        <w:rPr>
          <w:rFonts w:hint="eastAsia" w:ascii="宋体" w:hAnsi="宋体" w:eastAsia="宋体" w:cs="宋体"/>
          <w:sz w:val="24"/>
          <w:szCs w:val="24"/>
        </w:rPr>
        <w:t>为非实质性响应予以拒绝。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13.5 本项目所涉及的运输、施工、安装、集成、调试、验收、备品和工具等费用均包含在投标报价中。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13.7 报价不得高于本项目最高限价，且不低于成本价。</w:t>
      </w:r>
      <w:r>
        <w:rPr>
          <w:rFonts w:hint="eastAsia" w:ascii="宋体" w:hAnsi="宋体" w:eastAsia="宋体" w:cs="宋体"/>
          <w:sz w:val="24"/>
          <w:szCs w:val="24"/>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13.8 最低报价不能作为中标的保证。</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14．投标有效期</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14.2 投标有效期内投标人撤销投标文件的，投标人将承担违背投标承诺函的责任追究。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14.4中标人的投标文件作为项目合同的附件，其有效期至中标人全部合同义务履行完毕为止。</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15．投标文件构成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15.1 投标文件的构成应符合法律法规及招标文件的要求。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15.2 投标人应当按照招标文件的要求编制投标文件。投标文件应当对招标文件提出的要求和条件作出明确响应。</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15.3 投标文件由资格证明材料、符合性证明材料、其它材料等组成。</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15.5 投标人登录许昌公共资源交易系统下载“许昌投标文件制作系统 SEARUN 最新版本”，按招标文件要求根据所投标段制作电子投标文件。一个标段对应生成一个文件夹（xxxx 项目 xx 标段），后缀名为“.file”的文件用于电子投标使用。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sz w:val="24"/>
          <w:szCs w:val="24"/>
        </w:rPr>
        <w:t>15.6电子投标文件制作技术咨询：</w:t>
      </w:r>
      <w:r>
        <w:rPr>
          <w:rFonts w:hint="eastAsia" w:ascii="宋体" w:hAnsi="宋体" w:eastAsia="宋体"/>
          <w:b/>
          <w:sz w:val="24"/>
          <w:szCs w:val="24"/>
        </w:rPr>
        <w:t>0374-2961598</w:t>
      </w:r>
      <w:r>
        <w:rPr>
          <w:rFonts w:hint="eastAsia" w:ascii="宋体" w:hAnsi="宋体" w:eastAsia="宋体"/>
          <w:sz w:val="24"/>
          <w:szCs w:val="24"/>
        </w:rPr>
        <w:t>。</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16.投标文件格式</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16.1 为便于评审及规范统一，建议投标文件参照招标文件第八部分（投标文件有关格式）的内容要求、编排顺序和格式要求，以 A4 幅面编上唯一的连贯页码，并在投标文件封面上注明：所投项目名称、项目编号、投标人名称、日期等字样。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16.2招标文件未提供标准格式的投标人可自行拟定。</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17.投标保证金</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17.1 本项目不收取。</w:t>
      </w:r>
    </w:p>
    <w:p>
      <w:pPr>
        <w:autoSpaceDE w:val="0"/>
        <w:autoSpaceDN w:val="0"/>
        <w:spacing w:line="360" w:lineRule="auto"/>
        <w:ind w:firstLine="422" w:firstLineChars="176"/>
        <w:contextualSpacing/>
        <w:rPr>
          <w:rFonts w:ascii="宋体" w:hAnsi="宋体" w:eastAsia="宋体" w:cs="宋体"/>
          <w:kern w:val="0"/>
          <w:sz w:val="24"/>
          <w:szCs w:val="24"/>
        </w:rPr>
      </w:pPr>
      <w:r>
        <w:rPr>
          <w:rFonts w:hint="eastAsia" w:ascii="宋体" w:hAnsi="宋体" w:eastAsia="宋体" w:cs="宋体"/>
          <w:kern w:val="0"/>
          <w:sz w:val="24"/>
          <w:szCs w:val="24"/>
        </w:rPr>
        <w:t>17.2 投标人应提供投标承诺函。</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投标文件的数量和签署盖章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1</w:t>
      </w:r>
      <w:r>
        <w:rPr>
          <w:rFonts w:hint="eastAsia" w:ascii="宋体" w:hAnsi="宋体" w:eastAsia="宋体" w:cs="仿宋_GB2312"/>
          <w:sz w:val="24"/>
          <w:szCs w:val="24"/>
        </w:rPr>
        <w:t>8</w:t>
      </w:r>
      <w:r>
        <w:rPr>
          <w:rFonts w:hint="eastAsia" w:ascii="宋体" w:hAnsi="宋体" w:eastAsia="宋体" w:cs="仿宋_GB2312"/>
          <w:sz w:val="24"/>
          <w:szCs w:val="24"/>
          <w:lang w:val="zh-CN"/>
        </w:rPr>
        <w:t>.1 投标人应提</w:t>
      </w:r>
      <w:r>
        <w:rPr>
          <w:rFonts w:hint="eastAsia" w:ascii="宋体" w:hAnsi="宋体" w:eastAsia="宋体" w:cs="宋体"/>
          <w:kern w:val="0"/>
          <w:sz w:val="24"/>
          <w:szCs w:val="24"/>
        </w:rPr>
        <w:t>交投标文件份数见“投标人须知前附表”。</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18.2 在招标文件中已明示需盖章及签名之处，电子投标文件应按招标文件要求加盖投标人电子印章和法人电子印章或授权代表电子印章。</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2" w:name="_Toc14299194"/>
      <w:r>
        <w:rPr>
          <w:rFonts w:hint="eastAsia" w:ascii="宋体" w:hAnsi="宋体" w:eastAsia="宋体" w:cs="宋体"/>
          <w:b/>
          <w:kern w:val="0"/>
          <w:sz w:val="28"/>
          <w:szCs w:val="28"/>
        </w:rPr>
        <w:t>四、投标文件的递交</w:t>
      </w:r>
      <w:bookmarkEnd w:id="12"/>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19</w:t>
      </w:r>
      <w:r>
        <w:rPr>
          <w:rFonts w:hint="eastAsia" w:ascii="宋体" w:hAnsi="宋体" w:eastAsia="宋体" w:cs="仿宋_GB2312"/>
          <w:b/>
          <w:sz w:val="24"/>
          <w:szCs w:val="24"/>
          <w:lang w:val="zh-CN"/>
        </w:rPr>
        <w:t>. 投标截止时间</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rPr>
        <w:t>19</w:t>
      </w:r>
      <w:r>
        <w:rPr>
          <w:rFonts w:hint="eastAsia" w:ascii="宋体" w:hAnsi="宋体" w:eastAsia="宋体" w:cs="仿宋_GB2312"/>
          <w:sz w:val="24"/>
          <w:szCs w:val="24"/>
          <w:lang w:val="zh-CN"/>
        </w:rPr>
        <w:t>.1投标人必须在“投标邀请”和“投标人须知前附表”中规定的投标截止时间前，将加密电子投标文件（.file 格式）通过《全国公共资源交易平台（河南省•许昌市）》公共资源交易系统成功上传。</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19.2招标人可以按本须知第 14 条规定，通过修改招标文件自行决定酌情延长投标截止期。在此情况下，招标人和投标人受投标截止期制约的所有权利和义务均应延长至新的截止日期和时间。投标人按招标人修改通知规定的时间提交投标文件</w:t>
      </w:r>
      <w:r>
        <w:rPr>
          <w:rFonts w:hint="eastAsia" w:ascii="宋体" w:hAnsi="宋体" w:eastAsia="宋体" w:cs="仿宋_GB2312"/>
          <w:sz w:val="24"/>
          <w:szCs w:val="24"/>
          <w:lang w:val="zh-CN"/>
        </w:rPr>
        <w:t>。</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20</w:t>
      </w:r>
      <w:r>
        <w:rPr>
          <w:rFonts w:hint="eastAsia" w:ascii="宋体" w:hAnsi="宋体" w:eastAsia="宋体" w:cs="仿宋_GB2312"/>
          <w:b/>
          <w:sz w:val="24"/>
          <w:szCs w:val="24"/>
          <w:lang w:val="zh-CN"/>
        </w:rPr>
        <w:t>. 迟交的投标文件</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投标截止时间之后上传的投标文件，招标人将拒绝接收。</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1</w:t>
      </w:r>
      <w:r>
        <w:rPr>
          <w:rFonts w:hint="eastAsia" w:ascii="宋体" w:hAnsi="宋体" w:eastAsia="宋体" w:cs="仿宋_GB2312"/>
          <w:b/>
          <w:sz w:val="24"/>
          <w:szCs w:val="24"/>
          <w:lang w:val="zh-CN"/>
        </w:rPr>
        <w:t>. 投标文件的修改和撤回</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21.1.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21.2.投标人补充、修改的内容并作为投标文件的组成部分。补充或修改应当按招标文件要求签署、盖章、提交，并应注明“修改”或“补充”字样。</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21.3.投标人在提交投标文件后，可以撤回其投标，但投标人必须在规定的投标截止时间前以书面形式告知招标人。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21.4.投标人不得在投标有效期内撤销投标文件，否则投标人将承担违背投标承诺函的责任追究。</w:t>
      </w:r>
    </w:p>
    <w:p>
      <w:pPr>
        <w:autoSpaceDE w:val="0"/>
        <w:autoSpaceDN w:val="0"/>
        <w:spacing w:line="360" w:lineRule="auto"/>
        <w:ind w:firstLine="426" w:firstLineChars="177"/>
        <w:contextualSpacing/>
        <w:jc w:val="left"/>
        <w:rPr>
          <w:rFonts w:ascii="宋体" w:hAnsi="宋体" w:eastAsia="宋体" w:cs="宋体"/>
          <w:kern w:val="0"/>
          <w:sz w:val="24"/>
          <w:szCs w:val="24"/>
        </w:rPr>
      </w:pPr>
      <w:r>
        <w:rPr>
          <w:rFonts w:hint="eastAsia" w:ascii="宋体" w:hAnsi="宋体" w:eastAsia="宋体" w:cs="宋体"/>
          <w:b/>
          <w:kern w:val="0"/>
          <w:sz w:val="24"/>
          <w:szCs w:val="24"/>
        </w:rPr>
        <w:t>22．</w:t>
      </w:r>
      <w:r>
        <w:rPr>
          <w:rFonts w:hint="eastAsia" w:ascii="宋体" w:hAnsi="宋体" w:eastAsia="宋体" w:cs="宋体"/>
          <w:b/>
          <w:sz w:val="24"/>
        </w:rPr>
        <w:t>除投标人须知前附表另有规定外，投标人所提交的电子投标文件不予退还。</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13" w:name="_Toc14299195"/>
      <w:r>
        <w:rPr>
          <w:rFonts w:hint="eastAsia" w:ascii="宋体" w:hAnsi="宋体" w:eastAsia="宋体" w:cs="宋体"/>
          <w:b/>
          <w:kern w:val="0"/>
          <w:sz w:val="28"/>
          <w:szCs w:val="28"/>
        </w:rPr>
        <w:t>五、开标和评标</w:t>
      </w:r>
      <w:bookmarkEnd w:id="13"/>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3</w:t>
      </w:r>
      <w:r>
        <w:rPr>
          <w:rFonts w:hint="eastAsia" w:ascii="宋体" w:hAnsi="宋体" w:eastAsia="宋体" w:cs="仿宋_GB2312"/>
          <w:b/>
          <w:sz w:val="24"/>
          <w:szCs w:val="24"/>
          <w:lang w:val="zh-CN"/>
        </w:rPr>
        <w:t>. 开标</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23.1.招标人将按招标文件规定的时间和地点组织远程不见面开标。开标由代理机构主持，投标人无须到现场。评标委员会成员不得参加开标活动。</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23.2.招标人应当对开标、评标现场活动进行全程录音录像。录音录像应当清晰可辨，音像资料作为采购文件一并存档。</w:t>
      </w:r>
    </w:p>
    <w:p>
      <w:pPr>
        <w:tabs>
          <w:tab w:val="left" w:pos="1260"/>
        </w:tabs>
        <w:autoSpaceDE w:val="0"/>
        <w:autoSpaceDN w:val="0"/>
        <w:spacing w:line="360" w:lineRule="auto"/>
        <w:ind w:firstLine="240" w:firstLineChars="1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 电子投标文件的解密。全流程电子化交易项目电子投标文件采用双重加密。解密需分标段进行两次解密。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23.3.1.1. 投标人解密：投标人使用本单位 CA 数字证书远程进行解密。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23.3.1.2. 代理机构解密：代理机构按电子投标文件到达交易系统的先后顺序，使用本单位 CA 数字证书进行再次解密。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23.3.1.3. 因投标人原因电子投标文件解密失败的，其投标将被拒绝。</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23.3.2. 投标人不足 3 家的，不得开标。</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23.3.3. 开标过程由采购代理机构负责记录，《开标记录表》经投标人进行电子签章、由参加开标相关工作人员签字确认后随采购文件一并存档。投标人未电子签章的，视同认可开标结果。</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23.3.5. 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4</w:t>
      </w:r>
      <w:r>
        <w:rPr>
          <w:rFonts w:hint="eastAsia" w:ascii="宋体" w:hAnsi="宋体" w:eastAsia="宋体" w:cs="仿宋_GB2312"/>
          <w:b/>
          <w:sz w:val="24"/>
          <w:szCs w:val="24"/>
          <w:lang w:val="zh-CN"/>
        </w:rPr>
        <w:t>. 资格审查</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bCs/>
          <w:sz w:val="24"/>
          <w:szCs w:val="24"/>
        </w:rPr>
        <w:t>开标结束后，采购人依法对投标人的资格进行审查。</w:t>
      </w:r>
      <w:r>
        <w:rPr>
          <w:rFonts w:hint="eastAsia" w:ascii="宋体" w:hAnsi="宋体" w:eastAsia="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5</w:t>
      </w:r>
      <w:r>
        <w:rPr>
          <w:rFonts w:hint="eastAsia" w:ascii="宋体" w:hAnsi="宋体" w:eastAsia="宋体" w:cs="仿宋_GB2312"/>
          <w:b/>
          <w:sz w:val="24"/>
          <w:szCs w:val="24"/>
          <w:lang w:val="zh-CN"/>
        </w:rPr>
        <w:t>.评标委员会的组成</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5</w:t>
      </w:r>
      <w:r>
        <w:rPr>
          <w:rFonts w:hint="eastAsia" w:ascii="宋体" w:hAnsi="宋体" w:eastAsia="宋体" w:cs="仿宋_GB2312"/>
          <w:sz w:val="24"/>
          <w:szCs w:val="24"/>
          <w:lang w:val="zh-CN"/>
        </w:rPr>
        <w:t>.1 招标人将依法组建评标委员会，评标委员会由采购人代表和评审专家组成，成员人数应当为7人以上单数，其中评审专家的人数不少于评标委员会成员总数的三分之二。评审专家依法从政府采购评审专家库中随机抽取。</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25.1.1 采购项</w:t>
      </w:r>
      <w:r>
        <w:rPr>
          <w:rFonts w:hint="eastAsia" w:ascii="宋体" w:hAnsi="宋体" w:eastAsia="宋体" w:cs="宋体"/>
          <w:kern w:val="0"/>
          <w:sz w:val="24"/>
          <w:szCs w:val="24"/>
        </w:rPr>
        <w:t>目符合下列情形之一的，评标委员会成员人数应当为7人以上单数：</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（一）采购预算金额在1000万元以上；</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（二）技术复杂；</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宋体"/>
          <w:kern w:val="0"/>
          <w:sz w:val="24"/>
          <w:szCs w:val="24"/>
        </w:rPr>
        <w:t>（三）社会影响较大。</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25.2.评审专家与投标人存在下列利害关系之一的，应当回避：</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25.2.1. 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25.2.2. 与供应商的法定代表人或者负责人有夫妻、直系血亲、三代以内旁系血亲或者近姻亲关系；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25.2.3. 与供应商有其他可能影响政府采购活动公平、公正进行的关系。</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25.3.评审专家发现本人与参加采购活动的供应商有利害关系的，应当主动提出回避。采购人或者代理机构发现评审专家与参加采购活动的供应商有利害关系的，应当要求其回避。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25.4.采购人不得担任评标小组长。</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25.5.采购人可以在评标前说明项目背景和采购需求，说明内容不得含有歧视性、倾向性意见，</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25.6.不得超出招标文件所述范围。说明应当提交书面材料，并随采购文件一并存档。</w:t>
      </w:r>
    </w:p>
    <w:p>
      <w:pPr>
        <w:tabs>
          <w:tab w:val="left" w:pos="1260"/>
        </w:tabs>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25.7.评标委员会成员名单在评标结果公告前应当保密。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6</w:t>
      </w:r>
      <w:r>
        <w:rPr>
          <w:rFonts w:hint="eastAsia" w:ascii="宋体" w:hAnsi="宋体" w:eastAsia="宋体" w:cs="仿宋_GB2312"/>
          <w:b/>
          <w:sz w:val="24"/>
          <w:szCs w:val="24"/>
          <w:lang w:val="zh-CN"/>
        </w:rPr>
        <w:t>. 符合性审查</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26.1.评标委员会依据有关法律法规和招标文件的规定，对符合资格的投标人的投标文件进行符合性审查，以确定其是否满足招标文件的实质性要求。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26.2.审查、评价投标文件是否符合招标文件的商务、技术等实质性要求。</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26.3.可要求投标人对投标文件有关事项作出澄清或者说明。</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投标文件的澄清</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2</w:t>
      </w:r>
      <w:r>
        <w:rPr>
          <w:rFonts w:hint="eastAsia" w:ascii="宋体" w:hAnsi="宋体" w:eastAsia="宋体" w:cs="仿宋_GB2312"/>
          <w:sz w:val="24"/>
          <w:szCs w:val="24"/>
        </w:rPr>
        <w:t>7</w:t>
      </w:r>
      <w:r>
        <w:rPr>
          <w:rFonts w:hint="eastAsia" w:ascii="宋体" w:hAnsi="宋体" w:eastAsia="宋体" w:cs="仿宋_GB2312"/>
          <w:sz w:val="24"/>
          <w:szCs w:val="24"/>
          <w:lang w:val="zh-CN"/>
        </w:rPr>
        <w:t>.2 投标人的澄清</w:t>
      </w:r>
      <w:r>
        <w:rPr>
          <w:rFonts w:hint="eastAsia" w:ascii="宋体" w:hAnsi="宋体" w:eastAsia="宋体" w:cs="宋体"/>
          <w:kern w:val="0"/>
          <w:sz w:val="24"/>
          <w:szCs w:val="24"/>
        </w:rPr>
        <w:t>、说明或者补正应当采用书面形式，并加盖公章，或者由法定代表人或其授权的代表签字。投标人的澄清、说明或者补正不得超出投标文件的范围或者改变投标文件的实质性内容。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27.3 投标人的澄清文</w:t>
      </w:r>
      <w:r>
        <w:rPr>
          <w:rFonts w:hint="eastAsia" w:ascii="宋体" w:hAnsi="宋体" w:eastAsia="宋体" w:cs="仿宋_GB2312"/>
          <w:sz w:val="24"/>
          <w:szCs w:val="24"/>
          <w:lang w:val="zh-CN"/>
        </w:rPr>
        <w:t>件是其投标文件的组成部分。</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hint="eastAsia" w:ascii="宋体" w:hAnsi="宋体" w:eastAsia="宋体" w:cs="仿宋_GB2312"/>
          <w:b/>
          <w:sz w:val="24"/>
          <w:szCs w:val="24"/>
        </w:rPr>
        <w:t>8</w:t>
      </w:r>
      <w:r>
        <w:rPr>
          <w:rFonts w:hint="eastAsia" w:ascii="宋体" w:hAnsi="宋体" w:eastAsia="宋体" w:cs="仿宋_GB2312"/>
          <w:b/>
          <w:sz w:val="24"/>
          <w:szCs w:val="24"/>
          <w:lang w:val="zh-CN"/>
        </w:rPr>
        <w:t>. 投标文件报价出现前后不一致的修正</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28.1投标文件中开标一览表（报价表）内容与投标文件中相应内容不一致的，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以开标一览表（报价表）为准；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28.2大写金额和小写金额不一致的，以大写金额为准；</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28.3单价金额小数点或者百分比有明显错位的，以开标一览表的总价为准，并修改单价；</w:t>
      </w:r>
    </w:p>
    <w:p>
      <w:pPr>
        <w:tabs>
          <w:tab w:val="left" w:pos="1260"/>
        </w:tabs>
        <w:autoSpaceDE w:val="0"/>
        <w:autoSpaceDN w:val="0"/>
        <w:spacing w:line="360" w:lineRule="auto"/>
        <w:ind w:firstLine="360" w:firstLineChars="150"/>
        <w:contextualSpacing/>
        <w:rPr>
          <w:rFonts w:ascii="宋体" w:hAnsi="宋体" w:eastAsia="宋体" w:cs="仿宋_GB2312"/>
          <w:sz w:val="24"/>
          <w:szCs w:val="24"/>
          <w:lang w:val="zh-CN"/>
        </w:rPr>
      </w:pPr>
      <w:r>
        <w:rPr>
          <w:rFonts w:hint="eastAsia" w:ascii="宋体" w:hAnsi="宋体" w:eastAsia="宋体" w:cs="仿宋_GB2312"/>
          <w:sz w:val="24"/>
          <w:szCs w:val="24"/>
          <w:lang w:val="zh-CN"/>
        </w:rPr>
        <w:t>28.4总价金额与按单价汇总金额不一致的，以单价金额计算结果为准。同时出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现两种以上不一致的，按照前款规定的顺序修正。修正后的报价按照“投标人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须知”28.2 规定经投标人确认后产生约束力，投标人不确认的，其投标无效。</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29.投标无效情形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29.1.投标文件属下列情况之一的，按照无效投标处理：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29.1.1. 未按照招标文件的规定提交《许昌市政府采购供应商信用承诺函》的；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29.1.2. 未按照招标文件的规定提交投标承诺函的；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29.1.3. 投标文件未按招标文件要求签署、盖章的；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29.1.4. 报价超过招标文件中规定的预算金额或者最高限价的；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29.1.5. 投标文件含有采购人不能接受的附加条件的。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29.2.根据《河南省财政厅关于防范供应商串通投标促进政府采购公平竞争的通知》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（豫财购（2021)6 号）要求，参与同一个标段的供应商存在下列情形之一的，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其投标文件无效：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29.2.1. 不同供应商的电子投标文件上传计算机的网卡 MAC 地址、CPU 序列号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和硬盘序列号等硬件信息相同的；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29.2.2. 不同供应商的投标文件由同一电子设备编制、打印加密或者上传；</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29.2.3. 不同供应商的投标文件由同一电子设备打印、复印；</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29.2.4. 不同供应商的投标文件由同一人送达或者分发，或者不同供应商联系</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人为同一人或不同联系人的联系电话一致的；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29.2.5. 不同供应商的投标文件的内容存在两处以上细节错误一致；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29.2.6. 不同供应商的法定代表人、委托代理人、项目经理、项目负责人等由</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同一个单位缴纳社会保险或者领取报酬的；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29.2.7. 不同供应商投标文件中法定代表人或者负责人签字出自同一人之手；</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29.2.8. 其他涉嫌串通的情形。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29.3.有下列情形之一的，视为投标人串通投标，其投标无效：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29.3.1. 不同投标人的投标文件由同一单位或者个人编制；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29.3.2. 不同投标人委托同一单位或者个人办理投标事宜；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29.3.3. 不同投标人的投标文件载明的项目管理成员或者联系人员为同一人；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29.3.4. 同投标人的投标文件异常一致或者投标报价呈规律性差异；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29.3.5. 不同投标人的投标文件相互混装。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29.4.投标人应当遵循公平竞争的原则，不得恶意串通，不得妨碍其他投标人的竞</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争行为，不得损害采购人或者其他投标人的合法权益。在评标过程中发现投标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人有上述情形的，评标委员会应当认定其投标无效，并书面报告本级财政部门。</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29.5.评标委员会认为投标人的报价明显低于其他通过符合性审查投标人的报价，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有可能影响产品质量或者不能诚信履约的，应当要求其在评标期间合理的时间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内提供书面说明，必要时提交相关证明材料；投标人不能证明其报价合理性的，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评标委员会应当将其作为无效投标处理。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29.6.按照《关于推进全流程电子化交易和在线监管工作有关问题的通知》（许公</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管办〔2019〕3 号）规定，不同投标人电子投标文件记录的网卡 MAC 地址、CPU</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序号、硬盘序列号等硬件特征码均相同时，视为'不同投标人的投标文件由同</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一单位或者个人编制'或'不同投标人委托同一单位或者个人办理响应事宜'，</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其投标无效。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29.7.法律、法规和招标文件规定的其他无效情形。</w:t>
      </w:r>
    </w:p>
    <w:p>
      <w:pPr>
        <w:tabs>
          <w:tab w:val="left" w:pos="1260"/>
        </w:tabs>
        <w:autoSpaceDE w:val="0"/>
        <w:autoSpaceDN w:val="0"/>
        <w:spacing w:line="360" w:lineRule="auto"/>
        <w:contextualSpacing/>
        <w:rPr>
          <w:rFonts w:ascii="宋体" w:hAnsi="宋体" w:eastAsia="宋体"/>
          <w:b/>
          <w:bCs/>
          <w:sz w:val="24"/>
          <w:szCs w:val="24"/>
          <w:lang w:val="zh-CN"/>
        </w:rPr>
      </w:pPr>
      <w:r>
        <w:rPr>
          <w:rFonts w:hint="eastAsia" w:ascii="宋体" w:hAnsi="宋体" w:eastAsia="宋体" w:cs="仿宋_GB2312"/>
          <w:b/>
          <w:sz w:val="24"/>
          <w:szCs w:val="24"/>
          <w:lang w:val="zh-CN"/>
        </w:rPr>
        <w:t>30.</w:t>
      </w:r>
      <w:r>
        <w:rPr>
          <w:rFonts w:hint="eastAsia" w:ascii="宋体" w:hAnsi="宋体" w:eastAsia="宋体"/>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30.1.采用最低评标价法的采购项目，提供相同品牌产品的不同投标人参加同一合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同项下投标的，以其中通过资格审查、符合性审查且报价最低的参加评标；报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价相同的，由采购人或者采购人委托评标委员会按照招标文件规定的方式确定</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一个参加评标的投标人，招标文件未规定的采取随机抽取方式确定，其他投标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30.2.使用综合评分法的采购项目，提供相同品牌产品且通过资格审查、符合性审</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查的不同投标人参加同一合同项下投标的，按一家投标人计算，评审后得分最</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高的同品牌投标人获得中标人推荐资格；评审得分相同的，由采购人或者采购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人委托评标委员会按照招标文件规定的方式确定一个投标人获得中标人推荐</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资格，招标文件未规定的采取随机抽取方式确定，其他同品牌投标人不作为中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31</w:t>
      </w:r>
      <w:r>
        <w:rPr>
          <w:rFonts w:hint="eastAsia" w:ascii="宋体" w:hAnsi="宋体" w:eastAsia="宋体" w:cs="仿宋_GB2312"/>
          <w:b/>
          <w:sz w:val="24"/>
          <w:szCs w:val="24"/>
          <w:lang w:val="zh-CN"/>
        </w:rPr>
        <w:t>. 投标文件的比较与评价</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仿宋_GB2312"/>
          <w:sz w:val="24"/>
          <w:szCs w:val="24"/>
          <w:lang w:val="zh-CN"/>
        </w:rPr>
        <w:t>评标委员会按照</w:t>
      </w:r>
      <w:r>
        <w:rPr>
          <w:rFonts w:hint="eastAsia" w:ascii="宋体" w:hAnsi="宋体" w:eastAsia="宋体" w:cs="宋体"/>
          <w:kern w:val="0"/>
          <w:sz w:val="24"/>
          <w:szCs w:val="24"/>
        </w:rPr>
        <w:t>招标文件</w:t>
      </w:r>
      <w:r>
        <w:rPr>
          <w:rFonts w:hint="eastAsia" w:ascii="宋体" w:hAnsi="宋体" w:eastAsia="宋体" w:cs="仿宋_GB2312"/>
          <w:sz w:val="24"/>
          <w:szCs w:val="24"/>
          <w:lang w:val="zh-CN"/>
        </w:rPr>
        <w:t>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32.评标方法、评标标准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32.1.评标方法分为最低评标价法和综合评分法。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 最低评标价法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32.1.1.1. 最低评标价法，是指投标文件满足招标文件全部实质性要求，</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且投标报价最低的投标人为中标候选人的评标方法。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32.1.1.2. 采用最低评标价法评标时，除了算术修正和落实政府采购政</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策需进行的价格扣除外，不能对投标人的投标价格进行任何调整。</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32.1.2. 综合评分法，是指投标文件满足招标文件全部实质性要求，且按照评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审因素的量化指标评审得分最高的投标人为中标候选人的评标方法。</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32.2.价格分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32.2.1. 价格分采用低价优先法计算，即满足招标文件要求且投标价格最低的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投标报价为评标基准价，其价格分为满分。其他投标人的价格分统一按</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照下列公式计算：投标报价得分=（评标基准价/投标报价）X100</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评标总得分=F1XA1+F2XA2+……+FnXAn</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F1、F2……Fn 分别为各项评审因素的得分；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32.2.2. 评标过程中，不得去掉报价中的最高报价和最低报价。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32.2.3. 因落实政府采购政策进行价格调整的，以调整后的价格计算评标基准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价和投标报价。</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b/>
          <w:sz w:val="24"/>
          <w:szCs w:val="24"/>
          <w:lang w:val="zh-CN"/>
        </w:rPr>
        <w:t>32.3. 本次评标具体评标方法、评标标准见（第六章资格 审查 与评标）</w:t>
      </w:r>
      <w:r>
        <w:rPr>
          <w:rFonts w:hint="eastAsia" w:ascii="宋体" w:hAnsi="宋体" w:eastAsia="宋体" w:cs="仿宋_GB2312"/>
          <w:sz w:val="24"/>
          <w:szCs w:val="24"/>
          <w:lang w:val="zh-CN"/>
        </w:rPr>
        <w:t>。</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b/>
          <w:bCs/>
          <w:sz w:val="24"/>
          <w:szCs w:val="24"/>
          <w:lang w:val="zh-CN"/>
        </w:rPr>
        <w:t>3</w:t>
      </w:r>
      <w:r>
        <w:rPr>
          <w:rFonts w:hint="eastAsia" w:ascii="宋体" w:hAnsi="宋体" w:eastAsia="宋体"/>
          <w:b/>
          <w:bCs/>
          <w:sz w:val="24"/>
          <w:szCs w:val="24"/>
        </w:rPr>
        <w:t>3</w:t>
      </w:r>
      <w:r>
        <w:rPr>
          <w:rFonts w:hint="eastAsia" w:ascii="宋体" w:hAnsi="宋体" w:eastAsia="宋体"/>
          <w:b/>
          <w:bCs/>
          <w:sz w:val="24"/>
          <w:szCs w:val="24"/>
          <w:lang w:val="zh-CN"/>
        </w:rPr>
        <w:t>. 推荐中标候选人</w:t>
      </w:r>
    </w:p>
    <w:p>
      <w:pPr>
        <w:autoSpaceDE w:val="0"/>
        <w:autoSpaceDN w:val="0"/>
        <w:spacing w:line="360" w:lineRule="auto"/>
        <w:ind w:firstLine="424" w:firstLineChars="177"/>
        <w:contextualSpacing/>
        <w:jc w:val="left"/>
        <w:rPr>
          <w:rFonts w:ascii="宋体" w:hAnsi="宋体" w:eastAsia="宋体" w:cs="宋体"/>
          <w:kern w:val="0"/>
          <w:sz w:val="24"/>
          <w:szCs w:val="24"/>
        </w:rPr>
      </w:pPr>
      <w:r>
        <w:rPr>
          <w:rFonts w:hint="eastAsia" w:ascii="宋体" w:hAnsi="宋体" w:eastAsia="宋体" w:cs="仿宋_GB2312"/>
          <w:sz w:val="24"/>
          <w:szCs w:val="24"/>
          <w:lang w:val="zh-CN"/>
        </w:rPr>
        <w:t>3</w:t>
      </w:r>
      <w:r>
        <w:rPr>
          <w:rFonts w:hint="eastAsia" w:ascii="宋体" w:hAnsi="宋体" w:eastAsia="宋体" w:cs="仿宋_GB2312"/>
          <w:sz w:val="24"/>
          <w:szCs w:val="24"/>
        </w:rPr>
        <w:t>3</w:t>
      </w:r>
      <w:r>
        <w:rPr>
          <w:rFonts w:hint="eastAsia" w:ascii="宋体" w:hAnsi="宋体" w:eastAsia="宋体" w:cs="仿宋_GB2312"/>
          <w:sz w:val="24"/>
          <w:szCs w:val="24"/>
          <w:lang w:val="zh-CN"/>
        </w:rPr>
        <w:t>.1 采用最低评标价法</w:t>
      </w:r>
      <w:r>
        <w:rPr>
          <w:rFonts w:hint="eastAsia" w:ascii="宋体" w:hAnsi="宋体" w:eastAsia="宋体" w:cs="宋体"/>
          <w:kern w:val="0"/>
          <w:sz w:val="24"/>
          <w:szCs w:val="24"/>
        </w:rPr>
        <w:t>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24" w:firstLineChars="177"/>
        <w:contextualSpacing/>
        <w:jc w:val="left"/>
        <w:rPr>
          <w:rFonts w:ascii="宋体" w:hAnsi="宋体" w:eastAsia="宋体" w:cs="仿宋_GB2312"/>
          <w:sz w:val="24"/>
          <w:szCs w:val="24"/>
          <w:lang w:val="zh-CN"/>
        </w:rPr>
      </w:pPr>
      <w:r>
        <w:rPr>
          <w:rFonts w:hint="eastAsia" w:ascii="宋体" w:hAnsi="宋体" w:eastAsia="宋体" w:cs="宋体"/>
          <w:kern w:val="0"/>
          <w:sz w:val="24"/>
          <w:szCs w:val="24"/>
        </w:rPr>
        <w:t>33.2 采用综合评分法的，评标结果按评审后得分由高到低顺序排列。得分相同的，按投标报价由低到高顺序排列</w:t>
      </w:r>
      <w:r>
        <w:rPr>
          <w:rFonts w:hint="eastAsia" w:ascii="宋体" w:hAnsi="宋体" w:eastAsia="宋体" w:cs="仿宋_GB2312"/>
          <w:sz w:val="24"/>
          <w:szCs w:val="24"/>
          <w:lang w:val="zh-CN"/>
        </w:rPr>
        <w:t>。得分且投标报价相同并列的，由评标委员会现场随机抽取决定排名。投标文件满足招标文件全部实质性要求，且按照评审因素的量化指标评审得分最高的投标人为排名第一的中标候选人。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4</w:t>
      </w:r>
      <w:r>
        <w:rPr>
          <w:rFonts w:hint="eastAsia" w:ascii="宋体" w:hAnsi="宋体" w:eastAsia="宋体" w:cs="仿宋_GB2312"/>
          <w:b/>
          <w:sz w:val="24"/>
          <w:szCs w:val="24"/>
          <w:lang w:val="zh-CN"/>
        </w:rPr>
        <w:t>.评审意见无效情形</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34.1.评标委员会及其成员有下列行为之一的，其评审意见无效：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34.1.1. 确定参与评标至评标结束前私自接触投标人；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34.1.2. 接受投标人提出的与投标文件不一致的澄清或者说明，《投标人须知》</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26 条规定的情形除外；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34.1.3. 违反评标纪律发表倾向性意见或者征询采购人的倾向性意见；</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34.1.4. 对需要专业判断的主观评审因素协商评分；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34.1.5. 在评标过程中擅离职守，影响评标程序正常进行的；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34.1.6. 记录、复制或者带走任何评标资料；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34.1.7. 其他不遵守评标纪律的行为。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5</w:t>
      </w:r>
      <w:r>
        <w:rPr>
          <w:rFonts w:hint="eastAsia" w:ascii="宋体" w:hAnsi="宋体" w:eastAsia="宋体" w:cs="仿宋_GB2312"/>
          <w:b/>
          <w:sz w:val="24"/>
          <w:szCs w:val="24"/>
          <w:lang w:val="zh-CN"/>
        </w:rPr>
        <w:t>. 保密</w:t>
      </w:r>
    </w:p>
    <w:p>
      <w:pPr>
        <w:tabs>
          <w:tab w:val="left" w:pos="1260"/>
        </w:tabs>
        <w:autoSpaceDE w:val="0"/>
        <w:autoSpaceDN w:val="0"/>
        <w:spacing w:line="360" w:lineRule="auto"/>
        <w:contextualSpacing/>
        <w:rPr>
          <w:rFonts w:ascii="宋体" w:hAnsi="宋体" w:eastAsia="宋体" w:cs="仿宋_GB2312"/>
          <w:sz w:val="24"/>
          <w:szCs w:val="24"/>
          <w:lang w:val="zh-CN"/>
        </w:rPr>
      </w:pPr>
      <w:bookmarkStart w:id="14" w:name="_Toc14299196"/>
      <w:r>
        <w:rPr>
          <w:rFonts w:hint="eastAsia" w:ascii="宋体" w:hAnsi="宋体" w:eastAsia="宋体" w:cs="仿宋_GB2312"/>
          <w:sz w:val="24"/>
          <w:szCs w:val="24"/>
          <w:lang w:val="zh-CN"/>
        </w:rPr>
        <w:t>35.1.1. 评审专家应当遵守评审工作纪律，不得泄露评审文件、评审情况和评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审中获悉的商业秘密。</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35.1.2. 采购人、采购代理机构应当采取必要措施，保证评标在严格保密的情</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况下进行。有关人员对评标情况以及在评标过程中获悉的国家秘密、商业秘密负 有保密责任。</w:t>
      </w: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r>
        <w:rPr>
          <w:rFonts w:hint="eastAsia" w:ascii="宋体" w:hAnsi="宋体" w:eastAsia="宋体" w:cs="宋体"/>
          <w:b/>
          <w:kern w:val="0"/>
          <w:sz w:val="28"/>
          <w:szCs w:val="28"/>
        </w:rPr>
        <w:t>六、定标和授予合同</w:t>
      </w:r>
      <w:bookmarkEnd w:id="14"/>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6</w:t>
      </w:r>
      <w:r>
        <w:rPr>
          <w:rFonts w:hint="eastAsia" w:ascii="宋体" w:hAnsi="宋体" w:eastAsia="宋体" w:cs="仿宋_GB2312"/>
          <w:b/>
          <w:sz w:val="24"/>
          <w:szCs w:val="24"/>
          <w:lang w:val="zh-CN"/>
        </w:rPr>
        <w:t>. 确定中标人</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36.1.采购人应当自收到评标报告之日起 1 个工作日内，在评标报告确定的中标候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选人名单中按顺序确定中标人（核验中标供应商由《许昌市政府采购供应商信</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用承诺函》替代的证明材料）。</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36.2.采购人在收到评标报告 1 个工作日内未按评标报告推荐的中标候选人顺序确</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定中标人，又不能说明合法理由的，视同按评标报告推荐的顺序确定排名第一</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的中标候选人为中标人。</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3</w:t>
      </w:r>
      <w:r>
        <w:rPr>
          <w:rFonts w:hint="eastAsia" w:ascii="宋体" w:hAnsi="宋体" w:eastAsia="宋体" w:cs="仿宋_GB2312"/>
          <w:b/>
          <w:sz w:val="24"/>
          <w:szCs w:val="24"/>
        </w:rPr>
        <w:t>7</w:t>
      </w:r>
      <w:r>
        <w:rPr>
          <w:rFonts w:hint="eastAsia" w:ascii="宋体" w:hAnsi="宋体" w:eastAsia="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37.1.采购人确认中标人后公告中标结果的同时，招标代理机构向中标人发出中标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通知书。</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37.2.中标通知书发出后，采购人不得违法改变中标结果，中标人无正当理由不得</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放弃中标。</w:t>
      </w:r>
    </w:p>
    <w:p>
      <w:pPr>
        <w:tabs>
          <w:tab w:val="left" w:pos="1260"/>
        </w:tabs>
        <w:autoSpaceDE w:val="0"/>
        <w:autoSpaceDN w:val="0"/>
        <w:spacing w:line="360" w:lineRule="auto"/>
        <w:contextualSpacing/>
        <w:rPr>
          <w:rFonts w:ascii="宋体" w:hAnsi="宋体" w:eastAsia="宋体" w:cs="仿宋_GB2312"/>
          <w:b/>
          <w:sz w:val="24"/>
          <w:szCs w:val="24"/>
          <w:lang w:val="zh-CN"/>
        </w:rPr>
      </w:pPr>
      <w:r>
        <w:rPr>
          <w:rFonts w:hint="eastAsia" w:ascii="宋体" w:hAnsi="宋体" w:eastAsia="宋体" w:cs="仿宋_GB2312"/>
          <w:b/>
          <w:sz w:val="24"/>
          <w:szCs w:val="24"/>
        </w:rPr>
        <w:t>38.</w:t>
      </w:r>
      <w:r>
        <w:rPr>
          <w:rFonts w:hint="eastAsia" w:ascii="宋体" w:hAnsi="宋体" w:eastAsia="宋体" w:cs="仿宋_GB2312"/>
          <w:b/>
          <w:sz w:val="24"/>
          <w:szCs w:val="24"/>
          <w:lang w:val="zh-CN"/>
        </w:rPr>
        <w:t>质疑提出与答复</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38.1.供应商认为采购文件、采购过程和中标结果使自己的权益受到损害的，可以</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按照《政府采购质疑和投诉办法》（财政部令第 94 号）提出质疑。提出质疑</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的供应商应当是参与本项目采购活动的供应商。提出时应按照《政府采购质疑</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和投诉办法》（财政部令第 94 号）第十二条规定提交质疑函和必要的证明材</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料，如未提出视为全面接受。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38.1.1. 对采购文件提出质疑的，潜在投标人应已依法获取采购文件，且应当</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在获取采购文件或者采购文件公告期限届满之日起7个工作日内使用CA</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数字证书登录《全国公共资源交易平台（河南省•许昌市）》，通过许</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昌公共资源交易系统一次性提出，逾期提交或未按照要求提交的质疑函</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将不予受理。质疑提出后潜在投标人应及时联系招标公告中集采机构联</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38.1.2. 对采购过程提出质疑的，为各采购程序环节结束之日起七个工作日内，</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投标人使用CA数字证书登录《全国公共资源交易平台（河南省•许昌市）》，</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通过许昌公共资源交易系统一次性提出，逾期提交或未按照要求提交的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质疑函将不予受理。质疑提出后投标人应及时联系招标公告中集采机构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联系人查看。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38.1.3. 对中标结果提出质疑的，为中标结果公告期限届满之日起七个工作日</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内，投标人使用 CA 数字证书登录《全国公共资源交易平台（河南省•许</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昌市）》，通过许昌公共资源交易系统一次性提出，逾期提交或未按照</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要求提交的质疑函将不予受理。质疑提出后投标人应及时联系招标公告</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中集采机构联系人查看。</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38.2.采购人、采购代理机构认为供应商质疑不成立，或者成立但未对中标结果构</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成影响的，在收到质疑函 7 个工作日内通过《全国公共资源交易平台（河南</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省•许昌市）》交易系统作出答复，并继续开展采购活动；认为供应商质疑成</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立且影响或者可能影响中标结果的，在收到质疑函 7 个工作日内通过《全国公</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共资源交易平台（河南省•许昌市）》交易系统作出答复，并按照下列情况处理：</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38.2.1. 对采购文件提出的质疑，依法通过澄清或者修改可以继续开展采购活</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38.2.2. 对采购过程、中标结果提出的质疑，合格供应商符合法定数量时，可</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以从合格的中标候选人中另行确定中标供应商的，应当依法另行确定中</w:t>
      </w:r>
    </w:p>
    <w:p>
      <w:pPr>
        <w:tabs>
          <w:tab w:val="left" w:pos="1260"/>
        </w:tabs>
        <w:autoSpaceDE w:val="0"/>
        <w:autoSpaceDN w:val="0"/>
        <w:spacing w:line="360" w:lineRule="auto"/>
        <w:contextualSpacing/>
        <w:rPr>
          <w:rFonts w:ascii="宋体" w:hAnsi="宋体" w:eastAsia="宋体" w:cs="仿宋_GB2312"/>
          <w:sz w:val="24"/>
          <w:szCs w:val="24"/>
        </w:rPr>
      </w:pPr>
      <w:r>
        <w:rPr>
          <w:rFonts w:hint="eastAsia" w:ascii="宋体" w:hAnsi="宋体" w:eastAsia="宋体" w:cs="仿宋_GB2312"/>
          <w:sz w:val="24"/>
          <w:szCs w:val="24"/>
        </w:rPr>
        <w:t>标供应商；否则应当重新开展采购活动。</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39.</w:t>
      </w:r>
      <w:r>
        <w:rPr>
          <w:rFonts w:hint="eastAsia"/>
        </w:rPr>
        <w:t xml:space="preserve"> </w:t>
      </w:r>
      <w:r>
        <w:rPr>
          <w:rFonts w:hint="eastAsia" w:ascii="宋体" w:hAnsi="宋体" w:eastAsia="宋体" w:cs="仿宋_GB2312"/>
          <w:b/>
          <w:sz w:val="24"/>
          <w:szCs w:val="24"/>
          <w:lang w:val="zh-CN"/>
        </w:rPr>
        <w:t>签订合同与备案</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采购人应当自中标通知书发出之日起 2 日内，按照招标文件和中标人投标文件的规</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定，与中标人签订书面合同。所签订的合同不得对招标文件确定的事项和中标人投标文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件作实质性修改。</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采购人自采购合同签订之日起，1 个工作日内到许昌市政府采购监督管理办公室进</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行合同备案，并登录“许昌市政府采购网”进行网上备案。</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40.履约保证金</w:t>
      </w:r>
    </w:p>
    <w:p>
      <w:pPr>
        <w:tabs>
          <w:tab w:val="left" w:pos="1260"/>
        </w:tabs>
        <w:autoSpaceDE w:val="0"/>
        <w:autoSpaceDN w:val="0"/>
        <w:spacing w:line="360" w:lineRule="auto"/>
        <w:contextualSpacing/>
        <w:rPr>
          <w:rFonts w:ascii="宋体" w:hAnsi="宋体" w:eastAsia="宋体" w:cs="宋体"/>
          <w:kern w:val="0"/>
          <w:sz w:val="24"/>
          <w:szCs w:val="24"/>
        </w:rPr>
      </w:pPr>
      <w:bookmarkStart w:id="15" w:name="_Toc14299197"/>
      <w:bookmarkStart w:id="16" w:name="_Toc14299036"/>
      <w:r>
        <w:rPr>
          <w:rFonts w:hint="eastAsia" w:ascii="宋体" w:hAnsi="宋体" w:eastAsia="宋体" w:cs="宋体"/>
          <w:kern w:val="0"/>
          <w:sz w:val="24"/>
          <w:szCs w:val="24"/>
        </w:rPr>
        <w:t>“投标人须知前附表”中规定中标人提交履约保证金的，中标人应当以支票、汇票、</w:t>
      </w:r>
    </w:p>
    <w:p>
      <w:pPr>
        <w:tabs>
          <w:tab w:val="left" w:pos="1260"/>
        </w:tabs>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本票或者金融机构、担保机构出具的保函等非现金形式向采购人提交。履约保证金的数</w:t>
      </w:r>
    </w:p>
    <w:p>
      <w:pPr>
        <w:tabs>
          <w:tab w:val="left" w:pos="1260"/>
        </w:tabs>
        <w:autoSpaceDE w:val="0"/>
        <w:autoSpaceDN w:val="0"/>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额不得超过政府采购合同金额的 10%。</w:t>
      </w:r>
    </w:p>
    <w:p>
      <w:pPr>
        <w:tabs>
          <w:tab w:val="left" w:pos="1260"/>
        </w:tabs>
        <w:autoSpaceDE w:val="0"/>
        <w:autoSpaceDN w:val="0"/>
        <w:spacing w:line="360" w:lineRule="auto"/>
        <w:contextualSpacing/>
        <w:rPr>
          <w:rFonts w:ascii="宋体" w:hAnsi="宋体" w:eastAsia="宋体" w:cs="仿宋_GB2312"/>
          <w:b/>
          <w:sz w:val="24"/>
          <w:szCs w:val="24"/>
        </w:rPr>
      </w:pPr>
      <w:r>
        <w:rPr>
          <w:rFonts w:hint="eastAsia" w:ascii="宋体" w:hAnsi="宋体" w:eastAsia="宋体" w:cs="仿宋_GB2312"/>
          <w:b/>
          <w:sz w:val="24"/>
          <w:szCs w:val="24"/>
        </w:rPr>
        <w:t>41.履约保证金</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41.1.缓解中小企业融资难题</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政府采购合同融资是支持中小微企业发展，针对参与政府采购活动的供应商</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融资难、融资贵问题推出的一项融资政策。根据河南省财政厅《关于印发深</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入推进政府采购合同融资工作实施方案的通知》精神，我市目前已与以下金</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融机构合作开展政府采购信用融资业务，中标供应商可持政府采购合同，通</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过“许昌市政府采购网”向所选的金融机构申请贷款，无需抵押、担保，融</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资机构将根据《河南省政府采购合同融资工作实施方案》（豫财购[2017]10</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号），按照双方自愿的原则提供便捷、优惠的贷款服务。</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41.2.合作金融机构（排名不分先后）</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1）合作金融机构名称：中原银行许昌分行（小微金融部）</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联系人及电话：陈阳 13137407575 方金龙 15836539901</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地址：许昌市建安大道与紫云路交汇处中原银行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2） 合作金融机构名称：浦发银行许昌分行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联系人及电话：赵勇 0374-7313569、731350218937459920</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地址：许昌市许继大道 1163 号许继花园</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3） 合作金融机构名称：交通银行许昌分行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联系人：宋纪刚 0374-2369912 13733951305</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地址：许昌市莲城大道 114 号</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 合作金融机构名称：光大银行许昌分行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联系人：李东磊 0374-292816818569936868</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地址：许昌市魏都区八一路文峰路交叉口西北角</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5） 合作金融机构名称：招商银行许昌分行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联系人及电话：崔星迪 0374-5376058 18839983051</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地址：许昌市建安大道中段新天下 AB 座</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6） 合作金融机构名称：邮储银行许昌市分行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联系人及电话：张彦峰 13839001972 武松涛 18839902679</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徐亚爽 15038297574</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地址：许昌市莲城大道邮储银行莲城支行二楼</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7） 合作金融机构名称：中国银行许昌分行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联系人及电话：白炜 13938772680 刘晓飞 0374-3338596</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地址：许昌市魏都区建设路 1488 号</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8） 合作金融机构名称：中信银行郑州红专路支行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联系人：韩晨 13253490679</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地址：郑州市金水区经三路北 26 号中信银行郑州红专路支行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9） 合作金融机构名称：郑州银行许昌分行</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联系人：王晶 0374-229801118339062222</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地址：河南省许昌市魏都区莲城大道与魏文路交叉口西南角亨通君成国际大</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厦</w:t>
      </w:r>
    </w:p>
    <w:p>
      <w:pPr>
        <w:autoSpaceDE w:val="0"/>
        <w:autoSpaceDN w:val="0"/>
        <w:spacing w:line="360" w:lineRule="auto"/>
        <w:ind w:firstLine="424" w:firstLineChars="177"/>
        <w:contextualSpacing/>
        <w:jc w:val="left"/>
        <w:rPr>
          <w:rFonts w:ascii="宋体" w:hAnsi="宋体" w:eastAsia="宋体" w:cs="宋体"/>
          <w:sz w:val="24"/>
          <w:szCs w:val="24"/>
        </w:rPr>
      </w:pPr>
      <w:r>
        <w:rPr>
          <w:rFonts w:hint="eastAsia" w:ascii="宋体" w:hAnsi="宋体" w:eastAsia="宋体" w:cs="宋体"/>
          <w:sz w:val="24"/>
          <w:szCs w:val="24"/>
        </w:rPr>
        <w:t>41.3.“许昌市政府采购合同融资金融产品推介名录”链接</w:t>
      </w:r>
    </w:p>
    <w:p>
      <w:pPr>
        <w:autoSpaceDE w:val="0"/>
        <w:autoSpaceDN w:val="0"/>
        <w:spacing w:line="360" w:lineRule="auto"/>
        <w:ind w:firstLine="424" w:firstLineChars="177"/>
        <w:contextualSpacing/>
        <w:jc w:val="left"/>
        <w:rPr>
          <w:rFonts w:ascii="宋体" w:hAnsi="宋体" w:eastAsia="宋体" w:cs="宋体"/>
          <w:sz w:val="24"/>
          <w:szCs w:val="24"/>
        </w:rPr>
      </w:pPr>
      <w:r>
        <w:rPr>
          <w:rFonts w:ascii="宋体" w:hAnsi="宋体" w:eastAsia="宋体" w:cs="宋体"/>
          <w:sz w:val="24"/>
          <w:szCs w:val="24"/>
        </w:rPr>
        <w:t>http://xuchang.hngp.gov.cn/xuchang/content?infoId=1606365368231095&amp;</w:t>
      </w:r>
    </w:p>
    <w:p>
      <w:pPr>
        <w:autoSpaceDE w:val="0"/>
        <w:autoSpaceDN w:val="0"/>
        <w:spacing w:line="360" w:lineRule="auto"/>
        <w:ind w:firstLine="424" w:firstLineChars="177"/>
        <w:contextualSpacing/>
        <w:jc w:val="left"/>
        <w:rPr>
          <w:rFonts w:ascii="宋体" w:hAnsi="宋体" w:eastAsia="宋体" w:cs="宋体"/>
          <w:sz w:val="24"/>
          <w:szCs w:val="24"/>
        </w:rPr>
      </w:pPr>
      <w:r>
        <w:rPr>
          <w:rFonts w:ascii="宋体" w:hAnsi="宋体" w:eastAsia="宋体" w:cs="宋体"/>
          <w:sz w:val="24"/>
          <w:szCs w:val="24"/>
        </w:rPr>
        <w:t>channelCode=H711001</w:t>
      </w:r>
    </w:p>
    <w:p>
      <w:pPr>
        <w:widowControl/>
        <w:jc w:val="left"/>
        <w:rPr>
          <w:rFonts w:ascii="宋体" w:hAnsi="宋体" w:eastAsia="宋体" w:cs="宋体"/>
          <w:sz w:val="24"/>
          <w:szCs w:val="24"/>
        </w:rPr>
      </w:pP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autoSpaceDE w:val="0"/>
        <w:autoSpaceDN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bookmarkEnd w:id="15"/>
      <w:bookmarkEnd w:id="16"/>
    </w:p>
    <w:p>
      <w:pPr>
        <w:jc w:val="center"/>
        <w:rPr>
          <w:rFonts w:ascii="宋体" w:hAnsi="宋体" w:eastAsia="宋体" w:cs="宋体"/>
          <w:b/>
          <w:kern w:val="0"/>
          <w:sz w:val="36"/>
          <w:szCs w:val="36"/>
        </w:rPr>
      </w:pP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根据《中华人民共和国政府采购法》、《中华人民共和国政府采购法实施条例》、</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《政府采购货物和服务招标投标管理办法》等规定，本项目落实节约能源、保护环境、促进中小企业发展、支持监狱企业发展、促进残疾人就业等政府采购政策。</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 节约能源、保护环境</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按照《财政部、发展改革委、生态环境部、市场监管总局关于调整优化节能产品、</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环境标志产品政府采购执行机制的通知》（财库[2019]9 号）和财政部、生态环境部《关于印发环境标志产品政府采购品目清单的通知》（财库[2019]18 号）以及财政部、发展改革委《关于印发节能产品政府采购品目清单的通知》（财库[2019]19 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 促进中小企业发展（不含民办非企业）</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 专门面向中小企业预留采购份额</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（二） 非专门面向中小企业预留采购份额</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1、根据财政部、工业和信息化部《政府采购促进中小企业发展管理办法》（财库[2020]46 号）、《关于进一步加大政府采购支持中小企业力度的通知》（财库[2022]19</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号）规定，对符合该办法规定的小型和微型企业报价给予 10%-20%的扣除，用扣除后的</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价格参与评审。</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2、在货物采购项目中，供应商提供的货物既有中小企业制造货物，也有大型企业</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制造货物的，不享受《政府采购促进中小企业发展管理办法》（财库[2020]46 号）规定的中小企业扶持政策。</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3、以联合体形式参加政府采购活动，联合体各方均为中小企业的，联合体视同中</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小企业。其中，联合体各方均为小微企业的，联合体视同小微企业。</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4、接受大中型企业与小微企业组成联合体或者允许大中型企业向一家或者多家小</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微企业分包的采购项目，对于联合协议或者分包意向协议约定小微企业的合同份额占到</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5、按照本次采购标的所属行业的划型标准，符合条件的中小企业应按照招标文件</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格式要求提供《中小企业声明函》，否则不得享受相关中小企业扶持政策。</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三、 支持监狱企业发展</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按照财政部、司法部发布的《关于政府采购支持监狱企业发展有关问题的通知》（财</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库[2014]68 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四、 促进残疾人就业</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于促进残疾人就业政府采购政策的通知》（财库[2017]141 号）规定，在政府采购活动</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中，残疾人福利性单位视同小型、微型企业，享受评审中价格扣除的政府采购政策。对</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残疾人福利性单位提供本单位制造的货物、承担的工程或者服务，或者提供其他残疾人</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福利性单位制造的货物（不包括使用非残疾人福利性单位注册商标的货物）用扣除后的</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价格参与评审。残疾人福利性单位属于小型、微型企业的，不重复享受政策。</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发布关于促进残疾人就业政府采购政策的通知》规定的《残疾人福利性单位声明函》，</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并对声明的真实性负责。任何单位或者个人在政府采购活动中均不得要求残疾人福利性</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单位提供其他证明声明函内容的材料。</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 中标人为残疾人福利性单位的，招标人应当随中标结果同时公告其《残疾人福</w:t>
      </w:r>
    </w:p>
    <w:p>
      <w:pPr>
        <w:pStyle w:val="15"/>
        <w:spacing w:line="360" w:lineRule="auto"/>
        <w:contextualSpacing/>
        <w:rPr>
          <w:rFonts w:ascii="宋体" w:hAnsi="宋体" w:cs="仿宋_GB2312"/>
          <w:szCs w:val="24"/>
          <w:lang w:val="zh-CN"/>
        </w:rPr>
      </w:pPr>
      <w:r>
        <w:rPr>
          <w:rFonts w:hint="eastAsia" w:ascii="宋体" w:hAnsi="宋体" w:cs="仿宋_GB2312"/>
          <w:szCs w:val="24"/>
          <w:lang w:val="zh-CN"/>
        </w:rPr>
        <w:t>利性单位声明函》，接受社会监督。</w:t>
      </w:r>
    </w:p>
    <w:p>
      <w:pPr>
        <w:pStyle w:val="15"/>
        <w:spacing w:line="360" w:lineRule="auto"/>
        <w:contextualSpacing/>
        <w:rPr>
          <w:rFonts w:ascii="宋体" w:hAnsi="宋体" w:cs="宋体"/>
          <w:b/>
          <w:kern w:val="0"/>
          <w:szCs w:val="24"/>
        </w:rPr>
      </w:pPr>
      <w:r>
        <w:rPr>
          <w:rFonts w:ascii="宋体" w:hAnsi="宋体" w:cs="宋体"/>
          <w:b/>
          <w:kern w:val="0"/>
          <w:szCs w:val="24"/>
        </w:rPr>
        <w:br w:type="page"/>
      </w:r>
    </w:p>
    <w:p>
      <w:pPr>
        <w:spacing w:beforeLines="50" w:afterLines="50"/>
        <w:jc w:val="center"/>
        <w:outlineLvl w:val="0"/>
        <w:rPr>
          <w:rFonts w:ascii="宋体" w:hAnsi="宋体" w:eastAsia="宋体" w:cs="宋体"/>
          <w:b/>
          <w:kern w:val="0"/>
          <w:sz w:val="32"/>
          <w:szCs w:val="32"/>
        </w:rPr>
      </w:pPr>
      <w:bookmarkStart w:id="17" w:name="_Toc14299037"/>
      <w:bookmarkStart w:id="18" w:name="_Toc14299198"/>
      <w:bookmarkStart w:id="26" w:name="_GoBack"/>
      <w:bookmarkEnd w:id="26"/>
      <w:r>
        <w:rPr>
          <w:rFonts w:hint="eastAsia" w:ascii="宋体" w:hAnsi="宋体" w:eastAsia="宋体" w:cs="宋体"/>
          <w:b/>
          <w:kern w:val="0"/>
          <w:sz w:val="32"/>
          <w:szCs w:val="32"/>
        </w:rPr>
        <w:t>第六章 资格审查与评标</w:t>
      </w:r>
      <w:bookmarkEnd w:id="17"/>
      <w:bookmarkEnd w:id="18"/>
    </w:p>
    <w:p>
      <w:pPr>
        <w:pStyle w:val="15"/>
        <w:spacing w:line="360" w:lineRule="auto"/>
        <w:contextualSpacing/>
        <w:rPr>
          <w:rFonts w:ascii="宋体" w:hAnsi="宋体" w:cs="仿宋_GB2312"/>
          <w:b/>
          <w:szCs w:val="24"/>
          <w:lang w:val="zh-CN"/>
        </w:rPr>
      </w:pPr>
      <w:r>
        <w:rPr>
          <w:rFonts w:ascii="宋体" w:hAnsi="宋体" w:cs="仿宋_GB2312"/>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（一） 开标结束后，采购人（采购代理机构）依法对投标人资格进行审查。确定符合资格的投标人不少于 3 家的，将组织评标委员会进行评标。</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 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pPr>
              <w:spacing w:line="360" w:lineRule="auto"/>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pPr>
              <w:spacing w:line="360" w:lineRule="auto"/>
              <w:jc w:val="left"/>
              <w:rPr>
                <w:rFonts w:ascii="宋体" w:hAnsi="宋体" w:eastAsia="宋体"/>
                <w:b/>
                <w:szCs w:val="21"/>
              </w:rPr>
            </w:pPr>
            <w:r>
              <w:rPr>
                <w:rFonts w:hint="eastAsia" w:ascii="宋体" w:hAnsi="宋体" w:eastAsia="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pPr>
              <w:spacing w:line="360" w:lineRule="auto"/>
              <w:rPr>
                <w:rFonts w:ascii="宋体" w:hAnsi="宋体" w:eastAsia="宋体"/>
                <w:b/>
                <w:szCs w:val="21"/>
              </w:rPr>
            </w:pPr>
            <w:r>
              <w:rPr>
                <w:rFonts w:hint="eastAsia" w:ascii="宋体" w:hAnsi="宋体" w:eastAsia="宋体"/>
                <w:b/>
                <w:szCs w:val="21"/>
              </w:rPr>
              <w:t>投标函</w:t>
            </w:r>
          </w:p>
        </w:tc>
        <w:tc>
          <w:tcPr>
            <w:tcW w:w="5954" w:type="dxa"/>
            <w:vAlign w:val="center"/>
          </w:tcPr>
          <w:p>
            <w:pPr>
              <w:spacing w:line="360" w:lineRule="auto"/>
              <w:rPr>
                <w:rFonts w:ascii="宋体" w:hAnsi="宋体" w:eastAsia="宋体"/>
                <w:b/>
                <w:szCs w:val="21"/>
              </w:rPr>
            </w:pPr>
            <w:r>
              <w:rPr>
                <w:rFonts w:hint="eastAsia" w:ascii="宋体" w:hAnsi="宋体" w:eastAsia="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2</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中小企业</w:t>
            </w:r>
          </w:p>
        </w:tc>
        <w:tc>
          <w:tcPr>
            <w:tcW w:w="5954" w:type="dxa"/>
            <w:vAlign w:val="center"/>
          </w:tcPr>
          <w:p>
            <w:pPr>
              <w:spacing w:line="360" w:lineRule="auto"/>
              <w:rPr>
                <w:rFonts w:ascii="宋体" w:hAnsi="宋体" w:eastAsia="宋体"/>
                <w:bCs/>
                <w:szCs w:val="21"/>
              </w:rPr>
            </w:pPr>
            <w:r>
              <w:rPr>
                <w:rFonts w:hint="eastAsia" w:ascii="宋体" w:hAnsi="宋体" w:eastAsia="宋体"/>
                <w:bCs/>
                <w:szCs w:val="21"/>
              </w:rPr>
              <w:t>（1）中小企业出具《中小企业声明函》</w:t>
            </w:r>
          </w:p>
          <w:p>
            <w:pPr>
              <w:spacing w:line="360" w:lineRule="auto"/>
              <w:jc w:val="left"/>
              <w:rPr>
                <w:rFonts w:ascii="宋体" w:hAnsi="宋体" w:eastAsia="宋体"/>
                <w:b/>
                <w:bCs/>
                <w:szCs w:val="21"/>
              </w:rPr>
            </w:pPr>
            <w:r>
              <w:rPr>
                <w:rFonts w:hint="eastAsia" w:ascii="宋体" w:hAnsi="宋体" w:eastAsia="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许昌市政府采购</w:t>
            </w:r>
          </w:p>
          <w:p>
            <w:pPr>
              <w:spacing w:line="360" w:lineRule="auto"/>
              <w:rPr>
                <w:rFonts w:ascii="宋体" w:hAnsi="宋体" w:eastAsia="宋体"/>
                <w:b/>
                <w:szCs w:val="21"/>
              </w:rPr>
            </w:pPr>
            <w:r>
              <w:rPr>
                <w:rFonts w:hint="eastAsia" w:ascii="宋体" w:hAnsi="宋体" w:eastAsia="宋体"/>
                <w:b/>
                <w:bCs/>
                <w:szCs w:val="21"/>
              </w:rPr>
              <w:t>供应商信用承诺函</w:t>
            </w:r>
          </w:p>
        </w:tc>
        <w:tc>
          <w:tcPr>
            <w:tcW w:w="5954" w:type="dxa"/>
            <w:vAlign w:val="center"/>
          </w:tcPr>
          <w:p>
            <w:pPr>
              <w:spacing w:line="360" w:lineRule="auto"/>
              <w:rPr>
                <w:rFonts w:ascii="宋体" w:hAnsi="宋体" w:eastAsia="宋体"/>
                <w:b/>
                <w:bCs/>
                <w:szCs w:val="21"/>
              </w:rPr>
            </w:pPr>
            <w:r>
              <w:rPr>
                <w:rFonts w:hint="eastAsia" w:ascii="宋体" w:hAnsi="宋体" w:eastAsia="宋体"/>
                <w:bCs/>
                <w:szCs w:val="21"/>
              </w:rPr>
              <w:t>按照招标文件第八章 3.7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投标报价</w:t>
            </w:r>
          </w:p>
        </w:tc>
        <w:tc>
          <w:tcPr>
            <w:tcW w:w="5954" w:type="dxa"/>
          </w:tcPr>
          <w:p>
            <w:pPr>
              <w:spacing w:line="360" w:lineRule="auto"/>
              <w:rPr>
                <w:rFonts w:ascii="宋体" w:hAnsi="宋体" w:eastAsia="宋体" w:cs="宋体"/>
                <w:bCs/>
                <w:szCs w:val="21"/>
                <w:lang w:val="zh-CN"/>
              </w:rPr>
            </w:pPr>
            <w:r>
              <w:rPr>
                <w:rFonts w:hint="eastAsia" w:ascii="宋体" w:hAnsi="宋体" w:eastAsia="宋体" w:cs="宋体"/>
                <w:bCs/>
                <w:szCs w:val="21"/>
                <w:lang w:val="zh-CN"/>
              </w:rPr>
              <w:t>投标报价是否超出招标文件中规定的预算金额，超出预算金额的投标无效。如投标人须知前附表规定最高限价，则超出预算金额和最高限价的投标无效。暂列金被修改的投标无效。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pPr>
              <w:spacing w:line="360" w:lineRule="auto"/>
              <w:rPr>
                <w:rFonts w:ascii="宋体" w:hAnsi="宋体" w:eastAsia="宋体"/>
                <w:bCs/>
                <w:szCs w:val="21"/>
              </w:rPr>
            </w:pPr>
            <w:r>
              <w:rPr>
                <w:rFonts w:hint="eastAsia" w:ascii="宋体" w:hAnsi="宋体" w:eastAsia="宋体"/>
                <w:b/>
                <w:bCs/>
                <w:szCs w:val="21"/>
              </w:rPr>
              <w:t>投标承诺函</w:t>
            </w:r>
          </w:p>
        </w:tc>
        <w:tc>
          <w:tcPr>
            <w:tcW w:w="5954" w:type="dxa"/>
          </w:tcPr>
          <w:p>
            <w:pPr>
              <w:spacing w:line="360" w:lineRule="auto"/>
              <w:rPr>
                <w:rFonts w:ascii="宋体" w:hAnsi="宋体" w:eastAsia="宋体"/>
                <w:b/>
                <w:bCs/>
                <w:szCs w:val="21"/>
              </w:rPr>
            </w:pPr>
            <w:r>
              <w:rPr>
                <w:rFonts w:hint="eastAsia" w:ascii="宋体" w:hAnsi="宋体" w:eastAsia="宋体" w:cs="微软雅黑"/>
                <w:bCs/>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6</w:t>
            </w:r>
          </w:p>
        </w:tc>
        <w:tc>
          <w:tcPr>
            <w:tcW w:w="2410" w:type="dxa"/>
            <w:vAlign w:val="center"/>
          </w:tcPr>
          <w:p>
            <w:pPr>
              <w:spacing w:line="360" w:lineRule="auto"/>
              <w:rPr>
                <w:rFonts w:ascii="宋体" w:hAnsi="宋体" w:eastAsia="宋体"/>
                <w:b/>
                <w:szCs w:val="21"/>
              </w:rPr>
            </w:pPr>
            <w:r>
              <w:rPr>
                <w:rFonts w:hint="eastAsia" w:ascii="宋体" w:hAnsi="宋体" w:eastAsia="宋体"/>
                <w:b/>
                <w:bCs/>
                <w:szCs w:val="21"/>
              </w:rPr>
              <w:t>联合体协议</w:t>
            </w:r>
          </w:p>
        </w:tc>
        <w:tc>
          <w:tcPr>
            <w:tcW w:w="5954" w:type="dxa"/>
          </w:tcPr>
          <w:p>
            <w:pPr>
              <w:spacing w:line="360" w:lineRule="auto"/>
              <w:rPr>
                <w:rFonts w:ascii="宋体" w:hAnsi="宋体" w:eastAsia="宋体"/>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7</w:t>
            </w:r>
          </w:p>
        </w:tc>
        <w:tc>
          <w:tcPr>
            <w:tcW w:w="2410" w:type="dxa"/>
            <w:vAlign w:val="center"/>
          </w:tcPr>
          <w:p>
            <w:pPr>
              <w:spacing w:line="360" w:lineRule="auto"/>
              <w:rPr>
                <w:rFonts w:ascii="宋体" w:hAnsi="宋体" w:eastAsia="宋体"/>
                <w:bCs/>
                <w:szCs w:val="21"/>
              </w:rPr>
            </w:pPr>
            <w:r>
              <w:rPr>
                <w:rFonts w:hint="eastAsia" w:ascii="宋体" w:hAnsi="宋体" w:eastAsia="宋体"/>
                <w:b/>
                <w:bCs/>
                <w:szCs w:val="21"/>
              </w:rPr>
              <w:t>投标人身份证明及授权</w:t>
            </w:r>
          </w:p>
        </w:tc>
        <w:tc>
          <w:tcPr>
            <w:tcW w:w="5954" w:type="dxa"/>
            <w:vAlign w:val="center"/>
          </w:tcPr>
          <w:p>
            <w:pPr>
              <w:spacing w:line="360" w:lineRule="auto"/>
              <w:jc w:val="left"/>
              <w:rPr>
                <w:rFonts w:ascii="宋体" w:hAnsi="宋体" w:eastAsia="宋体" w:cs="微软雅黑"/>
                <w:bCs/>
                <w:szCs w:val="21"/>
              </w:rPr>
            </w:pPr>
            <w:r>
              <w:rPr>
                <w:rFonts w:hint="eastAsia" w:ascii="宋体" w:hAnsi="宋体" w:eastAsia="宋体" w:cs="微软雅黑"/>
                <w:bCs/>
                <w:szCs w:val="21"/>
              </w:rPr>
              <w:t>（1）法定代表人身份证明或提供法定代表人授权委托书及被授权人身份证明。（法人投标提供）</w:t>
            </w:r>
          </w:p>
          <w:p>
            <w:pPr>
              <w:spacing w:line="360" w:lineRule="auto"/>
              <w:jc w:val="left"/>
              <w:rPr>
                <w:rFonts w:ascii="宋体" w:hAnsi="宋体" w:eastAsia="宋体" w:cs="微软雅黑"/>
                <w:bCs/>
                <w:szCs w:val="21"/>
              </w:rPr>
            </w:pPr>
            <w:r>
              <w:rPr>
                <w:rFonts w:hint="eastAsia" w:ascii="宋体" w:hAnsi="宋体" w:eastAsia="宋体" w:cs="微软雅黑"/>
                <w:bCs/>
                <w:szCs w:val="21"/>
              </w:rPr>
              <w:t>（2）单位负责人身份证明或提供单位负责人授权委托书及被授权人身份证明。（非法人投标提供）</w:t>
            </w:r>
          </w:p>
          <w:p>
            <w:pPr>
              <w:spacing w:line="360" w:lineRule="auto"/>
              <w:jc w:val="left"/>
              <w:rPr>
                <w:rFonts w:ascii="宋体" w:hAnsi="宋体" w:eastAsia="宋体" w:cs="微软雅黑"/>
                <w:bCs/>
                <w:szCs w:val="21"/>
              </w:rPr>
            </w:pPr>
            <w:r>
              <w:rPr>
                <w:rFonts w:hint="eastAsia" w:ascii="宋体" w:hAnsi="宋体" w:eastAsia="宋体" w:cs="微软雅黑"/>
                <w:bCs/>
                <w:szCs w:val="21"/>
              </w:rPr>
              <w:t>注：</w:t>
            </w:r>
          </w:p>
          <w:p>
            <w:pPr>
              <w:spacing w:line="360" w:lineRule="auto"/>
              <w:jc w:val="left"/>
              <w:rPr>
                <w:rFonts w:ascii="宋体" w:hAnsi="宋体" w:eastAsia="宋体" w:cs="微软雅黑"/>
                <w:bCs/>
                <w:szCs w:val="21"/>
              </w:rPr>
            </w:pPr>
            <w:r>
              <w:rPr>
                <w:rFonts w:hint="eastAsia" w:ascii="宋体" w:hAnsi="宋体" w:eastAsia="宋体" w:cs="微软雅黑"/>
                <w:bCs/>
                <w:szCs w:val="21"/>
              </w:rPr>
              <w:t>企业（银行、保险、石油石化、电力、电信等行业除外）、事业单位和社会团体投标人以法人身份参加投标的，法定代表人应与实际提交的“营业执照”等证明文件载明的一致。</w:t>
            </w:r>
          </w:p>
          <w:p>
            <w:pPr>
              <w:spacing w:line="360" w:lineRule="auto"/>
              <w:jc w:val="left"/>
              <w:rPr>
                <w:rFonts w:ascii="宋体" w:hAnsi="宋体" w:eastAsia="宋体" w:cs="微软雅黑"/>
                <w:bCs/>
                <w:szCs w:val="21"/>
              </w:rPr>
            </w:pPr>
            <w:r>
              <w:rPr>
                <w:rFonts w:hint="eastAsia" w:ascii="宋体" w:hAnsi="宋体" w:eastAsia="宋体" w:cs="微软雅黑"/>
                <w:bCs/>
                <w:szCs w:val="21"/>
              </w:rPr>
              <w:t>银行、保险、石油石化、电力、电信等行业：以法人身份参加投标的，法定代表人应与实际提交的“营业执照等证明文件”载明的一致；以非法人身份参加投标的，</w:t>
            </w:r>
          </w:p>
          <w:p>
            <w:pPr>
              <w:spacing w:line="360" w:lineRule="auto"/>
              <w:jc w:val="left"/>
              <w:rPr>
                <w:rFonts w:ascii="宋体" w:hAnsi="宋体" w:eastAsia="宋体" w:cs="微软雅黑"/>
                <w:bCs/>
                <w:szCs w:val="21"/>
              </w:rPr>
            </w:pPr>
            <w:r>
              <w:rPr>
                <w:rFonts w:hint="eastAsia" w:ascii="宋体" w:hAnsi="宋体" w:eastAsia="宋体" w:cs="微软雅黑"/>
                <w:bCs/>
                <w:szCs w:val="21"/>
              </w:rPr>
              <w:t>“单位负责人”指代表单位行使职权的主要负责人，应与实际提交的“营业执照等证明文件”载明的一致。</w:t>
            </w:r>
          </w:p>
          <w:p>
            <w:pPr>
              <w:spacing w:line="360" w:lineRule="auto"/>
              <w:jc w:val="left"/>
              <w:rPr>
                <w:rFonts w:ascii="宋体" w:hAnsi="宋体" w:eastAsia="宋体"/>
                <w:b/>
                <w:bCs/>
                <w:szCs w:val="21"/>
              </w:rPr>
            </w:pPr>
            <w:r>
              <w:rPr>
                <w:rFonts w:hint="eastAsia" w:ascii="宋体" w:hAnsi="宋体" w:eastAsia="宋体" w:cs="微软雅黑"/>
                <w:bCs/>
                <w:szCs w:val="21"/>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8</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bCs/>
                <w:szCs w:val="21"/>
              </w:rPr>
            </w:pPr>
            <w:r>
              <w:rPr>
                <w:rFonts w:hint="eastAsia" w:ascii="宋体" w:hAnsi="宋体" w:eastAsia="宋体"/>
                <w:bCs/>
                <w:szCs w:val="21"/>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b/>
                <w:bCs/>
                <w:szCs w:val="21"/>
              </w:rPr>
            </w:pPr>
            <w:r>
              <w:rPr>
                <w:rFonts w:hint="eastAsia" w:ascii="宋体" w:hAnsi="宋体" w:eastAsia="宋体"/>
                <w:b/>
                <w:bCs/>
                <w:szCs w:val="21"/>
              </w:rPr>
              <w:t>9</w:t>
            </w:r>
          </w:p>
        </w:tc>
        <w:tc>
          <w:tcPr>
            <w:tcW w:w="2410" w:type="dxa"/>
            <w:vAlign w:val="center"/>
          </w:tcPr>
          <w:p>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lang w:val="zh-CN"/>
              </w:rPr>
            </w:pPr>
            <w:r>
              <w:rPr>
                <w:rFonts w:hint="eastAsia" w:ascii="宋体" w:hAnsi="宋体" w:eastAsia="宋体" w:cs="仿宋_GB2312"/>
                <w:szCs w:val="21"/>
                <w:lang w:val="zh-CN"/>
              </w:rPr>
              <w:t>投标人提供未为本项目提供整体设计、规范编制或者项目管理、</w:t>
            </w:r>
          </w:p>
          <w:p>
            <w:pPr>
              <w:spacing w:line="360" w:lineRule="auto"/>
              <w:rPr>
                <w:rFonts w:ascii="宋体" w:hAnsi="宋体" w:eastAsia="宋体"/>
                <w:b/>
                <w:bCs/>
                <w:szCs w:val="21"/>
              </w:rPr>
            </w:pPr>
            <w:r>
              <w:rPr>
                <w:rFonts w:hint="eastAsia" w:ascii="宋体" w:hAnsi="宋体" w:eastAsia="宋体" w:cs="仿宋_GB2312"/>
                <w:szCs w:val="21"/>
                <w:lang w:val="zh-CN"/>
              </w:rPr>
              <w:t>监理、检测等服务承诺函（承诺函格式自拟）。</w:t>
            </w:r>
          </w:p>
        </w:tc>
      </w:tr>
    </w:tbl>
    <w:p>
      <w:pPr>
        <w:jc w:val="left"/>
        <w:rPr>
          <w:rFonts w:ascii="宋体" w:hAnsi="宋体" w:eastAsia="宋体" w:cs="仿宋_GB2312"/>
          <w:sz w:val="24"/>
          <w:szCs w:val="24"/>
          <w:lang w:val="zh-CN"/>
        </w:rPr>
      </w:pPr>
      <w:r>
        <w:rPr>
          <w:rFonts w:ascii="宋体" w:hAnsi="宋体" w:eastAsia="宋体" w:cs="仿宋_GB2312"/>
          <w:sz w:val="24"/>
          <w:szCs w:val="24"/>
          <w:lang w:val="zh-CN"/>
        </w:rPr>
        <w:br w:type="page"/>
      </w:r>
    </w:p>
    <w:p>
      <w:pPr>
        <w:pStyle w:val="15"/>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5"/>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5"/>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5"/>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2" w:firstLineChars="200"/>
        <w:contextualSpacing/>
        <w:rPr>
          <w:rFonts w:ascii="宋体" w:hAnsi="宋体" w:cs="仿宋_GB2312"/>
          <w:szCs w:val="24"/>
          <w:lang w:val="zh-CN"/>
        </w:rPr>
      </w:pPr>
      <w:r>
        <w:rPr>
          <w:rFonts w:hint="eastAsia" w:ascii="宋体" w:hAnsi="宋体"/>
          <w:b/>
          <w:szCs w:val="24"/>
        </w:rPr>
        <w:t>（2）</w:t>
      </w:r>
      <w:r>
        <w:rPr>
          <w:rFonts w:ascii="宋体" w:hAnsi="宋体" w:cs="仿宋_GB2312"/>
          <w:b/>
          <w:szCs w:val="24"/>
          <w:lang w:val="zh-CN"/>
        </w:rPr>
        <w:t>关于相同品牌产品</w:t>
      </w:r>
      <w:r>
        <w:rPr>
          <w:rFonts w:hint="eastAsia" w:ascii="宋体" w:hAnsi="宋体" w:cs="仿宋_GB2312"/>
          <w:b/>
          <w:szCs w:val="24"/>
          <w:lang w:val="zh-CN"/>
        </w:rPr>
        <w:t>（服务类项目不适用本条款规定）</w:t>
      </w:r>
    </w:p>
    <w:p>
      <w:pPr>
        <w:pStyle w:val="15"/>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5"/>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5"/>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（3）强制采购节能产品和优先采购节能产品、优先采购环保产品</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1）对《节能产品政府采购品目清单》所列的政府强制采购节能产品，投标人投标</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文件中应提供具有国家确定的认证机构出具的、处于有效期之内的节能产品认证证书，否则将承担其投标被视为非实质性响应投标的风险。</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投标人所投产品若属于《节能产品政府采购品目清单》优先采购产品，投标文件中</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2）投标人所投产品若属于《环境标志产品政府采购品目清单》内产品，投标文件</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中应提供具有国家确定的认证机构出具的、处于有效期之内的环境标志产品认证证书，评标委员会根据本项目评标标准予以判定并赋分。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eastAsia="宋体" w:cs="仿宋_GB2312"/>
          <w:sz w:val="24"/>
          <w:szCs w:val="24"/>
          <w:lang w:val="zh-CN"/>
        </w:rPr>
      </w:pPr>
      <w:r>
        <w:rPr>
          <w:rFonts w:hint="eastAsia" w:ascii="宋体" w:hAnsi="宋体" w:eastAsia="宋体" w:cs="仿宋_GB2312"/>
          <w:b/>
          <w:sz w:val="24"/>
          <w:szCs w:val="24"/>
          <w:lang w:val="zh-CN"/>
        </w:rPr>
        <w:t>（4）信息产品要求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1）如投标人所投产品属于“中国强制性产品认证”（3C认证）范围内</w:t>
      </w:r>
      <w:r>
        <w:rPr>
          <w:rFonts w:hint="eastAsia" w:ascii="宋体" w:hAnsi="宋体" w:eastAsia="宋体" w:cs="仿宋_GB2312"/>
          <w:sz w:val="24"/>
          <w:szCs w:val="24"/>
          <w:lang w:val="zh-CN"/>
        </w:rPr>
        <w:t>，</w:t>
      </w:r>
      <w:r>
        <w:rPr>
          <w:rFonts w:ascii="宋体" w:hAnsi="宋体" w:eastAsia="宋体" w:cs="仿宋_GB2312"/>
          <w:sz w:val="24"/>
          <w:szCs w:val="24"/>
          <w:lang w:val="zh-CN"/>
        </w:rPr>
        <w:t xml:space="preserve">则必须承诺采 用《中华人民共和国实施强制性产品认证的产品目录》并在有效期内的产品，应在投标文 件中提供“所投产品符合国家强制性要求承诺函”并加盖投标人公章，否则将承担其投标 被视为非实质性响应投标的风险。 </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2</w:t>
      </w:r>
      <w:r>
        <w:rPr>
          <w:rFonts w:hint="eastAsia" w:ascii="宋体" w:hAnsi="宋体" w:eastAsia="宋体" w:cs="仿宋_GB2312"/>
          <w:sz w:val="24"/>
          <w:szCs w:val="24"/>
          <w:lang w:val="zh-CN"/>
        </w:rPr>
        <w:t>）</w:t>
      </w:r>
      <w:r>
        <w:rPr>
          <w:rFonts w:ascii="宋体" w:hAnsi="宋体" w:eastAsia="宋体" w:cs="仿宋_GB2312"/>
          <w:sz w:val="24"/>
          <w:szCs w:val="24"/>
          <w:lang w:val="zh-CN"/>
        </w:rPr>
        <w:t xml:space="preserve">投标人所投产品如被列入《信息安全产品强制性认证目录》，则投标文件中应根据 本项目招标文件“第二章 项目需求”提供： </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①中国信息安全认证中心官网（http://www.isccc.gov.cn/index.shtml）产品查询 结果截图并加盖投标人公章；</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 ②中国信息安全认证中心颁发的《中国国家信息安全产品认证证书》加盖投标人公章 的原件扫描件（或图片）。</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 xml:space="preserve"> 注：仅需提供序号①～②其中之一即可。</w:t>
      </w:r>
    </w:p>
    <w:p>
      <w:pPr>
        <w:pStyle w:val="15"/>
        <w:spacing w:line="360" w:lineRule="auto"/>
        <w:ind w:firstLine="482" w:firstLineChars="200"/>
        <w:contextualSpacing/>
        <w:jc w:val="left"/>
        <w:rPr>
          <w:rFonts w:ascii="宋体" w:hAnsi="宋体" w:cs="仿宋_GB2312"/>
          <w:b/>
          <w:szCs w:val="24"/>
          <w:lang w:val="zh-CN"/>
        </w:rPr>
      </w:pPr>
      <w:r>
        <w:rPr>
          <w:rFonts w:ascii="宋体" w:hAnsi="宋体" w:cs="仿宋_GB2312"/>
          <w:b/>
          <w:szCs w:val="24"/>
          <w:lang w:val="zh-CN"/>
        </w:rPr>
        <w:t>（</w:t>
      </w:r>
      <w:r>
        <w:rPr>
          <w:rFonts w:hint="eastAsia" w:ascii="宋体" w:hAnsi="宋体" w:cs="仿宋_GB2312"/>
          <w:b/>
          <w:szCs w:val="24"/>
          <w:lang w:val="zh-CN"/>
        </w:rPr>
        <w:t>5</w:t>
      </w:r>
      <w:r>
        <w:rPr>
          <w:rFonts w:ascii="宋体" w:hAnsi="宋体" w:cs="仿宋_GB2312"/>
          <w:b/>
          <w:szCs w:val="24"/>
          <w:lang w:val="zh-CN"/>
        </w:rPr>
        <w:t>）投标无效情形</w:t>
      </w:r>
    </w:p>
    <w:p>
      <w:pPr>
        <w:pStyle w:val="15"/>
        <w:spacing w:line="360" w:lineRule="auto"/>
        <w:ind w:firstLine="480" w:firstLineChars="200"/>
        <w:contextualSpacing/>
        <w:jc w:val="left"/>
      </w:pPr>
      <w:r>
        <w:t>1）投标人应当遵循公平竞争的原则，不得恶意串通，不得妨碍其他投标人的竞争行 为，不得损害采购人或者其他投标人的合法权益。在评标过程中发现投标人有上述情形 的，评标委员会应当认定其投标无效。</w:t>
      </w:r>
    </w:p>
    <w:p>
      <w:pPr>
        <w:pStyle w:val="15"/>
        <w:spacing w:line="360" w:lineRule="auto"/>
        <w:ind w:firstLine="480" w:firstLineChars="200"/>
        <w:contextualSpacing/>
        <w:jc w:val="left"/>
      </w:pPr>
      <w:r>
        <w:t xml:space="preserve">2）符合性审查资料未按招标文件要求签署、盖章的； </w:t>
      </w:r>
    </w:p>
    <w:p>
      <w:pPr>
        <w:pStyle w:val="15"/>
        <w:spacing w:line="360" w:lineRule="auto"/>
        <w:ind w:firstLine="480" w:firstLineChars="200"/>
        <w:contextualSpacing/>
        <w:jc w:val="left"/>
      </w:pPr>
      <w:r>
        <w:t xml:space="preserve">3）有下列情形之一的，视为投标人串通投标，其投标无效： </w:t>
      </w:r>
    </w:p>
    <w:p>
      <w:pPr>
        <w:pStyle w:val="15"/>
        <w:spacing w:line="360" w:lineRule="auto"/>
        <w:ind w:firstLine="480" w:firstLineChars="200"/>
        <w:contextualSpacing/>
        <w:jc w:val="left"/>
      </w:pPr>
      <w:r>
        <w:t>a.不同投标人的投标文件由同一单位或者个人编制；</w:t>
      </w:r>
    </w:p>
    <w:p>
      <w:pPr>
        <w:pStyle w:val="15"/>
        <w:spacing w:line="360" w:lineRule="auto"/>
        <w:ind w:firstLine="480" w:firstLineChars="200"/>
        <w:contextualSpacing/>
        <w:jc w:val="left"/>
      </w:pPr>
      <w:r>
        <w:t>b.不同投标人委托同一单位或者个人办理投标事宜；</w:t>
      </w:r>
    </w:p>
    <w:p>
      <w:pPr>
        <w:pStyle w:val="15"/>
        <w:spacing w:line="360" w:lineRule="auto"/>
        <w:ind w:firstLine="480" w:firstLineChars="200"/>
        <w:contextualSpacing/>
        <w:jc w:val="left"/>
      </w:pPr>
      <w:r>
        <w:t xml:space="preserve">c.不同投标人的投标文件载明的项目管理成员或者联系人员为同一人； </w:t>
      </w:r>
    </w:p>
    <w:p>
      <w:pPr>
        <w:pStyle w:val="15"/>
        <w:spacing w:line="360" w:lineRule="auto"/>
        <w:ind w:firstLine="480" w:firstLineChars="200"/>
        <w:contextualSpacing/>
        <w:jc w:val="left"/>
      </w:pPr>
      <w:r>
        <w:t>d.不同投标人的投标文件异常一致或者投标报价呈规律性差异；</w:t>
      </w:r>
    </w:p>
    <w:p>
      <w:pPr>
        <w:pStyle w:val="15"/>
        <w:spacing w:line="360" w:lineRule="auto"/>
        <w:ind w:firstLine="480" w:firstLineChars="200"/>
        <w:contextualSpacing/>
        <w:jc w:val="left"/>
      </w:pPr>
      <w:r>
        <w:t xml:space="preserve">e.不同投标人的投标文件相互混装； </w:t>
      </w:r>
    </w:p>
    <w:p>
      <w:pPr>
        <w:pStyle w:val="15"/>
        <w:spacing w:line="360" w:lineRule="auto"/>
        <w:ind w:firstLine="480" w:firstLineChars="200"/>
        <w:contextualSpacing/>
        <w:jc w:val="left"/>
      </w:pPr>
      <w:r>
        <w:t>4）评标委员会认为投标人的报价明显低于其他通过符合性审查投标人的报价，有可 能影响产品质量或者不能诚信履约的，应当要求其在评标现场合理的时间内提供书面说 明，必要时提交相关证明材料；投标人不能证明其报价合理性的，评标委员会应当将其作 为无效投标处理。</w:t>
      </w:r>
    </w:p>
    <w:p>
      <w:pPr>
        <w:pStyle w:val="15"/>
        <w:spacing w:line="360" w:lineRule="auto"/>
        <w:ind w:firstLine="480" w:firstLineChars="200"/>
        <w:contextualSpacing/>
        <w:jc w:val="left"/>
        <w:rPr>
          <w:rFonts w:ascii="宋体" w:hAnsi="宋体" w:cs="仿宋_GB2312"/>
          <w:b/>
          <w:szCs w:val="24"/>
          <w:lang w:val="zh-CN"/>
        </w:rPr>
      </w:pPr>
      <w:r>
        <w:t xml:space="preserve"> 5）法律、法规和招标文件规定的其他无效情形。</w:t>
      </w:r>
    </w:p>
    <w:p>
      <w:pPr>
        <w:pStyle w:val="15"/>
        <w:spacing w:line="360" w:lineRule="auto"/>
        <w:ind w:firstLine="482" w:firstLineChars="200"/>
        <w:contextualSpacing/>
        <w:jc w:val="left"/>
        <w:rPr>
          <w:rFonts w:ascii="宋体" w:hAnsi="宋体" w:cs="宋体"/>
          <w:b/>
          <w:szCs w:val="24"/>
          <w:lang w:val="zh-CN"/>
        </w:rPr>
      </w:pPr>
      <w:r>
        <w:rPr>
          <w:rFonts w:hint="eastAsia" w:ascii="宋体" w:hAnsi="宋体" w:cs="仿宋_GB2312"/>
          <w:b/>
          <w:szCs w:val="24"/>
          <w:lang w:val="zh-CN"/>
        </w:rPr>
        <w:t>（6）评标标准</w:t>
      </w:r>
    </w:p>
    <w:tbl>
      <w:tblPr>
        <w:tblStyle w:val="2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37" w:type="dxa"/>
            <w:vAlign w:val="center"/>
          </w:tcPr>
          <w:p>
            <w:pPr>
              <w:spacing w:line="360" w:lineRule="auto"/>
              <w:jc w:val="left"/>
              <w:rPr>
                <w:rFonts w:ascii="宋体" w:hAnsi="宋体" w:eastAsia="宋体" w:cs="宋体"/>
                <w:szCs w:val="21"/>
              </w:rPr>
            </w:pPr>
            <w:r>
              <w:rPr>
                <w:rFonts w:hint="eastAsia" w:ascii="宋体" w:hAnsi="宋体" w:eastAsia="宋体" w:cs="宋体"/>
                <w:szCs w:val="21"/>
              </w:rPr>
              <w:t>分值构成</w:t>
            </w:r>
          </w:p>
          <w:p>
            <w:pPr>
              <w:spacing w:line="360" w:lineRule="auto"/>
              <w:jc w:val="left"/>
              <w:rPr>
                <w:rFonts w:ascii="宋体" w:hAnsi="宋体" w:eastAsia="宋体" w:cs="宋体"/>
                <w:szCs w:val="21"/>
              </w:rPr>
            </w:pPr>
            <w:r>
              <w:rPr>
                <w:rFonts w:hint="eastAsia" w:ascii="宋体" w:hAnsi="宋体" w:eastAsia="宋体" w:cs="宋体"/>
                <w:szCs w:val="21"/>
              </w:rPr>
              <w:t>（总分100分）</w:t>
            </w:r>
          </w:p>
        </w:tc>
        <w:tc>
          <w:tcPr>
            <w:tcW w:w="7646" w:type="dxa"/>
            <w:gridSpan w:val="2"/>
            <w:vAlign w:val="center"/>
          </w:tcPr>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价格分值：</w:t>
            </w:r>
            <w:r>
              <w:rPr>
                <w:rFonts w:hint="eastAsia" w:ascii="宋体" w:hAnsi="宋体" w:eastAsia="宋体" w:cs="宋体"/>
                <w:kern w:val="0"/>
                <w:szCs w:val="21"/>
                <w:lang w:val="en-US" w:eastAsia="zh-CN"/>
              </w:rPr>
              <w:t>2</w:t>
            </w:r>
            <w:r>
              <w:rPr>
                <w:rFonts w:hint="eastAsia" w:ascii="宋体" w:hAnsi="宋体" w:eastAsia="宋体" w:cs="宋体"/>
                <w:kern w:val="0"/>
                <w:szCs w:val="21"/>
              </w:rPr>
              <w:t>0</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商务部分：</w:t>
            </w:r>
            <w:r>
              <w:rPr>
                <w:rFonts w:hint="eastAsia" w:ascii="宋体" w:hAnsi="宋体" w:eastAsia="宋体" w:cs="宋体"/>
                <w:kern w:val="0"/>
                <w:szCs w:val="21"/>
              </w:rPr>
              <w:t>20</w:t>
            </w:r>
            <w:r>
              <w:rPr>
                <w:rFonts w:hint="eastAsia" w:ascii="宋体" w:hAnsi="宋体" w:eastAsia="宋体" w:cs="仿宋"/>
                <w:kern w:val="0"/>
                <w:szCs w:val="21"/>
              </w:rPr>
              <w:t>分</w:t>
            </w:r>
          </w:p>
          <w:p>
            <w:pPr>
              <w:spacing w:line="360" w:lineRule="atLeast"/>
              <w:ind w:firstLine="480"/>
              <w:jc w:val="left"/>
              <w:rPr>
                <w:rFonts w:ascii="宋体" w:hAnsi="宋体" w:eastAsia="宋体" w:cs="宋体"/>
                <w:kern w:val="0"/>
                <w:szCs w:val="21"/>
              </w:rPr>
            </w:pPr>
            <w:r>
              <w:rPr>
                <w:rFonts w:hint="eastAsia" w:ascii="宋体" w:hAnsi="宋体" w:eastAsia="宋体" w:cs="仿宋"/>
                <w:kern w:val="0"/>
                <w:szCs w:val="21"/>
              </w:rPr>
              <w:t>技术部分：</w:t>
            </w:r>
            <w:r>
              <w:rPr>
                <w:rFonts w:hint="eastAsia" w:ascii="宋体" w:hAnsi="宋体" w:eastAsia="宋体" w:cs="宋体"/>
                <w:kern w:val="0"/>
                <w:szCs w:val="21"/>
              </w:rPr>
              <w:t>60</w:t>
            </w:r>
            <w:r>
              <w:rPr>
                <w:rFonts w:hint="eastAsia" w:ascii="宋体" w:hAnsi="宋体" w:eastAsia="宋体" w:cs="仿宋"/>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83" w:type="dxa"/>
            <w:gridSpan w:val="3"/>
            <w:vAlign w:val="center"/>
          </w:tcPr>
          <w:p>
            <w:pPr>
              <w:spacing w:line="360" w:lineRule="atLeast"/>
              <w:ind w:firstLine="480"/>
              <w:jc w:val="center"/>
              <w:rPr>
                <w:rFonts w:ascii="宋体" w:hAnsi="宋体" w:eastAsia="宋体" w:cs="仿宋"/>
                <w:b/>
                <w:kern w:val="0"/>
                <w:szCs w:val="21"/>
              </w:rPr>
            </w:pPr>
            <w:r>
              <w:rPr>
                <w:rFonts w:hint="eastAsia" w:ascii="宋体" w:hAnsi="宋体" w:eastAsia="宋体" w:cs="仿宋"/>
                <w:b/>
                <w:kern w:val="0"/>
                <w:szCs w:val="21"/>
              </w:rPr>
              <w:t>一、价格部分（满分</w:t>
            </w:r>
            <w:r>
              <w:rPr>
                <w:rFonts w:hint="eastAsia" w:ascii="宋体" w:hAnsi="宋体" w:eastAsia="宋体" w:cs="仿宋"/>
                <w:b/>
                <w:kern w:val="0"/>
                <w:szCs w:val="21"/>
                <w:lang w:val="en-US" w:eastAsia="zh-CN"/>
              </w:rPr>
              <w:t>2</w:t>
            </w:r>
            <w:r>
              <w:rPr>
                <w:rFonts w:hint="eastAsia" w:ascii="宋体" w:hAnsi="宋体" w:eastAsia="宋体" w:cs="仿宋"/>
                <w:b/>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7" w:type="dxa"/>
            <w:tcBorders>
              <w:bottom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37" w:type="dxa"/>
            <w:vAlign w:val="center"/>
          </w:tcPr>
          <w:p>
            <w:pPr>
              <w:spacing w:line="330" w:lineRule="atLeast"/>
              <w:jc w:val="center"/>
              <w:rPr>
                <w:rFonts w:ascii="宋体" w:hAnsi="宋体" w:eastAsia="宋体" w:cs="宋体"/>
                <w:kern w:val="0"/>
                <w:szCs w:val="21"/>
              </w:rPr>
            </w:pPr>
            <w:r>
              <w:rPr>
                <w:rFonts w:hint="eastAsia" w:ascii="宋体" w:hAnsi="宋体" w:eastAsia="宋体" w:cs="仿宋"/>
                <w:kern w:val="0"/>
                <w:szCs w:val="21"/>
              </w:rPr>
              <w:t>投标报价</w:t>
            </w:r>
          </w:p>
          <w:p>
            <w:pPr>
              <w:spacing w:line="240" w:lineRule="atLeast"/>
              <w:jc w:val="center"/>
              <w:rPr>
                <w:rFonts w:ascii="宋体" w:hAnsi="宋体" w:eastAsia="宋体" w:cs="宋体"/>
                <w:kern w:val="0"/>
                <w:szCs w:val="21"/>
              </w:rPr>
            </w:pPr>
            <w:r>
              <w:rPr>
                <w:rFonts w:hint="eastAsia" w:ascii="宋体" w:hAnsi="宋体" w:eastAsia="宋体" w:cs="仿宋"/>
                <w:kern w:val="0"/>
                <w:szCs w:val="21"/>
              </w:rPr>
              <w:t>评分标准</w:t>
            </w:r>
          </w:p>
        </w:tc>
        <w:tc>
          <w:tcPr>
            <w:tcW w:w="6081" w:type="dxa"/>
            <w:vAlign w:val="center"/>
          </w:tcPr>
          <w:p>
            <w:pPr>
              <w:spacing w:line="330" w:lineRule="atLeast"/>
              <w:jc w:val="left"/>
              <w:rPr>
                <w:rFonts w:ascii="宋体" w:hAnsi="宋体" w:eastAsia="宋体" w:cs="宋体"/>
                <w:kern w:val="0"/>
                <w:szCs w:val="21"/>
              </w:rPr>
            </w:pPr>
            <w:r>
              <w:rPr>
                <w:rFonts w:hint="eastAsia" w:ascii="宋体" w:hAnsi="宋体" w:eastAsia="宋体" w:cs="仿宋"/>
                <w:kern w:val="0"/>
                <w:szCs w:val="21"/>
              </w:rPr>
              <w:t>评标基准价：满足招标文件要求的有效投标报价中，最低的投标报价为评标基准价。</w:t>
            </w:r>
          </w:p>
          <w:p>
            <w:pPr>
              <w:jc w:val="left"/>
              <w:rPr>
                <w:rFonts w:ascii="宋体" w:hAnsi="宋体" w:eastAsia="宋体" w:cs="宋体"/>
                <w:kern w:val="0"/>
                <w:szCs w:val="21"/>
                <w:u w:val="single"/>
              </w:rPr>
            </w:pPr>
            <w:r>
              <w:rPr>
                <w:rFonts w:hint="eastAsia" w:ascii="宋体" w:hAnsi="宋体" w:eastAsia="宋体" w:cs="仿宋"/>
                <w:kern w:val="0"/>
                <w:szCs w:val="21"/>
              </w:rPr>
              <w:t>投标报价得分=（评标基准价/投标报价）×</w:t>
            </w:r>
            <w:r>
              <w:rPr>
                <w:rFonts w:hint="eastAsia" w:ascii="宋体" w:hAnsi="宋体" w:eastAsia="宋体" w:cs="仿宋"/>
                <w:kern w:val="0"/>
                <w:szCs w:val="21"/>
                <w:u w:val="single"/>
                <w:lang w:val="en-US" w:eastAsia="zh-CN"/>
              </w:rPr>
              <w:t>2</w:t>
            </w:r>
            <w:r>
              <w:rPr>
                <w:rFonts w:hint="eastAsia" w:ascii="宋体" w:hAnsi="宋体" w:eastAsia="宋体" w:cs="仿宋"/>
                <w:kern w:val="0"/>
                <w:szCs w:val="21"/>
                <w:u w:val="single"/>
              </w:rPr>
              <w:t>0</w:t>
            </w:r>
            <w:r>
              <w:rPr>
                <w:rFonts w:hint="eastAsia" w:ascii="宋体" w:hAnsi="宋体" w:eastAsia="宋体" w:cs="仿宋"/>
                <w:kern w:val="0"/>
                <w:szCs w:val="21"/>
              </w:rPr>
              <w:t>×100%</w:t>
            </w:r>
          </w:p>
        </w:tc>
        <w:tc>
          <w:tcPr>
            <w:tcW w:w="1565" w:type="dxa"/>
            <w:vAlign w:val="center"/>
          </w:tcPr>
          <w:p>
            <w:pPr>
              <w:spacing w:line="360" w:lineRule="auto"/>
              <w:jc w:val="center"/>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983" w:type="dxa"/>
            <w:gridSpan w:val="3"/>
            <w:vAlign w:val="center"/>
          </w:tcPr>
          <w:p>
            <w:pPr>
              <w:spacing w:line="360" w:lineRule="auto"/>
              <w:jc w:val="center"/>
              <w:rPr>
                <w:rFonts w:ascii="宋体" w:hAnsi="宋体" w:eastAsia="宋体" w:cs="宋体"/>
                <w:szCs w:val="21"/>
              </w:rPr>
            </w:pPr>
            <w:r>
              <w:rPr>
                <w:rFonts w:hint="eastAsia" w:ascii="宋体" w:hAnsi="宋体" w:eastAsia="宋体" w:cs="宋体"/>
                <w:b/>
                <w:szCs w:val="21"/>
              </w:rPr>
              <w:t>二、商务部分</w:t>
            </w:r>
            <w:r>
              <w:rPr>
                <w:rFonts w:hint="eastAsia" w:ascii="宋体" w:hAnsi="宋体" w:eastAsia="宋体" w:cs="仿宋"/>
                <w:b/>
                <w:kern w:val="0"/>
                <w:szCs w:val="21"/>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企业业绩</w:t>
            </w:r>
          </w:p>
        </w:tc>
        <w:tc>
          <w:tcPr>
            <w:tcW w:w="6081" w:type="dxa"/>
            <w:vAlign w:val="center"/>
          </w:tcPr>
          <w:p>
            <w:pPr>
              <w:spacing w:line="276" w:lineRule="auto"/>
              <w:jc w:val="left"/>
              <w:rPr>
                <w:rFonts w:ascii="宋体" w:hAnsi="宋体" w:eastAsia="宋体" w:cs="宋体"/>
                <w:szCs w:val="21"/>
              </w:rPr>
            </w:pPr>
            <w:r>
              <w:rPr>
                <w:rFonts w:hint="eastAsia" w:ascii="宋体" w:hAnsi="宋体" w:eastAsia="宋体" w:cs="宋体"/>
                <w:szCs w:val="21"/>
              </w:rPr>
              <w:t>投标人自 2019 年 1 月 1 日以来具有类似服务项目业绩，</w:t>
            </w:r>
          </w:p>
          <w:p>
            <w:pPr>
              <w:spacing w:line="276" w:lineRule="auto"/>
              <w:jc w:val="left"/>
              <w:rPr>
                <w:rFonts w:ascii="宋体" w:hAnsi="宋体" w:eastAsia="宋体" w:cs="宋体"/>
                <w:szCs w:val="21"/>
              </w:rPr>
            </w:pPr>
            <w:r>
              <w:rPr>
                <w:rFonts w:hint="eastAsia" w:ascii="宋体" w:hAnsi="宋体" w:eastAsia="宋体" w:cs="宋体"/>
                <w:szCs w:val="21"/>
              </w:rPr>
              <w:t>每提供一份得 1 分，最多得 2分，没有不得分。（以合同、</w:t>
            </w:r>
            <w:r>
              <w:rPr>
                <w:rFonts w:hint="eastAsia" w:ascii="宋体" w:hAnsi="宋体" w:eastAsia="宋体" w:cs="宋体"/>
                <w:szCs w:val="21"/>
                <w:lang w:val="en-US" w:eastAsia="zh-CN"/>
              </w:rPr>
              <w:t>网上公示截图及</w:t>
            </w:r>
            <w:r>
              <w:rPr>
                <w:rFonts w:hint="eastAsia" w:ascii="宋体" w:hAnsi="宋体" w:eastAsia="宋体" w:cs="宋体"/>
                <w:szCs w:val="21"/>
              </w:rPr>
              <w:t>中标通知书原件扫面件为准）</w:t>
            </w:r>
          </w:p>
          <w:p>
            <w:pPr>
              <w:spacing w:line="276" w:lineRule="auto"/>
              <w:jc w:val="left"/>
              <w:rPr>
                <w:rFonts w:ascii="宋体" w:hAnsi="宋体" w:eastAsia="宋体" w:cs="宋体"/>
                <w:szCs w:val="21"/>
              </w:rPr>
            </w:pPr>
            <w:r>
              <w:rPr>
                <w:rFonts w:hint="eastAsia" w:ascii="宋体" w:hAnsi="宋体" w:eastAsia="宋体" w:cs="宋体"/>
                <w:szCs w:val="21"/>
              </w:rPr>
              <w:t>以上合同必须自 2019 年 1 月 1 日以来签订的，且为投标</w:t>
            </w:r>
          </w:p>
          <w:p>
            <w:pPr>
              <w:spacing w:line="276" w:lineRule="auto"/>
              <w:jc w:val="left"/>
              <w:rPr>
                <w:rFonts w:ascii="宋体" w:hAnsi="宋体" w:eastAsia="宋体" w:cs="宋体"/>
                <w:szCs w:val="21"/>
              </w:rPr>
            </w:pPr>
            <w:r>
              <w:rPr>
                <w:rFonts w:hint="eastAsia" w:ascii="宋体" w:hAnsi="宋体" w:eastAsia="宋体" w:cs="宋体"/>
                <w:szCs w:val="21"/>
              </w:rPr>
              <w:t>人自身签订的，分包或者转包合同无效，同一项目分签多份合</w:t>
            </w:r>
          </w:p>
          <w:p>
            <w:pPr>
              <w:spacing w:line="276" w:lineRule="auto"/>
              <w:jc w:val="left"/>
              <w:rPr>
                <w:rFonts w:ascii="宋体" w:hAnsi="宋体" w:eastAsia="宋体" w:cs="宋体"/>
                <w:szCs w:val="21"/>
              </w:rPr>
            </w:pPr>
            <w:r>
              <w:rPr>
                <w:rFonts w:hint="eastAsia" w:ascii="宋体" w:hAnsi="宋体" w:eastAsia="宋体" w:cs="宋体"/>
                <w:szCs w:val="21"/>
              </w:rPr>
              <w:t>同的按一份计算。</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服务承诺及措施</w:t>
            </w:r>
          </w:p>
        </w:tc>
        <w:tc>
          <w:tcPr>
            <w:tcW w:w="6081" w:type="dxa"/>
            <w:vAlign w:val="center"/>
          </w:tcPr>
          <w:p>
            <w:pPr>
              <w:jc w:val="left"/>
              <w:rPr>
                <w:rFonts w:ascii="宋体" w:hAnsi="宋体" w:eastAsia="宋体" w:cs="宋体"/>
                <w:bCs/>
                <w:szCs w:val="21"/>
                <w:lang w:val="zh-CN"/>
              </w:rPr>
            </w:pPr>
            <w:r>
              <w:rPr>
                <w:rFonts w:hint="eastAsia" w:ascii="宋体" w:hAnsi="宋体" w:eastAsia="宋体" w:cs="宋体"/>
                <w:bCs/>
                <w:szCs w:val="21"/>
                <w:lang w:val="zh-CN"/>
              </w:rPr>
              <w:t>1、根据管理指标承诺及基本保障措施的完整性、覆盖面及基</w:t>
            </w:r>
          </w:p>
          <w:p>
            <w:pPr>
              <w:jc w:val="left"/>
              <w:rPr>
                <w:rFonts w:ascii="宋体" w:hAnsi="宋体" w:eastAsia="宋体" w:cs="宋体"/>
                <w:szCs w:val="21"/>
              </w:rPr>
            </w:pPr>
            <w:r>
              <w:rPr>
                <w:rFonts w:hint="eastAsia" w:ascii="宋体" w:hAnsi="宋体" w:eastAsia="宋体" w:cs="宋体"/>
                <w:bCs/>
                <w:szCs w:val="21"/>
                <w:lang w:val="zh-CN"/>
              </w:rPr>
              <w:t>本措施合理性进行打分，</w:t>
            </w:r>
            <w:r>
              <w:rPr>
                <w:rFonts w:hint="eastAsia" w:ascii="宋体" w:hAnsi="宋体" w:eastAsia="宋体" w:cs="宋体"/>
                <w:szCs w:val="21"/>
              </w:rPr>
              <w:t>好：得7分；一般：得3分；差：得1分，</w:t>
            </w:r>
            <w:r>
              <w:rPr>
                <w:rFonts w:hint="eastAsia" w:ascii="宋体" w:hAnsi="宋体" w:eastAsia="宋体" w:cs="宋体"/>
                <w:bCs/>
                <w:szCs w:val="21"/>
                <w:lang w:val="zh-CN"/>
              </w:rPr>
              <w:t>无此内容不得分。</w:t>
            </w:r>
          </w:p>
          <w:p>
            <w:pPr>
              <w:jc w:val="left"/>
              <w:rPr>
                <w:rFonts w:ascii="宋体" w:hAnsi="宋体" w:eastAsia="宋体" w:cs="宋体"/>
                <w:b/>
                <w:szCs w:val="21"/>
              </w:rPr>
            </w:pPr>
            <w:r>
              <w:rPr>
                <w:rFonts w:hint="eastAsia" w:ascii="宋体" w:hAnsi="宋体" w:eastAsia="宋体" w:cs="宋体"/>
                <w:bCs/>
                <w:szCs w:val="21"/>
                <w:lang w:val="zh-CN"/>
              </w:rPr>
              <w:t>2、根据投标人服务承诺内容对采购人的实质性优惠措施、条件</w:t>
            </w:r>
            <w:r>
              <w:rPr>
                <w:rFonts w:hint="eastAsia" w:ascii="宋体" w:hAnsi="宋体" w:eastAsia="宋体" w:cs="宋体"/>
                <w:bCs/>
                <w:szCs w:val="21"/>
              </w:rPr>
              <w:t>（含不拖欠工人工资承诺等内容）</w:t>
            </w:r>
            <w:r>
              <w:rPr>
                <w:rFonts w:hint="eastAsia" w:ascii="宋体" w:hAnsi="宋体" w:eastAsia="宋体" w:cs="宋体"/>
                <w:bCs/>
                <w:szCs w:val="21"/>
                <w:lang w:val="zh-CN"/>
              </w:rPr>
              <w:t>等情况进行打分。</w:t>
            </w:r>
            <w:r>
              <w:rPr>
                <w:rFonts w:hint="eastAsia" w:ascii="宋体" w:hAnsi="宋体" w:eastAsia="宋体" w:cs="宋体"/>
                <w:szCs w:val="21"/>
              </w:rPr>
              <w:t>好：得6分；一般：得3分；差：得1分；本项最高得5分。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规范程度</w:t>
            </w:r>
          </w:p>
        </w:tc>
        <w:tc>
          <w:tcPr>
            <w:tcW w:w="6081" w:type="dxa"/>
            <w:vAlign w:val="center"/>
          </w:tcPr>
          <w:p>
            <w:pPr>
              <w:jc w:val="left"/>
              <w:rPr>
                <w:rFonts w:ascii="宋体" w:hAnsi="宋体" w:eastAsia="宋体" w:cs="宋体"/>
                <w:bCs/>
                <w:szCs w:val="21"/>
                <w:lang w:val="zh-CN"/>
              </w:rPr>
            </w:pPr>
            <w:r>
              <w:rPr>
                <w:rFonts w:hint="eastAsia" w:ascii="宋体" w:hAnsi="宋体" w:eastAsia="宋体" w:cs="宋体"/>
                <w:bCs/>
                <w:szCs w:val="21"/>
                <w:lang w:val="zh-CN"/>
              </w:rPr>
              <w:t>1、图文清晰规范并且各分项检索规范方便，</w:t>
            </w:r>
            <w:r>
              <w:rPr>
                <w:rFonts w:hint="eastAsia" w:ascii="宋体" w:hAnsi="宋体" w:eastAsia="宋体" w:cs="宋体"/>
                <w:szCs w:val="21"/>
              </w:rPr>
              <w:t>好：得2</w:t>
            </w:r>
            <w:r>
              <w:rPr>
                <w:rFonts w:hint="eastAsia" w:ascii="宋体" w:hAnsi="宋体" w:eastAsia="宋体" w:cs="宋体"/>
                <w:bCs/>
                <w:szCs w:val="21"/>
                <w:lang w:val="zh-CN"/>
              </w:rPr>
              <w:t>分，</w:t>
            </w:r>
            <w:r>
              <w:rPr>
                <w:rFonts w:hint="eastAsia" w:ascii="宋体" w:hAnsi="宋体" w:eastAsia="宋体" w:cs="宋体"/>
                <w:szCs w:val="21"/>
              </w:rPr>
              <w:t>一般：得1分，</w:t>
            </w:r>
            <w:r>
              <w:rPr>
                <w:rFonts w:hint="eastAsia" w:ascii="宋体" w:hAnsi="宋体" w:eastAsia="宋体" w:cs="宋体"/>
                <w:bCs/>
                <w:szCs w:val="21"/>
                <w:lang w:val="zh-CN"/>
              </w:rPr>
              <w:t>差的不得分。</w:t>
            </w:r>
          </w:p>
          <w:p>
            <w:pPr>
              <w:jc w:val="left"/>
              <w:rPr>
                <w:rFonts w:ascii="宋体" w:hAnsi="宋体" w:eastAsia="宋体" w:cs="宋体"/>
                <w:bCs/>
                <w:szCs w:val="21"/>
                <w:lang w:val="zh-CN"/>
              </w:rPr>
            </w:pPr>
            <w:r>
              <w:rPr>
                <w:rFonts w:hint="eastAsia" w:ascii="宋体" w:hAnsi="宋体" w:eastAsia="宋体" w:cs="宋体"/>
                <w:bCs/>
                <w:szCs w:val="21"/>
                <w:lang w:val="zh-CN"/>
              </w:rPr>
              <w:t>2、所提供资料准确完整性，章节清晰性，是否有错字漏项及</w:t>
            </w:r>
          </w:p>
          <w:p>
            <w:pPr>
              <w:jc w:val="left"/>
              <w:rPr>
                <w:rFonts w:ascii="宋体" w:hAnsi="宋体" w:eastAsia="宋体" w:cs="宋体"/>
                <w:bCs/>
                <w:szCs w:val="21"/>
                <w:lang w:val="zh-CN"/>
              </w:rPr>
            </w:pPr>
            <w:r>
              <w:rPr>
                <w:rFonts w:hint="eastAsia" w:ascii="宋体" w:hAnsi="宋体" w:eastAsia="宋体" w:cs="宋体"/>
                <w:bCs/>
                <w:szCs w:val="21"/>
                <w:lang w:val="zh-CN"/>
              </w:rPr>
              <w:t>细微偏差，好的得 3 分；一般得 1 分；差的不得分。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983" w:type="dxa"/>
            <w:gridSpan w:val="3"/>
            <w:vAlign w:val="center"/>
          </w:tcPr>
          <w:p>
            <w:pPr>
              <w:jc w:val="center"/>
              <w:rPr>
                <w:rFonts w:ascii="宋体" w:hAnsi="宋体" w:eastAsia="宋体" w:cs="宋体"/>
                <w:b/>
                <w:szCs w:val="21"/>
              </w:rPr>
            </w:pPr>
            <w:r>
              <w:rPr>
                <w:rFonts w:hint="eastAsia" w:ascii="宋体" w:hAnsi="宋体" w:eastAsia="宋体" w:cs="宋体"/>
                <w:b/>
                <w:szCs w:val="21"/>
              </w:rPr>
              <w:t>三、技术部分</w:t>
            </w:r>
            <w:r>
              <w:rPr>
                <w:rFonts w:hint="eastAsia" w:ascii="宋体" w:hAnsi="宋体" w:eastAsia="宋体" w:cs="仿宋"/>
                <w:b/>
                <w:kern w:val="0"/>
                <w:szCs w:val="21"/>
              </w:rPr>
              <w:t>（满分</w:t>
            </w:r>
            <w:r>
              <w:rPr>
                <w:rFonts w:hint="eastAsia" w:ascii="宋体" w:hAnsi="宋体" w:eastAsia="宋体" w:cs="仿宋"/>
                <w:b/>
                <w:kern w:val="0"/>
                <w:szCs w:val="21"/>
                <w:lang w:val="en-US" w:eastAsia="zh-CN"/>
              </w:rPr>
              <w:t>6</w:t>
            </w:r>
            <w:r>
              <w:rPr>
                <w:rFonts w:hint="eastAsia" w:ascii="宋体" w:hAnsi="宋体" w:eastAsia="宋体" w:cs="仿宋"/>
                <w:b/>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37" w:type="dxa"/>
            <w:vAlign w:val="center"/>
          </w:tcPr>
          <w:p>
            <w:pPr>
              <w:jc w:val="center"/>
              <w:rPr>
                <w:rFonts w:ascii="宋体" w:hAnsi="宋体" w:eastAsia="宋体" w:cs="宋体"/>
                <w:b/>
                <w:szCs w:val="21"/>
              </w:rPr>
            </w:pPr>
            <w:r>
              <w:rPr>
                <w:rFonts w:hint="eastAsia" w:ascii="宋体" w:hAnsi="宋体" w:eastAsia="宋体" w:cs="宋体"/>
                <w:b/>
                <w:szCs w:val="21"/>
              </w:rPr>
              <w:t>评分因素</w:t>
            </w:r>
          </w:p>
        </w:tc>
        <w:tc>
          <w:tcPr>
            <w:tcW w:w="6081" w:type="dxa"/>
            <w:vAlign w:val="center"/>
          </w:tcPr>
          <w:p>
            <w:pPr>
              <w:jc w:val="center"/>
              <w:rPr>
                <w:rFonts w:ascii="宋体" w:hAnsi="宋体" w:eastAsia="宋体" w:cs="宋体"/>
                <w:b/>
                <w:szCs w:val="21"/>
              </w:rPr>
            </w:pPr>
            <w:r>
              <w:rPr>
                <w:rFonts w:hint="eastAsia" w:ascii="宋体" w:hAnsi="宋体" w:eastAsia="宋体" w:cs="宋体"/>
                <w:b/>
                <w:szCs w:val="21"/>
              </w:rPr>
              <w:t>评标标准</w:t>
            </w:r>
          </w:p>
        </w:tc>
        <w:tc>
          <w:tcPr>
            <w:tcW w:w="1565" w:type="dxa"/>
            <w:vAlign w:val="center"/>
          </w:tcPr>
          <w:p>
            <w:pPr>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项目分析及整体设想与策划</w:t>
            </w:r>
          </w:p>
        </w:tc>
        <w:tc>
          <w:tcPr>
            <w:tcW w:w="6081" w:type="dxa"/>
            <w:vAlign w:val="center"/>
          </w:tcPr>
          <w:p>
            <w:pPr>
              <w:jc w:val="left"/>
              <w:rPr>
                <w:rFonts w:ascii="宋体" w:hAnsi="宋体" w:eastAsia="宋体" w:cs="宋体"/>
                <w:szCs w:val="21"/>
              </w:rPr>
            </w:pPr>
            <w:r>
              <w:rPr>
                <w:rFonts w:hint="eastAsia" w:ascii="宋体" w:hAnsi="宋体" w:eastAsia="宋体" w:cs="宋体"/>
                <w:szCs w:val="21"/>
              </w:rPr>
              <w:t>针对本项目的服务分析，服务整体设想及服务创新设想策划等情况。对本项目分析深入，体现项目特点及工作重难点精准，服务设想与策划明确可行的得1</w:t>
            </w:r>
            <w:r>
              <w:rPr>
                <w:rFonts w:hint="eastAsia" w:ascii="宋体" w:hAnsi="宋体" w:eastAsia="宋体" w:cs="宋体"/>
                <w:szCs w:val="21"/>
                <w:lang w:val="en-US" w:eastAsia="zh-CN"/>
              </w:rPr>
              <w:t>0</w:t>
            </w:r>
            <w:r>
              <w:rPr>
                <w:rFonts w:hint="eastAsia" w:ascii="宋体" w:hAnsi="宋体" w:eastAsia="宋体" w:cs="宋体"/>
                <w:szCs w:val="21"/>
              </w:rPr>
              <w:t xml:space="preserve">分，分析及服务设想与策划内容一般的得 </w:t>
            </w:r>
            <w:r>
              <w:rPr>
                <w:rFonts w:hint="eastAsia" w:ascii="宋体" w:hAnsi="宋体" w:eastAsia="宋体" w:cs="宋体"/>
                <w:szCs w:val="21"/>
                <w:lang w:val="en-US" w:eastAsia="zh-CN"/>
              </w:rPr>
              <w:t>5</w:t>
            </w:r>
            <w:r>
              <w:rPr>
                <w:rFonts w:hint="eastAsia" w:ascii="宋体" w:hAnsi="宋体" w:eastAsia="宋体" w:cs="宋体"/>
                <w:szCs w:val="21"/>
              </w:rPr>
              <w:t>分，只有简单描述的得</w:t>
            </w:r>
            <w:r>
              <w:rPr>
                <w:rFonts w:hint="eastAsia" w:ascii="宋体" w:hAnsi="宋体" w:eastAsia="宋体" w:cs="宋体"/>
                <w:szCs w:val="21"/>
                <w:lang w:val="en-US" w:eastAsia="zh-CN"/>
              </w:rPr>
              <w:t>2</w:t>
            </w:r>
            <w:r>
              <w:rPr>
                <w:rFonts w:hint="eastAsia" w:ascii="宋体" w:hAnsi="宋体" w:eastAsia="宋体" w:cs="宋体"/>
                <w:szCs w:val="21"/>
              </w:rPr>
              <w:t xml:space="preserve"> 分，无此内容不得分。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管理方式与接管计划</w:t>
            </w:r>
          </w:p>
        </w:tc>
        <w:tc>
          <w:tcPr>
            <w:tcW w:w="6081" w:type="dxa"/>
            <w:vAlign w:val="center"/>
          </w:tcPr>
          <w:p>
            <w:pPr>
              <w:pStyle w:val="2"/>
              <w:ind w:firstLine="0" w:firstLineChars="0"/>
              <w:rPr>
                <w:rFonts w:hAnsi="宋体" w:cs="宋体"/>
                <w:kern w:val="2"/>
                <w:sz w:val="21"/>
                <w:szCs w:val="21"/>
              </w:rPr>
            </w:pPr>
            <w:r>
              <w:rPr>
                <w:rFonts w:hint="eastAsia" w:hAnsi="宋体" w:cs="宋体"/>
                <w:kern w:val="2"/>
                <w:sz w:val="21"/>
                <w:szCs w:val="21"/>
              </w:rPr>
              <w:t>拟采用的管理方式科学合理，内部管理构架清晰，具有完整的各分项管理职责及运作程序和内部运作机制完善可行，具有完整介入（交接）计划的得1</w:t>
            </w:r>
            <w:r>
              <w:rPr>
                <w:rFonts w:hint="eastAsia" w:hAnsi="宋体" w:cs="宋体"/>
                <w:kern w:val="2"/>
                <w:sz w:val="21"/>
                <w:szCs w:val="21"/>
                <w:lang w:val="en-US" w:eastAsia="zh-CN"/>
              </w:rPr>
              <w:t>0</w:t>
            </w:r>
            <w:r>
              <w:rPr>
                <w:rFonts w:hint="eastAsia" w:hAnsi="宋体" w:cs="宋体"/>
                <w:kern w:val="2"/>
                <w:sz w:val="21"/>
                <w:szCs w:val="21"/>
              </w:rPr>
              <w:t xml:space="preserve"> 分，内容一般的得</w:t>
            </w:r>
            <w:r>
              <w:rPr>
                <w:rFonts w:hint="eastAsia" w:hAnsi="宋体" w:cs="宋体"/>
                <w:kern w:val="2"/>
                <w:sz w:val="21"/>
                <w:szCs w:val="21"/>
                <w:lang w:val="en-US" w:eastAsia="zh-CN"/>
              </w:rPr>
              <w:t>5</w:t>
            </w:r>
            <w:r>
              <w:rPr>
                <w:rFonts w:hint="eastAsia" w:hAnsi="宋体" w:cs="宋体"/>
                <w:kern w:val="2"/>
                <w:sz w:val="21"/>
                <w:szCs w:val="21"/>
              </w:rPr>
              <w:t xml:space="preserve"> 分，只有简单描述或不合理的得 </w:t>
            </w:r>
            <w:r>
              <w:rPr>
                <w:rFonts w:hint="eastAsia" w:hAnsi="宋体" w:cs="宋体"/>
                <w:kern w:val="2"/>
                <w:sz w:val="21"/>
                <w:szCs w:val="21"/>
                <w:lang w:val="en-US" w:eastAsia="zh-CN"/>
              </w:rPr>
              <w:t>2</w:t>
            </w:r>
            <w:r>
              <w:rPr>
                <w:rFonts w:hint="eastAsia" w:hAnsi="宋体" w:cs="宋体"/>
                <w:kern w:val="2"/>
                <w:sz w:val="21"/>
                <w:szCs w:val="21"/>
              </w:rPr>
              <w:t xml:space="preserve"> 分，无此内容不得分。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人员管理</w:t>
            </w:r>
          </w:p>
        </w:tc>
        <w:tc>
          <w:tcPr>
            <w:tcW w:w="6081" w:type="dxa"/>
            <w:vAlign w:val="center"/>
          </w:tcPr>
          <w:p>
            <w:pPr>
              <w:rPr>
                <w:rFonts w:ascii="宋体" w:hAnsi="宋体" w:eastAsia="宋体" w:cs="宋体"/>
                <w:szCs w:val="21"/>
              </w:rPr>
            </w:pPr>
            <w:r>
              <w:rPr>
                <w:rFonts w:hint="eastAsia" w:ascii="宋体" w:hAnsi="宋体" w:eastAsia="宋体" w:cs="宋体"/>
                <w:szCs w:val="21"/>
              </w:rPr>
              <w:t>人员配置结构完整各岗位的岗位职责完善，具有清晰具体的人员管理考核细则的得 10 分，内容一般的得 5 分，只有简单描述或不合理的得 2分，无此内容不得分。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hAnsi="宋体" w:cs="宋体"/>
                <w:bCs/>
                <w:szCs w:val="21"/>
              </w:rPr>
              <w:t>绿化养护服务方案</w:t>
            </w:r>
          </w:p>
        </w:tc>
        <w:tc>
          <w:tcPr>
            <w:tcW w:w="6081" w:type="dxa"/>
            <w:vAlign w:val="center"/>
          </w:tcPr>
          <w:p>
            <w:pPr>
              <w:rPr>
                <w:rFonts w:ascii="宋体" w:hAnsi="宋体" w:eastAsia="宋体" w:cs="宋体"/>
                <w:szCs w:val="21"/>
              </w:rPr>
            </w:pPr>
            <w:r>
              <w:rPr>
                <w:rFonts w:hint="eastAsia" w:ascii="宋体" w:hAnsi="宋体" w:eastAsia="宋体" w:cs="宋体"/>
                <w:szCs w:val="21"/>
              </w:rPr>
              <w:t>制定绿化养护方法和要求与相关作业标准齐备，控制规程合理与工作重点及措施优秀的得10 分，内容一般的得 5 分，只有简单描述或不合理的得 2分，无此内容不得分。</w:t>
            </w:r>
          </w:p>
        </w:tc>
        <w:tc>
          <w:tcPr>
            <w:tcW w:w="1565" w:type="dxa"/>
            <w:vAlign w:val="center"/>
          </w:tcPr>
          <w:p>
            <w:pPr>
              <w:jc w:val="center"/>
              <w:rPr>
                <w:rFonts w:ascii="宋体" w:hAnsi="宋体" w:eastAsia="宋体" w:cs="宋体"/>
                <w:szCs w:val="21"/>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文明作业、安全作业保障措施</w:t>
            </w:r>
          </w:p>
        </w:tc>
        <w:tc>
          <w:tcPr>
            <w:tcW w:w="6081"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Cs w:val="21"/>
              </w:rPr>
              <w:t>评标委员会对各投标人文明作业、安全作业保障措施进行横向比较打分，好：得10分，一般：得5分，差：得2分，</w:t>
            </w:r>
            <w:r>
              <w:rPr>
                <w:rFonts w:hint="eastAsia" w:hAnsi="宋体" w:cs="宋体"/>
                <w:szCs w:val="21"/>
              </w:rPr>
              <w:t>无此内容不得分。</w:t>
            </w:r>
          </w:p>
        </w:tc>
        <w:tc>
          <w:tcPr>
            <w:tcW w:w="1565"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kern w:val="2"/>
                <w:sz w:val="21"/>
                <w:szCs w:val="21"/>
                <w:lang w:val="en-US" w:eastAsia="zh-CN" w:bidi="ar-SA"/>
              </w:rPr>
            </w:pPr>
            <w:r>
              <w:rPr>
                <w:rFonts w:hint="eastAsia" w:ascii="宋体" w:hAnsi="宋体" w:eastAsia="宋体" w:cs="宋体"/>
                <w:szCs w:val="21"/>
              </w:rPr>
              <w:t>应急事件处理预案</w:t>
            </w:r>
          </w:p>
        </w:tc>
        <w:tc>
          <w:tcPr>
            <w:tcW w:w="6081" w:type="dxa"/>
            <w:vAlign w:val="center"/>
          </w:tcPr>
          <w:p>
            <w:pPr>
              <w:rPr>
                <w:rFonts w:ascii="宋体" w:hAnsi="宋体" w:eastAsia="宋体" w:cs="宋体"/>
                <w:kern w:val="2"/>
                <w:sz w:val="21"/>
                <w:szCs w:val="21"/>
                <w:lang w:val="en-US" w:eastAsia="zh-CN" w:bidi="ar-SA"/>
              </w:rPr>
            </w:pPr>
            <w:r>
              <w:rPr>
                <w:rFonts w:hint="eastAsia" w:ascii="宋体" w:hAnsi="宋体" w:eastAsia="宋体" w:cs="宋体"/>
                <w:szCs w:val="21"/>
              </w:rPr>
              <w:t xml:space="preserve">各类应急预案完整、合理周密的，得 </w:t>
            </w:r>
            <w:r>
              <w:rPr>
                <w:rFonts w:hint="eastAsia" w:ascii="宋体" w:hAnsi="宋体" w:eastAsia="宋体" w:cs="宋体"/>
                <w:szCs w:val="21"/>
                <w:lang w:val="en-US" w:eastAsia="zh-CN"/>
              </w:rPr>
              <w:t>5</w:t>
            </w:r>
            <w:r>
              <w:rPr>
                <w:rFonts w:hint="eastAsia" w:ascii="宋体" w:hAnsi="宋体" w:eastAsia="宋体" w:cs="宋体"/>
                <w:szCs w:val="21"/>
              </w:rPr>
              <w:t>分；预案完整，较为合理的，得</w:t>
            </w:r>
            <w:r>
              <w:rPr>
                <w:rFonts w:hint="eastAsia" w:ascii="宋体" w:hAnsi="宋体" w:eastAsia="宋体" w:cs="宋体"/>
                <w:szCs w:val="21"/>
                <w:lang w:val="en-US" w:eastAsia="zh-CN"/>
              </w:rPr>
              <w:t>3</w:t>
            </w:r>
            <w:r>
              <w:rPr>
                <w:rFonts w:hint="eastAsia" w:ascii="宋体" w:hAnsi="宋体" w:eastAsia="宋体" w:cs="宋体"/>
                <w:szCs w:val="21"/>
              </w:rPr>
              <w:t xml:space="preserve"> 分；预案缺乏合理性的，得 </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hAnsi="宋体" w:cs="宋体"/>
                <w:szCs w:val="21"/>
              </w:rPr>
              <w:t>无此内容不得分。</w:t>
            </w:r>
          </w:p>
        </w:tc>
        <w:tc>
          <w:tcPr>
            <w:tcW w:w="1565" w:type="dxa"/>
            <w:vAlign w:val="center"/>
          </w:tcPr>
          <w:p>
            <w:pPr>
              <w:jc w:val="center"/>
              <w:rPr>
                <w:rFonts w:ascii="宋体" w:hAnsi="宋体" w:eastAsia="宋体" w:cs="宋体"/>
                <w:kern w:val="2"/>
                <w:sz w:val="21"/>
                <w:szCs w:val="21"/>
                <w:lang w:val="en-US" w:eastAsia="zh-CN" w:bidi="ar-SA"/>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Cs w:val="21"/>
              </w:rPr>
            </w:pPr>
            <w:r>
              <w:rPr>
                <w:rFonts w:hint="eastAsia" w:ascii="宋体" w:hAnsi="宋体" w:eastAsia="宋体" w:cs="宋体"/>
                <w:szCs w:val="21"/>
              </w:rPr>
              <w:t>物资配备计划</w:t>
            </w:r>
          </w:p>
        </w:tc>
        <w:tc>
          <w:tcPr>
            <w:tcW w:w="6081" w:type="dxa"/>
            <w:vAlign w:val="center"/>
          </w:tcPr>
          <w:p>
            <w:pPr>
              <w:rPr>
                <w:rFonts w:ascii="宋体" w:hAnsi="宋体" w:eastAsia="宋体" w:cs="宋体"/>
                <w:szCs w:val="21"/>
              </w:rPr>
            </w:pPr>
            <w:r>
              <w:rPr>
                <w:rFonts w:hint="eastAsia" w:ascii="宋体" w:hAnsi="宋体" w:eastAsia="宋体" w:cs="宋体"/>
                <w:szCs w:val="21"/>
              </w:rPr>
              <w:t xml:space="preserve">根据物资储备合理齐备的得 </w:t>
            </w:r>
            <w:r>
              <w:rPr>
                <w:rFonts w:hint="eastAsia" w:ascii="宋体" w:hAnsi="宋体" w:eastAsia="宋体" w:cs="宋体"/>
                <w:szCs w:val="21"/>
                <w:lang w:val="en-US" w:eastAsia="zh-CN"/>
              </w:rPr>
              <w:t>5</w:t>
            </w:r>
            <w:r>
              <w:rPr>
                <w:rFonts w:hint="eastAsia" w:ascii="宋体" w:hAnsi="宋体" w:eastAsia="宋体" w:cs="宋体"/>
                <w:szCs w:val="21"/>
              </w:rPr>
              <w:t xml:space="preserve">分，内容一般的得 </w:t>
            </w:r>
            <w:r>
              <w:rPr>
                <w:rFonts w:hint="eastAsia" w:ascii="宋体" w:hAnsi="宋体" w:eastAsia="宋体" w:cs="宋体"/>
                <w:szCs w:val="21"/>
                <w:lang w:val="en-US" w:eastAsia="zh-CN"/>
              </w:rPr>
              <w:t>3</w:t>
            </w:r>
            <w:r>
              <w:rPr>
                <w:rFonts w:hint="eastAsia" w:ascii="宋体" w:hAnsi="宋体" w:eastAsia="宋体" w:cs="宋体"/>
                <w:szCs w:val="21"/>
              </w:rPr>
              <w:t>分，只有简单描述或不合理的得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hAnsi="宋体" w:cs="宋体"/>
                <w:szCs w:val="21"/>
              </w:rPr>
              <w:t>无此内容不得分。</w:t>
            </w:r>
          </w:p>
        </w:tc>
        <w:tc>
          <w:tcPr>
            <w:tcW w:w="1565" w:type="dxa"/>
            <w:vAlign w:val="center"/>
          </w:tcPr>
          <w:p>
            <w:pPr>
              <w:jc w:val="center"/>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bl>
    <w:p>
      <w:pPr>
        <w:pStyle w:val="15"/>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序号</w:t>
            </w:r>
          </w:p>
        </w:tc>
        <w:tc>
          <w:tcPr>
            <w:tcW w:w="2823" w:type="dxa"/>
            <w:vAlign w:val="center"/>
          </w:tcPr>
          <w:p>
            <w:pPr>
              <w:jc w:val="center"/>
              <w:rPr>
                <w:rFonts w:ascii="宋体" w:hAnsi="宋体" w:eastAsia="宋体"/>
                <w:b/>
                <w:szCs w:val="21"/>
                <w:lang w:val="en-GB"/>
              </w:rPr>
            </w:pPr>
            <w:r>
              <w:rPr>
                <w:rFonts w:hint="eastAsia" w:ascii="宋体" w:hAnsi="宋体" w:eastAsia="宋体"/>
                <w:b/>
                <w:szCs w:val="21"/>
                <w:lang w:val="en-GB"/>
              </w:rPr>
              <w:t>情形</w:t>
            </w:r>
          </w:p>
        </w:tc>
        <w:tc>
          <w:tcPr>
            <w:tcW w:w="2552" w:type="dxa"/>
            <w:vAlign w:val="center"/>
          </w:tcPr>
          <w:p>
            <w:pPr>
              <w:jc w:val="center"/>
              <w:rPr>
                <w:rFonts w:ascii="宋体" w:hAnsi="宋体" w:eastAsia="宋体"/>
                <w:b/>
                <w:szCs w:val="21"/>
                <w:lang w:val="en-GB"/>
              </w:rPr>
            </w:pPr>
            <w:r>
              <w:rPr>
                <w:rFonts w:hint="eastAsia" w:ascii="宋体" w:hAnsi="宋体" w:eastAsia="宋体"/>
                <w:b/>
                <w:szCs w:val="21"/>
              </w:rPr>
              <w:t>价格扣除</w:t>
            </w:r>
            <w:r>
              <w:rPr>
                <w:rFonts w:hint="eastAsia" w:ascii="宋体" w:hAnsi="宋体" w:eastAsia="宋体"/>
                <w:b/>
                <w:szCs w:val="21"/>
                <w:lang w:val="en-GB"/>
              </w:rPr>
              <w:t>比例</w:t>
            </w:r>
          </w:p>
        </w:tc>
        <w:tc>
          <w:tcPr>
            <w:tcW w:w="2835" w:type="dxa"/>
            <w:vAlign w:val="center"/>
          </w:tcPr>
          <w:p>
            <w:pPr>
              <w:jc w:val="center"/>
              <w:rPr>
                <w:rFonts w:ascii="宋体" w:hAnsi="宋体" w:eastAsia="宋体"/>
                <w:b/>
                <w:szCs w:val="21"/>
                <w:lang w:val="en-GB"/>
              </w:rPr>
            </w:pPr>
            <w:r>
              <w:rPr>
                <w:rFonts w:hint="eastAsia" w:ascii="宋体" w:hAnsi="宋体" w:eastAsia="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1</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非联合体投标人</w:t>
            </w:r>
          </w:p>
          <w:p>
            <w:pPr>
              <w:jc w:val="center"/>
              <w:rPr>
                <w:rFonts w:ascii="宋体" w:hAnsi="宋体" w:eastAsia="宋体"/>
                <w:b/>
                <w:szCs w:val="21"/>
                <w:lang w:val="en-GB"/>
              </w:rPr>
            </w:pPr>
          </w:p>
        </w:tc>
        <w:tc>
          <w:tcPr>
            <w:tcW w:w="2552" w:type="dxa"/>
            <w:vAlign w:val="center"/>
          </w:tcPr>
          <w:p>
            <w:pPr>
              <w:jc w:val="center"/>
              <w:rPr>
                <w:rFonts w:ascii="宋体" w:hAnsi="宋体" w:eastAsia="宋体"/>
                <w:szCs w:val="21"/>
              </w:rPr>
            </w:pPr>
            <w:r>
              <w:rPr>
                <w:rFonts w:hint="eastAsia" w:ascii="宋体" w:hAnsi="宋体" w:eastAsia="宋体"/>
                <w:szCs w:val="21"/>
              </w:rPr>
              <w:t>对小型和微型企业报价</w:t>
            </w:r>
          </w:p>
          <w:p>
            <w:pPr>
              <w:jc w:val="center"/>
              <w:rPr>
                <w:rFonts w:ascii="宋体" w:hAnsi="宋体" w:eastAsia="宋体"/>
                <w:b/>
                <w:szCs w:val="21"/>
                <w:lang w:val="en-GB"/>
              </w:rPr>
            </w:pPr>
            <w:r>
              <w:rPr>
                <w:rFonts w:hint="eastAsia" w:ascii="宋体" w:hAnsi="宋体" w:eastAsia="宋体"/>
                <w:szCs w:val="21"/>
              </w:rPr>
              <w:t>扣除 20%</w:t>
            </w:r>
          </w:p>
        </w:tc>
        <w:tc>
          <w:tcPr>
            <w:tcW w:w="2835" w:type="dxa"/>
            <w:vMerge w:val="restart"/>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评标价格＝小型和微型企业</w:t>
            </w:r>
          </w:p>
          <w:p>
            <w:pPr>
              <w:jc w:val="center"/>
              <w:rPr>
                <w:rFonts w:ascii="宋体" w:hAnsi="宋体" w:eastAsia="宋体"/>
                <w:b/>
                <w:szCs w:val="21"/>
                <w:lang w:val="en-GB"/>
              </w:rPr>
            </w:pPr>
            <w:r>
              <w:rPr>
                <w:rFonts w:hint="eastAsia" w:ascii="宋体" w:hAnsi="宋体" w:eastAsia="宋体"/>
                <w:szCs w:val="21"/>
                <w:lang w:val="en-GB"/>
              </w:rPr>
              <w:t>报价×（1-20%）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2</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联合体各方均为小型、微型</w:t>
            </w:r>
          </w:p>
          <w:p>
            <w:pPr>
              <w:jc w:val="center"/>
              <w:rPr>
                <w:rFonts w:ascii="宋体" w:hAnsi="宋体" w:eastAsia="宋体"/>
                <w:b/>
                <w:szCs w:val="21"/>
              </w:rPr>
            </w:pPr>
            <w:r>
              <w:rPr>
                <w:rFonts w:hint="eastAsia" w:ascii="宋体" w:hAnsi="宋体" w:eastAsia="宋体"/>
                <w:szCs w:val="21"/>
                <w:lang w:val="en-GB"/>
              </w:rPr>
              <w:t>企业</w:t>
            </w:r>
          </w:p>
        </w:tc>
        <w:tc>
          <w:tcPr>
            <w:tcW w:w="2552" w:type="dxa"/>
            <w:vAlign w:val="center"/>
          </w:tcPr>
          <w:p>
            <w:pPr>
              <w:jc w:val="center"/>
              <w:rPr>
                <w:rFonts w:ascii="宋体" w:hAnsi="宋体" w:eastAsia="宋体"/>
                <w:szCs w:val="21"/>
              </w:rPr>
            </w:pPr>
            <w:r>
              <w:rPr>
                <w:rFonts w:hint="eastAsia" w:ascii="宋体" w:hAnsi="宋体" w:eastAsia="宋体"/>
                <w:szCs w:val="21"/>
              </w:rPr>
              <w:t>对小型和微型企业报价</w:t>
            </w:r>
          </w:p>
          <w:p>
            <w:pPr>
              <w:jc w:val="center"/>
              <w:rPr>
                <w:rFonts w:ascii="宋体" w:hAnsi="宋体" w:eastAsia="宋体"/>
                <w:szCs w:val="21"/>
              </w:rPr>
            </w:pPr>
            <w:r>
              <w:rPr>
                <w:rFonts w:hint="eastAsia" w:ascii="宋体" w:hAnsi="宋体" w:eastAsia="宋体"/>
                <w:szCs w:val="21"/>
              </w:rPr>
              <w:t>扣除 20%</w:t>
            </w:r>
          </w:p>
          <w:p>
            <w:pPr>
              <w:jc w:val="center"/>
              <w:rPr>
                <w:rFonts w:ascii="宋体" w:hAnsi="宋体" w:eastAsia="宋体"/>
                <w:szCs w:val="21"/>
              </w:rPr>
            </w:pPr>
            <w:r>
              <w:rPr>
                <w:rFonts w:hint="eastAsia" w:ascii="宋体" w:hAnsi="宋体" w:eastAsia="宋体"/>
                <w:szCs w:val="21"/>
              </w:rPr>
              <w:t>（不再享受序号 3 的价格折扣）</w:t>
            </w:r>
          </w:p>
        </w:tc>
        <w:tc>
          <w:tcPr>
            <w:tcW w:w="2835" w:type="dxa"/>
            <w:vMerge w:val="continue"/>
            <w:shd w:val="clear" w:color="auto" w:fill="auto"/>
          </w:tcPr>
          <w:p>
            <w:pPr>
              <w:rPr>
                <w:rFonts w:ascii="宋体" w:hAnsi="宋体" w:eastAsia="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3</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接受大中型企业与小微企业</w:t>
            </w:r>
          </w:p>
          <w:p>
            <w:pPr>
              <w:jc w:val="center"/>
              <w:rPr>
                <w:rFonts w:ascii="宋体" w:hAnsi="宋体" w:eastAsia="宋体"/>
                <w:szCs w:val="21"/>
                <w:lang w:val="en-GB"/>
              </w:rPr>
            </w:pPr>
            <w:r>
              <w:rPr>
                <w:rFonts w:hint="eastAsia" w:ascii="宋体" w:hAnsi="宋体" w:eastAsia="宋体"/>
                <w:szCs w:val="21"/>
                <w:lang w:val="en-GB"/>
              </w:rPr>
              <w:t>组成联合体或者允许大中型</w:t>
            </w:r>
          </w:p>
          <w:p>
            <w:pPr>
              <w:jc w:val="center"/>
              <w:rPr>
                <w:rFonts w:ascii="宋体" w:hAnsi="宋体" w:eastAsia="宋体"/>
                <w:szCs w:val="21"/>
                <w:lang w:val="en-GB"/>
              </w:rPr>
            </w:pPr>
            <w:r>
              <w:rPr>
                <w:rFonts w:hint="eastAsia" w:ascii="宋体" w:hAnsi="宋体" w:eastAsia="宋体"/>
                <w:szCs w:val="21"/>
                <w:lang w:val="en-GB"/>
              </w:rPr>
              <w:t>企业向一家或者多家小微企</w:t>
            </w:r>
          </w:p>
          <w:p>
            <w:pPr>
              <w:jc w:val="center"/>
              <w:rPr>
                <w:rFonts w:ascii="宋体" w:hAnsi="宋体" w:eastAsia="宋体"/>
                <w:szCs w:val="21"/>
                <w:lang w:val="en-GB"/>
              </w:rPr>
            </w:pPr>
            <w:r>
              <w:rPr>
                <w:rFonts w:hint="eastAsia" w:ascii="宋体" w:hAnsi="宋体" w:eastAsia="宋体"/>
                <w:szCs w:val="21"/>
                <w:lang w:val="en-GB"/>
              </w:rPr>
              <w:t>业分包的采购项目，对于联</w:t>
            </w:r>
          </w:p>
          <w:p>
            <w:pPr>
              <w:jc w:val="center"/>
              <w:rPr>
                <w:rFonts w:ascii="宋体" w:hAnsi="宋体" w:eastAsia="宋体"/>
                <w:szCs w:val="21"/>
                <w:lang w:val="en-GB"/>
              </w:rPr>
            </w:pPr>
            <w:r>
              <w:rPr>
                <w:rFonts w:hint="eastAsia" w:ascii="宋体" w:hAnsi="宋体" w:eastAsia="宋体"/>
                <w:szCs w:val="21"/>
                <w:lang w:val="en-GB"/>
              </w:rPr>
              <w:t>合协议或者分包意向协议约</w:t>
            </w:r>
          </w:p>
          <w:p>
            <w:pPr>
              <w:jc w:val="center"/>
              <w:rPr>
                <w:rFonts w:ascii="宋体" w:hAnsi="宋体" w:eastAsia="宋体"/>
                <w:szCs w:val="21"/>
                <w:lang w:val="en-GB"/>
              </w:rPr>
            </w:pPr>
            <w:r>
              <w:rPr>
                <w:rFonts w:hint="eastAsia" w:ascii="宋体" w:hAnsi="宋体" w:eastAsia="宋体"/>
                <w:szCs w:val="21"/>
                <w:lang w:val="en-GB"/>
              </w:rPr>
              <w:t>定小微企业的合同份额占到</w:t>
            </w:r>
          </w:p>
          <w:p>
            <w:pPr>
              <w:jc w:val="center"/>
              <w:rPr>
                <w:rFonts w:ascii="宋体" w:hAnsi="宋体" w:eastAsia="宋体"/>
                <w:b/>
                <w:szCs w:val="21"/>
                <w:lang w:val="en-GB"/>
              </w:rPr>
            </w:pPr>
            <w:r>
              <w:rPr>
                <w:rFonts w:hint="eastAsia" w:ascii="宋体" w:hAnsi="宋体" w:eastAsia="宋体"/>
                <w:szCs w:val="21"/>
                <w:lang w:val="en-GB"/>
              </w:rPr>
              <w:t>合同总金额 30%以上</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对联合体或者大中型企业</w:t>
            </w:r>
          </w:p>
          <w:p>
            <w:pPr>
              <w:jc w:val="center"/>
              <w:rPr>
                <w:rFonts w:ascii="宋体" w:hAnsi="宋体" w:eastAsia="宋体"/>
                <w:b/>
                <w:szCs w:val="21"/>
                <w:lang w:val="en-GB"/>
              </w:rPr>
            </w:pPr>
            <w:r>
              <w:rPr>
                <w:rFonts w:hint="eastAsia" w:ascii="宋体" w:hAnsi="宋体" w:eastAsia="宋体"/>
                <w:szCs w:val="21"/>
                <w:lang w:val="en-GB"/>
              </w:rPr>
              <w:t>的报价扣除 4%</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p>
          <w:p>
            <w:pPr>
              <w:jc w:val="center"/>
              <w:rPr>
                <w:rFonts w:ascii="宋体" w:hAnsi="宋体" w:eastAsia="宋体"/>
                <w:b/>
                <w:szCs w:val="21"/>
                <w:lang w:val="en-GB"/>
              </w:rPr>
            </w:pPr>
            <w:r>
              <w:rPr>
                <w:rFonts w:ascii="宋体" w:hAnsi="宋体" w:eastAsia="宋体"/>
                <w:szCs w:val="21"/>
                <w:lang w:val="en-GB"/>
              </w:rPr>
              <w:t>(1-4%)</w:t>
            </w:r>
            <w:r>
              <w:rPr>
                <w:rFonts w:ascii="宋体" w:hAnsi="宋体" w:eastAsia="宋体"/>
                <w:b/>
                <w:szCs w:val="21"/>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4</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监狱企业</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对监狱企业产品价格扣除</w:t>
            </w:r>
          </w:p>
          <w:p>
            <w:pPr>
              <w:jc w:val="center"/>
              <w:rPr>
                <w:rFonts w:ascii="宋体" w:hAnsi="宋体" w:eastAsia="宋体"/>
                <w:szCs w:val="21"/>
                <w:lang w:val="en-GB"/>
              </w:rPr>
            </w:pPr>
            <w:r>
              <w:rPr>
                <w:rFonts w:ascii="宋体" w:hAnsi="宋体" w:eastAsia="宋体"/>
                <w:szCs w:val="21"/>
                <w:lang w:val="en-GB"/>
              </w:rPr>
              <w:t>20%</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rPr>
              <w:t>评</w:t>
            </w:r>
            <w:r>
              <w:rPr>
                <w:rFonts w:hint="eastAsia" w:ascii="宋体" w:hAnsi="宋体" w:eastAsia="宋体"/>
                <w:szCs w:val="21"/>
                <w:lang w:val="en-GB"/>
              </w:rPr>
              <w:t>标价格＝投标报价—监狱</w:t>
            </w:r>
          </w:p>
          <w:p>
            <w:pPr>
              <w:jc w:val="center"/>
              <w:rPr>
                <w:rFonts w:ascii="宋体" w:hAnsi="宋体" w:eastAsia="宋体"/>
                <w:szCs w:val="21"/>
                <w:lang w:val="en-GB"/>
              </w:rPr>
            </w:pPr>
            <w:r>
              <w:rPr>
                <w:rFonts w:hint="eastAsia" w:ascii="宋体" w:hAnsi="宋体" w:eastAsia="宋体"/>
                <w:szCs w:val="21"/>
                <w:lang w:val="en-GB"/>
              </w:rPr>
              <w:t>企业产品的价格×20%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5</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残疾人福利性单位</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对残疾人福利性单位产品</w:t>
            </w:r>
          </w:p>
          <w:p>
            <w:pPr>
              <w:jc w:val="center"/>
              <w:rPr>
                <w:rFonts w:ascii="宋体" w:hAnsi="宋体" w:eastAsia="宋体"/>
                <w:szCs w:val="21"/>
                <w:lang w:val="en-GB"/>
              </w:rPr>
            </w:pPr>
            <w:r>
              <w:rPr>
                <w:rFonts w:hint="eastAsia" w:ascii="宋体" w:hAnsi="宋体" w:eastAsia="宋体"/>
                <w:szCs w:val="21"/>
                <w:lang w:val="en-GB"/>
              </w:rPr>
              <w:t>价格扣除 20%</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评标价格＝投标报价—残疾</w:t>
            </w:r>
          </w:p>
          <w:p>
            <w:pPr>
              <w:jc w:val="center"/>
              <w:rPr>
                <w:rFonts w:ascii="宋体" w:hAnsi="宋体" w:eastAsia="宋体"/>
                <w:szCs w:val="21"/>
                <w:lang w:val="en-GB"/>
              </w:rPr>
            </w:pPr>
            <w:r>
              <w:rPr>
                <w:rFonts w:hint="eastAsia" w:ascii="宋体" w:hAnsi="宋体" w:eastAsia="宋体"/>
                <w:szCs w:val="21"/>
                <w:lang w:val="en-GB"/>
              </w:rPr>
              <w:t>人福利性单位产品的价格×</w:t>
            </w:r>
          </w:p>
          <w:p>
            <w:pPr>
              <w:jc w:val="center"/>
              <w:rPr>
                <w:rFonts w:ascii="宋体" w:hAnsi="宋体" w:eastAsia="宋体"/>
                <w:szCs w:val="21"/>
                <w:lang w:val="en-GB"/>
              </w:rPr>
            </w:pPr>
            <w:r>
              <w:rPr>
                <w:rFonts w:ascii="宋体" w:hAnsi="宋体" w:eastAsia="宋体"/>
                <w:szCs w:val="21"/>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e.小型和微型企业不包括民办非企业单位。</w:t>
      </w:r>
    </w:p>
    <w:p>
      <w:pPr>
        <w:pStyle w:val="15"/>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（8）） 按照 《 关于推进全流程电子化交易和在线监管工作有关问题的通知 》 （ 许公管办 [2019] 3 3  号）规定：评标专家应严格按照要求查看 “ 硬件 特征码 ” 相 关信息并进行评审，中 在评审报告中  显示 “ 不 同投标人电子投标文件制作硬件特征码 ” 是否雷同的分析及判定结果。</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（9）</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jc w:val="left"/>
        <w:rPr>
          <w:rFonts w:ascii="宋体" w:hAnsi="宋体" w:eastAsia="宋体" w:cs="宋体"/>
          <w:b/>
          <w:kern w:val="0"/>
          <w:sz w:val="32"/>
          <w:szCs w:val="32"/>
        </w:rPr>
      </w:pPr>
      <w:r>
        <w:rPr>
          <w:rFonts w:ascii="宋体" w:hAnsi="宋体" w:eastAsia="宋体" w:cs="宋体"/>
          <w:b/>
          <w:kern w:val="0"/>
          <w:sz w:val="32"/>
          <w:szCs w:val="32"/>
        </w:rPr>
        <w:br w:type="page"/>
      </w:r>
    </w:p>
    <w:p>
      <w:pPr>
        <w:spacing w:beforeLines="50" w:afterLines="50"/>
        <w:jc w:val="center"/>
        <w:outlineLvl w:val="0"/>
        <w:rPr>
          <w:rFonts w:ascii="宋体" w:hAnsi="宋体" w:eastAsia="宋体" w:cs="宋体"/>
          <w:b/>
          <w:kern w:val="0"/>
          <w:sz w:val="32"/>
          <w:szCs w:val="32"/>
        </w:rPr>
      </w:pPr>
      <w:bookmarkStart w:id="19" w:name="_Toc14299199"/>
      <w:bookmarkStart w:id="20" w:name="_Toc14299038"/>
      <w:r>
        <w:rPr>
          <w:rFonts w:hint="eastAsia" w:ascii="宋体" w:hAnsi="宋体" w:eastAsia="宋体" w:cs="宋体"/>
          <w:b/>
          <w:kern w:val="0"/>
          <w:sz w:val="32"/>
          <w:szCs w:val="32"/>
        </w:rPr>
        <w:t>第七章 合同条款及格式</w:t>
      </w:r>
      <w:bookmarkEnd w:id="19"/>
      <w:bookmarkEnd w:id="20"/>
    </w:p>
    <w:p>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最终签订合同的主要条款不能与招标文件有冲突）</w:t>
      </w:r>
    </w:p>
    <w:p>
      <w:pPr>
        <w:widowControl/>
        <w:jc w:val="center"/>
        <w:rPr>
          <w:rFonts w:ascii="宋体" w:hAnsi="宋体" w:eastAsia="宋体" w:cs="宋体"/>
          <w:b/>
          <w:kern w:val="0"/>
          <w:sz w:val="28"/>
          <w:szCs w:val="24"/>
        </w:rPr>
      </w:pPr>
    </w:p>
    <w:p>
      <w:pPr>
        <w:widowControl/>
        <w:spacing w:line="560" w:lineRule="exact"/>
        <w:jc w:val="center"/>
        <w:rPr>
          <w:rFonts w:ascii="宋体" w:cs="Times New Roman"/>
          <w:b/>
          <w:bCs/>
          <w:kern w:val="0"/>
          <w:sz w:val="40"/>
          <w:szCs w:val="40"/>
        </w:rPr>
      </w:pPr>
      <w:bookmarkStart w:id="21" w:name="_Toc14299200"/>
      <w:bookmarkStart w:id="22" w:name="_Toc14299039"/>
      <w:r>
        <w:rPr>
          <w:rFonts w:hint="eastAsia" w:ascii="宋体" w:hAnsi="宋体" w:cs="宋体"/>
          <w:b/>
          <w:bCs/>
          <w:kern w:val="0"/>
          <w:sz w:val="40"/>
          <w:szCs w:val="40"/>
        </w:rPr>
        <w:t>绿化养护项目合同书</w:t>
      </w:r>
    </w:p>
    <w:p>
      <w:pPr>
        <w:spacing w:line="560" w:lineRule="exact"/>
        <w:rPr>
          <w:rFonts w:ascii="宋体" w:cs="Times New Roman"/>
          <w:sz w:val="24"/>
          <w:szCs w:val="24"/>
        </w:rPr>
      </w:pPr>
    </w:p>
    <w:p>
      <w:pPr>
        <w:pStyle w:val="2"/>
        <w:ind w:firstLine="0" w:firstLineChars="0"/>
      </w:pPr>
    </w:p>
    <w:p>
      <w:pPr>
        <w:spacing w:line="560" w:lineRule="exact"/>
        <w:rPr>
          <w:rFonts w:ascii="仿宋_GB2312" w:eastAsia="仿宋_GB2312" w:cs="Times New Roman"/>
          <w:sz w:val="32"/>
          <w:szCs w:val="32"/>
          <w:u w:val="single"/>
        </w:rPr>
      </w:pPr>
      <w:r>
        <w:rPr>
          <w:rFonts w:hint="eastAsia" w:ascii="仿宋_GB2312" w:hAnsi="宋体" w:eastAsia="仿宋_GB2312" w:cs="仿宋_GB2312"/>
          <w:sz w:val="32"/>
          <w:szCs w:val="32"/>
        </w:rPr>
        <w:t>发包方（以下简称甲方）：</w:t>
      </w:r>
    </w:p>
    <w:p>
      <w:pPr>
        <w:spacing w:line="560" w:lineRule="exact"/>
        <w:rPr>
          <w:rFonts w:ascii="仿宋_GB2312" w:eastAsia="仿宋_GB2312" w:cs="Times New Roman"/>
          <w:sz w:val="32"/>
          <w:szCs w:val="32"/>
        </w:rPr>
      </w:pPr>
      <w:r>
        <w:rPr>
          <w:rFonts w:hint="eastAsia" w:ascii="仿宋_GB2312" w:hAnsi="宋体" w:eastAsia="仿宋_GB2312" w:cs="仿宋_GB2312"/>
          <w:sz w:val="32"/>
          <w:szCs w:val="32"/>
        </w:rPr>
        <w:t>承包方（以下简称乙方）：</w:t>
      </w:r>
    </w:p>
    <w:p>
      <w:pPr>
        <w:spacing w:line="560" w:lineRule="exact"/>
        <w:ind w:firstLine="566" w:firstLineChars="177"/>
      </w:pPr>
      <w:r>
        <w:rPr>
          <w:rFonts w:hint="eastAsia" w:ascii="仿宋_GB2312" w:hAnsi="宋体" w:eastAsia="仿宋_GB2312" w:cs="仿宋_GB2312"/>
          <w:sz w:val="32"/>
          <w:szCs w:val="32"/>
        </w:rPr>
        <w:t>经公开采购，</w:t>
      </w:r>
      <w:r>
        <w:rPr>
          <w:rFonts w:hint="eastAsia" w:ascii="仿宋_GB2312" w:hAnsi="宋体" w:eastAsia="仿宋_GB2312" w:cs="仿宋_GB2312"/>
          <w:sz w:val="32"/>
          <w:szCs w:val="32"/>
          <w:u w:val="single"/>
        </w:rPr>
        <w:t>（项目名称）</w:t>
      </w:r>
      <w:r>
        <w:rPr>
          <w:rFonts w:hint="eastAsia" w:ascii="仿宋_GB2312" w:hAnsi="宋体" w:eastAsia="仿宋_GB2312" w:cs="仿宋_GB2312"/>
          <w:sz w:val="32"/>
          <w:szCs w:val="32"/>
        </w:rPr>
        <w:t>确定给乙方管养，依照《中华人民共和国合同法》及其他有关法律、法规，遵循平等、自愿、公平和诚实信用原则，双方就本采购项目的相关事项协商一致，订立本合同。</w:t>
      </w:r>
    </w:p>
    <w:p>
      <w:pPr>
        <w:spacing w:line="560" w:lineRule="exact"/>
        <w:ind w:firstLine="569" w:firstLineChars="177"/>
        <w:rPr>
          <w:rFonts w:ascii="楷体_GB2312" w:hAnsi="宋体" w:eastAsia="楷体_GB2312" w:cs="楷体_GB2312"/>
          <w:b/>
          <w:bCs/>
          <w:sz w:val="32"/>
          <w:szCs w:val="32"/>
        </w:rPr>
      </w:pPr>
    </w:p>
    <w:p>
      <w:pPr>
        <w:spacing w:line="560" w:lineRule="exact"/>
        <w:ind w:firstLine="569" w:firstLineChars="177"/>
        <w:rPr>
          <w:rFonts w:ascii="楷体_GB2312" w:eastAsia="楷体_GB2312" w:cs="Times New Roman"/>
          <w:b/>
          <w:bCs/>
          <w:sz w:val="32"/>
          <w:szCs w:val="32"/>
        </w:rPr>
      </w:pPr>
      <w:r>
        <w:rPr>
          <w:rFonts w:hint="eastAsia" w:ascii="楷体_GB2312" w:hAnsi="宋体" w:eastAsia="楷体_GB2312" w:cs="楷体_GB2312"/>
          <w:b/>
          <w:bCs/>
          <w:sz w:val="32"/>
          <w:szCs w:val="32"/>
        </w:rPr>
        <w:t>第一条：项目基本概括</w:t>
      </w:r>
    </w:p>
    <w:p>
      <w:pPr>
        <w:spacing w:line="560" w:lineRule="exact"/>
        <w:ind w:firstLine="566" w:firstLineChars="177"/>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、项目名称：</w:t>
      </w:r>
      <w:r>
        <w:rPr>
          <w:rFonts w:ascii="仿宋_GB2312" w:hAnsi="宋体" w:eastAsia="仿宋_GB2312" w:cs="仿宋_GB2312"/>
          <w:sz w:val="32"/>
          <w:szCs w:val="32"/>
        </w:rPr>
        <w:t xml:space="preserve">  </w:t>
      </w:r>
    </w:p>
    <w:p>
      <w:pPr>
        <w:spacing w:line="560" w:lineRule="exact"/>
        <w:ind w:firstLine="566" w:firstLineChars="177"/>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、项目地点：</w:t>
      </w:r>
      <w:r>
        <w:rPr>
          <w:rFonts w:ascii="仿宋_GB2312" w:hAnsi="宋体" w:eastAsia="仿宋_GB2312" w:cs="仿宋_GB2312"/>
          <w:sz w:val="32"/>
          <w:szCs w:val="32"/>
        </w:rPr>
        <w:t xml:space="preserve">            </w:t>
      </w:r>
    </w:p>
    <w:p>
      <w:pPr>
        <w:spacing w:line="560" w:lineRule="exact"/>
        <w:ind w:firstLine="566" w:firstLineChars="177"/>
      </w:pPr>
      <w:r>
        <w:rPr>
          <w:rFonts w:ascii="仿宋_GB2312" w:hAnsi="宋体" w:eastAsia="仿宋_GB2312" w:cs="仿宋_GB2312"/>
          <w:sz w:val="32"/>
          <w:szCs w:val="32"/>
        </w:rPr>
        <w:t>3</w:t>
      </w:r>
      <w:r>
        <w:rPr>
          <w:rFonts w:hint="eastAsia" w:ascii="仿宋_GB2312" w:hAnsi="宋体" w:eastAsia="仿宋_GB2312" w:cs="仿宋_GB2312"/>
          <w:sz w:val="32"/>
          <w:szCs w:val="32"/>
        </w:rPr>
        <w:t>、资金来源：财政资金</w:t>
      </w:r>
      <w:r>
        <w:rPr>
          <w:rFonts w:ascii="仿宋_GB2312" w:hAnsi="宋体" w:eastAsia="仿宋_GB2312" w:cs="仿宋_GB2312"/>
          <w:sz w:val="32"/>
          <w:szCs w:val="32"/>
        </w:rPr>
        <w:t xml:space="preserve">    </w:t>
      </w:r>
      <w:r>
        <w:rPr>
          <w:rFonts w:ascii="宋体" w:hAnsi="宋体" w:cs="宋体"/>
          <w:sz w:val="24"/>
          <w:szCs w:val="24"/>
        </w:rPr>
        <w:t xml:space="preserve">        </w:t>
      </w:r>
    </w:p>
    <w:p>
      <w:pPr>
        <w:spacing w:line="560" w:lineRule="exact"/>
        <w:ind w:firstLine="569" w:firstLineChars="177"/>
        <w:rPr>
          <w:rFonts w:ascii="楷体_GB2312" w:hAnsi="宋体" w:eastAsia="楷体_GB2312" w:cs="楷体_GB2312"/>
          <w:b/>
          <w:bCs/>
          <w:sz w:val="32"/>
          <w:szCs w:val="32"/>
        </w:rPr>
      </w:pPr>
    </w:p>
    <w:p>
      <w:pPr>
        <w:spacing w:line="560" w:lineRule="exact"/>
        <w:ind w:firstLine="569" w:firstLineChars="177"/>
        <w:rPr>
          <w:rFonts w:ascii="楷体_GB2312" w:hAnsi="宋体" w:eastAsia="楷体_GB2312" w:cs="楷体_GB2312"/>
          <w:b/>
          <w:bCs/>
          <w:sz w:val="32"/>
          <w:szCs w:val="32"/>
        </w:rPr>
      </w:pPr>
      <w:r>
        <w:rPr>
          <w:rFonts w:hint="eastAsia" w:ascii="楷体_GB2312" w:hAnsi="宋体" w:eastAsia="楷体_GB2312" w:cs="楷体_GB2312"/>
          <w:b/>
          <w:bCs/>
          <w:sz w:val="32"/>
          <w:szCs w:val="32"/>
        </w:rPr>
        <w:t>第二条：绿化管养清单</w:t>
      </w:r>
    </w:p>
    <w:p>
      <w:r>
        <w:rPr>
          <w:rFonts w:hint="eastAsia" w:ascii="楷体_GB2312" w:hAnsi="宋体" w:eastAsia="楷体_GB2312" w:cs="楷体_GB2312"/>
          <w:b/>
          <w:bCs/>
          <w:sz w:val="32"/>
          <w:szCs w:val="32"/>
        </w:rPr>
        <w:br w:type="page"/>
      </w:r>
    </w:p>
    <w:tbl>
      <w:tblPr>
        <w:tblStyle w:val="24"/>
        <w:tblW w:w="7218" w:type="dxa"/>
        <w:jc w:val="center"/>
        <w:tblLayout w:type="fixed"/>
        <w:tblCellMar>
          <w:top w:w="0" w:type="dxa"/>
          <w:left w:w="108" w:type="dxa"/>
          <w:bottom w:w="0" w:type="dxa"/>
          <w:right w:w="108" w:type="dxa"/>
        </w:tblCellMar>
      </w:tblPr>
      <w:tblGrid>
        <w:gridCol w:w="932"/>
        <w:gridCol w:w="2117"/>
        <w:gridCol w:w="2831"/>
        <w:gridCol w:w="1338"/>
      </w:tblGrid>
      <w:tr>
        <w:tblPrEx>
          <w:tblCellMar>
            <w:top w:w="0" w:type="dxa"/>
            <w:left w:w="108" w:type="dxa"/>
            <w:bottom w:w="0" w:type="dxa"/>
            <w:right w:w="108" w:type="dxa"/>
          </w:tblCellMar>
        </w:tblPrEx>
        <w:trPr>
          <w:trHeight w:val="591" w:hRule="atLeast"/>
          <w:jc w:val="center"/>
        </w:trPr>
        <w:tc>
          <w:tcPr>
            <w:tcW w:w="932" w:type="dxa"/>
            <w:vMerge w:val="restart"/>
            <w:tcBorders>
              <w:top w:val="single" w:color="auto" w:sz="8" w:space="0"/>
              <w:left w:val="single" w:color="auto" w:sz="4" w:space="0"/>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序号</w:t>
            </w:r>
          </w:p>
        </w:tc>
        <w:tc>
          <w:tcPr>
            <w:tcW w:w="2117"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名称</w:t>
            </w:r>
          </w:p>
        </w:tc>
        <w:tc>
          <w:tcPr>
            <w:tcW w:w="2831"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管养面积（㎡）</w:t>
            </w:r>
          </w:p>
        </w:tc>
        <w:tc>
          <w:tcPr>
            <w:tcW w:w="1338" w:type="dxa"/>
            <w:vMerge w:val="restart"/>
            <w:tcBorders>
              <w:top w:val="single" w:color="auto" w:sz="8" w:space="0"/>
              <w:left w:val="nil"/>
              <w:right w:val="single" w:color="auto" w:sz="4" w:space="0"/>
            </w:tcBorders>
            <w:shd w:val="clear" w:color="auto" w:fill="auto"/>
            <w:vAlign w:val="center"/>
          </w:tcPr>
          <w:p>
            <w:pPr>
              <w:jc w:val="center"/>
              <w:rPr>
                <w:rFonts w:ascii="宋体" w:hAnsi="宋体" w:eastAsia="宋体" w:cs="宋体"/>
                <w:b/>
                <w:kern w:val="0"/>
                <w:szCs w:val="21"/>
              </w:rPr>
            </w:pPr>
            <w:r>
              <w:rPr>
                <w:rFonts w:hint="eastAsia" w:ascii="宋体" w:hAnsi="宋体" w:eastAsia="宋体" w:cs="宋体"/>
                <w:b/>
                <w:kern w:val="0"/>
                <w:szCs w:val="21"/>
              </w:rPr>
              <w:t>备注</w:t>
            </w:r>
          </w:p>
        </w:tc>
      </w:tr>
      <w:tr>
        <w:tblPrEx>
          <w:tblCellMar>
            <w:top w:w="0" w:type="dxa"/>
            <w:left w:w="108" w:type="dxa"/>
            <w:bottom w:w="0" w:type="dxa"/>
            <w:right w:w="108" w:type="dxa"/>
          </w:tblCellMar>
        </w:tblPrEx>
        <w:trPr>
          <w:trHeight w:val="312" w:hRule="atLeast"/>
          <w:jc w:val="center"/>
        </w:trPr>
        <w:tc>
          <w:tcPr>
            <w:tcW w:w="932"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2117"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2831"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c>
          <w:tcPr>
            <w:tcW w:w="1338" w:type="dxa"/>
            <w:vMerge w:val="continue"/>
            <w:tcBorders>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p>
        </w:tc>
      </w:tr>
      <w:tr>
        <w:tblPrEx>
          <w:tblCellMar>
            <w:top w:w="0" w:type="dxa"/>
            <w:left w:w="108" w:type="dxa"/>
            <w:bottom w:w="0" w:type="dxa"/>
            <w:right w:w="108" w:type="dxa"/>
          </w:tblCellMar>
        </w:tblPrEx>
        <w:trPr>
          <w:trHeight w:val="578"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1</w:t>
            </w:r>
          </w:p>
        </w:tc>
        <w:tc>
          <w:tcPr>
            <w:tcW w:w="21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cs="仿宋_GB2312"/>
                <w:shd w:val="clear" w:color="auto" w:fill="FFFFFF"/>
              </w:rPr>
              <w:t>一级养护路段</w:t>
            </w:r>
          </w:p>
        </w:tc>
        <w:tc>
          <w:tcPr>
            <w:tcW w:w="283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cs="仿宋_GB2312"/>
                <w:shd w:val="clear" w:color="auto" w:fill="FFFFFF"/>
              </w:rPr>
              <w:t>2999194</w:t>
            </w:r>
          </w:p>
        </w:tc>
        <w:tc>
          <w:tcPr>
            <w:tcW w:w="1338" w:type="dxa"/>
            <w:vMerge w:val="restart"/>
            <w:tcBorders>
              <w:top w:val="nil"/>
              <w:left w:val="nil"/>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具体面积以第三方出具的测绘报告为准</w:t>
            </w:r>
          </w:p>
        </w:tc>
      </w:tr>
      <w:tr>
        <w:tblPrEx>
          <w:tblCellMar>
            <w:top w:w="0" w:type="dxa"/>
            <w:left w:w="108" w:type="dxa"/>
            <w:bottom w:w="0" w:type="dxa"/>
            <w:right w:w="108" w:type="dxa"/>
          </w:tblCellMar>
        </w:tblPrEx>
        <w:trPr>
          <w:trHeight w:val="578"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2</w:t>
            </w:r>
          </w:p>
        </w:tc>
        <w:tc>
          <w:tcPr>
            <w:tcW w:w="21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cs="仿宋_GB2312"/>
                <w:shd w:val="clear" w:color="auto" w:fill="FFFFFF"/>
              </w:rPr>
              <w:t>二级养护路段</w:t>
            </w:r>
          </w:p>
        </w:tc>
        <w:tc>
          <w:tcPr>
            <w:tcW w:w="283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835336</w:t>
            </w:r>
          </w:p>
        </w:tc>
        <w:tc>
          <w:tcPr>
            <w:tcW w:w="1338" w:type="dxa"/>
            <w:vMerge w:val="continue"/>
            <w:tcBorders>
              <w:left w:val="nil"/>
              <w:right w:val="single" w:color="auto" w:sz="4" w:space="0"/>
            </w:tcBorders>
            <w:shd w:val="clear" w:color="auto" w:fill="auto"/>
            <w:vAlign w:val="center"/>
          </w:tcPr>
          <w:p>
            <w:pPr>
              <w:jc w:val="center"/>
              <w:rPr>
                <w:rFonts w:ascii="宋体" w:hAnsi="宋体" w:cs="仿宋_GB2312"/>
                <w:shd w:val="clear" w:color="auto" w:fill="FFFFFF"/>
              </w:rPr>
            </w:pPr>
          </w:p>
        </w:tc>
      </w:tr>
      <w:tr>
        <w:tblPrEx>
          <w:tblCellMar>
            <w:top w:w="0" w:type="dxa"/>
            <w:left w:w="108" w:type="dxa"/>
            <w:bottom w:w="0" w:type="dxa"/>
            <w:right w:w="108" w:type="dxa"/>
          </w:tblCellMar>
        </w:tblPrEx>
        <w:trPr>
          <w:trHeight w:val="578"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3</w:t>
            </w:r>
          </w:p>
        </w:tc>
        <w:tc>
          <w:tcPr>
            <w:tcW w:w="21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cs="仿宋_GB2312"/>
                <w:shd w:val="clear" w:color="auto" w:fill="FFFFFF"/>
              </w:rPr>
              <w:t>三级养护路段</w:t>
            </w:r>
          </w:p>
        </w:tc>
        <w:tc>
          <w:tcPr>
            <w:tcW w:w="283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382277</w:t>
            </w:r>
          </w:p>
        </w:tc>
        <w:tc>
          <w:tcPr>
            <w:tcW w:w="1338" w:type="dxa"/>
            <w:vMerge w:val="continue"/>
            <w:tcBorders>
              <w:left w:val="nil"/>
              <w:right w:val="single" w:color="auto" w:sz="4" w:space="0"/>
            </w:tcBorders>
            <w:shd w:val="clear" w:color="auto" w:fill="auto"/>
            <w:vAlign w:val="center"/>
          </w:tcPr>
          <w:p>
            <w:pPr>
              <w:jc w:val="center"/>
              <w:rPr>
                <w:rFonts w:ascii="宋体" w:hAnsi="宋体" w:cs="仿宋_GB2312"/>
                <w:shd w:val="clear" w:color="auto" w:fill="FFFFFF"/>
              </w:rPr>
            </w:pPr>
          </w:p>
        </w:tc>
      </w:tr>
      <w:tr>
        <w:tblPrEx>
          <w:tblCellMar>
            <w:top w:w="0" w:type="dxa"/>
            <w:left w:w="108" w:type="dxa"/>
            <w:bottom w:w="0" w:type="dxa"/>
            <w:right w:w="108" w:type="dxa"/>
          </w:tblCellMar>
        </w:tblPrEx>
        <w:trPr>
          <w:trHeight w:val="578" w:hRule="atLeast"/>
          <w:jc w:val="center"/>
        </w:trPr>
        <w:tc>
          <w:tcPr>
            <w:tcW w:w="93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eastAsia="宋体" w:cs="宋体"/>
                <w:kern w:val="0"/>
                <w:szCs w:val="21"/>
              </w:rPr>
              <w:t>4</w:t>
            </w:r>
          </w:p>
        </w:tc>
        <w:tc>
          <w:tcPr>
            <w:tcW w:w="211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Cs w:val="21"/>
              </w:rPr>
            </w:pPr>
            <w:r>
              <w:rPr>
                <w:rFonts w:hint="eastAsia" w:ascii="宋体" w:hAnsi="宋体" w:cs="仿宋_GB2312"/>
                <w:shd w:val="clear" w:color="auto" w:fill="FFFFFF"/>
              </w:rPr>
              <w:t>合计</w:t>
            </w:r>
          </w:p>
        </w:tc>
        <w:tc>
          <w:tcPr>
            <w:tcW w:w="283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4216807</w:t>
            </w:r>
          </w:p>
        </w:tc>
        <w:tc>
          <w:tcPr>
            <w:tcW w:w="1338" w:type="dxa"/>
            <w:vMerge w:val="continue"/>
            <w:tcBorders>
              <w:left w:val="nil"/>
              <w:bottom w:val="single" w:color="auto" w:sz="4" w:space="0"/>
              <w:right w:val="single" w:color="auto" w:sz="4" w:space="0"/>
            </w:tcBorders>
            <w:shd w:val="clear" w:color="auto" w:fill="auto"/>
            <w:vAlign w:val="center"/>
          </w:tcPr>
          <w:p>
            <w:pPr>
              <w:jc w:val="center"/>
              <w:rPr>
                <w:rFonts w:ascii="宋体" w:hAnsi="宋体" w:cs="仿宋_GB2312"/>
                <w:shd w:val="clear" w:color="auto" w:fill="FFFFFF"/>
              </w:rPr>
            </w:pPr>
          </w:p>
        </w:tc>
      </w:tr>
    </w:tbl>
    <w:p>
      <w:pPr>
        <w:spacing w:line="560" w:lineRule="exact"/>
        <w:ind w:firstLine="643" w:firstLineChars="200"/>
        <w:rPr>
          <w:rFonts w:ascii="楷体_GB2312" w:eastAsia="楷体_GB2312" w:cs="Times New Roman"/>
          <w:b/>
          <w:bCs/>
          <w:sz w:val="32"/>
          <w:szCs w:val="32"/>
        </w:rPr>
      </w:pPr>
      <w:r>
        <w:rPr>
          <w:rFonts w:hint="eastAsia" w:ascii="楷体_GB2312" w:hAnsi="宋体" w:eastAsia="楷体_GB2312" w:cs="楷体_GB2312"/>
          <w:b/>
          <w:bCs/>
          <w:sz w:val="32"/>
          <w:szCs w:val="32"/>
        </w:rPr>
        <w:t>第三条：绿化养护期限</w:t>
      </w:r>
    </w:p>
    <w:p>
      <w:pPr>
        <w:spacing w:line="560" w:lineRule="exact"/>
        <w:ind w:firstLine="566" w:firstLineChars="177"/>
        <w:rPr>
          <w:rFonts w:ascii="仿宋_GB2312" w:hAnsi="宋体" w:eastAsia="仿宋_GB2312" w:cs="仿宋_GB2312"/>
          <w:sz w:val="32"/>
          <w:szCs w:val="32"/>
        </w:rPr>
      </w:pPr>
      <w:r>
        <w:rPr>
          <w:rFonts w:hint="eastAsia" w:ascii="仿宋_GB2312" w:hAnsi="宋体" w:eastAsia="仿宋_GB2312" w:cs="仿宋_GB2312"/>
          <w:sz w:val="32"/>
          <w:szCs w:val="32"/>
        </w:rPr>
        <w:t>本绿化养护项目自   年  月   日起至   年   月   日止。</w:t>
      </w:r>
    </w:p>
    <w:p>
      <w:pPr>
        <w:ind w:firstLine="643" w:firstLineChars="200"/>
        <w:rPr>
          <w:rFonts w:ascii="楷体_GB2312" w:hAnsi="楷体_GB2312" w:eastAsia="楷体_GB2312" w:cs="楷体_GB2312"/>
          <w:b/>
          <w:bCs/>
          <w:sz w:val="32"/>
          <w:szCs w:val="40"/>
        </w:rPr>
      </w:pPr>
    </w:p>
    <w:p>
      <w:pPr>
        <w:ind w:firstLine="643" w:firstLineChars="200"/>
        <w:rPr>
          <w:rFonts w:ascii="楷体_GB2312" w:hAnsi="宋体" w:eastAsia="楷体_GB2312" w:cs="楷体_GB2312"/>
          <w:b/>
          <w:bCs/>
          <w:sz w:val="32"/>
          <w:szCs w:val="32"/>
        </w:rPr>
      </w:pPr>
      <w:r>
        <w:rPr>
          <w:rFonts w:hint="eastAsia" w:ascii="楷体_GB2312" w:hAnsi="楷体_GB2312" w:eastAsia="楷体_GB2312" w:cs="楷体_GB2312"/>
          <w:b/>
          <w:bCs/>
          <w:sz w:val="32"/>
          <w:szCs w:val="40"/>
        </w:rPr>
        <w:t xml:space="preserve">第四条：后期移交 </w:t>
      </w:r>
      <w:r>
        <w:rPr>
          <w:rFonts w:hint="eastAsia" w:ascii="仿宋_GB2312" w:hAnsi="仿宋_GB2312" w:eastAsia="仿宋_GB2312" w:cs="仿宋_GB2312"/>
          <w:sz w:val="32"/>
          <w:szCs w:val="40"/>
        </w:rPr>
        <w:t>对于招标后新竣工验收合格的绿化工程项目，需移交综合执法局管养的，移交方需向综合执法局提出书面材料及第三方出具的绿化面积测绘报告，由综合执法局报请分管领导同意后，签订绿化管养交接单，移交乙方负责管养，管养费用以审计结果为准据实结算。</w:t>
      </w:r>
    </w:p>
    <w:p>
      <w:pPr>
        <w:spacing w:line="560" w:lineRule="exact"/>
        <w:ind w:firstLine="569" w:firstLineChars="177"/>
        <w:rPr>
          <w:rFonts w:ascii="楷体_GB2312" w:hAnsi="宋体" w:eastAsia="楷体_GB2312" w:cs="楷体_GB2312"/>
          <w:b/>
          <w:bCs/>
          <w:sz w:val="32"/>
          <w:szCs w:val="32"/>
        </w:rPr>
      </w:pPr>
    </w:p>
    <w:p>
      <w:pPr>
        <w:spacing w:line="560" w:lineRule="exact"/>
        <w:ind w:firstLine="569" w:firstLineChars="177"/>
        <w:rPr>
          <w:rFonts w:ascii="楷体_GB2312" w:hAnsi="宋体" w:eastAsia="楷体_GB2312" w:cs="Times New Roman"/>
          <w:b/>
          <w:bCs/>
          <w:sz w:val="32"/>
          <w:szCs w:val="32"/>
        </w:rPr>
      </w:pPr>
      <w:r>
        <w:rPr>
          <w:rFonts w:hint="eastAsia" w:ascii="楷体_GB2312" w:hAnsi="宋体" w:eastAsia="楷体_GB2312" w:cs="楷体_GB2312"/>
          <w:b/>
          <w:bCs/>
          <w:sz w:val="32"/>
          <w:szCs w:val="32"/>
        </w:rPr>
        <w:t>第五条：项目养护质量标准</w:t>
      </w:r>
    </w:p>
    <w:p>
      <w:pPr>
        <w:spacing w:line="560" w:lineRule="exact"/>
        <w:ind w:firstLine="566" w:firstLineChars="177"/>
      </w:pPr>
      <w:r>
        <w:rPr>
          <w:rFonts w:hint="eastAsia" w:ascii="仿宋_GB2312" w:hAnsi="宋体" w:eastAsia="仿宋_GB2312" w:cs="仿宋_GB2312"/>
          <w:sz w:val="32"/>
          <w:szCs w:val="32"/>
        </w:rPr>
        <w:t>养护按《河南省城市绿地养护标准》（</w:t>
      </w:r>
      <w:r>
        <w:rPr>
          <w:rFonts w:ascii="仿宋_GB2312" w:hAnsi="宋体" w:eastAsia="仿宋_GB2312" w:cs="仿宋_GB2312"/>
          <w:sz w:val="32"/>
          <w:szCs w:val="32"/>
        </w:rPr>
        <w:t>DBJ41/T172-2017</w:t>
      </w:r>
      <w:r>
        <w:rPr>
          <w:rFonts w:hint="eastAsia" w:ascii="仿宋_GB2312" w:hAnsi="宋体" w:eastAsia="仿宋_GB2312" w:cs="仿宋_GB2312"/>
          <w:sz w:val="32"/>
          <w:szCs w:val="32"/>
        </w:rPr>
        <w:t>）、《许昌市城市绿地养护标准（试行）》</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执行。按照相应养护等级对道路及游园绿地内的树木、绿篱、草坪进行精心养护、保持良好生长状态，做好游园广场内绿地保洁工作。</w:t>
      </w:r>
    </w:p>
    <w:p>
      <w:pPr>
        <w:spacing w:line="560" w:lineRule="exact"/>
        <w:rPr>
          <w:rFonts w:ascii="楷体_GB2312" w:hAnsi="宋体" w:eastAsia="楷体_GB2312" w:cs="楷体_GB2312"/>
          <w:b/>
          <w:bCs/>
          <w:sz w:val="32"/>
          <w:szCs w:val="32"/>
        </w:rPr>
      </w:pPr>
    </w:p>
    <w:p>
      <w:pPr>
        <w:spacing w:line="560" w:lineRule="exact"/>
        <w:ind w:firstLine="569" w:firstLineChars="177"/>
        <w:rPr>
          <w:rFonts w:ascii="楷体_GB2312" w:hAnsi="宋体" w:eastAsia="楷体_GB2312" w:cs="Times New Roman"/>
          <w:b/>
          <w:bCs/>
          <w:sz w:val="32"/>
          <w:szCs w:val="32"/>
        </w:rPr>
      </w:pPr>
      <w:r>
        <w:rPr>
          <w:rFonts w:hint="eastAsia" w:ascii="楷体_GB2312" w:hAnsi="宋体" w:eastAsia="楷体_GB2312" w:cs="楷体_GB2312"/>
          <w:b/>
          <w:bCs/>
          <w:sz w:val="32"/>
          <w:szCs w:val="32"/>
        </w:rPr>
        <w:t>第六条：考评标准</w:t>
      </w:r>
    </w:p>
    <w:p>
      <w:pPr>
        <w:spacing w:line="560" w:lineRule="exact"/>
        <w:ind w:firstLine="566" w:firstLineChars="177"/>
      </w:pPr>
      <w:r>
        <w:rPr>
          <w:rFonts w:hint="eastAsia" w:ascii="仿宋_GB2312" w:hAnsi="宋体" w:eastAsia="仿宋_GB2312" w:cs="仿宋_GB2312"/>
          <w:sz w:val="32"/>
          <w:szCs w:val="32"/>
        </w:rPr>
        <w:t>为了加强管理、督促工作，采取周检查、月考核、季总结方式进行考核，考评标准详见附件。</w:t>
      </w:r>
    </w:p>
    <w:p>
      <w:pPr>
        <w:spacing w:line="560" w:lineRule="exact"/>
        <w:rPr>
          <w:rFonts w:ascii="楷体_GB2312" w:hAnsi="宋体" w:eastAsia="楷体_GB2312" w:cs="楷体_GB2312"/>
          <w:b/>
          <w:bCs/>
          <w:sz w:val="32"/>
          <w:szCs w:val="32"/>
        </w:rPr>
      </w:pPr>
    </w:p>
    <w:p>
      <w:pPr>
        <w:spacing w:line="560" w:lineRule="exact"/>
        <w:ind w:firstLine="643" w:firstLineChars="200"/>
        <w:rPr>
          <w:rFonts w:ascii="楷体_GB2312" w:hAnsi="宋体" w:eastAsia="楷体_GB2312" w:cs="Times New Roman"/>
          <w:b/>
          <w:bCs/>
          <w:sz w:val="32"/>
          <w:szCs w:val="32"/>
        </w:rPr>
      </w:pPr>
      <w:r>
        <w:rPr>
          <w:rFonts w:hint="eastAsia" w:ascii="楷体_GB2312" w:hAnsi="宋体" w:eastAsia="楷体_GB2312" w:cs="楷体_GB2312"/>
          <w:b/>
          <w:bCs/>
          <w:sz w:val="32"/>
          <w:szCs w:val="32"/>
        </w:rPr>
        <w:t>第七条：甲乙双方权利、义务</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、甲方权利义务</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1.1 </w:t>
      </w:r>
      <w:r>
        <w:rPr>
          <w:rFonts w:hint="eastAsia" w:ascii="仿宋_GB2312" w:hAnsi="宋体" w:eastAsia="仿宋_GB2312" w:cs="仿宋_GB2312"/>
          <w:sz w:val="32"/>
          <w:szCs w:val="32"/>
        </w:rPr>
        <w:t>全面监督、指导、检查、考核乙方工作。</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1.2 </w:t>
      </w:r>
      <w:r>
        <w:rPr>
          <w:rFonts w:hint="eastAsia" w:ascii="仿宋_GB2312" w:hAnsi="宋体" w:eastAsia="仿宋_GB2312" w:cs="仿宋_GB2312"/>
          <w:sz w:val="32"/>
          <w:szCs w:val="32"/>
        </w:rPr>
        <w:t>在检查时如发现有不合格之处，甲方或监理方下发限期整改通知书通知乙方限期整改，逾期未整改到位的，甲方依据考核标准据实扣分，直至整改完成。</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1.3 </w:t>
      </w:r>
      <w:r>
        <w:rPr>
          <w:rFonts w:hint="eastAsia" w:ascii="仿宋_GB2312" w:hAnsi="宋体" w:eastAsia="仿宋_GB2312" w:cs="仿宋_GB2312"/>
          <w:sz w:val="32"/>
          <w:szCs w:val="32"/>
        </w:rPr>
        <w:t>对于管养期间新增绿化面积，根据实际情况甲方有权确定新增绿化面积的管养单位。</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1.4 </w:t>
      </w:r>
      <w:r>
        <w:rPr>
          <w:rFonts w:hint="eastAsia" w:ascii="仿宋_GB2312" w:hAnsi="宋体" w:eastAsia="仿宋_GB2312" w:cs="仿宋_GB2312"/>
          <w:sz w:val="32"/>
          <w:szCs w:val="32"/>
        </w:rPr>
        <w:t>根据绿化养护的有关规定对乙方的养护活动进行考核，根据每月考核结果据实扣除相应管养经费。</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1.5 </w:t>
      </w:r>
      <w:r>
        <w:rPr>
          <w:rFonts w:hint="eastAsia" w:ascii="仿宋_GB2312" w:hAnsi="宋体" w:eastAsia="仿宋_GB2312" w:cs="仿宋_GB2312"/>
          <w:sz w:val="32"/>
          <w:szCs w:val="32"/>
        </w:rPr>
        <w:t>履行合同期间，如出现以下情况之一的，甲方有权终止解除合同：</w:t>
      </w:r>
    </w:p>
    <w:p>
      <w:pPr>
        <w:spacing w:line="560" w:lineRule="exact"/>
        <w:ind w:firstLine="566" w:firstLineChars="177"/>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）拒不配合甲方工作安排连续两次的；</w:t>
      </w:r>
    </w:p>
    <w:p>
      <w:pPr>
        <w:spacing w:line="560" w:lineRule="exact"/>
        <w:ind w:firstLine="566" w:firstLineChars="177"/>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）管理工作不积极不主动，拖延塞责，未在上级规定时限内完成工作任务连续两次的；</w:t>
      </w:r>
    </w:p>
    <w:p>
      <w:pPr>
        <w:spacing w:line="560" w:lineRule="exact"/>
        <w:ind w:firstLine="566" w:firstLineChars="177"/>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）管理不到位，在大型迎检活动中出现重大失误的；</w:t>
      </w:r>
    </w:p>
    <w:p>
      <w:pPr>
        <w:spacing w:line="560" w:lineRule="exact"/>
        <w:ind w:firstLine="566" w:firstLineChars="177"/>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）在绿化管养考核中连续三个月排名倒数第一的；</w:t>
      </w:r>
    </w:p>
    <w:p>
      <w:pPr>
        <w:spacing w:line="560" w:lineRule="exact"/>
        <w:ind w:firstLine="566" w:firstLineChars="177"/>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5</w:t>
      </w:r>
      <w:r>
        <w:rPr>
          <w:rFonts w:hint="eastAsia" w:ascii="仿宋_GB2312" w:hAnsi="宋体" w:eastAsia="仿宋_GB2312" w:cs="仿宋_GB2312"/>
          <w:sz w:val="32"/>
          <w:szCs w:val="32"/>
        </w:rPr>
        <w:t>）出现重大安全责任事故或因工作人员疏忽造成绿地大面积损坏等重大过失的；</w:t>
      </w:r>
    </w:p>
    <w:p>
      <w:pPr>
        <w:spacing w:line="560" w:lineRule="exact"/>
        <w:ind w:firstLine="566" w:firstLineChars="177"/>
        <w:rPr>
          <w:rFonts w:ascii="仿宋_GB2312"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6</w:t>
      </w:r>
      <w:r>
        <w:rPr>
          <w:rFonts w:hint="eastAsia" w:ascii="仿宋_GB2312" w:hAnsi="宋体" w:eastAsia="仿宋_GB2312" w:cs="仿宋_GB2312"/>
          <w:sz w:val="32"/>
          <w:szCs w:val="32"/>
        </w:rPr>
        <w:t>）甲方单方面约谈达到</w:t>
      </w:r>
      <w:r>
        <w:rPr>
          <w:rFonts w:ascii="仿宋_GB2312" w:hAnsi="宋体" w:eastAsia="仿宋_GB2312" w:cs="仿宋_GB2312"/>
          <w:sz w:val="32"/>
          <w:szCs w:val="32"/>
        </w:rPr>
        <w:t>3</w:t>
      </w:r>
      <w:r>
        <w:rPr>
          <w:rFonts w:hint="eastAsia" w:ascii="仿宋_GB2312" w:hAnsi="宋体" w:eastAsia="仿宋_GB2312" w:cs="仿宋_GB2312"/>
          <w:sz w:val="32"/>
          <w:szCs w:val="32"/>
        </w:rPr>
        <w:t>次及以上的；</w:t>
      </w:r>
    </w:p>
    <w:p>
      <w:pPr>
        <w:spacing w:line="560" w:lineRule="exact"/>
        <w:ind w:firstLine="566" w:firstLineChars="177"/>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7</w:t>
      </w:r>
      <w:r>
        <w:rPr>
          <w:rFonts w:hint="eastAsia" w:ascii="仿宋_GB2312" w:hAnsi="宋体" w:eastAsia="仿宋_GB2312" w:cs="仿宋_GB2312"/>
          <w:sz w:val="32"/>
          <w:szCs w:val="32"/>
        </w:rPr>
        <w:t>）合同期间发生</w:t>
      </w:r>
      <w:r>
        <w:rPr>
          <w:rFonts w:ascii="仿宋_GB2312" w:hAnsi="宋体" w:eastAsia="仿宋_GB2312" w:cs="仿宋_GB2312"/>
          <w:sz w:val="32"/>
          <w:szCs w:val="32"/>
        </w:rPr>
        <w:t>2</w:t>
      </w:r>
      <w:r>
        <w:rPr>
          <w:rFonts w:hint="eastAsia" w:ascii="仿宋_GB2312" w:hAnsi="宋体" w:eastAsia="仿宋_GB2312" w:cs="仿宋_GB2312"/>
          <w:sz w:val="32"/>
          <w:szCs w:val="32"/>
        </w:rPr>
        <w:t>次及以上上访事件的；</w:t>
      </w:r>
    </w:p>
    <w:p>
      <w:pPr>
        <w:spacing w:line="560" w:lineRule="exact"/>
        <w:ind w:firstLine="566" w:firstLineChars="177"/>
      </w:pPr>
      <w:r>
        <w:rPr>
          <w:rFonts w:hint="eastAsia" w:ascii="仿宋_GB2312" w:hAnsi="宋体" w:eastAsia="仿宋_GB2312" w:cs="仿宋_GB2312"/>
          <w:sz w:val="32"/>
          <w:szCs w:val="32"/>
        </w:rPr>
        <w:t>（8）乙方拖欠工人工资达3个月及以上的；</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、乙方权利义务</w:t>
      </w:r>
    </w:p>
    <w:p>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 xml:space="preserve">2.1 </w:t>
      </w:r>
      <w:r>
        <w:rPr>
          <w:rFonts w:hint="eastAsia" w:ascii="仿宋_GB2312" w:hAnsi="宋体" w:eastAsia="仿宋_GB2312" w:cs="仿宋_GB2312"/>
          <w:sz w:val="32"/>
          <w:szCs w:val="32"/>
        </w:rPr>
        <w:t>乙方应严格按照投标文件规定，足额配备养护工作人员，确保养护工作正常开展。</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2.2 </w:t>
      </w:r>
      <w:r>
        <w:rPr>
          <w:rFonts w:hint="eastAsia" w:ascii="仿宋_GB2312" w:hAnsi="宋体" w:eastAsia="仿宋_GB2312" w:cs="仿宋_GB2312"/>
          <w:sz w:val="32"/>
          <w:szCs w:val="32"/>
        </w:rPr>
        <w:t>乙方须配合甲方及监理方做好新移交绿地的交接工作，及时指出移交绿地存在的问题，确保接收绿地完好。移交后绿地产生的其他问题，由乙方自行解决。</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2.3 </w:t>
      </w:r>
      <w:r>
        <w:rPr>
          <w:rFonts w:hint="eastAsia" w:ascii="仿宋_GB2312" w:hAnsi="宋体" w:eastAsia="仿宋_GB2312" w:cs="仿宋_GB2312"/>
          <w:sz w:val="32"/>
          <w:szCs w:val="32"/>
        </w:rPr>
        <w:t>乙方须在每月月底前向甲方及监理方递交下月的养护计划、养护人数及工作时间，做好日常养护记录，建立绿化养护技术档案。</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2.4 </w:t>
      </w:r>
      <w:r>
        <w:rPr>
          <w:rFonts w:hint="eastAsia" w:ascii="仿宋_GB2312" w:hAnsi="宋体" w:eastAsia="仿宋_GB2312" w:cs="仿宋_GB2312"/>
          <w:sz w:val="32"/>
          <w:szCs w:val="32"/>
        </w:rPr>
        <w:t>乙方须遵守甲方的规章制度，服从甲方及监理方的监督管理，接受考核及管养费用扣缴决定（考核表详见附件），如遇突发事件或重大活动，乙方应服从甲方及监理方安排并配合甲方工作。</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2.5 </w:t>
      </w:r>
      <w:r>
        <w:rPr>
          <w:rFonts w:hint="eastAsia" w:ascii="仿宋_GB2312" w:hAnsi="宋体" w:eastAsia="仿宋_GB2312" w:cs="仿宋_GB2312"/>
          <w:sz w:val="32"/>
          <w:szCs w:val="32"/>
        </w:rPr>
        <w:t>乙方须按时处理甲方或监理方下发的限期整改通知及绿化相关案件，如乙方多次整改不到位或拒不整改的，甲方依据考核标准据实扣分，直至整改完成。造成严重影响的，甲方视为乙方违约并有权单方面终止合同。</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2.6 </w:t>
      </w:r>
      <w:r>
        <w:rPr>
          <w:rFonts w:hint="eastAsia" w:ascii="仿宋_GB2312" w:hAnsi="宋体" w:eastAsia="仿宋_GB2312" w:cs="仿宋_GB2312"/>
          <w:sz w:val="32"/>
          <w:szCs w:val="32"/>
        </w:rPr>
        <w:t>乙方须按照招投标文件要求各个养护工作人员，采用定岗、定责、定路段的“三定”责任制分配人员，并把人员管理路段图呈报给甲方。</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2.7 </w:t>
      </w:r>
      <w:r>
        <w:rPr>
          <w:rFonts w:hint="eastAsia" w:ascii="仿宋_GB2312" w:hAnsi="宋体" w:eastAsia="仿宋_GB2312" w:cs="仿宋_GB2312"/>
          <w:sz w:val="32"/>
          <w:szCs w:val="32"/>
        </w:rPr>
        <w:t>乙方派驻的负责人应与投标文件中的项目负责人、技术负责人、专职安全员一致，未经甲方同意不得更换。</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2.8 </w:t>
      </w:r>
      <w:r>
        <w:rPr>
          <w:rFonts w:hint="eastAsia" w:ascii="仿宋_GB2312" w:hAnsi="宋体" w:eastAsia="仿宋_GB2312" w:cs="仿宋_GB2312"/>
          <w:sz w:val="32"/>
          <w:szCs w:val="32"/>
        </w:rPr>
        <w:t>乙方在合同期间不得转包，项目相关负责人须现场负责甲方的绿化养护工作，不得进行遥控指挥。</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2.9 </w:t>
      </w:r>
      <w:r>
        <w:rPr>
          <w:rFonts w:hint="eastAsia" w:ascii="仿宋_GB2312" w:hAnsi="宋体" w:eastAsia="仿宋_GB2312" w:cs="仿宋_GB2312"/>
          <w:sz w:val="32"/>
          <w:szCs w:val="32"/>
        </w:rPr>
        <w:t>乙方工作人员须经培训上岗，遵守安全养护管理规定，安全、文明、合法作业，做好养护设备及安防设施的维护保养。</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2.10 </w:t>
      </w:r>
      <w:r>
        <w:rPr>
          <w:rFonts w:hint="eastAsia" w:ascii="仿宋_GB2312" w:hAnsi="宋体" w:eastAsia="仿宋_GB2312" w:cs="仿宋_GB2312"/>
          <w:sz w:val="32"/>
          <w:szCs w:val="32"/>
        </w:rPr>
        <w:t>乙方须及时做好恶劣天气预防措施，在大风、暴雨、寒潮等特殊天气前后进行苗木的防护支撑、扶直加固、断枝清除等工作；如发生树木倒伏砸压行人、车辆等安全事故，由乙方全面负责赔偿及后续事项，且乙方应为养护范围内绿地及树木购买相关园林保险。</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2.11 </w:t>
      </w:r>
      <w:r>
        <w:rPr>
          <w:rFonts w:hint="eastAsia" w:ascii="仿宋_GB2312" w:hAnsi="宋体" w:eastAsia="仿宋_GB2312" w:cs="仿宋_GB2312"/>
          <w:sz w:val="32"/>
          <w:szCs w:val="32"/>
        </w:rPr>
        <w:t>对绿地内所有烧纸、祭祀、挖坟、毁绿、种菜等问题进行处理并长效保持，如有发现应制止，报警并及时上报甲方。</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2.12 </w:t>
      </w:r>
      <w:r>
        <w:rPr>
          <w:rFonts w:hint="eastAsia" w:ascii="仿宋_GB2312" w:hAnsi="宋体" w:eastAsia="仿宋_GB2312" w:cs="仿宋_GB2312"/>
          <w:sz w:val="32"/>
          <w:szCs w:val="32"/>
        </w:rPr>
        <w:t>乙方应保证参与本项目工作的员工（含临时工）工资按时足额支付，与其员工发生的上访、停工、劳资争议及其他纠纷，均由乙方自行解决，与甲方无关。乙方员工在工作期间发生生产安全、交通事故等均由乙方承担，甲方不承担任何经济责任和法律责任。</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2.13 </w:t>
      </w:r>
      <w:r>
        <w:rPr>
          <w:rFonts w:hint="eastAsia" w:ascii="仿宋_GB2312" w:hAnsi="宋体" w:eastAsia="仿宋_GB2312" w:cs="仿宋_GB2312"/>
          <w:sz w:val="32"/>
          <w:szCs w:val="32"/>
        </w:rPr>
        <w:t>乙方须按照甲方提供的缺株断档统计清单进行补植补栽，补植采用两种方式：一是移植苗圃内现有苗木；二是由管养单位自行补植。补植补栽未成活的，不计取工程量，费用由乙方自行承担。补植补栽成活的待验收合格后，费用以最终决算为准。</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2.14 </w:t>
      </w:r>
      <w:r>
        <w:rPr>
          <w:rFonts w:hint="eastAsia" w:ascii="仿宋_GB2312" w:hAnsi="宋体" w:eastAsia="仿宋_GB2312" w:cs="仿宋_GB2312"/>
          <w:sz w:val="32"/>
          <w:szCs w:val="32"/>
        </w:rPr>
        <w:t>乙方因管理不善、养护不当造成植物病、老、枯、死的，经甲方、乙方、监理方三方共同认定属实的，乙方须及时移除老、弱、病、死株，并根据季节适时对缺株断档等区域补植补栽相同规格的植物，相关费用由乙方全额承担。造成重大损失的，乙方承担全部责任。</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2.15 </w:t>
      </w:r>
      <w:r>
        <w:rPr>
          <w:rFonts w:hint="eastAsia" w:ascii="仿宋_GB2312" w:hAnsi="宋体" w:eastAsia="仿宋_GB2312" w:cs="仿宋_GB2312"/>
          <w:sz w:val="32"/>
          <w:szCs w:val="32"/>
        </w:rPr>
        <w:t>乙方须每月定期巡查、汇报园林绿地设施使用情况，保护绿地（绿线）不被侵占。对侵绿、毁绿及绿地（游园）内违法经营行为，应及时劝阻、制止并立即上报甲方。</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2.16 </w:t>
      </w:r>
      <w:r>
        <w:rPr>
          <w:rFonts w:hint="eastAsia" w:ascii="仿宋_GB2312" w:hAnsi="宋体" w:eastAsia="仿宋_GB2312" w:cs="仿宋_GB2312"/>
          <w:sz w:val="32"/>
          <w:szCs w:val="32"/>
        </w:rPr>
        <w:t>乙方须按合同价包工、包料、包机械设备，绿化管养产生的一切相关费用由乙方承担。</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2.17 </w:t>
      </w:r>
      <w:r>
        <w:rPr>
          <w:rFonts w:hint="eastAsia" w:ascii="仿宋_GB2312" w:hAnsi="宋体" w:eastAsia="仿宋_GB2312" w:cs="仿宋_GB2312"/>
          <w:sz w:val="32"/>
          <w:szCs w:val="32"/>
        </w:rPr>
        <w:t>乙方在管养期间管养绿地面积发生增加或减少的，须及时上报甲方及监理方进行认证。</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2.18 </w:t>
      </w:r>
      <w:r>
        <w:rPr>
          <w:rFonts w:hint="eastAsia" w:ascii="仿宋_GB2312" w:hAnsi="宋体" w:eastAsia="仿宋_GB2312" w:cs="仿宋_GB2312"/>
          <w:sz w:val="32"/>
          <w:szCs w:val="32"/>
        </w:rPr>
        <w:t>乙方须及时制止、清理公共绿地、广场游园范围内摆摊设点、乱停乱放等行为，维护正常秩序。</w:t>
      </w:r>
    </w:p>
    <w:p>
      <w:pPr>
        <w:spacing w:line="560"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 xml:space="preserve">2.19 </w:t>
      </w:r>
      <w:r>
        <w:rPr>
          <w:rFonts w:hint="eastAsia" w:ascii="仿宋_GB2312" w:hAnsi="宋体" w:eastAsia="仿宋_GB2312" w:cs="仿宋_GB2312"/>
          <w:sz w:val="32"/>
          <w:szCs w:val="32"/>
        </w:rPr>
        <w:t>乙方接受甲方的资金支付要求并已在投标文件作出承诺，不得因资金未及时支付而对甲方实施上访、起诉及相关法律程序，不得因资金未及时支付而拖欠员工工资、不按要求进行绿化管养。</w:t>
      </w:r>
    </w:p>
    <w:p>
      <w:pPr>
        <w:pStyle w:val="2"/>
        <w:spacing w:line="560" w:lineRule="exact"/>
        <w:ind w:firstLine="640" w:firstLineChars="200"/>
        <w:rPr>
          <w:rFonts w:ascii="仿宋_GB2312" w:hAnsi="宋体" w:eastAsia="仿宋_GB2312" w:cs="仿宋_GB2312"/>
          <w:kern w:val="2"/>
          <w:sz w:val="32"/>
          <w:szCs w:val="32"/>
        </w:rPr>
      </w:pPr>
      <w:r>
        <w:rPr>
          <w:rFonts w:ascii="仿宋_GB2312" w:hAnsi="宋体" w:eastAsia="仿宋_GB2312" w:cs="仿宋_GB2312"/>
          <w:kern w:val="2"/>
          <w:sz w:val="32"/>
          <w:szCs w:val="32"/>
        </w:rPr>
        <w:t xml:space="preserve">2.20 </w:t>
      </w:r>
      <w:r>
        <w:rPr>
          <w:rFonts w:hint="eastAsia" w:ascii="仿宋_GB2312" w:hAnsi="宋体" w:eastAsia="仿宋_GB2312" w:cs="仿宋_GB2312"/>
          <w:kern w:val="2"/>
          <w:sz w:val="32"/>
          <w:szCs w:val="32"/>
        </w:rPr>
        <w:t>完成上级部门交办的职责内其他任务。</w:t>
      </w:r>
    </w:p>
    <w:p>
      <w:pPr>
        <w:spacing w:line="560" w:lineRule="exact"/>
        <w:ind w:firstLine="643" w:firstLineChars="200"/>
        <w:rPr>
          <w:rFonts w:ascii="楷体_GB2312" w:hAnsi="宋体" w:eastAsia="楷体_GB2312" w:cs="楷体_GB2312"/>
          <w:b/>
          <w:bCs/>
          <w:sz w:val="32"/>
          <w:szCs w:val="32"/>
        </w:rPr>
      </w:pPr>
    </w:p>
    <w:p>
      <w:pPr>
        <w:spacing w:line="560" w:lineRule="exact"/>
        <w:ind w:firstLine="643" w:firstLineChars="200"/>
        <w:rPr>
          <w:rFonts w:ascii="楷体_GB2312" w:hAnsi="宋体" w:eastAsia="楷体_GB2312" w:cs="楷体_GB2312"/>
          <w:b/>
          <w:bCs/>
          <w:sz w:val="32"/>
          <w:szCs w:val="32"/>
        </w:rPr>
      </w:pPr>
      <w:r>
        <w:rPr>
          <w:rFonts w:hint="eastAsia" w:ascii="楷体_GB2312" w:hAnsi="宋体" w:eastAsia="楷体_GB2312" w:cs="楷体_GB2312"/>
          <w:b/>
          <w:bCs/>
          <w:sz w:val="32"/>
          <w:szCs w:val="32"/>
        </w:rPr>
        <w:t>第七条：结算及付款方法</w:t>
      </w:r>
    </w:p>
    <w:p>
      <w:pPr>
        <w:spacing w:line="560" w:lineRule="exact"/>
        <w:ind w:firstLine="643" w:firstLineChars="200"/>
        <w:rPr>
          <w:rFonts w:ascii="仿宋_GB2312" w:hAnsi="宋体" w:eastAsia="仿宋_GB2312" w:cs="仿宋_GB2312"/>
          <w:b/>
          <w:bCs/>
          <w:kern w:val="0"/>
          <w:sz w:val="32"/>
          <w:szCs w:val="32"/>
          <w:u w:val="single"/>
        </w:rPr>
      </w:pPr>
      <w:r>
        <w:rPr>
          <w:rFonts w:hint="eastAsia" w:ascii="仿宋_GB2312" w:hAnsi="宋体" w:eastAsia="仿宋_GB2312" w:cs="仿宋_GB2312"/>
          <w:b/>
          <w:bCs/>
          <w:kern w:val="0"/>
          <w:sz w:val="32"/>
          <w:szCs w:val="32"/>
          <w:u w:val="single"/>
          <w:lang w:val="zh-CN"/>
        </w:rPr>
        <w:t>1、中标项目价款： 元 。</w:t>
      </w:r>
    </w:p>
    <w:p>
      <w:pPr>
        <w:spacing w:line="560" w:lineRule="exact"/>
        <w:ind w:firstLine="643" w:firstLineChars="200"/>
        <w:rPr>
          <w:rFonts w:ascii="仿宋_GB2312" w:hAnsi="宋体" w:eastAsia="仿宋_GB2312" w:cs="仿宋_GB2312"/>
          <w:b/>
          <w:bCs/>
          <w:kern w:val="0"/>
          <w:sz w:val="32"/>
          <w:szCs w:val="32"/>
          <w:u w:val="single"/>
          <w:lang w:val="zh-CN"/>
        </w:rPr>
      </w:pPr>
      <w:r>
        <w:rPr>
          <w:rFonts w:hint="eastAsia" w:ascii="仿宋_GB2312" w:hAnsi="宋体" w:eastAsia="仿宋_GB2312" w:cs="仿宋_GB2312"/>
          <w:b/>
          <w:bCs/>
          <w:kern w:val="0"/>
          <w:sz w:val="32"/>
          <w:szCs w:val="32"/>
          <w:u w:val="single"/>
          <w:lang w:val="zh-CN"/>
        </w:rPr>
        <w:t>2、支付时间及条件：一年支付一次，服务期满支付全部费用，付款前中标人按照合同向招标人提供正规发票。（管养面积以第三方测绘公司出具的正式报告为准）</w:t>
      </w:r>
    </w:p>
    <w:p>
      <w:pPr>
        <w:spacing w:line="560" w:lineRule="exact"/>
        <w:ind w:firstLine="643" w:firstLineChars="200"/>
        <w:rPr>
          <w:rFonts w:ascii="仿宋_GB2312" w:eastAsia="仿宋_GB2312" w:cs="Times New Roman"/>
          <w:b/>
          <w:bCs/>
          <w:kern w:val="0"/>
          <w:sz w:val="32"/>
          <w:szCs w:val="32"/>
          <w:u w:val="single"/>
        </w:rPr>
      </w:pPr>
      <w:r>
        <w:rPr>
          <w:rFonts w:hint="eastAsia" w:ascii="仿宋_GB2312" w:hAnsi="宋体" w:eastAsia="仿宋_GB2312" w:cs="仿宋_GB2312"/>
          <w:b/>
          <w:bCs/>
          <w:kern w:val="0"/>
          <w:sz w:val="32"/>
          <w:szCs w:val="32"/>
          <w:u w:val="single"/>
        </w:rPr>
        <w:t>注：乙方应理解政府部门付款的相关程序，因甲方使用的是财政资金，甲方规定的付款时间为向政府财政支付部门提出办理财政支付申请手续的时间，不含政府财政支付部门审核的时间。因政府财政支付审批流程及办理手续而造成项目支付进度有所推延，而导致甲方逾期付款的，甲方不承担逾期付款违约责任。</w:t>
      </w:r>
    </w:p>
    <w:p>
      <w:pPr>
        <w:spacing w:line="560" w:lineRule="exact"/>
        <w:ind w:firstLine="640" w:firstLineChars="200"/>
        <w:rPr>
          <w:rFonts w:ascii="仿宋_GB2312" w:eastAsia="仿宋_GB2312" w:cs="Times New Roman"/>
          <w:kern w:val="0"/>
          <w:sz w:val="32"/>
          <w:szCs w:val="32"/>
          <w:lang w:val="zh-CN"/>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支付方式：</w:t>
      </w:r>
      <w:r>
        <w:rPr>
          <w:rFonts w:hint="eastAsia" w:ascii="仿宋_GB2312" w:hAnsi="宋体" w:eastAsia="仿宋_GB2312" w:cs="仿宋_GB2312"/>
          <w:kern w:val="0"/>
          <w:sz w:val="32"/>
          <w:szCs w:val="32"/>
          <w:lang w:val="zh-CN"/>
        </w:rPr>
        <w:t>银行转账。</w:t>
      </w:r>
    </w:p>
    <w:p>
      <w:pPr>
        <w:spacing w:line="560" w:lineRule="exact"/>
        <w:ind w:firstLine="640" w:firstLineChars="200"/>
      </w:pPr>
      <w:r>
        <w:rPr>
          <w:rFonts w:ascii="仿宋_GB2312" w:hAnsi="宋体" w:eastAsia="仿宋_GB2312" w:cs="仿宋_GB2312"/>
          <w:sz w:val="32"/>
          <w:szCs w:val="32"/>
        </w:rPr>
        <w:t>4</w:t>
      </w:r>
      <w:r>
        <w:rPr>
          <w:rFonts w:hint="eastAsia" w:ascii="仿宋_GB2312" w:hAnsi="宋体" w:eastAsia="仿宋_GB2312" w:cs="仿宋_GB2312"/>
          <w:sz w:val="32"/>
          <w:szCs w:val="32"/>
        </w:rPr>
        <w:t>、</w:t>
      </w:r>
      <w:r>
        <w:rPr>
          <w:rFonts w:ascii="仿宋_GB2312" w:hAnsi="宋体" w:eastAsia="仿宋_GB2312" w:cs="仿宋_GB2312"/>
          <w:sz w:val="32"/>
          <w:szCs w:val="32"/>
        </w:rPr>
        <w:t xml:space="preserve"> </w:t>
      </w:r>
      <w:r>
        <w:rPr>
          <w:rFonts w:hint="eastAsia" w:ascii="仿宋_GB2312" w:hAnsi="宋体" w:eastAsia="仿宋_GB2312" w:cs="仿宋_GB2312"/>
          <w:kern w:val="0"/>
          <w:sz w:val="32"/>
          <w:szCs w:val="32"/>
        </w:rPr>
        <w:t>合同期内，养护范围因甲方原因造成绿地改动或其他原因发生变更的，养护费用根据实际管养面积将做相应的调整。</w:t>
      </w:r>
    </w:p>
    <w:p>
      <w:pPr>
        <w:spacing w:line="560" w:lineRule="exact"/>
        <w:ind w:firstLine="643" w:firstLineChars="200"/>
        <w:rPr>
          <w:rFonts w:ascii="楷体_GB2312" w:hAnsi="宋体" w:eastAsia="楷体_GB2312" w:cs="楷体_GB2312"/>
          <w:b/>
          <w:bCs/>
          <w:sz w:val="32"/>
          <w:szCs w:val="32"/>
        </w:rPr>
      </w:pPr>
    </w:p>
    <w:p>
      <w:pPr>
        <w:spacing w:line="560" w:lineRule="exact"/>
        <w:ind w:firstLine="643" w:firstLineChars="200"/>
        <w:rPr>
          <w:rFonts w:ascii="楷体_GB2312" w:hAnsi="宋体" w:eastAsia="楷体_GB2312" w:cs="Times New Roman"/>
          <w:b/>
          <w:bCs/>
          <w:sz w:val="32"/>
          <w:szCs w:val="32"/>
        </w:rPr>
      </w:pPr>
      <w:r>
        <w:rPr>
          <w:rFonts w:hint="eastAsia" w:ascii="楷体_GB2312" w:hAnsi="宋体" w:eastAsia="楷体_GB2312" w:cs="楷体_GB2312"/>
          <w:b/>
          <w:bCs/>
          <w:sz w:val="32"/>
          <w:szCs w:val="32"/>
        </w:rPr>
        <w:t>第八条：组成本合同的文件</w:t>
      </w:r>
    </w:p>
    <w:p>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、本合同书</w:t>
      </w:r>
    </w:p>
    <w:p>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、中标通知书</w:t>
      </w:r>
    </w:p>
    <w:p>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、采购文件及其附件</w:t>
      </w:r>
    </w:p>
    <w:p>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、投标文件</w:t>
      </w:r>
    </w:p>
    <w:p>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、相关规范、标准及有关技术文件</w:t>
      </w:r>
    </w:p>
    <w:p>
      <w:pPr>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、组成本合同的文件若发生冲突，以本合同为准</w:t>
      </w:r>
    </w:p>
    <w:p>
      <w:pPr>
        <w:spacing w:line="560" w:lineRule="exact"/>
        <w:ind w:firstLine="640" w:firstLineChars="200"/>
        <w:rPr>
          <w:rFonts w:ascii="仿宋_GB2312" w:hAnsi="宋体" w:eastAsia="仿宋_GB2312" w:cs="仿宋_GB2312"/>
          <w:sz w:val="32"/>
          <w:szCs w:val="32"/>
        </w:rPr>
      </w:pPr>
    </w:p>
    <w:p>
      <w:pPr>
        <w:spacing w:line="560" w:lineRule="exact"/>
        <w:ind w:firstLine="643" w:firstLineChars="200"/>
        <w:rPr>
          <w:rFonts w:ascii="楷体_GB2312" w:eastAsia="楷体_GB2312" w:cs="Times New Roman"/>
          <w:b/>
          <w:bCs/>
          <w:sz w:val="32"/>
          <w:szCs w:val="32"/>
        </w:rPr>
      </w:pPr>
      <w:r>
        <w:rPr>
          <w:rFonts w:hint="eastAsia" w:ascii="楷体_GB2312" w:hAnsi="宋体" w:eastAsia="楷体_GB2312" w:cs="楷体_GB2312"/>
          <w:b/>
          <w:bCs/>
          <w:sz w:val="32"/>
          <w:szCs w:val="32"/>
        </w:rPr>
        <w:t>第九条：合同解除</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1、甲乙双方协商一致，可以解除合同。</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2、乙方将其承包的全部项目转包给他人或者支解以后以分包名义转包给他人，甲方有权解除合同。</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3、履行合同期间，如出现以下情况之一的，甲方有权解除合同：</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）拒不配合甲方工作安排连续两次的；</w:t>
      </w:r>
    </w:p>
    <w:p>
      <w:pPr>
        <w:spacing w:line="560" w:lineRule="exact"/>
        <w:ind w:firstLine="640" w:firstLineChars="200"/>
        <w:rPr>
          <w:rFonts w:ascii="仿宋_GB2312" w:hAnsi="宋体" w:eastAsia="仿宋_GB2312" w:cs="仿宋_GB2312"/>
          <w:sz w:val="32"/>
          <w:szCs w:val="32"/>
        </w:rPr>
        <w:sectPr>
          <w:pgSz w:w="11906" w:h="16838"/>
          <w:pgMar w:top="1797" w:right="1440" w:bottom="1797" w:left="1440" w:header="851" w:footer="992" w:gutter="0"/>
          <w:cols w:space="425" w:num="1"/>
          <w:docGrid w:linePitch="312" w:charSpace="0"/>
        </w:sect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）管理工作不积极不主动，拖延塞责，未在上级规定时限</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内完成工作任务连续两次的；</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）管理不到位，在大型迎检活动中出现重大失误的；</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（4）在绿化管养考核中连续三个月排名倒数第一的；</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（5）出现重大安全责任事故或因工作人员疏忽造成绿地大面积损坏等重大过失的；</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（6）甲方单方面约谈达到3次及以上的；</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（7）合同期间发生2次及以上上访事件的；</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（8）乙方拖欠工人工资达3个月及以上的；</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4、因不可抗力导致合同无法履行，甲方、乙方经协调一致可以解除合同。</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5、因一方违约致使合同无法履行，另一方可以解除合同。</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6、一方依据本条2、3、4、5款的约定要求解除合同的，应当书面通知对方，并在发出通知前7天告知对方，通知到达对方时合同解除。</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7、合同解除后，不影响双方在合同中约定的结算和清理条款的效力。</w:t>
      </w:r>
    </w:p>
    <w:p>
      <w:pPr>
        <w:spacing w:line="560" w:lineRule="exact"/>
        <w:ind w:firstLine="640" w:firstLineChars="200"/>
        <w:rPr>
          <w:rFonts w:ascii="仿宋_GB2312" w:hAnsi="宋体" w:eastAsia="仿宋_GB2312" w:cs="仿宋_GB2312"/>
          <w:sz w:val="32"/>
          <w:szCs w:val="32"/>
        </w:rPr>
      </w:pPr>
    </w:p>
    <w:p>
      <w:pPr>
        <w:spacing w:line="560" w:lineRule="exact"/>
        <w:ind w:firstLine="569" w:firstLineChars="177"/>
        <w:rPr>
          <w:rFonts w:ascii="楷体_GB2312" w:eastAsia="楷体_GB2312" w:cs="Times New Roman"/>
          <w:b/>
          <w:bCs/>
          <w:sz w:val="32"/>
          <w:szCs w:val="32"/>
        </w:rPr>
      </w:pPr>
      <w:r>
        <w:rPr>
          <w:rFonts w:hint="eastAsia" w:ascii="楷体_GB2312" w:hAnsi="宋体" w:eastAsia="楷体_GB2312" w:cs="楷体_GB2312"/>
          <w:b/>
          <w:bCs/>
          <w:sz w:val="32"/>
          <w:szCs w:val="32"/>
        </w:rPr>
        <w:t>第十条：合同的终止</w:t>
      </w:r>
    </w:p>
    <w:p>
      <w:pPr>
        <w:spacing w:line="560" w:lineRule="exact"/>
        <w:ind w:firstLine="566" w:firstLineChars="177"/>
      </w:pPr>
      <w:r>
        <w:rPr>
          <w:rFonts w:hint="eastAsia" w:ascii="仿宋_GB2312" w:hAnsi="宋体" w:eastAsia="仿宋_GB2312" w:cs="仿宋_GB2312"/>
          <w:sz w:val="32"/>
          <w:szCs w:val="32"/>
        </w:rPr>
        <w:t>甲乙双方履行合同全部义务，养护结算价款支付完毕，甲方向乙方交付养护项目后，本合同即告终止。</w:t>
      </w:r>
    </w:p>
    <w:p>
      <w:pPr>
        <w:spacing w:line="560" w:lineRule="exact"/>
        <w:ind w:firstLine="569" w:firstLineChars="177"/>
        <w:rPr>
          <w:rFonts w:ascii="楷体_GB2312" w:hAnsi="宋体" w:eastAsia="楷体_GB2312" w:cs="楷体_GB2312"/>
          <w:b/>
          <w:bCs/>
          <w:sz w:val="32"/>
          <w:szCs w:val="32"/>
        </w:rPr>
      </w:pPr>
    </w:p>
    <w:p>
      <w:pPr>
        <w:spacing w:line="560" w:lineRule="exact"/>
        <w:ind w:firstLine="569" w:firstLineChars="177"/>
        <w:rPr>
          <w:rFonts w:ascii="楷体_GB2312" w:eastAsia="楷体_GB2312" w:cs="Times New Roman"/>
          <w:b/>
          <w:bCs/>
          <w:sz w:val="32"/>
          <w:szCs w:val="32"/>
        </w:rPr>
      </w:pPr>
      <w:r>
        <w:rPr>
          <w:rFonts w:hint="eastAsia" w:ascii="楷体_GB2312" w:hAnsi="宋体" w:eastAsia="楷体_GB2312" w:cs="楷体_GB2312"/>
          <w:b/>
          <w:bCs/>
          <w:sz w:val="32"/>
          <w:szCs w:val="32"/>
        </w:rPr>
        <w:t>第十一条：争议的解决</w:t>
      </w:r>
    </w:p>
    <w:p>
      <w:pPr>
        <w:spacing w:line="560" w:lineRule="exact"/>
        <w:ind w:firstLine="566" w:firstLineChars="177"/>
        <w:rPr>
          <w:rFonts w:ascii="仿宋_GB2312" w:eastAsia="仿宋_GB2312" w:cs="Times New Roman"/>
          <w:sz w:val="32"/>
          <w:szCs w:val="32"/>
        </w:rPr>
      </w:pPr>
      <w:r>
        <w:rPr>
          <w:rFonts w:hint="eastAsia" w:ascii="仿宋_GB2312" w:hAnsi="宋体" w:eastAsia="仿宋_GB2312" w:cs="仿宋_GB2312"/>
          <w:sz w:val="32"/>
          <w:szCs w:val="32"/>
        </w:rPr>
        <w:t>因执行本合同书发生争议，由争议双方协商解决，协商不成的，可提请许昌仲裁委员会按其仲裁规则进行仲裁。</w:t>
      </w:r>
    </w:p>
    <w:p>
      <w:pPr>
        <w:pStyle w:val="2"/>
        <w:ind w:firstLine="0" w:firstLineChars="0"/>
        <w:rPr>
          <w:rFonts w:ascii="楷体_GB2312" w:hAnsi="宋体" w:eastAsia="楷体_GB2312" w:cs="楷体_GB2312"/>
          <w:b/>
          <w:bCs/>
          <w:sz w:val="32"/>
          <w:szCs w:val="32"/>
        </w:rPr>
      </w:pPr>
    </w:p>
    <w:p>
      <w:pPr>
        <w:spacing w:line="560" w:lineRule="exact"/>
        <w:ind w:firstLine="643" w:firstLineChars="200"/>
        <w:rPr>
          <w:rFonts w:ascii="楷体_GB2312" w:eastAsia="楷体_GB2312" w:cs="Times New Roman"/>
          <w:b/>
          <w:bCs/>
          <w:sz w:val="32"/>
          <w:szCs w:val="32"/>
        </w:rPr>
      </w:pPr>
      <w:r>
        <w:rPr>
          <w:rFonts w:hint="eastAsia" w:ascii="楷体_GB2312" w:hAnsi="宋体" w:eastAsia="楷体_GB2312" w:cs="楷体_GB2312"/>
          <w:b/>
          <w:bCs/>
          <w:sz w:val="32"/>
          <w:szCs w:val="32"/>
        </w:rPr>
        <w:t>第十二条：合同的生效和份数</w:t>
      </w:r>
    </w:p>
    <w:p>
      <w:pPr>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合同的订立时间：</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年</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日</w:t>
      </w:r>
    </w:p>
    <w:p>
      <w:pPr>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合同订立地点：许昌市东城区管委会</w:t>
      </w:r>
      <w:r>
        <w:rPr>
          <w:rFonts w:ascii="仿宋_GB2312" w:hAnsi="宋体" w:eastAsia="仿宋_GB2312" w:cs="仿宋_GB2312"/>
          <w:sz w:val="32"/>
          <w:szCs w:val="32"/>
        </w:rPr>
        <w:t xml:space="preserve">    </w:t>
      </w:r>
    </w:p>
    <w:p>
      <w:pPr>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合同生效及份数：本合同自甲乙双方签字并盖章之日起生效，未尽事宜，双方协商解决。</w:t>
      </w:r>
    </w:p>
    <w:p>
      <w:pPr>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本合同一式</w:t>
      </w:r>
      <w:r>
        <w:rPr>
          <w:rFonts w:ascii="仿宋_GB2312" w:hAnsi="宋体" w:eastAsia="仿宋_GB2312" w:cs="仿宋_GB2312"/>
          <w:sz w:val="32"/>
          <w:szCs w:val="32"/>
          <w:u w:val="single"/>
        </w:rPr>
        <w:t xml:space="preserve"> 4 </w:t>
      </w:r>
      <w:r>
        <w:rPr>
          <w:rFonts w:hint="eastAsia" w:ascii="仿宋_GB2312" w:hAnsi="宋体" w:eastAsia="仿宋_GB2312" w:cs="仿宋_GB2312"/>
          <w:sz w:val="32"/>
          <w:szCs w:val="32"/>
        </w:rPr>
        <w:t>份，甲乙双方各执</w:t>
      </w:r>
      <w:r>
        <w:rPr>
          <w:rFonts w:ascii="仿宋_GB2312" w:hAnsi="宋体" w:eastAsia="仿宋_GB2312" w:cs="仿宋_GB2312"/>
          <w:sz w:val="32"/>
          <w:szCs w:val="32"/>
          <w:u w:val="single"/>
        </w:rPr>
        <w:t xml:space="preserve"> 2 </w:t>
      </w:r>
      <w:r>
        <w:rPr>
          <w:rFonts w:hint="eastAsia" w:ascii="仿宋_GB2312" w:hAnsi="宋体" w:eastAsia="仿宋_GB2312" w:cs="仿宋_GB2312"/>
          <w:sz w:val="32"/>
          <w:szCs w:val="32"/>
        </w:rPr>
        <w:t>份，具有同等法律效力。</w:t>
      </w:r>
    </w:p>
    <w:p>
      <w:pPr>
        <w:snapToGrid w:val="0"/>
        <w:spacing w:line="560" w:lineRule="exact"/>
        <w:ind w:firstLine="320" w:firstLineChars="100"/>
        <w:rPr>
          <w:rFonts w:ascii="仿宋_GB2312" w:eastAsia="仿宋_GB2312" w:cs="Times New Roman"/>
          <w:sz w:val="32"/>
          <w:szCs w:val="32"/>
        </w:rPr>
      </w:pP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甲方（盖章）：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乙方（盖章）：</w:t>
      </w:r>
    </w:p>
    <w:p>
      <w:pPr>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地</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地</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址：</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法定代表人：</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法定代表人：</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委托代理人：</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委托代理人：</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电</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话：</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话：</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真：</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传</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真：</w:t>
      </w:r>
    </w:p>
    <w:p>
      <w:pPr>
        <w:snapToGrid w:val="0"/>
        <w:spacing w:line="560"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行：</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开</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行：</w:t>
      </w:r>
      <w:r>
        <w:rPr>
          <w:rFonts w:ascii="仿宋_GB2312" w:hAnsi="宋体" w:eastAsia="仿宋_GB2312" w:cs="仿宋_GB2312"/>
          <w:sz w:val="32"/>
          <w:szCs w:val="32"/>
        </w:rPr>
        <w:t xml:space="preserve"> </w:t>
      </w:r>
    </w:p>
    <w:p>
      <w:pPr>
        <w:snapToGrid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帐</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号：</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帐</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号：</w:t>
      </w:r>
    </w:p>
    <w:p>
      <w:pPr>
        <w:snapToGrid w:val="0"/>
        <w:spacing w:line="560" w:lineRule="exact"/>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年</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年</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p>
    <w:p>
      <w:pPr>
        <w:snapToGrid w:val="0"/>
        <w:spacing w:line="560" w:lineRule="exact"/>
        <w:rPr>
          <w:rFonts w:ascii="仿宋_GB2312" w:hAnsi="宋体" w:eastAsia="仿宋_GB2312" w:cs="仿宋_GB2312"/>
          <w:sz w:val="32"/>
          <w:szCs w:val="32"/>
        </w:rPr>
      </w:pPr>
    </w:p>
    <w:p>
      <w:pPr>
        <w:snapToGrid w:val="0"/>
        <w:spacing w:line="560" w:lineRule="exact"/>
        <w:rPr>
          <w:rFonts w:ascii="仿宋_GB2312" w:hAnsi="宋体" w:eastAsia="仿宋_GB2312" w:cs="仿宋_GB2312"/>
          <w:sz w:val="32"/>
          <w:szCs w:val="32"/>
        </w:rPr>
      </w:pPr>
      <w:r>
        <w:rPr>
          <w:rFonts w:hint="eastAsia" w:ascii="仿宋_GB2312" w:hAnsi="宋体" w:eastAsia="仿宋_GB2312" w:cs="仿宋_GB2312"/>
          <w:sz w:val="32"/>
          <w:szCs w:val="32"/>
        </w:rPr>
        <w:t>附：东城区绿化管养考核表</w:t>
      </w: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pStyle w:val="2"/>
        <w:ind w:firstLine="0" w:firstLineChars="0"/>
        <w:rPr>
          <w:rFonts w:ascii="仿宋_GB2312" w:hAnsi="宋体" w:eastAsia="仿宋_GB2312" w:cs="仿宋_GB2312"/>
          <w:sz w:val="32"/>
          <w:szCs w:val="32"/>
        </w:rPr>
      </w:pPr>
    </w:p>
    <w:p>
      <w:pPr>
        <w:widowControl/>
        <w:adjustRightInd w:val="0"/>
        <w:snapToGrid w:val="0"/>
        <w:spacing w:line="570" w:lineRule="exact"/>
        <w:jc w:val="center"/>
        <w:rPr>
          <w:rFonts w:ascii="宋体" w:hAnsi="宋体" w:cs="宋体"/>
          <w:b/>
          <w:bCs/>
          <w:color w:val="000000"/>
          <w:kern w:val="0"/>
          <w:sz w:val="44"/>
          <w:szCs w:val="44"/>
        </w:rPr>
      </w:pPr>
      <w:r>
        <w:rPr>
          <w:rFonts w:hint="eastAsia" w:ascii="宋体" w:hAnsi="宋体" w:cs="宋体"/>
          <w:b/>
          <w:bCs/>
          <w:color w:val="000000"/>
          <w:kern w:val="0"/>
          <w:sz w:val="44"/>
          <w:szCs w:val="44"/>
        </w:rPr>
        <w:t>东城区绿化管养考核表</w:t>
      </w:r>
    </w:p>
    <w:tbl>
      <w:tblPr>
        <w:tblStyle w:val="24"/>
        <w:tblW w:w="9560" w:type="dxa"/>
        <w:jc w:val="center"/>
        <w:tblLayout w:type="fixed"/>
        <w:tblCellMar>
          <w:top w:w="0" w:type="dxa"/>
          <w:left w:w="108" w:type="dxa"/>
          <w:bottom w:w="0" w:type="dxa"/>
          <w:right w:w="108" w:type="dxa"/>
        </w:tblCellMar>
      </w:tblPr>
      <w:tblGrid>
        <w:gridCol w:w="727"/>
        <w:gridCol w:w="804"/>
        <w:gridCol w:w="3779"/>
        <w:gridCol w:w="3678"/>
        <w:gridCol w:w="572"/>
      </w:tblGrid>
      <w:tr>
        <w:tblPrEx>
          <w:tblCellMar>
            <w:top w:w="0" w:type="dxa"/>
            <w:left w:w="108" w:type="dxa"/>
            <w:bottom w:w="0" w:type="dxa"/>
            <w:right w:w="108" w:type="dxa"/>
          </w:tblCellMar>
        </w:tblPrEx>
        <w:trPr>
          <w:trHeight w:val="680" w:hRule="atLeast"/>
          <w:jc w:val="center"/>
        </w:trPr>
        <w:tc>
          <w:tcPr>
            <w:tcW w:w="72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序号</w:t>
            </w:r>
          </w:p>
        </w:tc>
        <w:tc>
          <w:tcPr>
            <w:tcW w:w="804"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考核内容</w:t>
            </w:r>
          </w:p>
        </w:tc>
        <w:tc>
          <w:tcPr>
            <w:tcW w:w="3779"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考核标准</w:t>
            </w:r>
          </w:p>
        </w:tc>
        <w:tc>
          <w:tcPr>
            <w:tcW w:w="3678"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评分标准</w:t>
            </w:r>
          </w:p>
        </w:tc>
        <w:tc>
          <w:tcPr>
            <w:tcW w:w="572" w:type="dxa"/>
            <w:tcBorders>
              <w:top w:val="single" w:color="auto" w:sz="6"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b/>
                <w:bCs/>
                <w:color w:val="000000"/>
                <w:sz w:val="22"/>
              </w:rPr>
            </w:pPr>
            <w:r>
              <w:rPr>
                <w:rFonts w:hint="eastAsia" w:ascii="宋体" w:hAnsi="宋体" w:eastAsia="宋体" w:cs="宋体"/>
                <w:color w:val="000000"/>
                <w:sz w:val="22"/>
              </w:rPr>
              <w:t>扣分</w:t>
            </w:r>
          </w:p>
        </w:tc>
      </w:tr>
      <w:tr>
        <w:tblPrEx>
          <w:tblCellMar>
            <w:top w:w="0" w:type="dxa"/>
            <w:left w:w="108" w:type="dxa"/>
            <w:bottom w:w="0" w:type="dxa"/>
            <w:right w:w="108" w:type="dxa"/>
          </w:tblCellMar>
        </w:tblPrEx>
        <w:trPr>
          <w:trHeight w:val="108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绿化植物养护</w:t>
            </w:r>
          </w:p>
        </w:tc>
        <w:tc>
          <w:tcPr>
            <w:tcW w:w="3779" w:type="dxa"/>
            <w:tcBorders>
              <w:top w:val="single" w:color="auto" w:sz="4" w:space="0"/>
              <w:left w:val="single" w:color="auto" w:sz="4" w:space="0"/>
              <w:bottom w:val="single" w:color="auto" w:sz="4"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绿化养护管理制度健全，技术措施完善。有年、月生产管理计划，月生产管理检查记录、病虫害防治记录等，计划、记录认真详细。</w:t>
            </w:r>
          </w:p>
        </w:tc>
        <w:tc>
          <w:tcPr>
            <w:tcW w:w="3678" w:type="dxa"/>
            <w:tcBorders>
              <w:top w:val="single" w:color="auto" w:sz="4" w:space="0"/>
              <w:left w:val="single" w:color="auto" w:sz="6" w:space="0"/>
              <w:bottom w:val="single" w:color="auto" w:sz="4"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缺少一项扣5分。</w:t>
            </w:r>
          </w:p>
        </w:tc>
        <w:tc>
          <w:tcPr>
            <w:tcW w:w="572" w:type="dxa"/>
            <w:tcBorders>
              <w:top w:val="single" w:color="auto" w:sz="4" w:space="0"/>
              <w:left w:val="single" w:color="auto" w:sz="6" w:space="0"/>
              <w:bottom w:val="single" w:color="auto" w:sz="4" w:space="0"/>
              <w:right w:val="single" w:color="auto" w:sz="4"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4"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绿化植物养护</w:t>
            </w:r>
          </w:p>
        </w:tc>
        <w:tc>
          <w:tcPr>
            <w:tcW w:w="3779" w:type="dxa"/>
            <w:tcBorders>
              <w:top w:val="single" w:color="auto" w:sz="4"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乔灌花草藤适时浇水，无旱象。</w:t>
            </w:r>
          </w:p>
        </w:tc>
        <w:tc>
          <w:tcPr>
            <w:tcW w:w="3678" w:type="dxa"/>
            <w:tcBorders>
              <w:top w:val="single" w:color="auto" w:sz="4"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浇水不及时，植物有旱象扣10分；造成植物死亡的，乔灌木每棵扣10分，花草藤每处扣5分。</w:t>
            </w:r>
          </w:p>
        </w:tc>
        <w:tc>
          <w:tcPr>
            <w:tcW w:w="572" w:type="dxa"/>
            <w:tcBorders>
              <w:top w:val="single" w:color="auto" w:sz="4"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3</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各种树木上无拴绳子、乱扯乱挂现象（公益宣传横幅除外）。</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发现一处未达要求扣1分。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367"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4</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绿地草坪无人为践踏现象。</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发现未达要求每平方米扣1分。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442"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5</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无焚烧草坪、树枝、落叶现象。</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发现一处未达要求扣50分。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27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6</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每年入冬后对行道树树干刷白一次。</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没有对行道树树干刷白的，每棵扣1分。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135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7</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各类植物生长旺盛，生长季节无卷叶、焦叶，黄化、枯萎现象；无杂藤绕树；绿篱模纹不得夹生杂草；无死株、缺株、残株；无倒伏、倾斜。藤本及攀援植物及时绑缚牵引。</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有杂藤绕树，绿篱模纹夹生杂草每处扣1分；有倒伏、倾斜树木每处扣5分；藤本及攀援植物未及时牵引每处扣1分；死树、缺株每处扣5分；绿篱断档超过1平方每处扣2分。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66"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8</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绿地内植物无明显病虫害危害现象；用药科学合理，无药害发生。</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病虫害根据危害程度每100㎡扣1-2分；药害根据危害程度每100㎡扣1-2分。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1992"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9</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发现绿化植物被损坏或出现死亡，必须于2小时内作出应急处理，并视季节及时进行补植，栽植季节，按整改通知时限内补植到位；非栽植季节，3日内用透水砖等硬化材料对空树穴进行临时性硬化处理。</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发现树木被损坏或出现死亡，没有在2小时内作出应急处理，扣2分；栽植季节，未限时完成补植的，扣10分；非栽植季节，未及时对空树穴进行临时性硬化处理，扣2分。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655"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10</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绿地内地面无明显凸起凹陷，微地形起伏自然。</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有明显坑洼或</w:t>
            </w:r>
            <w:r>
              <w:rPr>
                <w:rFonts w:hint="eastAsia" w:ascii="宋体" w:hAnsi="宋体" w:cs="宋体"/>
                <w:color w:val="000000"/>
                <w:sz w:val="22"/>
              </w:rPr>
              <w:t>凸起</w:t>
            </w:r>
            <w:r>
              <w:rPr>
                <w:rFonts w:hint="eastAsia" w:ascii="宋体" w:hAnsi="宋体" w:eastAsia="宋体" w:cs="宋体"/>
                <w:color w:val="000000"/>
                <w:sz w:val="22"/>
              </w:rPr>
              <w:t>每处扣1分。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655"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11</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开花地被花繁叶茂，及时浇水松土除草，无残梗败花，花后及时修剪。</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残梗败花未及时清理或修剪的每处扣2分。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111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12</w:t>
            </w:r>
          </w:p>
        </w:tc>
        <w:tc>
          <w:tcPr>
            <w:tcW w:w="804"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绿化植物养护</w:t>
            </w: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各类乔木要根据树木生长习性合理修剪，修剪留枝合理，树形美观，剪口平滑，无残桩，无劈裂，大的伤口有保护措施；花灌木修剪时间符合开花特性，方法科学合理。整形植物（绿篱、模纹、造型植物）修剪及时，造型美观：对绿篱植物要按照控制高度修剪整齐，做到三个面两条边线整齐划一，外观形象整齐美观；对有变化的几何图形的模纹，要求边线自然顺滑流畅，整体外观形象规范整齐；球类植物修剪后，圆满紧凑，冠形匀称，中心两侧均衡，整体外观形象好。对小叶女贞等造型树，要按照造型标准对云片进行整形修剪，并对树干、主枝或根部长出的萌蘖枝条进行去除。</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萌蘖枝、交叉枝等未疏除或疏剪不合理每处扣1分；有严重干枯枝、折断枝未清除每株扣2分；影响游人通行的下垂枝条修剪不及时，每株扣1分；整形植物修剪不及时，植物冒梢〔小龙柏除外，红叶石楠、金叶女贞等春（秋）叶色观赏期除外〕超过10cm未修剪，每处扣2分；整形植物修剪不美观扣2-5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189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13</w:t>
            </w:r>
          </w:p>
        </w:tc>
        <w:tc>
          <w:tcPr>
            <w:tcW w:w="804"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绿化植物养护</w:t>
            </w: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草坪、地被植物长势一致，色泽正常，无杂草，无斑秃；草坪应适时适度合理修剪（草坪高度不超过8公分），达到草坪面平整流畅美观，碎草清洁率要达到95%以上；入冬后，要及时清除落叶和干草，修剪干枯的暖季型草坪。</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杂草项每平方米超过5棵且明显高于草坪地被每处扣2分；斑秃超过0.5㎡每处扣1分；修剪后碎草清洁率达不到95%，扣3分。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1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14</w:t>
            </w:r>
          </w:p>
        </w:tc>
        <w:tc>
          <w:tcPr>
            <w:tcW w:w="804" w:type="dxa"/>
            <w:vMerge w:val="restart"/>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游园容貌环境卫生秩序及园林设施管理</w:t>
            </w: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果皮箱外观清洁、完好，箱内垃圾及时清理无外溢。</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果皮箱外观不清洁每个扣1分，箱内垃圾清理不及时每个扣1分。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759"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15</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无胡喷乱画、乱贴小广告、私拉乱扯等现象。</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胡喷乱画、乱贴小广告、私拉乱扯等现象一处扣1分。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04"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16</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绿地内无纸屑、塑料袋、瓜果皮核和其他丢弃物；无垃圾积存。</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发现一处未达要求扣1分；发现积存垃圾一处扣3分。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17</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各种园林建筑、构筑物、假山叠石、景石、小品等园林设施及时擦洗，保持外观整洁美观。</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发现未达要求，每处扣1分。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04"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18</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园路、广场、台阶无积土、无污渍、无积水、无落枝，落叶清扫及时彻底。</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未达要求每10㎡扣1分。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19"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19</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有喷灌设施的，冬季需有防护措施，无跑、冒、滴、漏现象。</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发现跑、冒、滴、漏每处扣1分；冬季无防护措施每处扣1分。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20</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公共绿地、广场、游园内无私搭乱建，无摆摊设点、乱停乱放，游商小贩清理及时；游园保安必须足额配备。</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发现私搭乱建、摆摊设点、乱停乱放、游商小贩清理不及时的，每次每处扣10分；保安每少一人次扣10分。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1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21</w:t>
            </w:r>
          </w:p>
        </w:tc>
        <w:tc>
          <w:tcPr>
            <w:tcW w:w="804" w:type="dxa"/>
            <w:vMerge w:val="restart"/>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安全文明生产</w:t>
            </w: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安全管理制度完善，安全工作符合行业规范，事故处理及时、妥当，档案齐全。</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制度、档案不齐全扣5分；事故处理不及时扣5分。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22</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管养人员必须统一着绿化服装，安全文明作业；管养人员、保安必须足额配备，养护公司必须为工作人员</w:t>
            </w:r>
            <w:r>
              <w:rPr>
                <w:rFonts w:hint="eastAsia" w:ascii="宋体" w:hAnsi="宋体" w:cs="宋体"/>
                <w:color w:val="000000"/>
                <w:sz w:val="22"/>
              </w:rPr>
              <w:t>足额</w:t>
            </w:r>
            <w:r>
              <w:rPr>
                <w:rFonts w:hint="eastAsia" w:ascii="宋体" w:hAnsi="宋体" w:eastAsia="宋体" w:cs="宋体"/>
                <w:color w:val="000000"/>
                <w:sz w:val="22"/>
              </w:rPr>
              <w:t>购买</w:t>
            </w:r>
            <w:r>
              <w:rPr>
                <w:rFonts w:hint="eastAsia" w:ascii="宋体" w:hAnsi="宋体" w:cs="宋体"/>
                <w:color w:val="000000"/>
                <w:sz w:val="22"/>
              </w:rPr>
              <w:t>人身</w:t>
            </w:r>
            <w:r>
              <w:rPr>
                <w:rFonts w:hint="eastAsia" w:ascii="宋体" w:hAnsi="宋体" w:eastAsia="宋体" w:cs="宋体"/>
                <w:color w:val="000000"/>
                <w:sz w:val="22"/>
              </w:rPr>
              <w:t>意外险。</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发现未按规定着装，每人次扣1分；未达到足额配备人次，每少一人次扣1分；未</w:t>
            </w:r>
            <w:r>
              <w:rPr>
                <w:rFonts w:hint="eastAsia" w:ascii="宋体" w:hAnsi="宋体" w:cs="宋体"/>
                <w:color w:val="000000"/>
                <w:sz w:val="22"/>
              </w:rPr>
              <w:t>足额</w:t>
            </w:r>
            <w:r>
              <w:rPr>
                <w:rFonts w:hint="eastAsia" w:ascii="宋体" w:hAnsi="宋体" w:eastAsia="宋体" w:cs="宋体"/>
                <w:color w:val="000000"/>
                <w:sz w:val="22"/>
              </w:rPr>
              <w:t>购买</w:t>
            </w:r>
            <w:r>
              <w:rPr>
                <w:rFonts w:hint="eastAsia" w:ascii="宋体" w:hAnsi="宋体" w:cs="宋体"/>
                <w:color w:val="000000"/>
                <w:sz w:val="22"/>
              </w:rPr>
              <w:t>人身</w:t>
            </w:r>
            <w:r>
              <w:rPr>
                <w:rFonts w:hint="eastAsia" w:ascii="宋体" w:hAnsi="宋体" w:eastAsia="宋体" w:cs="宋体"/>
                <w:color w:val="000000"/>
                <w:sz w:val="22"/>
              </w:rPr>
              <w:t>意外险每</w:t>
            </w:r>
            <w:r>
              <w:rPr>
                <w:rFonts w:hint="eastAsia" w:ascii="宋体" w:hAnsi="宋体" w:cs="宋体"/>
                <w:color w:val="000000"/>
                <w:sz w:val="22"/>
              </w:rPr>
              <w:t>少一</w:t>
            </w:r>
            <w:r>
              <w:rPr>
                <w:rFonts w:hint="eastAsia" w:ascii="宋体" w:hAnsi="宋体" w:eastAsia="宋体" w:cs="宋体"/>
                <w:color w:val="000000"/>
                <w:sz w:val="22"/>
              </w:rPr>
              <w:t>人次扣1分。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1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23</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规范使用园林机械及农药，保证工作人员及游人安全。</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出现一起安全事故扣50分。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1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sz w:val="22"/>
              </w:rPr>
              <w:t>24</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辖区内“定人、定岗、定责”，划分路段，明确责任人，确保无死角、无遗漏。</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发现缺岗、脱岗首次扣1分，后续每人次扣2分。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1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25</w:t>
            </w:r>
          </w:p>
        </w:tc>
        <w:tc>
          <w:tcPr>
            <w:tcW w:w="804" w:type="dxa"/>
            <w:vMerge w:val="restart"/>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r>
              <w:rPr>
                <w:rFonts w:hint="eastAsia" w:ascii="宋体" w:hAnsi="宋体" w:cs="宋体"/>
                <w:color w:val="000000"/>
                <w:sz w:val="22"/>
              </w:rPr>
              <w:t>案件</w:t>
            </w:r>
            <w:r>
              <w:rPr>
                <w:rFonts w:hint="eastAsia" w:ascii="宋体" w:hAnsi="宋体" w:eastAsia="宋体" w:cs="宋体"/>
                <w:color w:val="000000"/>
                <w:sz w:val="22"/>
              </w:rPr>
              <w:t>办理情况</w:t>
            </w: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接受各级领导监督，接受群众举报投诉。</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领导批示、群众举报件，经查证属实，每一件不符合管理标准的问题，扣1分。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26</w:t>
            </w:r>
          </w:p>
        </w:tc>
        <w:tc>
          <w:tcPr>
            <w:tcW w:w="804" w:type="dxa"/>
            <w:vMerge w:val="continue"/>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数字化案件、督查件、12345案件、上级交办件，记录完善，处理率100％。</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案件办理率低于90%的，对未完成的案件每件扣1分。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27</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服务秩序管理</w:t>
            </w: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无违规车辆出入，严禁绿地上停放车辆。</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车辆违规出入一次扣1分；绿地上停放车辆，每处扣1分。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28</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设有咨询、投诉电话，沟通渠道畅通，咨询、投诉处理及时，记录完善，处理率100％。</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投诉处理不及时，一次扣5分。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81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29</w:t>
            </w: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特别条款</w:t>
            </w: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对发生在本管辖区域内的毁绿、损绿行为，及时上报。</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对不及时上报的，除按照标准赔偿损失外，每起扣50分，并记录诚信。</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30</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因上级指令行为，如迎检、重大庆典等活动须养护单位配合，养护单位必须全力配合确保迎检活动顺利进行，并适时增加养护工作人员或延长人员在岗时间。</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未配合一次扣5-10分，并记录诚信。</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31</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对限期整改通知书和投诉、媒体曝光事项处理不及时，造成严重后果的。</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每次扣3-5分，造成严重后果的，扣10分。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32</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对因抗旱不力或发生大面积病虫害，且拒不整改落实的。</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每次扣20-50分，并记录诚信。</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33</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上访事件</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发生2次及以上上访事件，甲方可单方面解除合同</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1351" w:hRule="atLeast"/>
          <w:jc w:val="center"/>
        </w:trPr>
        <w:tc>
          <w:tcPr>
            <w:tcW w:w="727"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34</w:t>
            </w: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c>
          <w:tcPr>
            <w:tcW w:w="3779" w:type="dxa"/>
            <w:tcBorders>
              <w:top w:val="single" w:color="auto" w:sz="6" w:space="0"/>
              <w:left w:val="single" w:color="auto" w:sz="4"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雨季防汛。汛期严格执行24小时巡查制度，密切关注汛情，发现倒伏树木、断裂树枝第一时间处理。</w:t>
            </w:r>
          </w:p>
        </w:tc>
        <w:tc>
          <w:tcPr>
            <w:tcW w:w="3678"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防汛期间未及时发现问题且未及时上报每处扣1分；防汛期间发现问题且未及时上报每处扣1分；汛期过后病媒防治工作处理不及时每处扣1分。</w:t>
            </w:r>
          </w:p>
        </w:tc>
        <w:tc>
          <w:tcPr>
            <w:tcW w:w="57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_GB2312" w:eastAsia="仿宋_GB2312" w:cs="仿宋_GB2312"/>
                <w:b/>
                <w:bCs/>
                <w:color w:val="000000"/>
                <w:sz w:val="22"/>
              </w:rPr>
            </w:pPr>
          </w:p>
        </w:tc>
      </w:tr>
      <w:tr>
        <w:tblPrEx>
          <w:tblCellMar>
            <w:top w:w="0" w:type="dxa"/>
            <w:left w:w="108" w:type="dxa"/>
            <w:bottom w:w="0" w:type="dxa"/>
            <w:right w:w="108" w:type="dxa"/>
          </w:tblCellMar>
        </w:tblPrEx>
        <w:trPr>
          <w:trHeight w:val="540" w:hRule="atLeast"/>
          <w:jc w:val="center"/>
        </w:trPr>
        <w:tc>
          <w:tcPr>
            <w:tcW w:w="8988" w:type="dxa"/>
            <w:gridSpan w:val="4"/>
            <w:tcBorders>
              <w:top w:val="single" w:color="auto" w:sz="6" w:space="0"/>
              <w:left w:val="single" w:color="auto" w:sz="6" w:space="0"/>
              <w:bottom w:val="single" w:color="auto" w:sz="4" w:space="0"/>
              <w:right w:val="single" w:color="auto" w:sz="6" w:space="0"/>
            </w:tcBorders>
            <w:vAlign w:val="center"/>
          </w:tcPr>
          <w:p>
            <w:pPr>
              <w:jc w:val="left"/>
              <w:rPr>
                <w:rFonts w:ascii="宋体" w:hAnsi="宋体" w:eastAsia="宋体" w:cs="宋体"/>
                <w:color w:val="000000"/>
                <w:sz w:val="22"/>
              </w:rPr>
            </w:pPr>
            <w:r>
              <w:rPr>
                <w:rFonts w:hint="eastAsia" w:ascii="宋体" w:hAnsi="宋体" w:eastAsia="宋体" w:cs="宋体"/>
                <w:color w:val="000000"/>
                <w:sz w:val="22"/>
              </w:rPr>
              <w:t>本次考核总扣分</w:t>
            </w:r>
          </w:p>
        </w:tc>
        <w:tc>
          <w:tcPr>
            <w:tcW w:w="572" w:type="dxa"/>
            <w:tcBorders>
              <w:top w:val="single" w:color="auto" w:sz="6" w:space="0"/>
              <w:left w:val="single" w:color="auto" w:sz="6" w:space="0"/>
              <w:bottom w:val="single" w:color="auto" w:sz="4" w:space="0"/>
              <w:right w:val="single" w:color="auto" w:sz="6" w:space="0"/>
            </w:tcBorders>
            <w:vAlign w:val="center"/>
          </w:tcPr>
          <w:p>
            <w:pPr>
              <w:jc w:val="center"/>
              <w:rPr>
                <w:rFonts w:ascii="仿宋_GB2312" w:hAnsi="仿宋_GB2312" w:eastAsia="仿宋_GB2312" w:cs="仿宋_GB2312"/>
                <w:b/>
                <w:bCs/>
                <w:color w:val="000000"/>
                <w:sz w:val="22"/>
              </w:rPr>
            </w:pPr>
          </w:p>
        </w:tc>
      </w:tr>
    </w:tbl>
    <w:p>
      <w:pPr>
        <w:pStyle w:val="2"/>
        <w:ind w:firstLine="0" w:firstLineChars="0"/>
        <w:jc w:val="center"/>
        <w:rPr>
          <w:rFonts w:hAnsi="宋体" w:cs="宋体"/>
          <w:b/>
          <w:color w:val="000000"/>
          <w:sz w:val="40"/>
          <w:szCs w:val="40"/>
        </w:rPr>
      </w:pPr>
    </w:p>
    <w:p>
      <w:pPr>
        <w:pStyle w:val="2"/>
        <w:widowControl/>
        <w:ind w:firstLine="0" w:firstLineChars="0"/>
        <w:jc w:val="center"/>
        <w:rPr>
          <w:rFonts w:hAnsi="宋体" w:cs="宋体"/>
          <w:b/>
          <w:color w:val="000000"/>
          <w:sz w:val="40"/>
          <w:szCs w:val="40"/>
        </w:rPr>
      </w:pPr>
    </w:p>
    <w:p>
      <w:pPr>
        <w:pStyle w:val="2"/>
        <w:widowControl/>
        <w:ind w:firstLine="0" w:firstLineChars="0"/>
        <w:jc w:val="center"/>
        <w:rPr>
          <w:rFonts w:hAnsi="宋体" w:cs="宋体"/>
          <w:b/>
          <w:color w:val="000000"/>
          <w:sz w:val="40"/>
          <w:szCs w:val="40"/>
        </w:rPr>
      </w:pPr>
    </w:p>
    <w:p>
      <w:pPr>
        <w:pStyle w:val="2"/>
        <w:widowControl/>
        <w:ind w:firstLine="0" w:firstLineChars="0"/>
        <w:jc w:val="center"/>
      </w:pPr>
      <w:r>
        <w:rPr>
          <w:rFonts w:hint="eastAsia" w:hAnsi="宋体" w:cs="宋体"/>
          <w:b/>
          <w:color w:val="000000"/>
          <w:sz w:val="40"/>
          <w:szCs w:val="40"/>
        </w:rPr>
        <w:t>绿化管养考核结果表</w:t>
      </w:r>
    </w:p>
    <w:p>
      <w:pPr>
        <w:jc w:val="center"/>
        <w:rPr>
          <w:rFonts w:ascii="宋体" w:hAnsi="宋体" w:eastAsia="宋体" w:cs="宋体"/>
          <w:b/>
          <w:kern w:val="0"/>
          <w:sz w:val="32"/>
          <w:szCs w:val="32"/>
        </w:rPr>
      </w:pPr>
    </w:p>
    <w:tbl>
      <w:tblPr>
        <w:tblStyle w:val="25"/>
        <w:tblpPr w:leftFromText="180" w:rightFromText="180" w:vertAnchor="text" w:horzAnchor="page" w:tblpXSpec="center" w:tblpY="27"/>
        <w:tblOverlap w:val="never"/>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265"/>
        <w:gridCol w:w="405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jc w:val="center"/>
        </w:trPr>
        <w:tc>
          <w:tcPr>
            <w:tcW w:w="1755" w:type="dxa"/>
            <w:vAlign w:val="center"/>
          </w:tcPr>
          <w:p>
            <w:pPr>
              <w:widowControl/>
              <w:jc w:val="center"/>
              <w:textAlignment w:val="center"/>
              <w:rPr>
                <w:rFonts w:ascii="宋体" w:hAnsi="宋体" w:eastAsia="宋体" w:cs="宋体"/>
                <w:b/>
                <w:color w:val="000000"/>
                <w:kern w:val="0"/>
                <w:sz w:val="28"/>
                <w:szCs w:val="28"/>
              </w:rPr>
            </w:pPr>
            <w:r>
              <w:rPr>
                <w:rFonts w:hint="eastAsia" w:ascii="宋体" w:hAnsi="宋体" w:cs="宋体"/>
                <w:b/>
                <w:color w:val="000000"/>
                <w:kern w:val="0"/>
                <w:sz w:val="28"/>
                <w:szCs w:val="28"/>
              </w:rPr>
              <w:t>管养单位</w:t>
            </w:r>
          </w:p>
        </w:tc>
        <w:tc>
          <w:tcPr>
            <w:tcW w:w="2265" w:type="dxa"/>
            <w:vAlign w:val="center"/>
          </w:tcPr>
          <w:p>
            <w:pPr>
              <w:widowControl/>
              <w:spacing w:line="400" w:lineRule="exact"/>
              <w:ind w:right="38" w:rightChars="18"/>
              <w:jc w:val="center"/>
              <w:textAlignment w:val="center"/>
              <w:rPr>
                <w:rFonts w:ascii="宋体" w:hAnsi="宋体" w:eastAsia="宋体" w:cs="宋体"/>
                <w:b/>
                <w:color w:val="000000"/>
                <w:kern w:val="0"/>
                <w:sz w:val="28"/>
                <w:szCs w:val="28"/>
              </w:rPr>
            </w:pPr>
            <w:r>
              <w:rPr>
                <w:rFonts w:hint="eastAsia" w:ascii="宋体" w:hAnsi="宋体" w:cs="宋体"/>
                <w:b/>
                <w:color w:val="000000"/>
                <w:kern w:val="0"/>
                <w:sz w:val="28"/>
                <w:szCs w:val="28"/>
              </w:rPr>
              <w:t>考核路段</w:t>
            </w:r>
          </w:p>
        </w:tc>
        <w:tc>
          <w:tcPr>
            <w:tcW w:w="4050" w:type="dxa"/>
            <w:vAlign w:val="center"/>
          </w:tcPr>
          <w:p>
            <w:pPr>
              <w:widowControl/>
              <w:jc w:val="center"/>
              <w:textAlignment w:val="center"/>
              <w:rPr>
                <w:rFonts w:ascii="宋体" w:hAnsi="宋体" w:eastAsia="宋体" w:cs="宋体"/>
                <w:b/>
                <w:color w:val="000000"/>
                <w:kern w:val="0"/>
                <w:sz w:val="28"/>
                <w:szCs w:val="28"/>
              </w:rPr>
            </w:pPr>
            <w:r>
              <w:rPr>
                <w:rFonts w:hint="eastAsia" w:ascii="宋体" w:hAnsi="宋体" w:cs="宋体"/>
                <w:b/>
                <w:color w:val="000000"/>
                <w:kern w:val="0"/>
                <w:sz w:val="28"/>
                <w:szCs w:val="28"/>
              </w:rPr>
              <w:t>发现问题</w:t>
            </w:r>
          </w:p>
        </w:tc>
        <w:tc>
          <w:tcPr>
            <w:tcW w:w="1410" w:type="dxa"/>
            <w:vAlign w:val="center"/>
          </w:tcPr>
          <w:p>
            <w:pPr>
              <w:widowControl/>
              <w:spacing w:line="400" w:lineRule="exact"/>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扣减</w:t>
            </w:r>
          </w:p>
          <w:p>
            <w:pPr>
              <w:widowControl/>
              <w:spacing w:line="400" w:lineRule="exact"/>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9" w:hRule="atLeast"/>
          <w:jc w:val="center"/>
        </w:trPr>
        <w:tc>
          <w:tcPr>
            <w:tcW w:w="1755" w:type="dxa"/>
            <w:vAlign w:val="center"/>
          </w:tcPr>
          <w:p>
            <w:pPr>
              <w:widowControl/>
              <w:jc w:val="center"/>
              <w:textAlignment w:val="center"/>
              <w:rPr>
                <w:rFonts w:ascii="宋体" w:hAnsi="宋体" w:eastAsia="宋体" w:cs="宋体"/>
                <w:b/>
                <w:color w:val="000000"/>
                <w:kern w:val="0"/>
                <w:sz w:val="40"/>
                <w:szCs w:val="40"/>
              </w:rPr>
            </w:pPr>
          </w:p>
        </w:tc>
        <w:tc>
          <w:tcPr>
            <w:tcW w:w="2265" w:type="dxa"/>
            <w:vAlign w:val="center"/>
          </w:tcPr>
          <w:p>
            <w:pPr>
              <w:widowControl/>
              <w:jc w:val="center"/>
              <w:textAlignment w:val="center"/>
              <w:rPr>
                <w:rFonts w:ascii="宋体" w:hAnsi="宋体" w:eastAsia="宋体" w:cs="宋体"/>
                <w:b/>
                <w:color w:val="000000"/>
                <w:kern w:val="0"/>
                <w:sz w:val="40"/>
                <w:szCs w:val="40"/>
              </w:rPr>
            </w:pPr>
          </w:p>
        </w:tc>
        <w:tc>
          <w:tcPr>
            <w:tcW w:w="4050" w:type="dxa"/>
            <w:vAlign w:val="center"/>
          </w:tcPr>
          <w:p>
            <w:pPr>
              <w:widowControl/>
              <w:jc w:val="center"/>
              <w:textAlignment w:val="center"/>
              <w:rPr>
                <w:rFonts w:ascii="宋体" w:hAnsi="宋体" w:eastAsia="宋体" w:cs="宋体"/>
                <w:b/>
                <w:color w:val="000000"/>
                <w:kern w:val="0"/>
                <w:sz w:val="40"/>
                <w:szCs w:val="40"/>
              </w:rPr>
            </w:pPr>
          </w:p>
        </w:tc>
        <w:tc>
          <w:tcPr>
            <w:tcW w:w="1410" w:type="dxa"/>
            <w:vAlign w:val="center"/>
          </w:tcPr>
          <w:p>
            <w:pPr>
              <w:widowControl/>
              <w:jc w:val="center"/>
              <w:textAlignment w:val="center"/>
              <w:rPr>
                <w:rFonts w:ascii="宋体" w:hAnsi="宋体" w:eastAsia="宋体" w:cs="宋体"/>
                <w:b/>
                <w:color w:val="000000"/>
                <w:kern w:val="0"/>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9480" w:type="dxa"/>
            <w:gridSpan w:val="4"/>
            <w:vAlign w:val="center"/>
          </w:tcPr>
          <w:p>
            <w:pPr>
              <w:widowControl/>
              <w:jc w:val="center"/>
              <w:textAlignment w:val="center"/>
              <w:rPr>
                <w:b/>
                <w:bCs/>
                <w:sz w:val="28"/>
                <w:szCs w:val="28"/>
              </w:rPr>
            </w:pPr>
            <w:r>
              <w:rPr>
                <w:rFonts w:hint="eastAsia"/>
                <w:b/>
                <w:bCs/>
                <w:sz w:val="28"/>
                <w:szCs w:val="28"/>
              </w:rPr>
              <w:t>绿化管养大队：           管养单位：            监理单位：</w:t>
            </w:r>
          </w:p>
          <w:p>
            <w:pPr>
              <w:pStyle w:val="2"/>
              <w:ind w:firstLine="281"/>
              <w:jc w:val="center"/>
              <w:rPr>
                <w:rFonts w:hAnsi="宋体" w:cs="宋体"/>
                <w:b/>
                <w:color w:val="000000"/>
                <w:sz w:val="28"/>
                <w:szCs w:val="28"/>
              </w:rPr>
            </w:pPr>
          </w:p>
          <w:p>
            <w:pPr>
              <w:pStyle w:val="2"/>
              <w:ind w:firstLine="281"/>
              <w:jc w:val="center"/>
              <w:rPr>
                <w:rFonts w:hAnsi="宋体" w:cs="宋体"/>
                <w:b/>
                <w:color w:val="000000"/>
                <w:sz w:val="28"/>
                <w:szCs w:val="28"/>
              </w:rPr>
            </w:pPr>
          </w:p>
          <w:p>
            <w:pPr>
              <w:pStyle w:val="2"/>
              <w:ind w:firstLine="281"/>
              <w:jc w:val="center"/>
              <w:rPr>
                <w:rFonts w:hAnsi="宋体" w:cs="宋体"/>
                <w:b/>
                <w:color w:val="000000"/>
                <w:sz w:val="28"/>
                <w:szCs w:val="28"/>
              </w:rPr>
            </w:pPr>
          </w:p>
          <w:p>
            <w:pPr>
              <w:pStyle w:val="2"/>
              <w:ind w:firstLine="281"/>
              <w:jc w:val="center"/>
              <w:rPr>
                <w:rFonts w:hAnsi="宋体" w:cs="宋体"/>
                <w:b/>
                <w:color w:val="000000"/>
                <w:sz w:val="28"/>
                <w:szCs w:val="28"/>
              </w:rPr>
            </w:pPr>
            <w:r>
              <w:rPr>
                <w:rFonts w:hint="eastAsia" w:hAnsi="宋体" w:cs="宋体"/>
                <w:b/>
                <w:color w:val="000000"/>
                <w:sz w:val="28"/>
                <w:szCs w:val="28"/>
              </w:rPr>
              <w:t>年   月   日</w:t>
            </w:r>
          </w:p>
        </w:tc>
      </w:tr>
    </w:tbl>
    <w:p>
      <w:pPr>
        <w:pStyle w:val="2"/>
        <w:ind w:firstLine="321"/>
        <w:rPr>
          <w:rFonts w:hAnsi="宋体" w:cs="宋体"/>
          <w:b/>
          <w:sz w:val="32"/>
          <w:szCs w:val="32"/>
        </w:rPr>
      </w:pPr>
    </w:p>
    <w:p>
      <w:pPr>
        <w:widowControl/>
        <w:spacing w:line="570" w:lineRule="exact"/>
        <w:jc w:val="center"/>
        <w:rPr>
          <w:rFonts w:ascii="宋体" w:hAnsi="宋体" w:eastAsia="宋体" w:cs="宋体"/>
          <w:b/>
          <w:kern w:val="0"/>
          <w:sz w:val="32"/>
          <w:szCs w:val="32"/>
        </w:rPr>
      </w:pPr>
      <w:r>
        <w:rPr>
          <w:rFonts w:hint="eastAsia" w:ascii="宋体" w:hAnsi="宋体" w:eastAsia="宋体" w:cs="宋体"/>
          <w:b/>
          <w:color w:val="000000"/>
          <w:kern w:val="0"/>
          <w:sz w:val="24"/>
          <w:szCs w:val="24"/>
        </w:rPr>
        <w:t>注：考核采用扣分制，分值不限，每扣1分按照100元标准实施扣减管养经费</w:t>
      </w:r>
      <w:r>
        <w:rPr>
          <w:rFonts w:hint="eastAsia" w:ascii="宋体" w:hAnsi="宋体" w:cs="宋体"/>
          <w:b/>
          <w:color w:val="000000"/>
          <w:kern w:val="0"/>
          <w:sz w:val="24"/>
          <w:szCs w:val="24"/>
        </w:rPr>
        <w:t>。</w:t>
      </w:r>
    </w:p>
    <w:p>
      <w:pPr>
        <w:pStyle w:val="2"/>
        <w:ind w:firstLine="321"/>
        <w:rPr>
          <w:rFonts w:hAnsi="宋体" w:cs="宋体"/>
          <w:b/>
          <w:sz w:val="32"/>
          <w:szCs w:val="32"/>
        </w:rPr>
      </w:pPr>
    </w:p>
    <w:p>
      <w:pPr>
        <w:spacing w:beforeLines="50" w:afterLines="50"/>
        <w:jc w:val="center"/>
        <w:outlineLvl w:val="0"/>
        <w:rPr>
          <w:rFonts w:ascii="宋体" w:hAnsi="宋体" w:eastAsia="宋体" w:cs="宋体"/>
          <w:b/>
          <w:kern w:val="0"/>
          <w:sz w:val="32"/>
          <w:szCs w:val="32"/>
        </w:rPr>
      </w:pPr>
      <w:r>
        <w:rPr>
          <w:rFonts w:hint="eastAsia" w:ascii="宋体" w:hAnsi="宋体" w:eastAsia="宋体" w:cs="宋体"/>
          <w:b/>
          <w:kern w:val="0"/>
          <w:sz w:val="32"/>
          <w:szCs w:val="32"/>
        </w:rPr>
        <w:t>第八章 投标文件有关格式</w:t>
      </w:r>
      <w:bookmarkEnd w:id="21"/>
      <w:bookmarkEnd w:id="22"/>
    </w:p>
    <w:p>
      <w:pPr>
        <w:jc w:val="left"/>
        <w:rPr>
          <w:rFonts w:ascii="宋体" w:hAnsi="宋体" w:eastAsia="宋体" w:cs="黑体"/>
          <w:sz w:val="44"/>
          <w:szCs w:val="44"/>
          <w:lang w:val="zh-CN"/>
        </w:rPr>
      </w:pPr>
      <w:bookmarkStart w:id="23" w:name="_Toc184023138"/>
      <w:bookmarkStart w:id="24" w:name="_Toc174185203"/>
      <w:bookmarkStart w:id="25" w:name="_Toc186274126"/>
    </w:p>
    <w:p>
      <w:pPr>
        <w:pStyle w:val="15"/>
        <w:spacing w:line="360" w:lineRule="auto"/>
        <w:contextualSpacing/>
        <w:jc w:val="left"/>
        <w:rPr>
          <w:rFonts w:ascii="宋体" w:hAnsi="宋体" w:cs="宋体"/>
          <w:b/>
          <w:kern w:val="0"/>
          <w:sz w:val="36"/>
          <w:szCs w:val="36"/>
        </w:rPr>
      </w:pPr>
    </w:p>
    <w:bookmarkEnd w:id="23"/>
    <w:bookmarkEnd w:id="24"/>
    <w:bookmarkEnd w:id="25"/>
    <w:p>
      <w:pPr>
        <w:pStyle w:val="15"/>
        <w:spacing w:line="360" w:lineRule="auto"/>
        <w:contextualSpacing/>
        <w:jc w:val="left"/>
        <w:rPr>
          <w:rFonts w:cs="宋体"/>
          <w:bCs/>
          <w:sz w:val="36"/>
          <w:szCs w:val="36"/>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 xml:space="preserve">             （项目名称、标段）</w:t>
      </w:r>
    </w:p>
    <w:p>
      <w:pPr>
        <w:jc w:val="center"/>
        <w:rPr>
          <w:rFonts w:ascii="宋体" w:hAnsi="宋体" w:eastAsia="宋体" w:cs="微软雅黑"/>
          <w:b/>
          <w:sz w:val="28"/>
          <w:szCs w:val="28"/>
          <w:u w:val="single"/>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rPr>
          <w:rFonts w:ascii="宋体" w:hAnsi="宋体" w:eastAsia="宋体" w:cs="微软雅黑"/>
          <w:b/>
          <w:sz w:val="20"/>
          <w:szCs w:val="20"/>
        </w:rPr>
      </w:pPr>
    </w:p>
    <w:p>
      <w:pPr>
        <w:jc w:val="center"/>
        <w:rPr>
          <w:rFonts w:ascii="宋体" w:hAnsi="宋体" w:eastAsia="宋体" w:cs="微软雅黑"/>
          <w:b/>
          <w:sz w:val="72"/>
          <w:szCs w:val="72"/>
        </w:rPr>
      </w:pPr>
      <w:r>
        <w:rPr>
          <w:rFonts w:hint="eastAsia" w:ascii="宋体" w:hAnsi="宋体" w:eastAsia="宋体" w:cs="微软雅黑"/>
          <w:b/>
          <w:sz w:val="72"/>
          <w:szCs w:val="72"/>
        </w:rPr>
        <w:t>投 标 文 件</w:t>
      </w:r>
    </w:p>
    <w:p>
      <w:pPr>
        <w:rPr>
          <w:rFonts w:ascii="宋体" w:hAnsi="宋体" w:eastAsia="宋体" w:cs="微软雅黑"/>
          <w:b/>
          <w:sz w:val="28"/>
          <w:szCs w:val="28"/>
        </w:rPr>
      </w:pPr>
    </w:p>
    <w:p>
      <w:pPr>
        <w:ind w:firstLine="2988" w:firstLineChars="1063"/>
        <w:rPr>
          <w:rFonts w:ascii="宋体" w:hAnsi="宋体" w:eastAsia="宋体" w:cs="微软雅黑"/>
          <w:b/>
          <w:sz w:val="28"/>
          <w:szCs w:val="28"/>
        </w:rPr>
      </w:pPr>
      <w:r>
        <w:rPr>
          <w:rFonts w:hint="eastAsia" w:ascii="宋体" w:hAnsi="宋体" w:eastAsia="宋体" w:cs="微软雅黑"/>
          <w:b/>
          <w:sz w:val="28"/>
          <w:szCs w:val="28"/>
        </w:rPr>
        <w:t>项目编号：</w:t>
      </w:r>
    </w:p>
    <w:p>
      <w:pPr>
        <w:pStyle w:val="2"/>
        <w:ind w:firstLine="341"/>
        <w:rPr>
          <w:rFonts w:hAnsi="宋体"/>
          <w:b/>
        </w:rPr>
      </w:pPr>
    </w:p>
    <w:p>
      <w:pPr>
        <w:pStyle w:val="2"/>
        <w:ind w:firstLine="341"/>
        <w:rPr>
          <w:rFonts w:hAnsi="宋体"/>
          <w:b/>
        </w:rPr>
      </w:pPr>
    </w:p>
    <w:p>
      <w:pPr>
        <w:pStyle w:val="2"/>
        <w:ind w:firstLine="341"/>
        <w:rPr>
          <w:rFonts w:hAnsi="宋体"/>
          <w:b/>
        </w:rPr>
      </w:pPr>
    </w:p>
    <w:p>
      <w:pPr>
        <w:pStyle w:val="2"/>
        <w:ind w:firstLine="341"/>
        <w:rPr>
          <w:rFonts w:hAnsi="宋体"/>
          <w:b/>
        </w:rPr>
      </w:pPr>
    </w:p>
    <w:p>
      <w:pPr>
        <w:pStyle w:val="2"/>
        <w:ind w:left="0" w:leftChars="0" w:firstLine="0" w:firstLineChars="0"/>
        <w:rPr>
          <w:rFonts w:hAnsi="宋体"/>
          <w:b/>
        </w:rPr>
      </w:pPr>
    </w:p>
    <w:p>
      <w:pPr>
        <w:rPr>
          <w:rFonts w:ascii="宋体" w:hAnsi="宋体" w:eastAsia="宋体" w:cs="微软雅黑"/>
          <w:b/>
          <w:sz w:val="28"/>
          <w:szCs w:val="28"/>
        </w:rPr>
      </w:pPr>
    </w:p>
    <w:p>
      <w:pPr>
        <w:spacing w:line="480" w:lineRule="auto"/>
        <w:ind w:left="991" w:leftChars="472"/>
        <w:jc w:val="left"/>
        <w:rPr>
          <w:rFonts w:ascii="宋体" w:hAnsi="宋体" w:eastAsia="宋体" w:cs="微软雅黑"/>
          <w:b/>
          <w:sz w:val="28"/>
          <w:szCs w:val="28"/>
          <w:u w:val="single"/>
        </w:rPr>
      </w:pPr>
      <w:r>
        <w:rPr>
          <w:rFonts w:hint="eastAsia" w:ascii="宋体" w:hAnsi="宋体" w:eastAsia="宋体" w:cs="微软雅黑"/>
          <w:b/>
          <w:sz w:val="28"/>
          <w:szCs w:val="28"/>
        </w:rPr>
        <w:t>投  标  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（盖单位章）</w:t>
      </w:r>
    </w:p>
    <w:p>
      <w:pPr>
        <w:spacing w:line="480" w:lineRule="auto"/>
        <w:ind w:left="991" w:leftChars="472"/>
        <w:jc w:val="left"/>
        <w:rPr>
          <w:rFonts w:ascii="宋体" w:hAnsi="宋体" w:eastAsia="宋体" w:cs="微软雅黑"/>
          <w:b/>
          <w:sz w:val="28"/>
          <w:szCs w:val="28"/>
        </w:rPr>
      </w:pPr>
      <w:r>
        <w:rPr>
          <w:rFonts w:hint="eastAsia" w:ascii="宋体" w:hAnsi="宋体" w:eastAsia="宋体" w:cs="微软雅黑"/>
          <w:b/>
          <w:sz w:val="28"/>
          <w:szCs w:val="28"/>
        </w:rPr>
        <w:t>法定代表人或其委托代理人：</w:t>
      </w:r>
      <w:r>
        <w:rPr>
          <w:rFonts w:hint="eastAsia" w:ascii="宋体" w:hAnsi="宋体" w:eastAsia="宋体" w:cs="微软雅黑"/>
          <w:b/>
          <w:sz w:val="28"/>
          <w:szCs w:val="28"/>
          <w:u w:val="single"/>
        </w:rPr>
        <w:t xml:space="preserve">        </w:t>
      </w:r>
      <w:r>
        <w:rPr>
          <w:rFonts w:hint="eastAsia" w:ascii="宋体" w:hAnsi="宋体" w:eastAsia="宋体" w:cs="微软雅黑"/>
          <w:b/>
          <w:sz w:val="28"/>
          <w:szCs w:val="28"/>
        </w:rPr>
        <w:t>（签字或盖章）</w:t>
      </w:r>
    </w:p>
    <w:p>
      <w:pPr>
        <w:spacing w:line="480" w:lineRule="auto"/>
        <w:ind w:firstLine="3373" w:firstLineChars="1200"/>
        <w:rPr>
          <w:rFonts w:ascii="宋体" w:hAnsi="宋体" w:eastAsia="宋体" w:cs="微软雅黑"/>
          <w:b/>
          <w:sz w:val="28"/>
          <w:szCs w:val="28"/>
        </w:rPr>
      </w:pPr>
      <w:r>
        <w:rPr>
          <w:rFonts w:hint="eastAsia" w:ascii="宋体" w:hAnsi="宋体" w:eastAsia="宋体" w:cs="微软雅黑"/>
          <w:b/>
          <w:sz w:val="28"/>
          <w:szCs w:val="28"/>
        </w:rPr>
        <w:t>年  月  日</w:t>
      </w:r>
    </w:p>
    <w:p>
      <w:pPr>
        <w:widowControl/>
        <w:jc w:val="left"/>
        <w:rPr>
          <w:rFonts w:ascii="宋体" w:hAnsi="宋体" w:eastAsia="宋体" w:cs="微软雅黑"/>
          <w:b/>
          <w:sz w:val="28"/>
          <w:szCs w:val="28"/>
        </w:rPr>
      </w:pPr>
    </w:p>
    <w:p>
      <w:pPr>
        <w:spacing w:afterLines="50"/>
        <w:jc w:val="center"/>
        <w:rPr>
          <w:rFonts w:ascii="宋体" w:hAnsi="宋体" w:eastAsia="宋体"/>
          <w:b/>
          <w:snapToGrid w:val="0"/>
          <w:kern w:val="0"/>
          <w:sz w:val="36"/>
          <w:szCs w:val="36"/>
        </w:rPr>
      </w:pPr>
      <w:r>
        <w:rPr>
          <w:rFonts w:hint="eastAsia" w:ascii="宋体" w:hAnsi="宋体" w:eastAsia="宋体"/>
          <w:b/>
          <w:snapToGrid w:val="0"/>
          <w:kern w:val="0"/>
          <w:sz w:val="36"/>
          <w:szCs w:val="36"/>
        </w:rPr>
        <w:t>一、投标人应答索引表</w:t>
      </w:r>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序号</w:t>
            </w:r>
          </w:p>
        </w:tc>
        <w:tc>
          <w:tcPr>
            <w:tcW w:w="3751"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项目</w:t>
            </w:r>
          </w:p>
        </w:tc>
        <w:tc>
          <w:tcPr>
            <w:tcW w:w="1559"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投标人应答</w:t>
            </w:r>
          </w:p>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（有/没有）</w:t>
            </w:r>
          </w:p>
        </w:tc>
        <w:tc>
          <w:tcPr>
            <w:tcW w:w="1560"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投标文件中所在页码</w:t>
            </w:r>
          </w:p>
        </w:tc>
        <w:tc>
          <w:tcPr>
            <w:tcW w:w="2018" w:type="dxa"/>
            <w:vAlign w:val="center"/>
          </w:tcPr>
          <w:p>
            <w:pPr>
              <w:snapToGrid w:val="0"/>
              <w:spacing w:line="400" w:lineRule="exact"/>
              <w:jc w:val="center"/>
              <w:rPr>
                <w:rFonts w:ascii="宋体" w:hAnsi="宋体" w:eastAsia="宋体" w:cs="微软雅黑"/>
                <w:b/>
                <w:szCs w:val="24"/>
              </w:rPr>
            </w:pPr>
            <w:r>
              <w:rPr>
                <w:rFonts w:hint="eastAsia" w:ascii="宋体" w:hAnsi="宋体" w:eastAsia="宋体" w:cs="微软雅黑"/>
                <w:b/>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1</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szCs w:val="24"/>
              </w:rPr>
            </w:pPr>
            <w:r>
              <w:rPr>
                <w:rFonts w:hint="eastAsia" w:ascii="宋体" w:hAnsi="宋体"/>
                <w:kern w:val="0"/>
                <w:sz w:val="21"/>
                <w:szCs w:val="24"/>
              </w:rPr>
              <w:t>投标人应答索引表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2</w:t>
            </w:r>
          </w:p>
        </w:tc>
        <w:tc>
          <w:tcPr>
            <w:tcW w:w="3751" w:type="dxa"/>
            <w:vAlign w:val="center"/>
          </w:tcPr>
          <w:p>
            <w:pPr>
              <w:pStyle w:val="15"/>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开标一览表</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3</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szCs w:val="24"/>
              </w:rPr>
            </w:pPr>
            <w:r>
              <w:rPr>
                <w:rFonts w:hint="eastAsia" w:ascii="宋体" w:hAnsi="宋体"/>
                <w:kern w:val="0"/>
                <w:sz w:val="21"/>
                <w:szCs w:val="24"/>
              </w:rPr>
              <w:t>投标函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4</w:t>
            </w:r>
          </w:p>
        </w:tc>
        <w:tc>
          <w:tcPr>
            <w:tcW w:w="3751" w:type="dxa"/>
            <w:vAlign w:val="center"/>
          </w:tcPr>
          <w:p>
            <w:pPr>
              <w:pStyle w:val="15"/>
              <w:kinsoku w:val="0"/>
              <w:overflowPunct w:val="0"/>
              <w:autoSpaceDE w:val="0"/>
              <w:autoSpaceDN w:val="0"/>
              <w:spacing w:line="320" w:lineRule="exact"/>
              <w:rPr>
                <w:rFonts w:ascii="宋体" w:hAnsi="宋体"/>
                <w:kern w:val="0"/>
                <w:sz w:val="21"/>
                <w:szCs w:val="24"/>
              </w:rPr>
            </w:pPr>
            <w:r>
              <w:rPr>
                <w:rFonts w:hint="eastAsia" w:ascii="宋体" w:hAnsi="宋体" w:cstheme="majorEastAsia"/>
                <w:bCs/>
                <w:sz w:val="21"/>
                <w:szCs w:val="24"/>
                <w:lang w:val="zh-CN"/>
              </w:rPr>
              <w:t>法定代表人（单位负责人）资格证明书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5</w:t>
            </w:r>
          </w:p>
        </w:tc>
        <w:tc>
          <w:tcPr>
            <w:tcW w:w="3751" w:type="dxa"/>
            <w:vAlign w:val="center"/>
          </w:tcPr>
          <w:p>
            <w:pPr>
              <w:pStyle w:val="15"/>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法定代表人（单位负责人）授权书</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eastAsia="宋体" w:cs="微软雅黑"/>
                <w:szCs w:val="24"/>
              </w:rPr>
            </w:pPr>
            <w:r>
              <w:rPr>
                <w:rFonts w:hint="eastAsia" w:ascii="宋体" w:hAnsi="宋体" w:eastAsia="宋体" w:cs="微软雅黑"/>
                <w:szCs w:val="24"/>
              </w:rPr>
              <w:t>6</w:t>
            </w:r>
          </w:p>
        </w:tc>
        <w:tc>
          <w:tcPr>
            <w:tcW w:w="3751" w:type="dxa"/>
            <w:vAlign w:val="center"/>
          </w:tcPr>
          <w:p>
            <w:pPr>
              <w:pStyle w:val="15"/>
              <w:kinsoku w:val="0"/>
              <w:overflowPunct w:val="0"/>
              <w:autoSpaceDE w:val="0"/>
              <w:autoSpaceDN w:val="0"/>
              <w:spacing w:line="320" w:lineRule="exact"/>
              <w:rPr>
                <w:rFonts w:ascii="宋体" w:hAnsi="宋体"/>
                <w:kern w:val="0"/>
                <w:sz w:val="21"/>
                <w:szCs w:val="24"/>
              </w:rPr>
            </w:pPr>
            <w:r>
              <w:rPr>
                <w:rFonts w:hint="eastAsia" w:ascii="宋体" w:hAnsi="宋体"/>
                <w:kern w:val="0"/>
                <w:sz w:val="21"/>
                <w:szCs w:val="24"/>
              </w:rPr>
              <w:t>中小企业声明函</w:t>
            </w:r>
          </w:p>
        </w:tc>
        <w:tc>
          <w:tcPr>
            <w:tcW w:w="1559" w:type="dxa"/>
            <w:vAlign w:val="center"/>
          </w:tcPr>
          <w:p>
            <w:pPr>
              <w:snapToGrid w:val="0"/>
              <w:spacing w:line="400" w:lineRule="exact"/>
              <w:jc w:val="center"/>
              <w:rPr>
                <w:rFonts w:ascii="宋体" w:hAnsi="宋体" w:eastAsia="宋体" w:cs="微软雅黑"/>
                <w:szCs w:val="21"/>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7</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kern w:val="0"/>
                <w:sz w:val="21"/>
              </w:rPr>
              <w:t>残疾人福利企业声明函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8</w:t>
            </w:r>
          </w:p>
        </w:tc>
        <w:tc>
          <w:tcPr>
            <w:tcW w:w="3751" w:type="dxa"/>
            <w:vAlign w:val="center"/>
          </w:tcPr>
          <w:p>
            <w:pPr>
              <w:pStyle w:val="15"/>
              <w:kinsoku w:val="0"/>
              <w:overflowPunct w:val="0"/>
              <w:autoSpaceDE w:val="0"/>
              <w:autoSpaceDN w:val="0"/>
              <w:spacing w:line="320" w:lineRule="exact"/>
              <w:rPr>
                <w:rFonts w:ascii="宋体" w:hAnsi="宋体"/>
                <w:kern w:val="0"/>
                <w:sz w:val="21"/>
              </w:rPr>
            </w:pPr>
            <w:r>
              <w:rPr>
                <w:rFonts w:hint="eastAsia" w:ascii="宋体" w:hAnsi="宋体"/>
                <w:kern w:val="0"/>
                <w:sz w:val="21"/>
              </w:rPr>
              <w:t>投标承诺函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9</w:t>
            </w:r>
          </w:p>
        </w:tc>
        <w:tc>
          <w:tcPr>
            <w:tcW w:w="3751" w:type="dxa"/>
            <w:vAlign w:val="center"/>
          </w:tcPr>
          <w:p>
            <w:pPr>
              <w:pStyle w:val="15"/>
              <w:kinsoku w:val="0"/>
              <w:overflowPunct w:val="0"/>
              <w:autoSpaceDE w:val="0"/>
              <w:autoSpaceDN w:val="0"/>
              <w:spacing w:line="320" w:lineRule="exact"/>
              <w:rPr>
                <w:rFonts w:ascii="宋体" w:hAnsi="宋体" w:cstheme="majorEastAsia"/>
                <w:bCs/>
                <w:sz w:val="21"/>
                <w:szCs w:val="24"/>
                <w:lang w:val="zh-CN"/>
              </w:rPr>
            </w:pPr>
            <w:r>
              <w:rPr>
                <w:rFonts w:hint="eastAsia" w:ascii="宋体" w:hAnsi="宋体" w:cs="微软雅黑"/>
                <w:bCs/>
                <w:kern w:val="0"/>
                <w:sz w:val="21"/>
              </w:rPr>
              <w:t>许昌市政府采购供应商信用承诺函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10</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联合体协议</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11</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投标人与参加本项目投标的其他供应 商之间，单位负责人不为同一人并且不 存在直接控股、管理关系承诺函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12</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投标人未为本项目提供整体设计、规范 编制或者项目管理、监理、检测等服务 承诺函</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13</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投标分项报价表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14</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技术规格偏离表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15</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技术方案（实施方案）</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16</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售后服务方案</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17</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业绩情况表</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18</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政府强制采购节能产品品目清单情况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19</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优先采购节能产品政府采购品目清单情况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20</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优先采购环境标志产品政府采购品目清单情况</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21</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监狱企业证明文件</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22</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中国信息安全认证中心按国家标准认 证颁发的信息安全产品有效认证证书</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rPr>
        <w:tc>
          <w:tcPr>
            <w:tcW w:w="468" w:type="dxa"/>
            <w:vAlign w:val="center"/>
          </w:tcPr>
          <w:p>
            <w:pPr>
              <w:adjustRightInd w:val="0"/>
              <w:snapToGrid w:val="0"/>
              <w:spacing w:line="400" w:lineRule="exact"/>
              <w:jc w:val="center"/>
              <w:textAlignment w:val="baseline"/>
              <w:rPr>
                <w:rFonts w:ascii="宋体" w:hAnsi="宋体" w:eastAsia="宋体" w:cs="微软雅黑"/>
                <w:szCs w:val="21"/>
              </w:rPr>
            </w:pPr>
            <w:r>
              <w:rPr>
                <w:rFonts w:hint="eastAsia" w:ascii="宋体" w:hAnsi="宋体" w:eastAsia="宋体" w:cs="微软雅黑"/>
                <w:szCs w:val="21"/>
              </w:rPr>
              <w:t>23</w:t>
            </w:r>
          </w:p>
        </w:tc>
        <w:tc>
          <w:tcPr>
            <w:tcW w:w="3751" w:type="dxa"/>
            <w:vAlign w:val="center"/>
          </w:tcPr>
          <w:p>
            <w:pPr>
              <w:pStyle w:val="15"/>
              <w:kinsoku w:val="0"/>
              <w:overflowPunct w:val="0"/>
              <w:autoSpaceDE w:val="0"/>
              <w:autoSpaceDN w:val="0"/>
              <w:spacing w:line="320" w:lineRule="exact"/>
              <w:rPr>
                <w:rFonts w:ascii="宋体" w:hAnsi="宋体" w:cs="微软雅黑"/>
                <w:bCs/>
                <w:kern w:val="0"/>
                <w:sz w:val="21"/>
              </w:rPr>
            </w:pPr>
            <w:r>
              <w:rPr>
                <w:rFonts w:hint="eastAsia" w:ascii="宋体" w:hAnsi="宋体" w:cs="微软雅黑"/>
                <w:bCs/>
                <w:kern w:val="0"/>
                <w:sz w:val="21"/>
              </w:rPr>
              <w:t>其他资料</w:t>
            </w:r>
          </w:p>
        </w:tc>
        <w:tc>
          <w:tcPr>
            <w:tcW w:w="1559" w:type="dxa"/>
            <w:vAlign w:val="center"/>
          </w:tcPr>
          <w:p>
            <w:pPr>
              <w:jc w:val="center"/>
              <w:rPr>
                <w:rFonts w:ascii="宋体" w:hAnsi="宋体" w:eastAsia="宋体"/>
              </w:rPr>
            </w:pPr>
          </w:p>
        </w:tc>
        <w:tc>
          <w:tcPr>
            <w:tcW w:w="1560" w:type="dxa"/>
            <w:vAlign w:val="center"/>
          </w:tcPr>
          <w:p>
            <w:pPr>
              <w:snapToGrid w:val="0"/>
              <w:spacing w:line="400" w:lineRule="exact"/>
              <w:jc w:val="center"/>
              <w:rPr>
                <w:rFonts w:ascii="宋体" w:hAnsi="宋体" w:eastAsia="宋体" w:cs="微软雅黑"/>
                <w:szCs w:val="21"/>
              </w:rPr>
            </w:pPr>
          </w:p>
        </w:tc>
        <w:tc>
          <w:tcPr>
            <w:tcW w:w="2018" w:type="dxa"/>
            <w:vAlign w:val="center"/>
          </w:tcPr>
          <w:p>
            <w:pPr>
              <w:snapToGrid w:val="0"/>
              <w:spacing w:line="400" w:lineRule="exact"/>
              <w:jc w:val="center"/>
              <w:rPr>
                <w:rFonts w:ascii="宋体" w:hAnsi="宋体" w:eastAsia="宋体" w:cs="微软雅黑"/>
                <w:szCs w:val="21"/>
              </w:rPr>
            </w:pPr>
          </w:p>
        </w:tc>
      </w:tr>
    </w:tbl>
    <w:p>
      <w:pPr>
        <w:pStyle w:val="15"/>
        <w:spacing w:line="360" w:lineRule="auto"/>
        <w:jc w:val="center"/>
        <w:rPr>
          <w:rFonts w:ascii="宋体" w:hAnsi="宋体"/>
          <w:b/>
          <w:snapToGrid w:val="0"/>
          <w:kern w:val="0"/>
          <w:sz w:val="36"/>
          <w:szCs w:val="36"/>
        </w:rPr>
      </w:pPr>
    </w:p>
    <w:p>
      <w:pPr>
        <w:jc w:val="left"/>
        <w:rPr>
          <w:rFonts w:ascii="宋体" w:hAnsi="宋体" w:eastAsia="宋体"/>
          <w:snapToGrid w:val="0"/>
          <w:kern w:val="0"/>
          <w:sz w:val="24"/>
          <w:szCs w:val="36"/>
        </w:rPr>
      </w:pPr>
      <w:r>
        <w:rPr>
          <w:rFonts w:hint="eastAsia" w:ascii="宋体" w:hAnsi="宋体" w:eastAsia="宋体"/>
          <w:snapToGrid w:val="0"/>
          <w:kern w:val="0"/>
          <w:sz w:val="24"/>
          <w:szCs w:val="36"/>
        </w:rPr>
        <w:t>注：本表中的内容投标人应当根据自身的属性依据招标文件具体要求决定是否提供。其</w:t>
      </w:r>
    </w:p>
    <w:p>
      <w:pPr>
        <w:jc w:val="left"/>
        <w:rPr>
          <w:rFonts w:ascii="宋体" w:hAnsi="宋体" w:eastAsia="宋体"/>
          <w:snapToGrid w:val="0"/>
          <w:kern w:val="0"/>
          <w:sz w:val="24"/>
          <w:szCs w:val="36"/>
        </w:rPr>
      </w:pPr>
      <w:r>
        <w:rPr>
          <w:rFonts w:hint="eastAsia" w:ascii="宋体" w:hAnsi="宋体" w:eastAsia="宋体"/>
          <w:snapToGrid w:val="0"/>
          <w:kern w:val="0"/>
          <w:sz w:val="24"/>
          <w:szCs w:val="36"/>
        </w:rPr>
        <w:t>中有些是必须提供的，有些无须提供或根据需要才提供。采购文件没有明确要求提供的可不提供。投标人可根据自身情况调整本表或以方便评审为原则增加其他索引表。评标时，评委会应当认真阅读招标文件，决定是否是必审项，否决投标项或认定无效投标必须具有充分理由。</w:t>
      </w: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eastAsia="宋体"/>
          <w:sz w:val="24"/>
          <w:szCs w:val="24"/>
        </w:rPr>
      </w:pPr>
      <w:r>
        <w:rPr>
          <w:rFonts w:hint="eastAsia" w:ascii="宋体" w:hAnsi="宋体" w:eastAsia="宋体"/>
          <w:sz w:val="24"/>
          <w:szCs w:val="24"/>
        </w:rPr>
        <w:t>项目编号：</w:t>
      </w:r>
    </w:p>
    <w:p>
      <w:pPr>
        <w:spacing w:line="360" w:lineRule="auto"/>
        <w:contextualSpacing/>
        <w:rPr>
          <w:rFonts w:ascii="宋体" w:hAnsi="宋体" w:eastAsia="宋体"/>
          <w:sz w:val="24"/>
          <w:szCs w:val="24"/>
        </w:rPr>
      </w:pPr>
      <w:r>
        <w:rPr>
          <w:rFonts w:hint="eastAsia" w:ascii="宋体" w:hAnsi="宋体" w:eastAsia="宋体"/>
          <w:sz w:val="24"/>
          <w:szCs w:val="24"/>
        </w:rPr>
        <w:t xml:space="preserve">项目名称：                                       </w:t>
      </w:r>
      <w:r>
        <w:rPr>
          <w:rFonts w:hint="eastAsia" w:ascii="宋体" w:hAnsi="宋体" w:eastAsia="宋体" w:cs="Arial"/>
          <w:sz w:val="24"/>
          <w:szCs w:val="24"/>
        </w:rPr>
        <w:t>单位：</w:t>
      </w:r>
    </w:p>
    <w:tbl>
      <w:tblPr>
        <w:tblStyle w:val="24"/>
        <w:tblW w:w="8897" w:type="dxa"/>
        <w:tblInd w:w="0" w:type="dxa"/>
        <w:tblLayout w:type="fixed"/>
        <w:tblCellMar>
          <w:top w:w="0" w:type="dxa"/>
          <w:left w:w="108" w:type="dxa"/>
          <w:bottom w:w="0" w:type="dxa"/>
          <w:right w:w="108" w:type="dxa"/>
        </w:tblCellMar>
      </w:tblPr>
      <w:tblGrid>
        <w:gridCol w:w="1384"/>
        <w:gridCol w:w="2126"/>
        <w:gridCol w:w="3119"/>
        <w:gridCol w:w="1364"/>
        <w:gridCol w:w="904"/>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标段</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服务期限</w:t>
            </w: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大写：</w:t>
            </w:r>
          </w:p>
          <w:p>
            <w:pPr>
              <w:autoSpaceDE w:val="0"/>
              <w:autoSpaceDN w:val="0"/>
              <w:adjustRightInd w:val="0"/>
              <w:spacing w:line="480" w:lineRule="exact"/>
              <w:jc w:val="left"/>
              <w:rPr>
                <w:rFonts w:ascii="宋体" w:hAnsi="宋体" w:eastAsia="宋体" w:cs="宋体"/>
                <w:b/>
                <w:sz w:val="24"/>
                <w:szCs w:val="24"/>
                <w:lang w:val="zh-CN"/>
              </w:rPr>
            </w:pPr>
            <w:r>
              <w:rPr>
                <w:rFonts w:hint="eastAsia" w:ascii="宋体" w:hAnsi="宋体" w:eastAsia="宋体" w:cs="宋体"/>
                <w:b/>
                <w:sz w:val="24"/>
                <w:szCs w:val="24"/>
                <w:lang w:val="zh-CN"/>
              </w:rPr>
              <w:t>小写：</w:t>
            </w: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r>
              <w:rPr>
                <w:rFonts w:ascii="宋体" w:hAnsi="宋体" w:eastAsia="宋体" w:cs="宋体"/>
                <w:b/>
                <w:sz w:val="24"/>
                <w:szCs w:val="24"/>
                <w:lang w:val="zh-CN"/>
              </w:rPr>
              <w:t>…</w:t>
            </w:r>
          </w:p>
        </w:tc>
        <w:tc>
          <w:tcPr>
            <w:tcW w:w="2126"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311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1364"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c>
          <w:tcPr>
            <w:tcW w:w="904"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sz w:val="24"/>
                <w:szCs w:val="24"/>
                <w:lang w:val="zh-CN"/>
              </w:rPr>
            </w:pPr>
          </w:p>
        </w:tc>
      </w:tr>
    </w:tbl>
    <w:p>
      <w:pPr>
        <w:autoSpaceDE w:val="0"/>
        <w:autoSpaceDN w:val="0"/>
        <w:adjustRightInd w:val="0"/>
        <w:spacing w:beforeLines="100" w:line="480" w:lineRule="auto"/>
        <w:rPr>
          <w:rFonts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日期：  年  月  日</w:t>
      </w:r>
    </w:p>
    <w:p>
      <w:pPr>
        <w:jc w:val="left"/>
        <w:rPr>
          <w:rFonts w:ascii="宋体" w:hAnsi="宋体" w:eastAsia="宋体"/>
          <w:snapToGrid w:val="0"/>
          <w:kern w:val="0"/>
          <w:sz w:val="24"/>
          <w:szCs w:val="24"/>
        </w:rPr>
      </w:pPr>
      <w:r>
        <w:rPr>
          <w:rFonts w:hint="eastAsia" w:ascii="宋体" w:hAnsi="宋体" w:eastAsia="宋体"/>
          <w:snapToGrid w:val="0"/>
          <w:kern w:val="0"/>
          <w:sz w:val="24"/>
          <w:szCs w:val="24"/>
        </w:rPr>
        <w:t>注：1、交付日期指完成该项目的最终时间（日历天）。</w:t>
      </w:r>
    </w:p>
    <w:p>
      <w:pPr>
        <w:jc w:val="left"/>
        <w:rPr>
          <w:rFonts w:ascii="宋体" w:hAnsi="宋体" w:eastAsia="宋体"/>
          <w:b/>
          <w:snapToGrid w:val="0"/>
          <w:kern w:val="0"/>
          <w:sz w:val="24"/>
          <w:szCs w:val="24"/>
        </w:rPr>
      </w:pPr>
      <w:r>
        <w:rPr>
          <w:rFonts w:hint="eastAsia" w:ascii="宋体" w:hAnsi="宋体" w:eastAsia="宋体"/>
          <w:snapToGrid w:val="0"/>
          <w:kern w:val="0"/>
          <w:sz w:val="24"/>
          <w:szCs w:val="24"/>
        </w:rPr>
        <w:t>2、如招标公告明确项目交付日期以年为单位，本表应填写完成该项目的年限。</w:t>
      </w:r>
      <w:r>
        <w:rPr>
          <w:rFonts w:ascii="宋体" w:hAnsi="宋体" w:eastAsia="宋体"/>
          <w:b/>
          <w:snapToGrid w:val="0"/>
          <w:kern w:val="0"/>
          <w:sz w:val="24"/>
          <w:szCs w:val="24"/>
        </w:rPr>
        <w:br w:type="page"/>
      </w:r>
    </w:p>
    <w:p>
      <w:pPr>
        <w:jc w:val="center"/>
        <w:rPr>
          <w:rFonts w:ascii="宋体" w:hAnsi="宋体" w:eastAsia="宋体"/>
          <w:b/>
          <w:snapToGrid w:val="0"/>
          <w:kern w:val="0"/>
          <w:sz w:val="36"/>
          <w:szCs w:val="36"/>
        </w:rPr>
      </w:pPr>
      <w:r>
        <w:rPr>
          <w:rFonts w:hint="eastAsia" w:ascii="宋体" w:hAnsi="宋体" w:eastAsia="宋体"/>
          <w:b/>
          <w:snapToGrid w:val="0"/>
          <w:kern w:val="0"/>
          <w:sz w:val="36"/>
          <w:szCs w:val="36"/>
        </w:rPr>
        <w:t>三、资格审查证明材料</w:t>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3.1 投 标 函</w:t>
      </w:r>
    </w:p>
    <w:p>
      <w:pPr>
        <w:adjustRightInd w:val="0"/>
        <w:spacing w:line="360" w:lineRule="auto"/>
        <w:contextualSpacing/>
        <w:rPr>
          <w:rFonts w:ascii="宋体" w:hAnsi="宋体" w:eastAsia="宋体"/>
          <w:b/>
          <w:snapToGrid w:val="0"/>
          <w:kern w:val="0"/>
          <w:sz w:val="24"/>
          <w:szCs w:val="24"/>
        </w:rPr>
      </w:pPr>
      <w:r>
        <w:rPr>
          <w:rFonts w:hint="eastAsia" w:ascii="宋体" w:hAnsi="宋体" w:eastAsia="宋体"/>
          <w:snapToGrid w:val="0"/>
          <w:kern w:val="0"/>
          <w:sz w:val="24"/>
          <w:szCs w:val="24"/>
        </w:rPr>
        <w:t>致：</w:t>
      </w:r>
      <w:r>
        <w:rPr>
          <w:rFonts w:hint="eastAsia" w:ascii="宋体" w:hAnsi="宋体" w:eastAsia="宋体"/>
          <w:snapToGrid w:val="0"/>
          <w:kern w:val="0"/>
          <w:sz w:val="24"/>
          <w:szCs w:val="24"/>
          <w:u w:val="single"/>
        </w:rPr>
        <w:t xml:space="preserve">              </w:t>
      </w:r>
      <w:r>
        <w:rPr>
          <w:rFonts w:hint="eastAsia" w:ascii="宋体" w:hAnsi="宋体" w:eastAsia="宋体"/>
          <w:snapToGrid w:val="0"/>
          <w:kern w:val="0"/>
          <w:sz w:val="24"/>
          <w:szCs w:val="24"/>
        </w:rPr>
        <w:t>（采购单位）</w:t>
      </w:r>
    </w:p>
    <w:p>
      <w:pPr>
        <w:pStyle w:val="15"/>
        <w:adjustRightInd w:val="0"/>
        <w:spacing w:line="360" w:lineRule="auto"/>
        <w:ind w:firstLine="480" w:firstLineChars="200"/>
        <w:contextualSpacing/>
        <w:jc w:val="left"/>
        <w:rPr>
          <w:rFonts w:ascii="宋体" w:hAnsi="宋体"/>
          <w:snapToGrid w:val="0"/>
          <w:kern w:val="0"/>
          <w:szCs w:val="24"/>
        </w:rPr>
      </w:pPr>
      <w:r>
        <w:rPr>
          <w:rFonts w:hint="eastAsia" w:ascii="宋体" w:hAnsi="宋体"/>
          <w:snapToGrid w:val="0"/>
          <w:kern w:val="0"/>
          <w:szCs w:val="24"/>
        </w:rPr>
        <w:t>根据贵方</w:t>
      </w:r>
      <w:r>
        <w:rPr>
          <w:rFonts w:hint="eastAsia" w:ascii="宋体" w:hAnsi="宋体"/>
          <w:snapToGrid w:val="0"/>
          <w:kern w:val="0"/>
          <w:szCs w:val="24"/>
          <w:u w:val="single"/>
        </w:rPr>
        <w:t xml:space="preserve"> （招标编号、项目名称）</w:t>
      </w:r>
      <w:r>
        <w:rPr>
          <w:rFonts w:hint="eastAsia" w:ascii="宋体" w:hAnsi="宋体"/>
          <w:snapToGrid w:val="0"/>
          <w:kern w:val="0"/>
          <w:szCs w:val="24"/>
        </w:rPr>
        <w:t>采购的招标公告及投标邀请，</w:t>
      </w:r>
      <w:r>
        <w:rPr>
          <w:rFonts w:hint="eastAsia" w:ascii="宋体" w:hAnsi="宋体"/>
          <w:snapToGrid w:val="0"/>
          <w:kern w:val="0"/>
          <w:szCs w:val="24"/>
          <w:u w:val="single"/>
        </w:rPr>
        <w:t xml:space="preserve"> （姓名和职务）</w:t>
      </w:r>
      <w:r>
        <w:rPr>
          <w:rFonts w:hint="eastAsia" w:ascii="宋体" w:hAnsi="宋体"/>
          <w:snapToGrid w:val="0"/>
          <w:kern w:val="0"/>
          <w:szCs w:val="24"/>
        </w:rPr>
        <w:t>被正式授权并代表投标人</w:t>
      </w:r>
      <w:r>
        <w:rPr>
          <w:rFonts w:hint="eastAsia" w:ascii="宋体" w:hAnsi="宋体"/>
          <w:snapToGrid w:val="0"/>
          <w:kern w:val="0"/>
          <w:szCs w:val="24"/>
          <w:u w:val="single"/>
        </w:rPr>
        <w:t xml:space="preserve"> （投标人名称、地址） 提交</w:t>
      </w:r>
      <w:r>
        <w:rPr>
          <w:rFonts w:hint="eastAsia" w:ascii="宋体" w:hAnsi="宋体"/>
          <w:snapToGrid w:val="0"/>
          <w:kern w:val="0"/>
          <w:szCs w:val="24"/>
        </w:rPr>
        <w:t>。</w:t>
      </w:r>
    </w:p>
    <w:p>
      <w:pPr>
        <w:pStyle w:val="15"/>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hint="eastAsia" w:ascii="宋体" w:hAnsi="宋体"/>
          <w:snapToGrid w:val="0"/>
          <w:kern w:val="0"/>
          <w:szCs w:val="24"/>
          <w:u w:val="single"/>
        </w:rPr>
        <w:t xml:space="preserve">          </w:t>
      </w:r>
      <w:r>
        <w:rPr>
          <w:rFonts w:hint="eastAsia" w:ascii="宋体" w:hAnsi="宋体"/>
          <w:snapToGrid w:val="0"/>
          <w:kern w:val="0"/>
          <w:szCs w:val="24"/>
        </w:rPr>
        <w:t>（项目名称、标段、项目编号）招标文件的全部内容。</w:t>
      </w:r>
    </w:p>
    <w:p>
      <w:pPr>
        <w:adjustRightInd w:val="0"/>
        <w:spacing w:line="360" w:lineRule="auto"/>
        <w:ind w:firstLine="480" w:firstLineChars="200"/>
        <w:contextualSpacing/>
        <w:rPr>
          <w:rFonts w:ascii="宋体" w:hAnsi="宋体" w:eastAsia="宋体"/>
          <w:snapToGrid w:val="0"/>
          <w:kern w:val="0"/>
          <w:sz w:val="24"/>
          <w:szCs w:val="24"/>
        </w:rPr>
      </w:pPr>
      <w:r>
        <w:rPr>
          <w:rFonts w:hint="eastAsia" w:ascii="宋体" w:hAnsi="宋体" w:eastAsia="宋体"/>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Courier New"/>
          <w:sz w:val="24"/>
          <w:szCs w:val="24"/>
        </w:rPr>
      </w:pPr>
      <w:r>
        <w:rPr>
          <w:rFonts w:hint="eastAsia" w:ascii="宋体" w:hAnsi="宋体" w:eastAsia="宋体" w:cs="Courier New"/>
          <w:sz w:val="24"/>
          <w:szCs w:val="24"/>
        </w:rPr>
        <w:t>一、按招标文件提供的全部货物与相关服务的投标总价详见《开标一览表》。</w:t>
      </w:r>
    </w:p>
    <w:p>
      <w:pPr>
        <w:pStyle w:val="23"/>
        <w:adjustRightInd w:val="0"/>
        <w:spacing w:line="360" w:lineRule="auto"/>
        <w:ind w:firstLine="480" w:firstLineChars="200"/>
        <w:contextualSpacing/>
        <w:rPr>
          <w:rFonts w:ascii="宋体" w:hAnsi="宋体" w:cs="Courier New"/>
        </w:rPr>
      </w:pPr>
      <w:r>
        <w:rPr>
          <w:rFonts w:hint="eastAsia" w:ascii="宋体" w:hAnsi="宋体" w:cs="Courier New"/>
        </w:rPr>
        <w:t>二、我方同意在本项目招标文件中规定的开标日起 90 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23"/>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23"/>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5"/>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（5）符合法律、行政法规规定的其他条件。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宋体"/>
          <w:sz w:val="24"/>
          <w:szCs w:val="24"/>
        </w:rPr>
        <w:t>以上内容如有虚假或与事实不符的，评审委员会可将</w:t>
      </w:r>
      <w:r>
        <w:rPr>
          <w:rFonts w:hint="eastAsia" w:ascii="宋体" w:hAnsi="宋体" w:eastAsia="宋体" w:cs="Arial"/>
          <w:sz w:val="24"/>
          <w:szCs w:val="24"/>
        </w:rPr>
        <w:t>我方做无效投标处理，我方愿意承担相应的法律责任。</w:t>
      </w:r>
    </w:p>
    <w:p>
      <w:pPr>
        <w:pStyle w:val="15"/>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5"/>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5"/>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               邮政编码：</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               传    真：</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         职    务：</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p>
    <w:p>
      <w:pPr>
        <w:adjustRightInd w:val="0"/>
        <w:snapToGrid w:val="0"/>
        <w:spacing w:line="360" w:lineRule="auto"/>
        <w:ind w:firstLine="4920" w:firstLineChars="2050"/>
        <w:rPr>
          <w:rFonts w:ascii="宋体" w:hAnsi="宋体" w:eastAsia="宋体"/>
          <w:b/>
          <w:bCs/>
          <w:sz w:val="36"/>
          <w:szCs w:val="36"/>
        </w:rPr>
      </w:pPr>
      <w:r>
        <w:rPr>
          <w:rFonts w:hint="eastAsia" w:ascii="宋体" w:hAnsi="宋体" w:eastAsia="宋体" w:cs="宋体"/>
          <w:sz w:val="24"/>
          <w:szCs w:val="24"/>
        </w:rPr>
        <w:t>日期：年  月  日</w:t>
      </w: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3.2 法定代表人</w:t>
      </w:r>
      <w:r>
        <w:rPr>
          <w:rFonts w:ascii="宋体" w:hAnsi="宋体" w:eastAsia="宋体"/>
          <w:b/>
          <w:snapToGrid w:val="0"/>
          <w:kern w:val="0"/>
          <w:sz w:val="32"/>
          <w:szCs w:val="32"/>
        </w:rPr>
        <w:t>资</w:t>
      </w:r>
      <w:r>
        <w:rPr>
          <w:rFonts w:hint="eastAsia" w:ascii="宋体" w:hAnsi="宋体" w:eastAsia="宋体"/>
          <w:b/>
          <w:snapToGrid w:val="0"/>
          <w:kern w:val="0"/>
          <w:sz w:val="32"/>
          <w:szCs w:val="32"/>
        </w:rPr>
        <w:t>格</w:t>
      </w:r>
      <w:r>
        <w:rPr>
          <w:rFonts w:ascii="宋体" w:hAnsi="宋体" w:eastAsia="宋体"/>
          <w:b/>
          <w:snapToGrid w:val="0"/>
          <w:kern w:val="0"/>
          <w:sz w:val="32"/>
          <w:szCs w:val="32"/>
        </w:rPr>
        <w:t>证</w:t>
      </w:r>
      <w:r>
        <w:rPr>
          <w:rFonts w:hint="eastAsia" w:ascii="宋体" w:hAnsi="宋体" w:eastAsia="宋体"/>
          <w:b/>
          <w:snapToGrid w:val="0"/>
          <w:kern w:val="0"/>
          <w:sz w:val="32"/>
          <w:szCs w:val="32"/>
        </w:rPr>
        <w:t>明</w:t>
      </w:r>
      <w:r>
        <w:rPr>
          <w:rFonts w:ascii="宋体" w:hAnsi="宋体" w:eastAsia="宋体"/>
          <w:b/>
          <w:snapToGrid w:val="0"/>
          <w:kern w:val="0"/>
          <w:sz w:val="32"/>
          <w:szCs w:val="32"/>
        </w:rPr>
        <w:t>书</w:t>
      </w:r>
    </w:p>
    <w:p>
      <w:pPr>
        <w:autoSpaceDE w:val="0"/>
        <w:autoSpaceDN w:val="0"/>
        <w:adjustRightInd w:val="0"/>
        <w:spacing w:line="480" w:lineRule="auto"/>
        <w:ind w:firstLine="616" w:firstLineChars="257"/>
        <w:rPr>
          <w:rFonts w:ascii="宋体" w:hAnsi="宋体" w:eastAsia="宋体"/>
          <w:sz w:val="24"/>
          <w:szCs w:val="24"/>
        </w:rPr>
      </w:pPr>
    </w:p>
    <w:p>
      <w:pPr>
        <w:pStyle w:val="43"/>
        <w:spacing w:line="480" w:lineRule="auto"/>
        <w:ind w:firstLine="540" w:firstLineChars="225"/>
        <w:jc w:val="left"/>
        <w:rPr>
          <w:rFonts w:hAnsi="宋体" w:eastAsia="宋体"/>
          <w:szCs w:val="24"/>
        </w:rPr>
      </w:pPr>
      <w:r>
        <w:rPr>
          <w:rFonts w:hAnsi="宋体" w:eastAsia="宋体"/>
          <w:szCs w:val="24"/>
        </w:rPr>
        <w:t>单</w:t>
      </w:r>
      <w:r>
        <w:rPr>
          <w:rFonts w:hint="eastAsia" w:hAnsi="宋体" w:eastAsia="宋体"/>
          <w:szCs w:val="24"/>
        </w:rPr>
        <w:t>位名</w:t>
      </w:r>
      <w:r>
        <w:rPr>
          <w:rFonts w:hAnsi="宋体" w:eastAsia="宋体"/>
          <w:szCs w:val="24"/>
        </w:rPr>
        <w:t>称</w:t>
      </w:r>
      <w:r>
        <w:rPr>
          <w:rFonts w:hint="eastAsia" w:hAnsi="宋体" w:eastAsia="宋体"/>
          <w:szCs w:val="24"/>
        </w:rPr>
        <w:t>：</w:t>
      </w:r>
    </w:p>
    <w:p>
      <w:pPr>
        <w:pStyle w:val="43"/>
        <w:spacing w:line="480" w:lineRule="auto"/>
        <w:ind w:firstLine="540" w:firstLineChars="225"/>
        <w:jc w:val="left"/>
        <w:rPr>
          <w:rFonts w:hAnsi="宋体" w:eastAsia="宋体"/>
          <w:szCs w:val="24"/>
        </w:rPr>
      </w:pPr>
      <w:r>
        <w:rPr>
          <w:rFonts w:hint="eastAsia" w:hAnsi="宋体" w:eastAsia="宋体"/>
          <w:szCs w:val="24"/>
        </w:rPr>
        <w:t>地址：</w:t>
      </w:r>
    </w:p>
    <w:p>
      <w:pPr>
        <w:pStyle w:val="43"/>
        <w:spacing w:line="480" w:lineRule="auto"/>
        <w:ind w:firstLine="540" w:firstLineChars="225"/>
        <w:jc w:val="left"/>
        <w:rPr>
          <w:rFonts w:hAnsi="宋体" w:eastAsia="宋体"/>
          <w:szCs w:val="24"/>
        </w:rPr>
      </w:pPr>
      <w:r>
        <w:rPr>
          <w:rFonts w:hint="eastAsia" w:hAnsi="宋体" w:eastAsia="宋体"/>
          <w:szCs w:val="24"/>
        </w:rPr>
        <w:t>姓名： 性</w:t>
      </w:r>
      <w:r>
        <w:rPr>
          <w:rFonts w:hAnsi="宋体" w:eastAsia="宋体"/>
          <w:szCs w:val="24"/>
        </w:rPr>
        <w:t>别</w:t>
      </w:r>
      <w:r>
        <w:rPr>
          <w:rFonts w:hint="eastAsia" w:hAnsi="宋体" w:eastAsia="宋体"/>
          <w:szCs w:val="24"/>
        </w:rPr>
        <w:t>： 年</w:t>
      </w:r>
      <w:r>
        <w:rPr>
          <w:rFonts w:hAnsi="宋体" w:eastAsia="宋体"/>
          <w:szCs w:val="24"/>
        </w:rPr>
        <w:t>龄</w:t>
      </w:r>
      <w:r>
        <w:rPr>
          <w:rFonts w:hint="eastAsia" w:hAnsi="宋体" w:eastAsia="宋体"/>
          <w:szCs w:val="24"/>
        </w:rPr>
        <w:t>：</w:t>
      </w:r>
      <w:r>
        <w:rPr>
          <w:rFonts w:hAnsi="宋体" w:eastAsia="宋体"/>
          <w:szCs w:val="24"/>
        </w:rPr>
        <w:t xml:space="preserve"> 职务</w:t>
      </w:r>
      <w:r>
        <w:rPr>
          <w:rFonts w:hint="eastAsia" w:hAnsi="宋体" w:eastAsia="宋体"/>
          <w:szCs w:val="24"/>
        </w:rPr>
        <w:t>：</w:t>
      </w:r>
    </w:p>
    <w:p>
      <w:pPr>
        <w:pStyle w:val="43"/>
        <w:spacing w:line="480" w:lineRule="auto"/>
        <w:ind w:firstLine="540" w:firstLineChars="225"/>
        <w:jc w:val="left"/>
        <w:rPr>
          <w:rFonts w:hAnsi="宋体" w:eastAsia="宋体"/>
          <w:szCs w:val="24"/>
        </w:rPr>
      </w:pPr>
      <w:r>
        <w:rPr>
          <w:rFonts w:hint="eastAsia" w:hAnsi="宋体" w:eastAsia="宋体"/>
          <w:szCs w:val="24"/>
        </w:rPr>
        <w:t>系</w:t>
      </w:r>
      <w:r>
        <w:rPr>
          <w:rFonts w:hint="eastAsia" w:hAnsi="宋体" w:eastAsia="宋体"/>
          <w:i/>
          <w:snapToGrid w:val="0"/>
          <w:szCs w:val="24"/>
          <w:u w:val="single"/>
        </w:rPr>
        <w:t>（投</w:t>
      </w:r>
      <w:r>
        <w:rPr>
          <w:rFonts w:hAnsi="宋体" w:eastAsia="宋体"/>
          <w:i/>
          <w:snapToGrid w:val="0"/>
          <w:szCs w:val="24"/>
          <w:u w:val="single"/>
        </w:rPr>
        <w:t>标</w:t>
      </w:r>
      <w:r>
        <w:rPr>
          <w:rFonts w:hint="eastAsia" w:hAnsi="宋体" w:eastAsia="宋体"/>
          <w:i/>
          <w:snapToGrid w:val="0"/>
          <w:szCs w:val="24"/>
          <w:u w:val="single"/>
        </w:rPr>
        <w:t>人名</w:t>
      </w:r>
      <w:r>
        <w:rPr>
          <w:rFonts w:hAnsi="宋体" w:eastAsia="宋体"/>
          <w:i/>
          <w:snapToGrid w:val="0"/>
          <w:szCs w:val="24"/>
          <w:u w:val="single"/>
        </w:rPr>
        <w:t>称</w:t>
      </w:r>
      <w:r>
        <w:rPr>
          <w:rFonts w:hint="eastAsia" w:hAnsi="宋体" w:eastAsia="宋体"/>
          <w:i/>
          <w:snapToGrid w:val="0"/>
          <w:szCs w:val="24"/>
          <w:u w:val="single"/>
        </w:rPr>
        <w:t xml:space="preserve">）   </w:t>
      </w:r>
      <w:r>
        <w:rPr>
          <w:rFonts w:hint="eastAsia" w:hAnsi="宋体" w:eastAsia="宋体"/>
          <w:szCs w:val="24"/>
        </w:rPr>
        <w:t>的法定代表人。就</w:t>
      </w:r>
      <w:r>
        <w:rPr>
          <w:rFonts w:hAnsi="宋体" w:eastAsia="宋体"/>
          <w:szCs w:val="24"/>
        </w:rPr>
        <w:t>参</w:t>
      </w:r>
      <w:r>
        <w:rPr>
          <w:rFonts w:hint="eastAsia" w:hAnsi="宋体" w:eastAsia="宋体"/>
          <w:szCs w:val="24"/>
        </w:rPr>
        <w:t>加贵方项目</w:t>
      </w:r>
      <w:r>
        <w:rPr>
          <w:rFonts w:hAnsi="宋体" w:eastAsia="宋体"/>
          <w:szCs w:val="24"/>
        </w:rPr>
        <w:t>编号为</w:t>
      </w:r>
      <w:r>
        <w:rPr>
          <w:rFonts w:hint="eastAsia" w:hAnsi="宋体" w:eastAsia="宋体"/>
          <w:i/>
          <w:szCs w:val="24"/>
          <w:u w:val="single"/>
        </w:rPr>
        <w:t>（项目</w:t>
      </w:r>
      <w:r>
        <w:rPr>
          <w:rFonts w:hAnsi="宋体" w:eastAsia="宋体"/>
          <w:i/>
          <w:szCs w:val="24"/>
          <w:u w:val="single"/>
        </w:rPr>
        <w:t>编号</w:t>
      </w:r>
      <w:r>
        <w:rPr>
          <w:rFonts w:hint="eastAsia" w:hAnsi="宋体" w:eastAsia="宋体"/>
          <w:i/>
          <w:szCs w:val="24"/>
          <w:u w:val="single"/>
        </w:rPr>
        <w:t>）</w:t>
      </w:r>
      <w:r>
        <w:rPr>
          <w:rFonts w:hint="eastAsia" w:hAnsi="宋体" w:eastAsia="宋体"/>
          <w:szCs w:val="24"/>
        </w:rPr>
        <w:t>的</w:t>
      </w:r>
      <w:r>
        <w:rPr>
          <w:rFonts w:hint="eastAsia" w:hAnsi="宋体" w:eastAsia="宋体"/>
          <w:szCs w:val="24"/>
          <w:u w:val="single"/>
        </w:rPr>
        <w:t xml:space="preserve">    （</w:t>
      </w:r>
      <w:r>
        <w:rPr>
          <w:rFonts w:hint="eastAsia" w:hAnsi="宋体" w:eastAsia="宋体"/>
          <w:i/>
          <w:szCs w:val="24"/>
          <w:u w:val="single"/>
        </w:rPr>
        <w:t>项目名称、标段</w:t>
      </w:r>
      <w:r>
        <w:rPr>
          <w:rFonts w:hint="eastAsia" w:hAnsi="宋体" w:eastAsia="宋体"/>
          <w:szCs w:val="24"/>
          <w:u w:val="single"/>
        </w:rPr>
        <w:t xml:space="preserve">）  </w:t>
      </w:r>
      <w:r>
        <w:rPr>
          <w:rFonts w:hint="eastAsia" w:hAnsi="宋体" w:eastAsia="宋体"/>
          <w:szCs w:val="24"/>
        </w:rPr>
        <w:t>公</w:t>
      </w:r>
      <w:r>
        <w:rPr>
          <w:rFonts w:hAnsi="宋体" w:eastAsia="宋体"/>
          <w:szCs w:val="24"/>
        </w:rPr>
        <w:t>开</w:t>
      </w:r>
      <w:r>
        <w:rPr>
          <w:rFonts w:hint="eastAsia" w:hAnsi="宋体" w:eastAsia="宋体"/>
          <w:szCs w:val="24"/>
        </w:rPr>
        <w:t>招</w:t>
      </w:r>
      <w:r>
        <w:rPr>
          <w:rFonts w:hAnsi="宋体" w:eastAsia="宋体"/>
          <w:szCs w:val="24"/>
        </w:rPr>
        <w:t>标项目</w:t>
      </w:r>
      <w:r>
        <w:rPr>
          <w:rFonts w:hint="eastAsia" w:hAnsi="宋体" w:eastAsia="宋体"/>
          <w:szCs w:val="24"/>
        </w:rPr>
        <w:t>的投</w:t>
      </w:r>
      <w:r>
        <w:rPr>
          <w:rFonts w:hAnsi="宋体" w:eastAsia="宋体"/>
          <w:szCs w:val="24"/>
        </w:rPr>
        <w:t>标报价</w:t>
      </w:r>
      <w:r>
        <w:rPr>
          <w:rFonts w:hint="eastAsia" w:hAnsi="宋体" w:eastAsia="宋体"/>
          <w:szCs w:val="24"/>
        </w:rPr>
        <w:t>，</w:t>
      </w:r>
      <w:r>
        <w:rPr>
          <w:rFonts w:hAnsi="宋体" w:eastAsia="宋体"/>
          <w:szCs w:val="24"/>
        </w:rPr>
        <w:t>签</w:t>
      </w:r>
      <w:r>
        <w:rPr>
          <w:rFonts w:hint="eastAsia" w:hAnsi="宋体" w:eastAsia="宋体"/>
          <w:szCs w:val="24"/>
        </w:rPr>
        <w:t>署上</w:t>
      </w:r>
      <w:r>
        <w:rPr>
          <w:rFonts w:hAnsi="宋体" w:eastAsia="宋体"/>
          <w:szCs w:val="24"/>
        </w:rPr>
        <w:t>述项目</w:t>
      </w:r>
      <w:r>
        <w:rPr>
          <w:rFonts w:hint="eastAsia" w:hAnsi="宋体" w:eastAsia="宋体"/>
          <w:szCs w:val="24"/>
        </w:rPr>
        <w:t>的投</w:t>
      </w:r>
      <w:r>
        <w:rPr>
          <w:rFonts w:hAnsi="宋体" w:eastAsia="宋体"/>
          <w:szCs w:val="24"/>
        </w:rPr>
        <w:t>标</w:t>
      </w:r>
      <w:r>
        <w:rPr>
          <w:rFonts w:hint="eastAsia" w:hAnsi="宋体" w:eastAsia="宋体"/>
          <w:szCs w:val="24"/>
        </w:rPr>
        <w:t>文件及合同的</w:t>
      </w:r>
      <w:r>
        <w:rPr>
          <w:rFonts w:hAnsi="宋体" w:eastAsia="宋体"/>
          <w:szCs w:val="24"/>
        </w:rPr>
        <w:t>执</w:t>
      </w:r>
      <w:r>
        <w:rPr>
          <w:rFonts w:hint="eastAsia" w:hAnsi="宋体" w:eastAsia="宋体"/>
          <w:szCs w:val="24"/>
        </w:rPr>
        <w:t>行、完成、服</w:t>
      </w:r>
      <w:r>
        <w:rPr>
          <w:rFonts w:hAnsi="宋体" w:eastAsia="宋体"/>
          <w:szCs w:val="24"/>
        </w:rPr>
        <w:t>务</w:t>
      </w:r>
      <w:r>
        <w:rPr>
          <w:rFonts w:hint="eastAsia" w:hAnsi="宋体" w:eastAsia="宋体"/>
          <w:szCs w:val="24"/>
        </w:rPr>
        <w:t>和保修，</w:t>
      </w:r>
      <w:r>
        <w:rPr>
          <w:rFonts w:hAnsi="宋体" w:eastAsia="宋体"/>
          <w:szCs w:val="24"/>
        </w:rPr>
        <w:t>签</w:t>
      </w:r>
      <w:r>
        <w:rPr>
          <w:rFonts w:hint="eastAsia" w:hAnsi="宋体" w:eastAsia="宋体"/>
          <w:szCs w:val="24"/>
        </w:rPr>
        <w:t>署合同和</w:t>
      </w:r>
      <w:r>
        <w:rPr>
          <w:rFonts w:hAnsi="宋体" w:eastAsia="宋体"/>
          <w:szCs w:val="24"/>
        </w:rPr>
        <w:t>处</w:t>
      </w:r>
      <w:r>
        <w:rPr>
          <w:rFonts w:hint="eastAsia" w:hAnsi="宋体" w:eastAsia="宋体"/>
          <w:szCs w:val="24"/>
        </w:rPr>
        <w:t>理与之有</w:t>
      </w:r>
      <w:r>
        <w:rPr>
          <w:rFonts w:hAnsi="宋体" w:eastAsia="宋体"/>
          <w:szCs w:val="24"/>
        </w:rPr>
        <w:t>关的</w:t>
      </w:r>
      <w:r>
        <w:rPr>
          <w:rFonts w:hint="eastAsia" w:hAnsi="宋体" w:eastAsia="宋体"/>
          <w:szCs w:val="24"/>
        </w:rPr>
        <w:t>一切事</w:t>
      </w:r>
      <w:r>
        <w:rPr>
          <w:rFonts w:hAnsi="宋体" w:eastAsia="宋体"/>
          <w:szCs w:val="24"/>
        </w:rPr>
        <w:t>务</w:t>
      </w:r>
      <w:r>
        <w:rPr>
          <w:rFonts w:hint="eastAsia" w:hAnsi="宋体" w:eastAsia="宋体"/>
          <w:szCs w:val="24"/>
        </w:rPr>
        <w:t>。</w:t>
      </w:r>
    </w:p>
    <w:p>
      <w:pPr>
        <w:pStyle w:val="43"/>
        <w:spacing w:line="480" w:lineRule="auto"/>
        <w:ind w:firstLine="540" w:firstLineChars="225"/>
        <w:jc w:val="left"/>
        <w:rPr>
          <w:rFonts w:hAnsi="宋体" w:eastAsia="宋体"/>
          <w:szCs w:val="24"/>
        </w:rPr>
      </w:pPr>
      <w:r>
        <w:rPr>
          <w:rFonts w:hint="eastAsia" w:hAnsi="宋体" w:eastAsia="宋体"/>
          <w:szCs w:val="24"/>
        </w:rPr>
        <w:t>特此</w:t>
      </w:r>
      <w:r>
        <w:rPr>
          <w:rFonts w:hAnsi="宋体" w:eastAsia="宋体"/>
          <w:szCs w:val="24"/>
        </w:rPr>
        <w:t>证</w:t>
      </w:r>
      <w:r>
        <w:rPr>
          <w:rFonts w:hint="eastAsia" w:hAnsi="宋体" w:eastAsia="宋体"/>
          <w:szCs w:val="24"/>
        </w:rPr>
        <w:t>明。</w:t>
      </w:r>
    </w:p>
    <w:p>
      <w:pPr>
        <w:pStyle w:val="43"/>
        <w:spacing w:line="480" w:lineRule="auto"/>
        <w:ind w:firstLine="540" w:firstLineChars="225"/>
        <w:jc w:val="left"/>
        <w:rPr>
          <w:rFonts w:hAnsi="宋体" w:eastAsia="宋体"/>
          <w:szCs w:val="24"/>
        </w:rPr>
      </w:pPr>
    </w:p>
    <w:p>
      <w:pPr>
        <w:pStyle w:val="43"/>
        <w:spacing w:line="480" w:lineRule="auto"/>
        <w:ind w:firstLine="540" w:firstLineChars="225"/>
        <w:jc w:val="left"/>
        <w:rPr>
          <w:rFonts w:hAnsi="宋体" w:eastAsia="宋体"/>
          <w:szCs w:val="24"/>
        </w:rPr>
      </w:pPr>
    </w:p>
    <w:p>
      <w:pPr>
        <w:pStyle w:val="43"/>
        <w:spacing w:line="480" w:lineRule="auto"/>
        <w:ind w:left="-538" w:leftChars="-256" w:firstLine="616" w:firstLineChars="257"/>
        <w:jc w:val="left"/>
        <w:rPr>
          <w:rFonts w:hAnsi="宋体" w:eastAsia="宋体"/>
          <w:bCs/>
          <w:szCs w:val="24"/>
        </w:rPr>
      </w:pPr>
      <w:r>
        <w:rPr>
          <w:rFonts w:hint="eastAsia" w:hAnsi="宋体" w:eastAsia="宋体"/>
          <w:bCs/>
          <w:szCs w:val="24"/>
        </w:rPr>
        <w:t>【此</w:t>
      </w:r>
      <w:r>
        <w:rPr>
          <w:rFonts w:hAnsi="宋体" w:eastAsia="宋体"/>
          <w:bCs/>
          <w:szCs w:val="24"/>
        </w:rPr>
        <w:t>处请</w:t>
      </w:r>
      <w:r>
        <w:rPr>
          <w:rFonts w:hint="eastAsia" w:hAnsi="宋体" w:eastAsia="宋体"/>
          <w:bCs/>
          <w:szCs w:val="24"/>
        </w:rPr>
        <w:t>粘</w:t>
      </w:r>
      <w:r>
        <w:rPr>
          <w:rFonts w:hAnsi="宋体" w:eastAsia="宋体"/>
          <w:bCs/>
          <w:szCs w:val="24"/>
        </w:rPr>
        <w:t>贴</w:t>
      </w:r>
      <w:r>
        <w:rPr>
          <w:rFonts w:hint="eastAsia" w:hAnsi="宋体" w:eastAsia="宋体"/>
          <w:bCs/>
          <w:szCs w:val="24"/>
        </w:rPr>
        <w:t>法定代表人身份</w:t>
      </w:r>
      <w:r>
        <w:rPr>
          <w:rFonts w:hAnsi="宋体" w:eastAsia="宋体"/>
          <w:bCs/>
          <w:szCs w:val="24"/>
        </w:rPr>
        <w:t>证</w:t>
      </w:r>
      <w:r>
        <w:rPr>
          <w:rFonts w:hint="eastAsia" w:hAnsi="宋体" w:eastAsia="宋体"/>
          <w:bCs/>
          <w:szCs w:val="24"/>
        </w:rPr>
        <w:t>原件的扫描件或图片加盖公章，需清晰反映身份证有效期限】</w:t>
      </w:r>
    </w:p>
    <w:p>
      <w:pPr>
        <w:pStyle w:val="43"/>
        <w:spacing w:line="480" w:lineRule="auto"/>
        <w:ind w:left="-538" w:leftChars="-256" w:firstLine="616" w:firstLineChars="257"/>
        <w:jc w:val="center"/>
        <w:rPr>
          <w:rFonts w:hAnsi="宋体" w:eastAsia="宋体"/>
          <w:bCs/>
          <w:szCs w:val="24"/>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Arial"/>
          <w:sz w:val="24"/>
          <w:szCs w:val="24"/>
          <w:u w:val="single"/>
        </w:rPr>
      </w:pPr>
      <w:r>
        <w:rPr>
          <w:rFonts w:hint="eastAsia" w:ascii="宋体" w:hAnsi="宋体" w:eastAsia="宋体" w:cs="Arial"/>
          <w:sz w:val="24"/>
          <w:szCs w:val="24"/>
        </w:rPr>
        <w:t>投标人名称（并加盖公章）：</w:t>
      </w:r>
    </w:p>
    <w:p>
      <w:pPr>
        <w:pStyle w:val="4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45"/>
        <w:spacing w:line="480" w:lineRule="auto"/>
        <w:rPr>
          <w:rFonts w:ascii="宋体" w:hAnsi="宋体" w:eastAsia="宋体" w:cs="Arial"/>
          <w:szCs w:val="24"/>
        </w:rPr>
      </w:pPr>
    </w:p>
    <w:p>
      <w:pPr>
        <w:rPr>
          <w:rFonts w:ascii="宋体" w:hAnsi="宋体" w:eastAsia="宋体"/>
        </w:rPr>
      </w:pPr>
    </w:p>
    <w:p>
      <w:pPr>
        <w:spacing w:line="320" w:lineRule="exact"/>
        <w:rPr>
          <w:rFonts w:ascii="宋体" w:hAnsi="宋体" w:eastAsia="宋体"/>
          <w:bCs/>
          <w:kern w:val="12"/>
          <w:sz w:val="24"/>
          <w:szCs w:val="24"/>
        </w:rPr>
      </w:pPr>
      <w:r>
        <w:rPr>
          <w:rFonts w:hint="eastAsia" w:ascii="宋体" w:hAnsi="宋体" w:eastAsia="宋体"/>
          <w:bCs/>
          <w:kern w:val="12"/>
          <w:sz w:val="24"/>
          <w:szCs w:val="24"/>
        </w:rPr>
        <w:t>说明：法定代表人</w:t>
      </w:r>
      <w:r>
        <w:rPr>
          <w:rFonts w:ascii="宋体" w:hAnsi="宋体" w:eastAsia="宋体"/>
          <w:bCs/>
          <w:kern w:val="12"/>
          <w:sz w:val="24"/>
          <w:szCs w:val="24"/>
        </w:rPr>
        <w:t>参</w:t>
      </w:r>
      <w:r>
        <w:rPr>
          <w:rFonts w:hint="eastAsia" w:ascii="宋体" w:hAnsi="宋体" w:eastAsia="宋体"/>
          <w:bCs/>
          <w:kern w:val="12"/>
          <w:sz w:val="24"/>
          <w:szCs w:val="24"/>
        </w:rPr>
        <w:t>加本招</w:t>
      </w:r>
      <w:r>
        <w:rPr>
          <w:rFonts w:ascii="宋体" w:hAnsi="宋体" w:eastAsia="宋体"/>
          <w:bCs/>
          <w:kern w:val="12"/>
          <w:sz w:val="24"/>
          <w:szCs w:val="24"/>
        </w:rPr>
        <w:t>标项目</w:t>
      </w:r>
      <w:r>
        <w:rPr>
          <w:rFonts w:hint="eastAsia" w:ascii="宋体" w:hAnsi="宋体" w:eastAsia="宋体"/>
          <w:bCs/>
          <w:kern w:val="12"/>
          <w:sz w:val="24"/>
          <w:szCs w:val="24"/>
        </w:rPr>
        <w:t>投</w:t>
      </w:r>
      <w:r>
        <w:rPr>
          <w:rFonts w:ascii="宋体" w:hAnsi="宋体" w:eastAsia="宋体"/>
          <w:bCs/>
          <w:kern w:val="12"/>
          <w:sz w:val="24"/>
          <w:szCs w:val="24"/>
        </w:rPr>
        <w:t>标</w:t>
      </w:r>
      <w:r>
        <w:rPr>
          <w:rFonts w:hint="eastAsia" w:ascii="宋体" w:hAnsi="宋体" w:eastAsia="宋体"/>
          <w:bCs/>
          <w:kern w:val="12"/>
          <w:sz w:val="24"/>
          <w:szCs w:val="24"/>
        </w:rPr>
        <w:t>的，</w:t>
      </w:r>
      <w:r>
        <w:rPr>
          <w:rFonts w:ascii="宋体" w:hAnsi="宋体" w:eastAsia="宋体"/>
          <w:bCs/>
          <w:kern w:val="12"/>
          <w:sz w:val="24"/>
          <w:szCs w:val="24"/>
        </w:rPr>
        <w:t>仅须</w:t>
      </w:r>
      <w:r>
        <w:rPr>
          <w:rFonts w:hint="eastAsia" w:ascii="宋体" w:hAnsi="宋体" w:eastAsia="宋体"/>
          <w:bCs/>
          <w:kern w:val="12"/>
          <w:sz w:val="24"/>
          <w:szCs w:val="24"/>
        </w:rPr>
        <w:t>出具此</w:t>
      </w:r>
      <w:r>
        <w:rPr>
          <w:rFonts w:ascii="宋体" w:hAnsi="宋体" w:eastAsia="宋体"/>
          <w:bCs/>
          <w:kern w:val="12"/>
          <w:sz w:val="24"/>
          <w:szCs w:val="24"/>
        </w:rPr>
        <w:t>证</w:t>
      </w:r>
      <w:r>
        <w:rPr>
          <w:rFonts w:hint="eastAsia" w:ascii="宋体" w:hAnsi="宋体" w:eastAsia="宋体"/>
          <w:bCs/>
          <w:kern w:val="12"/>
          <w:sz w:val="24"/>
          <w:szCs w:val="24"/>
        </w:rPr>
        <w:t>明</w:t>
      </w:r>
      <w:r>
        <w:rPr>
          <w:rFonts w:ascii="宋体" w:hAnsi="宋体" w:eastAsia="宋体"/>
          <w:bCs/>
          <w:kern w:val="12"/>
          <w:sz w:val="24"/>
          <w:szCs w:val="24"/>
        </w:rPr>
        <w:t>书</w:t>
      </w:r>
      <w:r>
        <w:rPr>
          <w:rFonts w:hint="eastAsia" w:ascii="宋体" w:hAnsi="宋体" w:eastAsia="宋体"/>
          <w:bCs/>
          <w:kern w:val="12"/>
          <w:sz w:val="24"/>
          <w:szCs w:val="24"/>
        </w:rPr>
        <w:t>。</w:t>
      </w: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3.3 法定代表人授权书</w:t>
      </w:r>
    </w:p>
    <w:p>
      <w:pPr>
        <w:jc w:val="center"/>
        <w:rPr>
          <w:rFonts w:ascii="宋体" w:hAnsi="宋体" w:eastAsia="宋体"/>
          <w:b/>
          <w:snapToGrid w:val="0"/>
          <w:kern w:val="0"/>
          <w:sz w:val="32"/>
          <w:szCs w:val="32"/>
        </w:rPr>
      </w:pP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本人</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法人姓名</w:t>
      </w:r>
      <w:r>
        <w:rPr>
          <w:rFonts w:hint="eastAsia" w:ascii="宋体" w:hAnsi="宋体" w:eastAsia="宋体" w:cs="Arial"/>
          <w:sz w:val="24"/>
          <w:szCs w:val="24"/>
        </w:rPr>
        <w:t>系</w:t>
      </w:r>
      <w:r>
        <w:rPr>
          <w:rFonts w:hint="eastAsia" w:ascii="宋体" w:hAnsi="宋体" w:eastAsia="宋体" w:cs="Arial"/>
          <w:sz w:val="24"/>
          <w:szCs w:val="24"/>
          <w:u w:val="single"/>
        </w:rPr>
        <w:t>　</w:t>
      </w:r>
      <w:r>
        <w:rPr>
          <w:rFonts w:hint="eastAsia" w:ascii="宋体" w:hAnsi="宋体" w:eastAsia="宋体"/>
          <w:snapToGrid w:val="0"/>
          <w:sz w:val="24"/>
          <w:szCs w:val="24"/>
          <w:u w:val="single"/>
        </w:rPr>
        <w:t>投标人名称</w:t>
      </w:r>
      <w:r>
        <w:rPr>
          <w:rFonts w:hint="eastAsia" w:ascii="宋体" w:hAnsi="宋体" w:eastAsia="宋体" w:cs="Arial"/>
          <w:sz w:val="24"/>
          <w:szCs w:val="24"/>
        </w:rPr>
        <w:t>的法定代表人，现委托</w:t>
      </w:r>
      <w:r>
        <w:rPr>
          <w:rFonts w:hint="eastAsia" w:ascii="宋体" w:hAnsi="宋体" w:eastAsia="宋体" w:cs="Arial"/>
          <w:sz w:val="24"/>
          <w:szCs w:val="24"/>
          <w:u w:val="single"/>
        </w:rPr>
        <w:t xml:space="preserve">　 </w:t>
      </w:r>
      <w:r>
        <w:rPr>
          <w:rFonts w:hint="eastAsia" w:ascii="宋体" w:hAnsi="宋体" w:eastAsia="宋体"/>
          <w:snapToGrid w:val="0"/>
          <w:sz w:val="24"/>
          <w:szCs w:val="24"/>
          <w:u w:val="single"/>
        </w:rPr>
        <w:t>姓名，职务</w:t>
      </w:r>
      <w:r>
        <w:rPr>
          <w:rFonts w:hint="eastAsia" w:ascii="宋体" w:hAnsi="宋体" w:eastAsia="宋体" w:cs="Arial"/>
          <w:sz w:val="24"/>
          <w:szCs w:val="24"/>
        </w:rPr>
        <w:t>以我方的名义参加贵方__</w:t>
      </w:r>
      <w:r>
        <w:rPr>
          <w:rFonts w:hint="eastAsia" w:ascii="宋体" w:hAnsi="宋体" w:eastAsia="宋体" w:cs="Arial"/>
          <w:i/>
          <w:sz w:val="24"/>
          <w:szCs w:val="24"/>
          <w:u w:val="single"/>
        </w:rPr>
        <w:t>项目名称</w:t>
      </w:r>
      <w:r>
        <w:rPr>
          <w:rFonts w:hint="eastAsia" w:ascii="宋体" w:hAnsi="宋体" w:eastAsia="宋体" w:cs="Arial"/>
          <w:sz w:val="24"/>
          <w:szCs w:val="24"/>
        </w:rPr>
        <w:t>___项目</w:t>
      </w:r>
      <w:r>
        <w:rPr>
          <w:rFonts w:hint="eastAsia" w:ascii="宋体" w:hAnsi="宋体" w:eastAsia="宋体" w:cs="Arial"/>
          <w:i/>
          <w:sz w:val="24"/>
          <w:szCs w:val="24"/>
          <w:u w:val="single"/>
        </w:rPr>
        <w:t>标段</w:t>
      </w:r>
      <w:r>
        <w:rPr>
          <w:rFonts w:hint="eastAsia" w:ascii="宋体" w:hAnsi="宋体" w:eastAsia="宋体" w:cs="Arial"/>
          <w:sz w:val="24"/>
          <w:szCs w:val="24"/>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我方对被授权人的签名事项负全部责任。</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eastAsia="宋体" w:cs="Arial"/>
          <w:sz w:val="24"/>
          <w:szCs w:val="24"/>
        </w:rPr>
      </w:pPr>
      <w:r>
        <w:rPr>
          <w:rFonts w:hint="eastAsia" w:ascii="宋体" w:hAnsi="宋体" w:eastAsia="宋体" w:cs="Arial"/>
          <w:sz w:val="24"/>
          <w:szCs w:val="24"/>
        </w:rPr>
        <w:t>被授权人无转委托权，特此委托。</w:t>
      </w:r>
    </w:p>
    <w:p>
      <w:pPr>
        <w:adjustRightInd w:val="0"/>
        <w:spacing w:line="360" w:lineRule="auto"/>
        <w:ind w:firstLine="441" w:firstLineChars="21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ind w:firstLine="1176" w:firstLineChars="560"/>
        <w:contextualSpacing/>
        <w:rPr>
          <w:rFonts w:ascii="宋体" w:hAnsi="宋体" w:eastAsia="宋体"/>
          <w:bCs/>
          <w:szCs w:val="24"/>
        </w:rPr>
      </w:pPr>
    </w:p>
    <w:p>
      <w:pPr>
        <w:adjustRightInd w:val="0"/>
        <w:spacing w:line="360" w:lineRule="auto"/>
        <w:contextualSpacing/>
        <w:jc w:val="left"/>
        <w:rPr>
          <w:rFonts w:ascii="宋体" w:hAnsi="宋体" w:eastAsia="宋体" w:cs="Arial"/>
          <w:sz w:val="24"/>
          <w:szCs w:val="24"/>
        </w:rPr>
      </w:pPr>
      <w:r>
        <w:rPr>
          <w:rFonts w:hint="eastAsia" w:ascii="宋体" w:hAnsi="宋体" w:eastAsia="宋体"/>
          <w:bCs/>
          <w:szCs w:val="24"/>
        </w:rPr>
        <w:t>【此</w:t>
      </w:r>
      <w:r>
        <w:rPr>
          <w:rFonts w:ascii="宋体" w:hAnsi="宋体" w:eastAsia="宋体"/>
          <w:bCs/>
          <w:szCs w:val="24"/>
        </w:rPr>
        <w:t>处请</w:t>
      </w:r>
      <w:r>
        <w:rPr>
          <w:rFonts w:hint="eastAsia" w:ascii="宋体" w:hAnsi="宋体" w:eastAsia="宋体"/>
          <w:bCs/>
          <w:szCs w:val="24"/>
        </w:rPr>
        <w:t>粘</w:t>
      </w:r>
      <w:r>
        <w:rPr>
          <w:rFonts w:ascii="宋体" w:hAnsi="宋体" w:eastAsia="宋体"/>
          <w:bCs/>
          <w:szCs w:val="24"/>
        </w:rPr>
        <w:t>贴</w:t>
      </w:r>
      <w:r>
        <w:rPr>
          <w:rFonts w:hint="eastAsia" w:ascii="宋体" w:hAnsi="宋体" w:eastAsia="宋体"/>
          <w:bCs/>
          <w:szCs w:val="24"/>
        </w:rPr>
        <w:t>法定代表人、法定代表人授权代表的身份</w:t>
      </w:r>
      <w:r>
        <w:rPr>
          <w:rFonts w:ascii="宋体" w:hAnsi="宋体" w:eastAsia="宋体"/>
          <w:bCs/>
          <w:szCs w:val="24"/>
        </w:rPr>
        <w:t>证</w:t>
      </w:r>
      <w:r>
        <w:rPr>
          <w:rFonts w:hint="eastAsia" w:hAnsi="宋体" w:eastAsia="宋体"/>
          <w:bCs/>
          <w:szCs w:val="24"/>
        </w:rPr>
        <w:t>原件的扫描件或图片</w:t>
      </w:r>
      <w:r>
        <w:rPr>
          <w:rFonts w:hint="eastAsia" w:ascii="宋体" w:hAnsi="宋体" w:eastAsia="宋体"/>
          <w:bCs/>
          <w:szCs w:val="24"/>
        </w:rPr>
        <w:t>加盖公章，需清晰反映身份证有效期限】</w:t>
      </w: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p>
    <w:p>
      <w:pPr>
        <w:spacing w:line="480" w:lineRule="auto"/>
        <w:ind w:firstLine="480" w:firstLineChars="200"/>
        <w:rPr>
          <w:rFonts w:ascii="宋体" w:hAnsi="宋体" w:eastAsia="宋体"/>
          <w:sz w:val="24"/>
          <w:szCs w:val="24"/>
        </w:rPr>
      </w:pPr>
      <w:r>
        <w:rPr>
          <w:rFonts w:hint="eastAsia" w:ascii="宋体" w:hAnsi="宋体" w:eastAsia="宋体"/>
          <w:sz w:val="24"/>
          <w:szCs w:val="24"/>
        </w:rPr>
        <w:t xml:space="preserve">投标人名称： </w:t>
      </w:r>
      <w:r>
        <w:rPr>
          <w:rFonts w:hint="eastAsia" w:ascii="宋体" w:hAnsi="宋体" w:eastAsia="宋体"/>
          <w:sz w:val="24"/>
          <w:szCs w:val="24"/>
          <w:u w:val="single"/>
        </w:rPr>
        <w:t xml:space="preserve">       （全称）       </w:t>
      </w:r>
      <w:r>
        <w:rPr>
          <w:rFonts w:hint="eastAsia" w:ascii="宋体" w:hAnsi="宋体" w:eastAsia="宋体"/>
          <w:sz w:val="24"/>
          <w:szCs w:val="24"/>
        </w:rPr>
        <w:t xml:space="preserve"> （盖单位公章）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法定代表人授权代表：        （签字或加盖名章）</w:t>
      </w:r>
    </w:p>
    <w:p>
      <w:pPr>
        <w:spacing w:line="480" w:lineRule="auto"/>
        <w:ind w:firstLine="480" w:firstLineChars="200"/>
        <w:rPr>
          <w:rFonts w:ascii="宋体" w:hAnsi="宋体" w:eastAsia="宋体"/>
          <w:sz w:val="24"/>
          <w:szCs w:val="24"/>
        </w:rPr>
      </w:pPr>
      <w:r>
        <w:rPr>
          <w:rFonts w:hint="eastAsia" w:ascii="宋体" w:hAnsi="宋体" w:eastAsia="宋体"/>
          <w:sz w:val="24"/>
          <w:szCs w:val="24"/>
        </w:rPr>
        <w:t>法定代表人（单位负责人）授权代表联系电话（手机）：</w:t>
      </w:r>
    </w:p>
    <w:p>
      <w:pPr>
        <w:spacing w:line="480" w:lineRule="auto"/>
        <w:ind w:firstLine="3259" w:firstLineChars="1358"/>
        <w:rPr>
          <w:rFonts w:ascii="宋体" w:hAnsi="宋体" w:eastAsia="宋体"/>
          <w:sz w:val="24"/>
          <w:szCs w:val="24"/>
        </w:rPr>
      </w:pPr>
      <w:r>
        <w:rPr>
          <w:rFonts w:hint="eastAsia" w:ascii="宋体" w:hAnsi="宋体" w:eastAsia="宋体"/>
          <w:sz w:val="24"/>
          <w:szCs w:val="24"/>
        </w:rPr>
        <w:t>年  月  日</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3.4 中小企业声明函（工程、服务）</w:t>
      </w:r>
    </w:p>
    <w:p>
      <w:pPr>
        <w:spacing w:beforeLines="50" w:afterLines="50"/>
        <w:jc w:val="center"/>
        <w:rPr>
          <w:rFonts w:ascii="宋体" w:hAnsi="宋体" w:eastAsia="宋体" w:cs="Arial"/>
          <w:kern w:val="0"/>
          <w:sz w:val="36"/>
          <w:szCs w:val="36"/>
        </w:rPr>
      </w:pPr>
    </w:p>
    <w:p>
      <w:pPr>
        <w:spacing w:beforeLines="50" w:afterLines="50"/>
        <w:jc w:val="center"/>
        <w:rPr>
          <w:rFonts w:ascii="宋体" w:hAnsi="宋体" w:eastAsia="宋体" w:cs="Arial"/>
          <w:b/>
          <w:kern w:val="0"/>
          <w:sz w:val="36"/>
          <w:szCs w:val="36"/>
        </w:rPr>
      </w:pPr>
      <w:r>
        <w:rPr>
          <w:rFonts w:hint="eastAsia" w:ascii="宋体" w:hAnsi="宋体" w:eastAsia="宋体" w:cs="Arial"/>
          <w:b/>
          <w:kern w:val="0"/>
          <w:sz w:val="36"/>
          <w:szCs w:val="36"/>
        </w:rPr>
        <w:t>声  明</w:t>
      </w:r>
    </w:p>
    <w:p>
      <w:pPr>
        <w:spacing w:beforeLines="50" w:afterLines="50"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本公司郑重声明，根据《政府采购促进中小企业发展管理办法》（财库（ 2020 ）46 号）的规定，本公司参加 （单位名称） 的 （项目名称） 采购活动，服务全部由符合政策要求的中小企业承建。相关企业（含联合体中的中小企业、签订分包意向协议的中小企业）的具体情况如下特此声明。</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u w:val="single"/>
          <w:lang w:val="zh-CN"/>
        </w:rPr>
        <w:t>（标的名称）</w:t>
      </w:r>
      <w:r>
        <w:rPr>
          <w:rFonts w:hint="eastAsia" w:ascii="宋体" w:hAnsi="宋体" w:eastAsia="宋体" w:cs="宋体"/>
          <w:sz w:val="24"/>
          <w:szCs w:val="24"/>
          <w:lang w:val="zh-CN"/>
        </w:rPr>
        <w:t>， 属于</w:t>
      </w:r>
      <w:r>
        <w:rPr>
          <w:rFonts w:hint="eastAsia" w:ascii="宋体" w:hAnsi="宋体" w:eastAsia="宋体" w:cs="宋体"/>
          <w:sz w:val="24"/>
          <w:szCs w:val="24"/>
          <w:u w:val="single"/>
          <w:lang w:val="zh-CN"/>
        </w:rPr>
        <w:t xml:space="preserve"> （采购文件中明确的所属行业） </w:t>
      </w:r>
      <w:r>
        <w:rPr>
          <w:rFonts w:hint="eastAsia" w:ascii="宋体" w:hAnsi="宋体" w:eastAsia="宋体" w:cs="宋体"/>
          <w:sz w:val="24"/>
          <w:szCs w:val="24"/>
          <w:lang w:val="zh-CN"/>
        </w:rPr>
        <w:t>行业：承建（承接）企业为</w:t>
      </w:r>
      <w:r>
        <w:rPr>
          <w:rFonts w:hint="eastAsia" w:ascii="宋体" w:hAnsi="宋体" w:eastAsia="宋体" w:cs="宋体"/>
          <w:sz w:val="24"/>
          <w:szCs w:val="24"/>
          <w:u w:val="single"/>
          <w:lang w:val="zh-CN"/>
        </w:rPr>
        <w:t xml:space="preserve"> （企业名称）</w:t>
      </w:r>
      <w:r>
        <w:rPr>
          <w:rFonts w:hint="eastAsia" w:ascii="宋体" w:hAnsi="宋体" w:eastAsia="宋体" w:cs="宋体"/>
          <w:sz w:val="24"/>
          <w:szCs w:val="24"/>
          <w:lang w:val="zh-CN"/>
        </w:rPr>
        <w:t>， 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（中型企业、小型企业、微型企业）；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（标的名称）</w:t>
      </w:r>
      <w:r>
        <w:rPr>
          <w:rFonts w:hint="eastAsia" w:ascii="宋体" w:hAnsi="宋体" w:eastAsia="宋体" w:cs="宋体"/>
          <w:sz w:val="24"/>
          <w:szCs w:val="24"/>
          <w:lang w:val="zh-CN"/>
        </w:rPr>
        <w:t>， 属于</w:t>
      </w:r>
      <w:r>
        <w:rPr>
          <w:rFonts w:hint="eastAsia" w:ascii="宋体" w:hAnsi="宋体" w:eastAsia="宋体" w:cs="宋体"/>
          <w:sz w:val="24"/>
          <w:szCs w:val="24"/>
          <w:u w:val="single"/>
          <w:lang w:val="zh-CN"/>
        </w:rPr>
        <w:t xml:space="preserve"> （采购文件中明确的所属行业） </w:t>
      </w:r>
      <w:r>
        <w:rPr>
          <w:rFonts w:hint="eastAsia" w:ascii="宋体" w:hAnsi="宋体" w:eastAsia="宋体" w:cs="宋体"/>
          <w:sz w:val="24"/>
          <w:szCs w:val="24"/>
          <w:lang w:val="zh-CN"/>
        </w:rPr>
        <w:t>行业：承建（承接）企业为</w:t>
      </w:r>
      <w:r>
        <w:rPr>
          <w:rFonts w:hint="eastAsia" w:ascii="宋体" w:hAnsi="宋体" w:eastAsia="宋体" w:cs="宋体"/>
          <w:sz w:val="24"/>
          <w:szCs w:val="24"/>
          <w:u w:val="single"/>
          <w:lang w:val="zh-CN"/>
        </w:rPr>
        <w:t xml:space="preserve"> （企业名称）</w:t>
      </w:r>
      <w:r>
        <w:rPr>
          <w:rFonts w:hint="eastAsia" w:ascii="宋体" w:hAnsi="宋体" w:eastAsia="宋体" w:cs="宋体"/>
          <w:sz w:val="24"/>
          <w:szCs w:val="24"/>
          <w:lang w:val="zh-CN"/>
        </w:rPr>
        <w:t>， 从业人员</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人，营业收入为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万元，资产总额为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万元，属于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（中型企业、小型企业、微型企业）；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以上企业，不属于大企业的分支机构，不存在控股股东为大企业的情形，也不存在与大企业的负责人为同一人的情形。</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本企业对上述声明内容的真实性负责。如有虚假，将依法承担相应责任。</w:t>
      </w:r>
    </w:p>
    <w:p>
      <w:pPr>
        <w:spacing w:beforeLines="50" w:afterLines="50" w:line="360" w:lineRule="auto"/>
        <w:ind w:right="420" w:firstLine="4108" w:firstLineChars="1712"/>
        <w:rPr>
          <w:rFonts w:ascii="宋体" w:hAnsi="宋体" w:eastAsia="宋体" w:cs="宋体"/>
          <w:sz w:val="24"/>
          <w:szCs w:val="24"/>
          <w:u w:val="single"/>
          <w:lang w:val="zh-CN"/>
        </w:rPr>
      </w:pPr>
      <w:r>
        <w:rPr>
          <w:rFonts w:hint="eastAsia" w:ascii="宋体" w:hAnsi="宋体" w:eastAsia="宋体" w:cs="宋体"/>
          <w:sz w:val="24"/>
          <w:szCs w:val="24"/>
          <w:lang w:val="zh-CN"/>
        </w:rPr>
        <w:t>单位名称（盖章）：</w:t>
      </w:r>
    </w:p>
    <w:p>
      <w:pPr>
        <w:spacing w:beforeLines="50" w:afterLines="50" w:line="360" w:lineRule="auto"/>
        <w:ind w:right="420" w:firstLine="4108" w:firstLineChars="1712"/>
        <w:rPr>
          <w:rFonts w:ascii="宋体" w:hAnsi="宋体" w:eastAsia="宋体" w:cs="宋体"/>
          <w:sz w:val="24"/>
          <w:szCs w:val="24"/>
          <w:lang w:val="zh-CN"/>
        </w:rPr>
      </w:pPr>
      <w:r>
        <w:rPr>
          <w:rFonts w:hint="eastAsia" w:ascii="宋体" w:hAnsi="宋体" w:eastAsia="宋体" w:cs="宋体"/>
          <w:sz w:val="24"/>
          <w:szCs w:val="24"/>
          <w:lang w:val="zh-CN"/>
        </w:rPr>
        <w:t>日    期：</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说明：</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1、从业人员、营业收入、资产总额填报上一年度数据，无上一年度数据的新成立企业可不填报。</w:t>
      </w:r>
    </w:p>
    <w:p>
      <w:pPr>
        <w:spacing w:beforeLines="50" w:afterLines="50" w:line="360" w:lineRule="auto"/>
        <w:ind w:right="420"/>
        <w:rPr>
          <w:rFonts w:ascii="宋体" w:hAnsi="宋体" w:eastAsia="宋体" w:cs="宋体"/>
          <w:sz w:val="24"/>
          <w:szCs w:val="24"/>
          <w:lang w:val="zh-CN"/>
        </w:rPr>
      </w:pPr>
      <w:r>
        <w:rPr>
          <w:rFonts w:hint="eastAsia" w:ascii="宋体" w:hAnsi="宋体" w:eastAsia="宋体" w:cs="宋体"/>
          <w:sz w:val="24"/>
          <w:szCs w:val="24"/>
          <w:lang w:val="zh-CN"/>
        </w:rPr>
        <w:t>2、中小企业参加政府采购活动，应当出具《中小企业声明函》，否则不得享受相关中小企业扶持政策。</w:t>
      </w:r>
    </w:p>
    <w:p>
      <w:pPr>
        <w:jc w:val="left"/>
        <w:rPr>
          <w:rFonts w:ascii="宋体" w:hAnsi="宋体" w:eastAsia="宋体"/>
          <w:b/>
          <w:bCs/>
          <w:sz w:val="36"/>
          <w:szCs w:val="36"/>
        </w:rPr>
      </w:pPr>
      <w:r>
        <w:rPr>
          <w:rFonts w:ascii="宋体" w:hAnsi="宋体" w:eastAsia="宋体"/>
          <w:b/>
          <w:bCs/>
          <w:sz w:val="36"/>
          <w:szCs w:val="36"/>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3.5  残疾人福利性单位声明函</w:t>
      </w:r>
    </w:p>
    <w:p>
      <w:pPr>
        <w:autoSpaceDE w:val="0"/>
        <w:autoSpaceDN w:val="0"/>
        <w:adjustRightInd w:val="0"/>
        <w:spacing w:line="360" w:lineRule="auto"/>
        <w:jc w:val="center"/>
        <w:rPr>
          <w:rFonts w:ascii="宋体" w:hAnsi="宋体" w:eastAsia="宋体"/>
          <w:b/>
          <w:snapToGrid w:val="0"/>
          <w:kern w:val="0"/>
          <w:sz w:val="36"/>
          <w:szCs w:val="36"/>
        </w:rPr>
      </w:pPr>
    </w:p>
    <w:p>
      <w:pPr>
        <w:spacing w:beforeLines="50" w:afterLines="50" w:line="360" w:lineRule="auto"/>
        <w:ind w:firstLine="566" w:firstLineChars="236"/>
        <w:rPr>
          <w:rFonts w:ascii="宋体" w:hAnsi="宋体" w:eastAsia="宋体" w:cs="宋体"/>
          <w:sz w:val="24"/>
          <w:szCs w:val="24"/>
          <w:lang w:val="zh-CN"/>
        </w:rPr>
      </w:pP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本单位郑重声明，根据《财政部民政部中国残疾人联合会关于促进残疾人就业政府采购政 策的通知》（财库[2017] 141 号）的规定，本单位为符合条件的残疾人福利性单位，且本单位参 加单位的项目采购活动提供本单位制造的货物（由本单位承担工程/提供服务），或者提供其他残疾人福利性单位制造的货物（不包括使用非残疾人福利性单位注册商标的货物）。</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本单位对上述声明的真实性负责。如有虚假，将依法承担相应责任。</w:t>
      </w: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w:t>
      </w:r>
      <w:r>
        <w:rPr>
          <w:rFonts w:cs="Arial" w:asciiTheme="minorEastAsia" w:hAnsiTheme="minorEastAsia"/>
          <w:sz w:val="24"/>
          <w:szCs w:val="24"/>
        </w:rPr>
        <w:t xml:space="preserve">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spacing w:line="480" w:lineRule="auto"/>
        <w:rPr>
          <w:rFonts w:cs="Arial" w:asciiTheme="minorEastAsia" w:hAnsiTheme="minorEastAsia"/>
          <w:sz w:val="24"/>
          <w:szCs w:val="24"/>
        </w:rPr>
      </w:pPr>
      <w:r>
        <w:rPr>
          <w:rFonts w:hint="eastAsia" w:cs="Arial" w:asciiTheme="minorEastAsia" w:hAnsiTheme="minorEastAsia"/>
          <w:sz w:val="24"/>
          <w:szCs w:val="24"/>
        </w:rPr>
        <w:t>说明：非残疾人福利性单位可不提供此声明函，按序调整序号。</w:t>
      </w:r>
    </w:p>
    <w:p>
      <w:pPr>
        <w:widowControl/>
        <w:jc w:val="left"/>
        <w:rPr>
          <w:rFonts w:ascii="宋体" w:hAnsi="宋体" w:eastAsia="宋体"/>
          <w:b/>
          <w:snapToGrid w:val="0"/>
          <w:kern w:val="0"/>
          <w:sz w:val="32"/>
          <w:szCs w:val="32"/>
        </w:rPr>
      </w:pPr>
      <w:r>
        <w:rPr>
          <w:rFonts w:ascii="宋体" w:hAnsi="宋体" w:eastAsia="宋体"/>
          <w:b/>
          <w:snapToGrid w:val="0"/>
          <w:kern w:val="0"/>
          <w:sz w:val="32"/>
          <w:szCs w:val="32"/>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3.6投标承诺函</w:t>
      </w:r>
    </w:p>
    <w:p>
      <w:pPr>
        <w:rPr>
          <w:rFonts w:ascii="宋体" w:hAnsi="宋体" w:eastAsia="宋体" w:cs="宋体"/>
          <w:sz w:val="24"/>
          <w:szCs w:val="24"/>
          <w:lang w:val="zh-CN"/>
        </w:rPr>
      </w:pPr>
    </w:p>
    <w:p>
      <w:pPr>
        <w:rPr>
          <w:rFonts w:ascii="宋体" w:hAnsi="宋体" w:eastAsia="宋体" w:cs="宋体"/>
          <w:sz w:val="24"/>
          <w:szCs w:val="24"/>
          <w:lang w:val="zh-CN"/>
        </w:rPr>
      </w:pPr>
    </w:p>
    <w:p>
      <w:pPr>
        <w:rPr>
          <w:rFonts w:ascii="宋体" w:hAnsi="宋体" w:eastAsia="宋体" w:cs="宋体"/>
          <w:sz w:val="24"/>
          <w:szCs w:val="24"/>
          <w:lang w:val="zh-CN"/>
        </w:rPr>
      </w:pPr>
      <w:r>
        <w:rPr>
          <w:rFonts w:hint="eastAsia" w:ascii="宋体" w:hAnsi="宋体" w:eastAsia="宋体" w:cs="宋体"/>
          <w:sz w:val="24"/>
          <w:szCs w:val="24"/>
          <w:lang w:val="zh-CN"/>
        </w:rPr>
        <w:t>致：</w:t>
      </w:r>
      <w:r>
        <w:rPr>
          <w:rFonts w:hint="eastAsia" w:ascii="宋体" w:hAnsi="宋体" w:eastAsia="宋体" w:cs="宋体"/>
          <w:sz w:val="24"/>
          <w:szCs w:val="24"/>
          <w:u w:val="single"/>
          <w:lang w:val="zh-CN"/>
        </w:rPr>
        <w:t xml:space="preserve"> （采购人） </w:t>
      </w:r>
      <w:r>
        <w:rPr>
          <w:rFonts w:hint="eastAsia" w:ascii="宋体" w:hAnsi="宋体" w:eastAsia="宋体" w:cs="宋体"/>
          <w:sz w:val="24"/>
          <w:szCs w:val="24"/>
          <w:lang w:val="zh-CN"/>
        </w:rPr>
        <w:t>：</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经研究，我方自愿参与贵方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年____月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一、在投标有效期内撤销投标文件；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二、在投标文件中提供虚假材料；</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三、除因不可抗力或招标文件认可的情形以外，中标后不与采购人签订合同；</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四、与采购人、其他投标人或者采购代理机构恶意串通；</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五、法律法规及本招标文件规定的其他严重违法行为。</w:t>
      </w:r>
    </w:p>
    <w:p>
      <w:pPr>
        <w:spacing w:beforeLines="50" w:afterLines="50" w:line="360" w:lineRule="auto"/>
        <w:ind w:firstLine="566" w:firstLineChars="236"/>
        <w:jc w:val="right"/>
        <w:rPr>
          <w:rFonts w:ascii="宋体" w:hAnsi="宋体" w:eastAsia="宋体" w:cs="宋体"/>
          <w:sz w:val="24"/>
          <w:szCs w:val="24"/>
          <w:lang w:val="zh-CN"/>
        </w:rPr>
      </w:pPr>
    </w:p>
    <w:p>
      <w:pPr>
        <w:spacing w:beforeLines="50" w:afterLines="50" w:line="360" w:lineRule="auto"/>
        <w:ind w:firstLine="566" w:firstLineChars="236"/>
        <w:jc w:val="right"/>
        <w:rPr>
          <w:rFonts w:ascii="宋体" w:hAnsi="宋体" w:eastAsia="宋体" w:cs="宋体"/>
          <w:sz w:val="24"/>
          <w:szCs w:val="24"/>
          <w:lang w:val="zh-CN"/>
        </w:rPr>
      </w:pPr>
    </w:p>
    <w:p>
      <w:pPr>
        <w:spacing w:beforeLines="50" w:afterLines="50" w:line="360" w:lineRule="auto"/>
        <w:ind w:firstLine="566" w:firstLineChars="236"/>
        <w:jc w:val="right"/>
        <w:rPr>
          <w:rFonts w:ascii="宋体" w:hAnsi="宋体" w:eastAsia="宋体" w:cs="宋体"/>
          <w:sz w:val="24"/>
          <w:szCs w:val="24"/>
          <w:u w:val="single"/>
          <w:lang w:val="zh-CN"/>
        </w:rPr>
      </w:pPr>
      <w:r>
        <w:rPr>
          <w:rFonts w:hint="eastAsia" w:ascii="宋体" w:hAnsi="宋体" w:eastAsia="宋体" w:cs="宋体"/>
          <w:sz w:val="24"/>
          <w:szCs w:val="24"/>
          <w:lang w:val="zh-CN"/>
        </w:rPr>
        <w:t>投标人名称（并加盖公章）：</w:t>
      </w:r>
      <w:r>
        <w:rPr>
          <w:rFonts w:hint="eastAsia" w:ascii="宋体" w:hAnsi="宋体" w:eastAsia="宋体" w:cs="宋体"/>
          <w:sz w:val="24"/>
          <w:szCs w:val="24"/>
          <w:u w:val="single"/>
          <w:lang w:val="zh-CN"/>
        </w:rPr>
        <w:t xml:space="preserve">                        </w:t>
      </w:r>
    </w:p>
    <w:p>
      <w:pPr>
        <w:spacing w:beforeLines="50" w:afterLines="50" w:line="360" w:lineRule="auto"/>
        <w:ind w:firstLine="566" w:firstLineChars="236"/>
        <w:jc w:val="right"/>
        <w:rPr>
          <w:rFonts w:ascii="宋体" w:hAnsi="宋体" w:eastAsia="宋体" w:cs="宋体"/>
          <w:sz w:val="24"/>
          <w:szCs w:val="24"/>
          <w:lang w:val="zh-CN"/>
        </w:rPr>
      </w:pPr>
      <w:r>
        <w:rPr>
          <w:rFonts w:hint="eastAsia" w:ascii="宋体" w:hAnsi="宋体" w:eastAsia="宋体" w:cs="宋体"/>
          <w:sz w:val="24"/>
          <w:szCs w:val="24"/>
          <w:lang w:val="zh-CN"/>
        </w:rPr>
        <w:t>日期： 年 月 日</w:t>
      </w: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jc w:val="center"/>
        <w:rPr>
          <w:rFonts w:ascii="宋体" w:hAnsi="宋体" w:eastAsia="宋体"/>
          <w:b/>
          <w:snapToGrid w:val="0"/>
          <w:kern w:val="0"/>
          <w:sz w:val="32"/>
          <w:szCs w:val="32"/>
        </w:rPr>
      </w:pP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3.7 许昌市政府采购供应商信用承诺函</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单位名称（自然人姓名）：</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统一社会信用代码（身份证号码）：</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法定代表人（负责人）：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联系地址和电话：</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为维护公平、公正、公开的政府采购市场秩序，树立诚实守信的政府采购供应商形象，我单 位（本人）自愿作出以下承诺：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 我单位（本人）自愿参加本次政府采购活动，严格遵守《中华人民共和国政</w:t>
      </w:r>
    </w:p>
    <w:p>
      <w:pPr>
        <w:spacing w:beforeLines="50" w:afterLines="50" w:line="360" w:lineRule="auto"/>
        <w:rPr>
          <w:rFonts w:ascii="宋体" w:hAnsi="宋体" w:eastAsia="宋体" w:cs="宋体"/>
          <w:sz w:val="24"/>
          <w:szCs w:val="24"/>
          <w:lang w:val="zh-CN"/>
        </w:rPr>
      </w:pPr>
      <w:r>
        <w:rPr>
          <w:rFonts w:hint="eastAsia" w:ascii="宋体" w:hAnsi="宋体" w:eastAsia="宋体" w:cs="宋体"/>
          <w:sz w:val="24"/>
          <w:szCs w:val="24"/>
          <w:lang w:val="zh-CN"/>
        </w:rPr>
        <w:t>府采购法》 及相关法律法规，依法诚信经营，无条件遵守本次政府采购活动的各项规定，我单位（本人）郑 重承诺，我单位（本人）符合《中华人民共和国政府采购法》第二十二条规定和采购文件、本承 诺书的条件：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（一） 具有独立承担民事责任的能力；</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 具有良好的商业信誉和健全的财务会计制度；</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（三） 具有履行合同所必需的设备和专业技术能力；</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（四） 有依法缴纳税收和社会保障资金的良好记录；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（五） 参加政府采购活动前三年内，在经营活动中没有重大违法记录；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（六）未被列入经营异常名录或者严重违法失信名单、失信被执行人，重大税收违法案件当事人名单、政府采购严重违法失信行为记录名单；</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（七） 未被相关监管部门作出行政处罚且尚在处罚有效期的；</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（八） 未曾作出虚假采购承诺；</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（九） 符合法律、行政法规规定的其他条件。</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二、 我单位（本人）保证上述承诺事项的真实性。如有弄虚作假或其他违法违规行为，自愿 按照规定将违背承诺行为作为失信行为记录到社会信用信息平台，并视同为“提供虚假材料谋取 中标、成交”按照《政府采购法》第七十七、七十九条规定，处以采购金额千分之五以上千分之 十以下的罚款，列入不良行为记录名单，在一至三年内禁止参加政府采购活动，有违法所得的， 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供应商（电子章）：</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法定代表人、负责人、本人或授权代表（签字或电子印章）：</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日期： 年 月 日</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注：</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1. 投标人须在投标文件中按此模板提供承诺函，未提供视为未实质性响应招标文件要求，按无效投标处理。</w:t>
      </w:r>
    </w:p>
    <w:p>
      <w:pPr>
        <w:spacing w:beforeLines="50" w:afterLines="50" w:line="360" w:lineRule="auto"/>
        <w:ind w:firstLine="566" w:firstLineChars="236"/>
        <w:rPr>
          <w:rFonts w:ascii="宋体" w:hAnsi="宋体" w:eastAsia="宋体" w:cs="宋体"/>
          <w:sz w:val="24"/>
          <w:szCs w:val="24"/>
          <w:lang w:val="zh-CN"/>
        </w:rPr>
      </w:pPr>
      <w:r>
        <w:rPr>
          <w:rFonts w:hint="eastAsia" w:ascii="宋体" w:hAnsi="宋体" w:eastAsia="宋体" w:cs="宋体"/>
          <w:sz w:val="24"/>
          <w:szCs w:val="24"/>
          <w:lang w:val="zh-CN"/>
        </w:rPr>
        <w:t>2. 投标人的法定代表人或者授权代表的签字或盖章应真实、有效，如由授权代表签字或盖章的，应提供“法定代表人授权书”</w:t>
      </w: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spacing w:beforeLines="50" w:afterLines="50"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3.8  与参加本项目投标的其他供应商之间， 单位负责人不为同一人并且不存在直接控股、管理关系承诺函</w:t>
      </w:r>
    </w:p>
    <w:p>
      <w:pPr>
        <w:spacing w:beforeLines="50" w:afterLines="50" w:line="360" w:lineRule="auto"/>
        <w:jc w:val="center"/>
        <w:rPr>
          <w:rFonts w:ascii="宋体" w:hAnsi="宋体" w:eastAsia="宋体"/>
          <w:snapToGrid w:val="0"/>
          <w:kern w:val="0"/>
          <w:sz w:val="24"/>
          <w:szCs w:val="32"/>
        </w:rPr>
      </w:pPr>
      <w:r>
        <w:rPr>
          <w:rFonts w:hint="eastAsia" w:ascii="宋体" w:hAnsi="宋体" w:eastAsia="宋体"/>
          <w:snapToGrid w:val="0"/>
          <w:kern w:val="0"/>
          <w:sz w:val="24"/>
          <w:szCs w:val="32"/>
        </w:rPr>
        <w:t>（承诺函格式自拟）</w:t>
      </w:r>
    </w:p>
    <w:p>
      <w:pPr>
        <w:spacing w:beforeLines="50" w:afterLines="50" w:line="360" w:lineRule="auto"/>
        <w:ind w:firstLine="758" w:firstLineChars="236"/>
        <w:rPr>
          <w:rFonts w:ascii="宋体" w:hAnsi="宋体" w:eastAsia="宋体"/>
          <w:b/>
          <w:snapToGrid w:val="0"/>
          <w:kern w:val="0"/>
          <w:sz w:val="32"/>
          <w:szCs w:val="32"/>
        </w:rPr>
      </w:pPr>
    </w:p>
    <w:p>
      <w:pPr>
        <w:spacing w:beforeLines="50" w:afterLines="50" w:line="360" w:lineRule="auto"/>
        <w:ind w:firstLine="758" w:firstLineChars="236"/>
        <w:rPr>
          <w:rFonts w:ascii="宋体" w:hAnsi="宋体" w:eastAsia="宋体"/>
          <w:b/>
          <w:snapToGrid w:val="0"/>
          <w:kern w:val="0"/>
          <w:sz w:val="32"/>
          <w:szCs w:val="32"/>
        </w:rPr>
      </w:pPr>
    </w:p>
    <w:p>
      <w:pPr>
        <w:spacing w:beforeLines="50" w:afterLines="50"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3.9  未为本项目提供整体设计 、 规范编制或者项目管理 、 监理 、 检测等服务承诺函</w:t>
      </w:r>
    </w:p>
    <w:p>
      <w:pPr>
        <w:spacing w:beforeLines="50" w:afterLines="50" w:line="360" w:lineRule="auto"/>
        <w:jc w:val="center"/>
        <w:rPr>
          <w:rFonts w:ascii="宋体" w:hAnsi="宋体" w:eastAsia="宋体"/>
          <w:snapToGrid w:val="0"/>
          <w:kern w:val="0"/>
          <w:sz w:val="24"/>
          <w:szCs w:val="32"/>
        </w:rPr>
      </w:pPr>
      <w:r>
        <w:rPr>
          <w:rFonts w:hint="eastAsia" w:ascii="宋体" w:hAnsi="宋体" w:eastAsia="宋体"/>
          <w:snapToGrid w:val="0"/>
          <w:kern w:val="0"/>
          <w:sz w:val="24"/>
          <w:szCs w:val="32"/>
        </w:rPr>
        <w:t>（承诺函格式自拟）</w:t>
      </w:r>
    </w:p>
    <w:p>
      <w:pPr>
        <w:spacing w:beforeLines="50" w:afterLines="50" w:line="360" w:lineRule="auto"/>
        <w:jc w:val="center"/>
        <w:rPr>
          <w:rFonts w:ascii="宋体" w:hAnsi="宋体" w:eastAsia="宋体"/>
          <w:snapToGrid w:val="0"/>
          <w:kern w:val="0"/>
          <w:sz w:val="24"/>
          <w:szCs w:val="32"/>
        </w:rPr>
      </w:pPr>
    </w:p>
    <w:p>
      <w:pPr>
        <w:spacing w:beforeLines="50" w:afterLines="50" w:line="360" w:lineRule="auto"/>
        <w:jc w:val="center"/>
        <w:rPr>
          <w:rFonts w:ascii="宋体" w:hAnsi="宋体" w:eastAsia="宋体"/>
          <w:snapToGrid w:val="0"/>
          <w:kern w:val="0"/>
          <w:sz w:val="24"/>
          <w:szCs w:val="32"/>
        </w:rPr>
      </w:pPr>
    </w:p>
    <w:p>
      <w:pPr>
        <w:spacing w:beforeLines="50" w:afterLines="50"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3.10  其他资格证书或材料</w:t>
      </w:r>
    </w:p>
    <w:p>
      <w:pPr>
        <w:spacing w:beforeLines="50" w:afterLines="50" w:line="360" w:lineRule="auto"/>
        <w:ind w:right="640" w:firstLine="758" w:firstLineChars="236"/>
        <w:rPr>
          <w:rFonts w:ascii="宋体" w:hAnsi="宋体" w:eastAsia="宋体" w:cs="宋体"/>
          <w:sz w:val="24"/>
          <w:szCs w:val="24"/>
          <w:lang w:val="zh-CN"/>
        </w:rPr>
      </w:pPr>
      <w:r>
        <w:rPr>
          <w:rFonts w:hint="eastAsia" w:ascii="宋体" w:hAnsi="宋体" w:eastAsia="宋体"/>
          <w:b/>
          <w:snapToGrid w:val="0"/>
          <w:kern w:val="0"/>
          <w:sz w:val="32"/>
          <w:szCs w:val="32"/>
        </w:rPr>
        <w:br w:type="page"/>
      </w:r>
    </w:p>
    <w:p>
      <w:pPr>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四、符合性审查证明材料</w:t>
      </w:r>
    </w:p>
    <w:p>
      <w:pPr>
        <w:autoSpaceDE w:val="0"/>
        <w:autoSpaceDN w:val="0"/>
        <w:adjustRightInd w:val="0"/>
        <w:spacing w:line="360" w:lineRule="auto"/>
        <w:jc w:val="center"/>
        <w:rPr>
          <w:rFonts w:ascii="宋体" w:hAnsi="宋体" w:eastAsia="宋体"/>
          <w:b/>
          <w:snapToGrid w:val="0"/>
          <w:kern w:val="0"/>
          <w:sz w:val="32"/>
          <w:szCs w:val="36"/>
        </w:rPr>
      </w:pPr>
      <w:r>
        <w:rPr>
          <w:rFonts w:hint="eastAsia" w:ascii="宋体" w:hAnsi="宋体" w:eastAsia="宋体"/>
          <w:b/>
          <w:bCs/>
          <w:sz w:val="32"/>
          <w:szCs w:val="36"/>
        </w:rPr>
        <w:t xml:space="preserve">4.1 </w:t>
      </w:r>
      <w:r>
        <w:rPr>
          <w:rFonts w:hint="eastAsia" w:ascii="宋体" w:hAnsi="宋体" w:eastAsia="宋体"/>
          <w:b/>
          <w:snapToGrid w:val="0"/>
          <w:kern w:val="0"/>
          <w:sz w:val="32"/>
          <w:szCs w:val="36"/>
        </w:rPr>
        <w:t>投标分项报价表</w:t>
      </w:r>
    </w:p>
    <w:p>
      <w:pPr>
        <w:autoSpaceDE w:val="0"/>
        <w:autoSpaceDN w:val="0"/>
        <w:adjustRightInd w:val="0"/>
        <w:spacing w:line="360" w:lineRule="auto"/>
        <w:ind w:firstLine="1699" w:firstLineChars="708"/>
        <w:jc w:val="left"/>
        <w:rPr>
          <w:rFonts w:ascii="宋体" w:hAnsi="宋体" w:eastAsia="宋体" w:cs="宋体"/>
          <w:sz w:val="24"/>
          <w:szCs w:val="24"/>
        </w:rPr>
      </w:pPr>
    </w:p>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rPr>
        <w:t>请投标人根据情况自拟格式</w:t>
      </w:r>
    </w:p>
    <w:p>
      <w:pPr>
        <w:autoSpaceDE w:val="0"/>
        <w:autoSpaceDN w:val="0"/>
        <w:adjustRightInd w:val="0"/>
        <w:spacing w:line="360" w:lineRule="auto"/>
        <w:ind w:firstLine="2551" w:firstLineChars="1063"/>
        <w:jc w:val="left"/>
        <w:rPr>
          <w:rFonts w:ascii="宋体" w:hAnsi="宋体" w:eastAsia="宋体" w:cs="宋体"/>
          <w:sz w:val="24"/>
          <w:szCs w:val="24"/>
          <w:lang w:val="zh-CN"/>
        </w:rPr>
      </w:pPr>
    </w:p>
    <w:p>
      <w:pPr>
        <w:autoSpaceDE w:val="0"/>
        <w:autoSpaceDN w:val="0"/>
        <w:adjustRightInd w:val="0"/>
        <w:spacing w:line="360" w:lineRule="auto"/>
        <w:ind w:firstLine="2551" w:firstLineChars="1063"/>
        <w:jc w:val="right"/>
        <w:rPr>
          <w:rFonts w:ascii="宋体" w:hAnsi="宋体" w:eastAsia="宋体" w:cs="宋体"/>
          <w:sz w:val="24"/>
          <w:szCs w:val="24"/>
          <w:lang w:val="zh-CN"/>
        </w:rPr>
      </w:pPr>
      <w:r>
        <w:rPr>
          <w:rFonts w:ascii="宋体" w:hAnsi="宋体" w:eastAsia="宋体" w:cs="宋体"/>
          <w:sz w:val="24"/>
          <w:szCs w:val="24"/>
        </w:rPr>
        <w:t>投标人名称（并加盖公章）</w:t>
      </w:r>
      <w:r>
        <w:rPr>
          <w:rFonts w:hint="eastAsia" w:ascii="宋体" w:hAnsi="宋体" w:eastAsia="宋体" w:cs="宋体"/>
          <w:sz w:val="24"/>
          <w:szCs w:val="24"/>
        </w:rPr>
        <w:t>:</w:t>
      </w: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autoSpaceDE w:val="0"/>
        <w:autoSpaceDN w:val="0"/>
        <w:adjustRightInd w:val="0"/>
        <w:spacing w:line="360" w:lineRule="auto"/>
        <w:jc w:val="center"/>
        <w:rPr>
          <w:rFonts w:ascii="宋体" w:hAnsi="宋体" w:eastAsia="宋体"/>
          <w:b/>
          <w:bCs/>
          <w:sz w:val="32"/>
          <w:szCs w:val="36"/>
        </w:rPr>
      </w:pPr>
      <w:r>
        <w:rPr>
          <w:rFonts w:hint="eastAsia" w:ascii="宋体" w:hAnsi="宋体" w:eastAsia="宋体"/>
          <w:b/>
          <w:bCs/>
          <w:sz w:val="32"/>
          <w:szCs w:val="36"/>
        </w:rPr>
        <w:t>4.2.  技术方案（实施方案）</w:t>
      </w:r>
    </w:p>
    <w:p>
      <w:pPr>
        <w:autoSpaceDE w:val="0"/>
        <w:autoSpaceDN w:val="0"/>
        <w:adjustRightInd w:val="0"/>
        <w:spacing w:line="360" w:lineRule="auto"/>
        <w:jc w:val="center"/>
        <w:rPr>
          <w:rFonts w:ascii="宋体" w:hAnsi="宋体" w:eastAsia="宋体"/>
          <w:snapToGrid w:val="0"/>
          <w:kern w:val="0"/>
          <w:sz w:val="32"/>
          <w:szCs w:val="32"/>
        </w:rPr>
      </w:pPr>
      <w:r>
        <w:rPr>
          <w:rFonts w:hint="eastAsia" w:ascii="宋体" w:hAnsi="宋体" w:eastAsia="宋体"/>
          <w:snapToGrid w:val="0"/>
          <w:kern w:val="0"/>
          <w:sz w:val="24"/>
          <w:szCs w:val="32"/>
        </w:rPr>
        <w:t>（投标人根据招标文件要求自行编制）</w:t>
      </w:r>
      <w:r>
        <w:rPr>
          <w:rFonts w:ascii="宋体" w:hAnsi="宋体" w:eastAsia="宋体"/>
          <w:snapToGrid w:val="0"/>
          <w:kern w:val="0"/>
          <w:sz w:val="32"/>
          <w:szCs w:val="32"/>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4.3 企业业绩情况表</w:t>
      </w:r>
    </w:p>
    <w:p>
      <w:pPr>
        <w:spacing w:line="360" w:lineRule="auto"/>
        <w:jc w:val="center"/>
        <w:rPr>
          <w:rFonts w:ascii="宋体" w:hAnsi="宋体" w:eastAsia="宋体"/>
          <w:b/>
          <w:snapToGrid w:val="0"/>
          <w:kern w:val="0"/>
          <w:sz w:val="32"/>
          <w:szCs w:val="32"/>
        </w:rPr>
      </w:pPr>
    </w:p>
    <w:p>
      <w:pPr>
        <w:spacing w:line="360" w:lineRule="auto"/>
        <w:rPr>
          <w:rFonts w:ascii="宋体" w:hAnsi="宋体" w:eastAsia="宋体"/>
          <w:b/>
          <w:snapToGrid w:val="0"/>
          <w:kern w:val="0"/>
          <w:szCs w:val="21"/>
        </w:rPr>
      </w:pPr>
      <w:r>
        <w:rPr>
          <w:rFonts w:hint="eastAsia" w:ascii="宋体" w:hAnsi="宋体" w:eastAsia="宋体"/>
          <w:b/>
          <w:snapToGrid w:val="0"/>
          <w:kern w:val="0"/>
          <w:szCs w:val="21"/>
        </w:rPr>
        <w:t>项目编号：</w:t>
      </w:r>
    </w:p>
    <w:p>
      <w:pPr>
        <w:spacing w:line="360" w:lineRule="auto"/>
        <w:rPr>
          <w:rFonts w:ascii="宋体" w:hAnsi="宋体" w:eastAsia="宋体"/>
          <w:b/>
          <w:snapToGrid w:val="0"/>
          <w:kern w:val="0"/>
          <w:szCs w:val="21"/>
        </w:rPr>
      </w:pPr>
      <w:r>
        <w:rPr>
          <w:rFonts w:hint="eastAsia" w:ascii="宋体" w:hAnsi="宋体" w:eastAsia="宋体"/>
          <w:b/>
          <w:snapToGrid w:val="0"/>
          <w:kern w:val="0"/>
          <w:szCs w:val="21"/>
        </w:rPr>
        <w:t>项目名称</w:t>
      </w:r>
    </w:p>
    <w:tbl>
      <w:tblPr>
        <w:tblStyle w:val="24"/>
        <w:tblW w:w="7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44"/>
        <w:gridCol w:w="1786"/>
        <w:gridCol w:w="133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6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944"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1786"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334"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835"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944" w:type="dxa"/>
            <w:vAlign w:val="center"/>
          </w:tcPr>
          <w:p>
            <w:pPr>
              <w:pStyle w:val="9"/>
              <w:spacing w:line="360" w:lineRule="auto"/>
              <w:jc w:val="center"/>
              <w:rPr>
                <w:rFonts w:ascii="宋体" w:hAnsi="宋体" w:eastAsia="宋体" w:cs="Times New Roman"/>
                <w:sz w:val="21"/>
                <w:szCs w:val="21"/>
              </w:rPr>
            </w:pPr>
          </w:p>
        </w:tc>
        <w:tc>
          <w:tcPr>
            <w:tcW w:w="1786" w:type="dxa"/>
            <w:vAlign w:val="center"/>
          </w:tcPr>
          <w:p>
            <w:pPr>
              <w:pStyle w:val="9"/>
              <w:spacing w:line="360" w:lineRule="auto"/>
              <w:jc w:val="center"/>
              <w:rPr>
                <w:rFonts w:ascii="宋体" w:hAnsi="宋体" w:eastAsia="宋体" w:cs="Times New Roman"/>
                <w:sz w:val="21"/>
                <w:szCs w:val="21"/>
              </w:rPr>
            </w:pPr>
          </w:p>
        </w:tc>
        <w:tc>
          <w:tcPr>
            <w:tcW w:w="1334" w:type="dxa"/>
            <w:vAlign w:val="center"/>
          </w:tcPr>
          <w:p>
            <w:pPr>
              <w:pStyle w:val="9"/>
              <w:spacing w:line="360" w:lineRule="auto"/>
              <w:jc w:val="center"/>
              <w:rPr>
                <w:rFonts w:ascii="宋体" w:hAnsi="宋体" w:eastAsia="宋体" w:cs="Times New Roman"/>
                <w:sz w:val="21"/>
                <w:szCs w:val="21"/>
              </w:rPr>
            </w:pPr>
          </w:p>
        </w:tc>
        <w:tc>
          <w:tcPr>
            <w:tcW w:w="1835" w:type="dxa"/>
            <w:vAlign w:val="center"/>
          </w:tcPr>
          <w:p>
            <w:pPr>
              <w:pStyle w:val="9"/>
              <w:spacing w:line="36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6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944" w:type="dxa"/>
            <w:vAlign w:val="center"/>
          </w:tcPr>
          <w:p>
            <w:pPr>
              <w:jc w:val="center"/>
              <w:rPr>
                <w:rFonts w:ascii="宋体" w:hAnsi="宋体" w:eastAsia="宋体"/>
                <w:szCs w:val="21"/>
              </w:rPr>
            </w:pPr>
          </w:p>
        </w:tc>
        <w:tc>
          <w:tcPr>
            <w:tcW w:w="1786" w:type="dxa"/>
            <w:vAlign w:val="center"/>
          </w:tcPr>
          <w:p>
            <w:pPr>
              <w:jc w:val="center"/>
              <w:rPr>
                <w:rFonts w:ascii="宋体" w:hAnsi="宋体" w:eastAsia="宋体"/>
                <w:szCs w:val="21"/>
              </w:rPr>
            </w:pPr>
          </w:p>
        </w:tc>
        <w:tc>
          <w:tcPr>
            <w:tcW w:w="1334" w:type="dxa"/>
            <w:vAlign w:val="center"/>
          </w:tcPr>
          <w:p>
            <w:pPr>
              <w:jc w:val="center"/>
              <w:rPr>
                <w:rFonts w:ascii="宋体" w:hAnsi="宋体" w:eastAsia="宋体"/>
                <w:szCs w:val="21"/>
              </w:rPr>
            </w:pPr>
          </w:p>
        </w:tc>
        <w:tc>
          <w:tcPr>
            <w:tcW w:w="1835" w:type="dxa"/>
            <w:vAlign w:val="center"/>
          </w:tcPr>
          <w:p>
            <w:pPr>
              <w:jc w:val="center"/>
              <w:rPr>
                <w:rFonts w:ascii="宋体" w:hAnsi="宋体" w:eastAsia="宋体"/>
                <w:szCs w:val="21"/>
              </w:rPr>
            </w:pPr>
          </w:p>
        </w:tc>
      </w:tr>
    </w:tbl>
    <w:p>
      <w:pPr>
        <w:jc w:val="left"/>
        <w:rPr>
          <w:rFonts w:ascii="宋体" w:hAnsi="宋体" w:eastAsia="宋体" w:cs="宋体"/>
          <w:bCs/>
          <w:szCs w:val="21"/>
        </w:rPr>
      </w:pPr>
    </w:p>
    <w:p>
      <w:pPr>
        <w:jc w:val="left"/>
        <w:rPr>
          <w:rFonts w:ascii="宋体" w:hAnsi="宋体" w:eastAsia="宋体"/>
          <w:b/>
          <w:snapToGrid w:val="0"/>
          <w:kern w:val="0"/>
          <w:sz w:val="36"/>
          <w:szCs w:val="36"/>
        </w:rPr>
      </w:pPr>
      <w:r>
        <w:rPr>
          <w:rFonts w:hint="eastAsia" w:ascii="宋体" w:hAnsi="宋体" w:eastAsia="宋体" w:cs="宋体"/>
          <w:bCs/>
          <w:szCs w:val="21"/>
        </w:rPr>
        <w:t>投标人名称（并加盖公章）：</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spacing w:line="360" w:lineRule="auto"/>
        <w:jc w:val="center"/>
        <w:rPr>
          <w:rFonts w:ascii="宋体" w:hAnsi="宋体" w:eastAsia="宋体"/>
          <w:b/>
          <w:snapToGrid w:val="0"/>
          <w:kern w:val="0"/>
          <w:sz w:val="32"/>
          <w:szCs w:val="32"/>
        </w:rPr>
      </w:pPr>
      <w:r>
        <w:rPr>
          <w:rFonts w:hint="eastAsia" w:ascii="宋体" w:hAnsi="宋体" w:eastAsia="宋体"/>
          <w:b/>
          <w:snapToGrid w:val="0"/>
          <w:kern w:val="0"/>
          <w:sz w:val="32"/>
          <w:szCs w:val="32"/>
        </w:rPr>
        <w:t>4.4售后服务方案</w:t>
      </w:r>
    </w:p>
    <w:p>
      <w:pPr>
        <w:jc w:val="center"/>
        <w:rPr>
          <w:rFonts w:ascii="宋体" w:hAnsi="宋体" w:eastAsia="宋体"/>
          <w:b/>
          <w:snapToGrid w:val="0"/>
          <w:kern w:val="0"/>
          <w:sz w:val="36"/>
          <w:szCs w:val="36"/>
        </w:rPr>
      </w:pPr>
      <w:r>
        <w:rPr>
          <w:rFonts w:hint="eastAsia" w:ascii="宋体" w:hAnsi="宋体" w:eastAsia="宋体" w:cs="宋体"/>
          <w:kern w:val="0"/>
          <w:sz w:val="24"/>
        </w:rPr>
        <w:t>（投标人根据招标文件要求自行编制）</w:t>
      </w: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jc w:val="left"/>
        <w:rPr>
          <w:rFonts w:ascii="宋体" w:hAnsi="宋体" w:eastAsia="宋体"/>
          <w:b/>
          <w:snapToGrid w:val="0"/>
          <w:kern w:val="0"/>
          <w:sz w:val="36"/>
          <w:szCs w:val="36"/>
        </w:rPr>
      </w:pPr>
    </w:p>
    <w:p>
      <w:pPr>
        <w:widowControl/>
        <w:jc w:val="left"/>
        <w:rPr>
          <w:rFonts w:ascii="宋体" w:hAnsi="宋体" w:eastAsia="宋体" w:cs="宋体"/>
          <w:sz w:val="24"/>
          <w:szCs w:val="24"/>
          <w:lang w:val="zh-CN"/>
        </w:rPr>
      </w:pPr>
      <w:r>
        <w:rPr>
          <w:rFonts w:ascii="宋体" w:hAnsi="宋体" w:eastAsia="宋体" w:cs="宋体"/>
          <w:sz w:val="24"/>
          <w:szCs w:val="24"/>
          <w:lang w:val="zh-CN"/>
        </w:rPr>
        <w:br w:type="page"/>
      </w:r>
    </w:p>
    <w:p>
      <w:pPr>
        <w:jc w:val="center"/>
        <w:rPr>
          <w:rFonts w:ascii="宋体" w:hAnsi="宋体" w:eastAsia="宋体"/>
          <w:b/>
          <w:snapToGrid w:val="0"/>
          <w:kern w:val="0"/>
          <w:sz w:val="32"/>
          <w:szCs w:val="32"/>
        </w:rPr>
      </w:pPr>
      <w:r>
        <w:rPr>
          <w:rFonts w:hint="eastAsia" w:ascii="宋体" w:hAnsi="宋体" w:eastAsia="宋体"/>
          <w:b/>
          <w:snapToGrid w:val="0"/>
          <w:kern w:val="0"/>
          <w:sz w:val="32"/>
          <w:szCs w:val="32"/>
        </w:rPr>
        <w:t>五、其他资料</w:t>
      </w:r>
      <w:r>
        <w:rPr>
          <w:rFonts w:ascii="宋体" w:hAnsi="宋体" w:eastAsia="宋体"/>
          <w:b/>
          <w:snapToGrid w:val="0"/>
          <w:kern w:val="0"/>
          <w:sz w:val="32"/>
          <w:szCs w:val="32"/>
        </w:rPr>
        <w:t>（若有）</w:t>
      </w:r>
    </w:p>
    <w:p>
      <w:pPr>
        <w:jc w:val="center"/>
        <w:rPr>
          <w:rFonts w:ascii="宋体" w:hAnsi="宋体" w:eastAsia="宋体"/>
          <w:b/>
          <w:snapToGrid w:val="0"/>
          <w:kern w:val="0"/>
          <w:sz w:val="28"/>
          <w:szCs w:val="36"/>
        </w:rPr>
      </w:pPr>
    </w:p>
    <w:p>
      <w:pPr>
        <w:jc w:val="center"/>
        <w:rPr>
          <w:rFonts w:ascii="宋体" w:hAnsi="宋体" w:eastAsia="宋体"/>
          <w:b/>
          <w:snapToGrid w:val="0"/>
          <w:kern w:val="0"/>
          <w:sz w:val="28"/>
          <w:szCs w:val="36"/>
        </w:rPr>
      </w:pPr>
      <w:r>
        <w:rPr>
          <w:rFonts w:hint="eastAsia" w:ascii="宋体" w:hAnsi="宋体" w:eastAsia="宋体"/>
          <w:b/>
          <w:snapToGrid w:val="0"/>
          <w:kern w:val="0"/>
          <w:sz w:val="28"/>
          <w:szCs w:val="36"/>
        </w:rPr>
        <w:t>除招标文件另有规定外 ， 投标人认为需要提交的其他证明材料或资料加盖投标</w:t>
      </w:r>
    </w:p>
    <w:p>
      <w:pPr>
        <w:jc w:val="center"/>
        <w:rPr>
          <w:rFonts w:ascii="宋体" w:hAnsi="宋体" w:eastAsia="宋体"/>
          <w:b/>
          <w:snapToGrid w:val="0"/>
          <w:kern w:val="0"/>
          <w:sz w:val="36"/>
          <w:szCs w:val="36"/>
        </w:rPr>
      </w:pPr>
      <w:r>
        <w:rPr>
          <w:rFonts w:hint="eastAsia" w:ascii="宋体" w:hAnsi="宋体" w:eastAsia="宋体"/>
          <w:b/>
          <w:snapToGrid w:val="0"/>
          <w:kern w:val="0"/>
          <w:sz w:val="28"/>
          <w:szCs w:val="36"/>
        </w:rPr>
        <w:t>人单位公章后应在此项下提交</w:t>
      </w:r>
    </w:p>
    <w:sectPr>
      <w:footerReference r:id="rId4" w:type="default"/>
      <w:pgSz w:w="11906" w:h="16838"/>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0112"/>
    </w:sdtPr>
    <w:sdtContent>
      <w:p>
        <w:pPr>
          <w:pStyle w:val="18"/>
          <w:jc w:val="center"/>
        </w:pPr>
        <w:r>
          <w:fldChar w:fldCharType="begin"/>
        </w:r>
        <w:r>
          <w:instrText xml:space="preserve"> PAGE   \* MERGEFORMAT </w:instrText>
        </w:r>
        <w:r>
          <w:fldChar w:fldCharType="separate"/>
        </w:r>
        <w:r>
          <w:rPr>
            <w:lang w:val="zh-CN"/>
          </w:rPr>
          <w:t>79</w:t>
        </w:r>
        <w:r>
          <w:rPr>
            <w:lang w:val="zh-CN"/>
          </w:rP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9F817E8"/>
    <w:multiLevelType w:val="singleLevel"/>
    <w:tmpl w:val="59F817E8"/>
    <w:lvl w:ilvl="0" w:tentative="0">
      <w:start w:val="1"/>
      <w:numFmt w:val="chineseCounting"/>
      <w:pStyle w:val="52"/>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VlYjU1YTZhODA4NzIwZDY5NGY1NzIzMjU4OTlkNTEifQ=="/>
  </w:docVars>
  <w:rsids>
    <w:rsidRoot w:val="00172A27"/>
    <w:rsid w:val="00000A27"/>
    <w:rsid w:val="000043E4"/>
    <w:rsid w:val="0000620B"/>
    <w:rsid w:val="00012712"/>
    <w:rsid w:val="00013E05"/>
    <w:rsid w:val="000145B9"/>
    <w:rsid w:val="00016135"/>
    <w:rsid w:val="000178D4"/>
    <w:rsid w:val="00020353"/>
    <w:rsid w:val="00021475"/>
    <w:rsid w:val="00021A0B"/>
    <w:rsid w:val="00022000"/>
    <w:rsid w:val="00022021"/>
    <w:rsid w:val="000300B0"/>
    <w:rsid w:val="000318E9"/>
    <w:rsid w:val="0003347D"/>
    <w:rsid w:val="00033D27"/>
    <w:rsid w:val="00034324"/>
    <w:rsid w:val="00040A8B"/>
    <w:rsid w:val="00040E1E"/>
    <w:rsid w:val="00041E4C"/>
    <w:rsid w:val="00054916"/>
    <w:rsid w:val="000554D6"/>
    <w:rsid w:val="00055E0E"/>
    <w:rsid w:val="00061EBD"/>
    <w:rsid w:val="00066076"/>
    <w:rsid w:val="00073FF0"/>
    <w:rsid w:val="00074086"/>
    <w:rsid w:val="00075011"/>
    <w:rsid w:val="000808A9"/>
    <w:rsid w:val="00084C66"/>
    <w:rsid w:val="00086AFB"/>
    <w:rsid w:val="00091352"/>
    <w:rsid w:val="00091F08"/>
    <w:rsid w:val="000938BE"/>
    <w:rsid w:val="000A2B29"/>
    <w:rsid w:val="000A78E1"/>
    <w:rsid w:val="000A7A0E"/>
    <w:rsid w:val="000A7DBB"/>
    <w:rsid w:val="000B0639"/>
    <w:rsid w:val="000B2502"/>
    <w:rsid w:val="000B691B"/>
    <w:rsid w:val="000B76FE"/>
    <w:rsid w:val="000C03BC"/>
    <w:rsid w:val="000C15AC"/>
    <w:rsid w:val="000C2AD4"/>
    <w:rsid w:val="000C2B1A"/>
    <w:rsid w:val="000C4B18"/>
    <w:rsid w:val="000C5471"/>
    <w:rsid w:val="000C5472"/>
    <w:rsid w:val="000D0962"/>
    <w:rsid w:val="000D24B4"/>
    <w:rsid w:val="000D3714"/>
    <w:rsid w:val="000D4F8E"/>
    <w:rsid w:val="000D56C3"/>
    <w:rsid w:val="000E102E"/>
    <w:rsid w:val="000F037D"/>
    <w:rsid w:val="000F293F"/>
    <w:rsid w:val="000F3964"/>
    <w:rsid w:val="00107190"/>
    <w:rsid w:val="00110DDA"/>
    <w:rsid w:val="00113A6C"/>
    <w:rsid w:val="00114F7B"/>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50D7"/>
    <w:rsid w:val="001729F5"/>
    <w:rsid w:val="00172A27"/>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548"/>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76BE0"/>
    <w:rsid w:val="002809C6"/>
    <w:rsid w:val="002822CF"/>
    <w:rsid w:val="00282D0F"/>
    <w:rsid w:val="00294675"/>
    <w:rsid w:val="002A4363"/>
    <w:rsid w:val="002A4A94"/>
    <w:rsid w:val="002A6876"/>
    <w:rsid w:val="002A7861"/>
    <w:rsid w:val="002B7406"/>
    <w:rsid w:val="002C126B"/>
    <w:rsid w:val="002C72D4"/>
    <w:rsid w:val="002D5CAA"/>
    <w:rsid w:val="002D71A8"/>
    <w:rsid w:val="002D7745"/>
    <w:rsid w:val="002E3710"/>
    <w:rsid w:val="002F1AA2"/>
    <w:rsid w:val="002F56B1"/>
    <w:rsid w:val="002F68B9"/>
    <w:rsid w:val="003002C1"/>
    <w:rsid w:val="00300379"/>
    <w:rsid w:val="00301814"/>
    <w:rsid w:val="00304216"/>
    <w:rsid w:val="00307037"/>
    <w:rsid w:val="003103B1"/>
    <w:rsid w:val="00313750"/>
    <w:rsid w:val="003144F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438E8"/>
    <w:rsid w:val="00355A48"/>
    <w:rsid w:val="00355D76"/>
    <w:rsid w:val="00361029"/>
    <w:rsid w:val="00361EF7"/>
    <w:rsid w:val="00365D02"/>
    <w:rsid w:val="0037403C"/>
    <w:rsid w:val="00380D7C"/>
    <w:rsid w:val="00380F2D"/>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3E52B8"/>
    <w:rsid w:val="003F5211"/>
    <w:rsid w:val="00401255"/>
    <w:rsid w:val="00402370"/>
    <w:rsid w:val="0041105B"/>
    <w:rsid w:val="00411108"/>
    <w:rsid w:val="0041124B"/>
    <w:rsid w:val="00412829"/>
    <w:rsid w:val="0041287C"/>
    <w:rsid w:val="00413CF6"/>
    <w:rsid w:val="00414486"/>
    <w:rsid w:val="00415A4E"/>
    <w:rsid w:val="00417373"/>
    <w:rsid w:val="00417F78"/>
    <w:rsid w:val="004212CB"/>
    <w:rsid w:val="0042172E"/>
    <w:rsid w:val="004226E9"/>
    <w:rsid w:val="00425942"/>
    <w:rsid w:val="00426002"/>
    <w:rsid w:val="00432DD2"/>
    <w:rsid w:val="00436090"/>
    <w:rsid w:val="0044180F"/>
    <w:rsid w:val="0044185A"/>
    <w:rsid w:val="00441993"/>
    <w:rsid w:val="004434B0"/>
    <w:rsid w:val="00445971"/>
    <w:rsid w:val="00447141"/>
    <w:rsid w:val="00453CFB"/>
    <w:rsid w:val="004558C9"/>
    <w:rsid w:val="0046299D"/>
    <w:rsid w:val="00471D9E"/>
    <w:rsid w:val="00474B4F"/>
    <w:rsid w:val="00480EAD"/>
    <w:rsid w:val="004831BE"/>
    <w:rsid w:val="00484A4D"/>
    <w:rsid w:val="004872EA"/>
    <w:rsid w:val="0048788B"/>
    <w:rsid w:val="00492301"/>
    <w:rsid w:val="0049254D"/>
    <w:rsid w:val="00494A3F"/>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53C9"/>
    <w:rsid w:val="004D7C03"/>
    <w:rsid w:val="004E1721"/>
    <w:rsid w:val="004E1916"/>
    <w:rsid w:val="004E2717"/>
    <w:rsid w:val="004E2C91"/>
    <w:rsid w:val="004E6481"/>
    <w:rsid w:val="004E7C52"/>
    <w:rsid w:val="004E7E50"/>
    <w:rsid w:val="004F1DBB"/>
    <w:rsid w:val="004F2FF5"/>
    <w:rsid w:val="004F444D"/>
    <w:rsid w:val="004F5BE4"/>
    <w:rsid w:val="005020CD"/>
    <w:rsid w:val="00502678"/>
    <w:rsid w:val="00505C0F"/>
    <w:rsid w:val="00507E6B"/>
    <w:rsid w:val="005104B2"/>
    <w:rsid w:val="00511C92"/>
    <w:rsid w:val="00512A12"/>
    <w:rsid w:val="00517A48"/>
    <w:rsid w:val="00521E2C"/>
    <w:rsid w:val="00522091"/>
    <w:rsid w:val="00522697"/>
    <w:rsid w:val="00532ED6"/>
    <w:rsid w:val="00541050"/>
    <w:rsid w:val="005436E5"/>
    <w:rsid w:val="00544270"/>
    <w:rsid w:val="0054757C"/>
    <w:rsid w:val="00547C51"/>
    <w:rsid w:val="00550D74"/>
    <w:rsid w:val="00552BDA"/>
    <w:rsid w:val="005549F8"/>
    <w:rsid w:val="0055516F"/>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A7A38"/>
    <w:rsid w:val="005B5910"/>
    <w:rsid w:val="005C0D69"/>
    <w:rsid w:val="005C2ACF"/>
    <w:rsid w:val="005C47E7"/>
    <w:rsid w:val="005D17A8"/>
    <w:rsid w:val="005D29BD"/>
    <w:rsid w:val="005D36F7"/>
    <w:rsid w:val="005D5A65"/>
    <w:rsid w:val="005D6F32"/>
    <w:rsid w:val="005E3409"/>
    <w:rsid w:val="005E3F3F"/>
    <w:rsid w:val="005F0B1E"/>
    <w:rsid w:val="005F1DF2"/>
    <w:rsid w:val="005F503E"/>
    <w:rsid w:val="006022A2"/>
    <w:rsid w:val="0060569D"/>
    <w:rsid w:val="00610B6B"/>
    <w:rsid w:val="00614304"/>
    <w:rsid w:val="006172CB"/>
    <w:rsid w:val="0061792B"/>
    <w:rsid w:val="00617BDF"/>
    <w:rsid w:val="006220DA"/>
    <w:rsid w:val="00622B0B"/>
    <w:rsid w:val="00624843"/>
    <w:rsid w:val="00624C66"/>
    <w:rsid w:val="00625568"/>
    <w:rsid w:val="0062659A"/>
    <w:rsid w:val="00627884"/>
    <w:rsid w:val="00633EEE"/>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7085"/>
    <w:rsid w:val="006A79B1"/>
    <w:rsid w:val="006B11BB"/>
    <w:rsid w:val="006B59F9"/>
    <w:rsid w:val="006B7824"/>
    <w:rsid w:val="006C12FD"/>
    <w:rsid w:val="006C1ABC"/>
    <w:rsid w:val="006C4A8D"/>
    <w:rsid w:val="006C5180"/>
    <w:rsid w:val="006D0405"/>
    <w:rsid w:val="006D2502"/>
    <w:rsid w:val="006D2F3B"/>
    <w:rsid w:val="006D2F43"/>
    <w:rsid w:val="006D332D"/>
    <w:rsid w:val="006D4C90"/>
    <w:rsid w:val="006D4E52"/>
    <w:rsid w:val="006D5390"/>
    <w:rsid w:val="006E2BD5"/>
    <w:rsid w:val="006E3961"/>
    <w:rsid w:val="006E533B"/>
    <w:rsid w:val="006E6EAB"/>
    <w:rsid w:val="006F0427"/>
    <w:rsid w:val="006F29B3"/>
    <w:rsid w:val="006F2C6A"/>
    <w:rsid w:val="006F3B41"/>
    <w:rsid w:val="006F55D5"/>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2DB6"/>
    <w:rsid w:val="00783342"/>
    <w:rsid w:val="00784774"/>
    <w:rsid w:val="007859D1"/>
    <w:rsid w:val="00785D9A"/>
    <w:rsid w:val="0078780A"/>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D78"/>
    <w:rsid w:val="007E1FE9"/>
    <w:rsid w:val="007E3CD7"/>
    <w:rsid w:val="007E417F"/>
    <w:rsid w:val="007E5964"/>
    <w:rsid w:val="007E6183"/>
    <w:rsid w:val="007F0385"/>
    <w:rsid w:val="007F0A64"/>
    <w:rsid w:val="007F2A28"/>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5A17"/>
    <w:rsid w:val="00905B1E"/>
    <w:rsid w:val="00907E1C"/>
    <w:rsid w:val="00907F3C"/>
    <w:rsid w:val="00912C93"/>
    <w:rsid w:val="00920609"/>
    <w:rsid w:val="00920892"/>
    <w:rsid w:val="009209F7"/>
    <w:rsid w:val="00921C22"/>
    <w:rsid w:val="009235EF"/>
    <w:rsid w:val="0092409E"/>
    <w:rsid w:val="00924A6A"/>
    <w:rsid w:val="00930F65"/>
    <w:rsid w:val="00932973"/>
    <w:rsid w:val="009422EE"/>
    <w:rsid w:val="00942C4E"/>
    <w:rsid w:val="0094394A"/>
    <w:rsid w:val="00945983"/>
    <w:rsid w:val="00950EC8"/>
    <w:rsid w:val="00951F7F"/>
    <w:rsid w:val="00954B20"/>
    <w:rsid w:val="00954B55"/>
    <w:rsid w:val="009565FC"/>
    <w:rsid w:val="00957322"/>
    <w:rsid w:val="0095778A"/>
    <w:rsid w:val="00972275"/>
    <w:rsid w:val="00973D36"/>
    <w:rsid w:val="0097535A"/>
    <w:rsid w:val="009762A4"/>
    <w:rsid w:val="00976D8E"/>
    <w:rsid w:val="00985EBA"/>
    <w:rsid w:val="00986060"/>
    <w:rsid w:val="0098622D"/>
    <w:rsid w:val="00987CF2"/>
    <w:rsid w:val="0099095B"/>
    <w:rsid w:val="0099756A"/>
    <w:rsid w:val="00997DF6"/>
    <w:rsid w:val="009A452D"/>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4F23"/>
    <w:rsid w:val="009E6699"/>
    <w:rsid w:val="009E7A6E"/>
    <w:rsid w:val="009F3BDE"/>
    <w:rsid w:val="009F5A2B"/>
    <w:rsid w:val="00A0109A"/>
    <w:rsid w:val="00A019EC"/>
    <w:rsid w:val="00A030F5"/>
    <w:rsid w:val="00A045C1"/>
    <w:rsid w:val="00A0474D"/>
    <w:rsid w:val="00A04A3C"/>
    <w:rsid w:val="00A06AEC"/>
    <w:rsid w:val="00A07D8C"/>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3440"/>
    <w:rsid w:val="00A54E5B"/>
    <w:rsid w:val="00A54EDA"/>
    <w:rsid w:val="00A558D3"/>
    <w:rsid w:val="00A56DAA"/>
    <w:rsid w:val="00A6002C"/>
    <w:rsid w:val="00A61041"/>
    <w:rsid w:val="00A61AF6"/>
    <w:rsid w:val="00A61CAD"/>
    <w:rsid w:val="00A63C44"/>
    <w:rsid w:val="00A678EF"/>
    <w:rsid w:val="00A75A79"/>
    <w:rsid w:val="00A8027E"/>
    <w:rsid w:val="00A8774F"/>
    <w:rsid w:val="00A910F1"/>
    <w:rsid w:val="00A93C00"/>
    <w:rsid w:val="00A94444"/>
    <w:rsid w:val="00AA0F1B"/>
    <w:rsid w:val="00AA1FF6"/>
    <w:rsid w:val="00AA4CCD"/>
    <w:rsid w:val="00AB37AF"/>
    <w:rsid w:val="00AB43A7"/>
    <w:rsid w:val="00AB4DAB"/>
    <w:rsid w:val="00AB777C"/>
    <w:rsid w:val="00AC2DBF"/>
    <w:rsid w:val="00AC49CE"/>
    <w:rsid w:val="00AC4FD2"/>
    <w:rsid w:val="00AC6DE4"/>
    <w:rsid w:val="00AD1376"/>
    <w:rsid w:val="00AD175C"/>
    <w:rsid w:val="00AE01F4"/>
    <w:rsid w:val="00AE2422"/>
    <w:rsid w:val="00AE3298"/>
    <w:rsid w:val="00B02024"/>
    <w:rsid w:val="00B03F79"/>
    <w:rsid w:val="00B05115"/>
    <w:rsid w:val="00B0543B"/>
    <w:rsid w:val="00B07980"/>
    <w:rsid w:val="00B100BF"/>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4F7"/>
    <w:rsid w:val="00BC775F"/>
    <w:rsid w:val="00BC7EB6"/>
    <w:rsid w:val="00BD26E3"/>
    <w:rsid w:val="00BD3A5B"/>
    <w:rsid w:val="00BD46B3"/>
    <w:rsid w:val="00BD4844"/>
    <w:rsid w:val="00BD4F16"/>
    <w:rsid w:val="00BD5793"/>
    <w:rsid w:val="00BD62A9"/>
    <w:rsid w:val="00BD68BD"/>
    <w:rsid w:val="00BD6B19"/>
    <w:rsid w:val="00BD7252"/>
    <w:rsid w:val="00BD77B4"/>
    <w:rsid w:val="00BE05C3"/>
    <w:rsid w:val="00BE4C73"/>
    <w:rsid w:val="00BF121E"/>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376B0"/>
    <w:rsid w:val="00C41183"/>
    <w:rsid w:val="00C42E82"/>
    <w:rsid w:val="00C43817"/>
    <w:rsid w:val="00C44373"/>
    <w:rsid w:val="00C44B22"/>
    <w:rsid w:val="00C44CB2"/>
    <w:rsid w:val="00C46BF7"/>
    <w:rsid w:val="00C51259"/>
    <w:rsid w:val="00C520F1"/>
    <w:rsid w:val="00C55512"/>
    <w:rsid w:val="00C66916"/>
    <w:rsid w:val="00C677E0"/>
    <w:rsid w:val="00C70AC1"/>
    <w:rsid w:val="00C70FB9"/>
    <w:rsid w:val="00C73B5B"/>
    <w:rsid w:val="00C81E49"/>
    <w:rsid w:val="00C821C3"/>
    <w:rsid w:val="00C864CA"/>
    <w:rsid w:val="00C910A5"/>
    <w:rsid w:val="00C967BD"/>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77EA"/>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214F"/>
    <w:rsid w:val="00D34707"/>
    <w:rsid w:val="00D34BDF"/>
    <w:rsid w:val="00D37098"/>
    <w:rsid w:val="00D42A85"/>
    <w:rsid w:val="00D50424"/>
    <w:rsid w:val="00D51935"/>
    <w:rsid w:val="00D53F80"/>
    <w:rsid w:val="00D60F2F"/>
    <w:rsid w:val="00D615B9"/>
    <w:rsid w:val="00D61A2A"/>
    <w:rsid w:val="00D65B94"/>
    <w:rsid w:val="00D65D54"/>
    <w:rsid w:val="00D72691"/>
    <w:rsid w:val="00D73044"/>
    <w:rsid w:val="00D7648C"/>
    <w:rsid w:val="00D829CB"/>
    <w:rsid w:val="00D8777F"/>
    <w:rsid w:val="00D87987"/>
    <w:rsid w:val="00D91171"/>
    <w:rsid w:val="00D91954"/>
    <w:rsid w:val="00D92EE6"/>
    <w:rsid w:val="00D97746"/>
    <w:rsid w:val="00DA7855"/>
    <w:rsid w:val="00DA793F"/>
    <w:rsid w:val="00DB0DE6"/>
    <w:rsid w:val="00DC21F0"/>
    <w:rsid w:val="00DC2B65"/>
    <w:rsid w:val="00DC6509"/>
    <w:rsid w:val="00DC7053"/>
    <w:rsid w:val="00DD3337"/>
    <w:rsid w:val="00DD363B"/>
    <w:rsid w:val="00DD4E4E"/>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06B7D"/>
    <w:rsid w:val="00E10FA0"/>
    <w:rsid w:val="00E122CB"/>
    <w:rsid w:val="00E215F1"/>
    <w:rsid w:val="00E23129"/>
    <w:rsid w:val="00E301A5"/>
    <w:rsid w:val="00E31290"/>
    <w:rsid w:val="00E31F92"/>
    <w:rsid w:val="00E34343"/>
    <w:rsid w:val="00E43111"/>
    <w:rsid w:val="00E533A3"/>
    <w:rsid w:val="00E53A71"/>
    <w:rsid w:val="00E53E54"/>
    <w:rsid w:val="00E554FC"/>
    <w:rsid w:val="00E56D1C"/>
    <w:rsid w:val="00E57228"/>
    <w:rsid w:val="00E66747"/>
    <w:rsid w:val="00E7246F"/>
    <w:rsid w:val="00E76E11"/>
    <w:rsid w:val="00E80D80"/>
    <w:rsid w:val="00E81BC8"/>
    <w:rsid w:val="00E8787B"/>
    <w:rsid w:val="00E92C9A"/>
    <w:rsid w:val="00E970F5"/>
    <w:rsid w:val="00EA0993"/>
    <w:rsid w:val="00EA27A5"/>
    <w:rsid w:val="00EA474B"/>
    <w:rsid w:val="00EA678F"/>
    <w:rsid w:val="00EA7327"/>
    <w:rsid w:val="00EB122F"/>
    <w:rsid w:val="00EB2003"/>
    <w:rsid w:val="00EC0F37"/>
    <w:rsid w:val="00EC12C7"/>
    <w:rsid w:val="00EC2A79"/>
    <w:rsid w:val="00EC52FD"/>
    <w:rsid w:val="00EC5F8C"/>
    <w:rsid w:val="00EC6291"/>
    <w:rsid w:val="00EC6420"/>
    <w:rsid w:val="00ED06C7"/>
    <w:rsid w:val="00ED12B1"/>
    <w:rsid w:val="00ED1A13"/>
    <w:rsid w:val="00ED4E2E"/>
    <w:rsid w:val="00ED57B5"/>
    <w:rsid w:val="00ED57DC"/>
    <w:rsid w:val="00ED6FA9"/>
    <w:rsid w:val="00EE15D9"/>
    <w:rsid w:val="00EF0293"/>
    <w:rsid w:val="00EF1B01"/>
    <w:rsid w:val="00EF3DC1"/>
    <w:rsid w:val="00EF4F3A"/>
    <w:rsid w:val="00EF5261"/>
    <w:rsid w:val="00F001F0"/>
    <w:rsid w:val="00F02EEA"/>
    <w:rsid w:val="00F04E0C"/>
    <w:rsid w:val="00F04FC6"/>
    <w:rsid w:val="00F054EC"/>
    <w:rsid w:val="00F105D7"/>
    <w:rsid w:val="00F200D9"/>
    <w:rsid w:val="00F270AE"/>
    <w:rsid w:val="00F2739F"/>
    <w:rsid w:val="00F3278B"/>
    <w:rsid w:val="00F336D5"/>
    <w:rsid w:val="00F36EAE"/>
    <w:rsid w:val="00F40A77"/>
    <w:rsid w:val="00F45F42"/>
    <w:rsid w:val="00F51A04"/>
    <w:rsid w:val="00F566F9"/>
    <w:rsid w:val="00F6323A"/>
    <w:rsid w:val="00F6614B"/>
    <w:rsid w:val="00F700DD"/>
    <w:rsid w:val="00F703D8"/>
    <w:rsid w:val="00F70AA1"/>
    <w:rsid w:val="00F713BF"/>
    <w:rsid w:val="00F726CB"/>
    <w:rsid w:val="00F77138"/>
    <w:rsid w:val="00F771F3"/>
    <w:rsid w:val="00F7780B"/>
    <w:rsid w:val="00F77FD6"/>
    <w:rsid w:val="00F823FB"/>
    <w:rsid w:val="00F84F9D"/>
    <w:rsid w:val="00F869FC"/>
    <w:rsid w:val="00F9003E"/>
    <w:rsid w:val="00F94449"/>
    <w:rsid w:val="00F95117"/>
    <w:rsid w:val="00F95F0E"/>
    <w:rsid w:val="00FA3464"/>
    <w:rsid w:val="00FA42EB"/>
    <w:rsid w:val="00FA5D51"/>
    <w:rsid w:val="00FA69A3"/>
    <w:rsid w:val="00FB5067"/>
    <w:rsid w:val="00FB7BCA"/>
    <w:rsid w:val="00FB7FAF"/>
    <w:rsid w:val="00FC5937"/>
    <w:rsid w:val="00FC745C"/>
    <w:rsid w:val="00FC7550"/>
    <w:rsid w:val="00FD2FE5"/>
    <w:rsid w:val="00FD4251"/>
    <w:rsid w:val="00FE0F0A"/>
    <w:rsid w:val="00FE0F7C"/>
    <w:rsid w:val="00FE1FB4"/>
    <w:rsid w:val="00FE265E"/>
    <w:rsid w:val="00FE3C90"/>
    <w:rsid w:val="00FE455B"/>
    <w:rsid w:val="00FE6002"/>
    <w:rsid w:val="00FE6A83"/>
    <w:rsid w:val="00FF2E8B"/>
    <w:rsid w:val="00FF6A16"/>
    <w:rsid w:val="00FF7E23"/>
    <w:rsid w:val="01157312"/>
    <w:rsid w:val="016E4F43"/>
    <w:rsid w:val="01DF3A5C"/>
    <w:rsid w:val="02756169"/>
    <w:rsid w:val="042E6AB4"/>
    <w:rsid w:val="04580BD2"/>
    <w:rsid w:val="05743F47"/>
    <w:rsid w:val="069B1DD4"/>
    <w:rsid w:val="08261E3C"/>
    <w:rsid w:val="0849384E"/>
    <w:rsid w:val="087A5458"/>
    <w:rsid w:val="087F44EA"/>
    <w:rsid w:val="08BB5E59"/>
    <w:rsid w:val="0A7B77C1"/>
    <w:rsid w:val="0A90186D"/>
    <w:rsid w:val="0BE379A8"/>
    <w:rsid w:val="0DC851A8"/>
    <w:rsid w:val="0FA77E67"/>
    <w:rsid w:val="101769C4"/>
    <w:rsid w:val="10920E0E"/>
    <w:rsid w:val="10C4429D"/>
    <w:rsid w:val="118F367D"/>
    <w:rsid w:val="12034223"/>
    <w:rsid w:val="12671D2D"/>
    <w:rsid w:val="13FA78A6"/>
    <w:rsid w:val="141939A5"/>
    <w:rsid w:val="16665062"/>
    <w:rsid w:val="17C15A8E"/>
    <w:rsid w:val="17F42C1A"/>
    <w:rsid w:val="18FD12B9"/>
    <w:rsid w:val="19BB08C0"/>
    <w:rsid w:val="1ABC221E"/>
    <w:rsid w:val="1B086142"/>
    <w:rsid w:val="1B1E61DD"/>
    <w:rsid w:val="1C6A46A0"/>
    <w:rsid w:val="1DDE0D5C"/>
    <w:rsid w:val="1DF5197B"/>
    <w:rsid w:val="1E243FC8"/>
    <w:rsid w:val="1EF65EF6"/>
    <w:rsid w:val="1F3C5D21"/>
    <w:rsid w:val="1F980D5B"/>
    <w:rsid w:val="1FA85972"/>
    <w:rsid w:val="2307155F"/>
    <w:rsid w:val="26DA4AF5"/>
    <w:rsid w:val="27443994"/>
    <w:rsid w:val="277B61EE"/>
    <w:rsid w:val="27C95FC0"/>
    <w:rsid w:val="28834130"/>
    <w:rsid w:val="294D7358"/>
    <w:rsid w:val="2A2E206C"/>
    <w:rsid w:val="2B7B4645"/>
    <w:rsid w:val="2B9A25B0"/>
    <w:rsid w:val="2D9C7338"/>
    <w:rsid w:val="2EC93EEC"/>
    <w:rsid w:val="2F9B2CEE"/>
    <w:rsid w:val="30677CC3"/>
    <w:rsid w:val="32A4380F"/>
    <w:rsid w:val="333360C7"/>
    <w:rsid w:val="33414E17"/>
    <w:rsid w:val="341A2984"/>
    <w:rsid w:val="343B7960"/>
    <w:rsid w:val="34CC3C25"/>
    <w:rsid w:val="35E53625"/>
    <w:rsid w:val="374925C2"/>
    <w:rsid w:val="38E71D13"/>
    <w:rsid w:val="39266131"/>
    <w:rsid w:val="39423467"/>
    <w:rsid w:val="39501D02"/>
    <w:rsid w:val="39A4056A"/>
    <w:rsid w:val="39B051C8"/>
    <w:rsid w:val="3A770D92"/>
    <w:rsid w:val="3BFE578E"/>
    <w:rsid w:val="3C1F65F9"/>
    <w:rsid w:val="3C517B1A"/>
    <w:rsid w:val="3CF02837"/>
    <w:rsid w:val="3E8B737C"/>
    <w:rsid w:val="3EAA216D"/>
    <w:rsid w:val="401E4C91"/>
    <w:rsid w:val="40B87C8C"/>
    <w:rsid w:val="41A73929"/>
    <w:rsid w:val="44050E40"/>
    <w:rsid w:val="44D43F0A"/>
    <w:rsid w:val="44E72EA6"/>
    <w:rsid w:val="46E677BF"/>
    <w:rsid w:val="49E5635E"/>
    <w:rsid w:val="4A9B2E1B"/>
    <w:rsid w:val="4ACC3077"/>
    <w:rsid w:val="4AE1026E"/>
    <w:rsid w:val="4B130ADF"/>
    <w:rsid w:val="4BD57944"/>
    <w:rsid w:val="4C3221AC"/>
    <w:rsid w:val="4D063625"/>
    <w:rsid w:val="4E70446A"/>
    <w:rsid w:val="5074758D"/>
    <w:rsid w:val="525023C6"/>
    <w:rsid w:val="550E1BF3"/>
    <w:rsid w:val="55F3226C"/>
    <w:rsid w:val="568C1F86"/>
    <w:rsid w:val="5853793A"/>
    <w:rsid w:val="59DD4972"/>
    <w:rsid w:val="5A3C16B5"/>
    <w:rsid w:val="5A642138"/>
    <w:rsid w:val="5AA9147B"/>
    <w:rsid w:val="5AC260CC"/>
    <w:rsid w:val="5ADD29F0"/>
    <w:rsid w:val="5AF76E9A"/>
    <w:rsid w:val="5BA70B95"/>
    <w:rsid w:val="5BB341C3"/>
    <w:rsid w:val="5D8C5279"/>
    <w:rsid w:val="5DB2451E"/>
    <w:rsid w:val="5F36008A"/>
    <w:rsid w:val="60266480"/>
    <w:rsid w:val="60612555"/>
    <w:rsid w:val="61086DB6"/>
    <w:rsid w:val="61AD3111"/>
    <w:rsid w:val="62956902"/>
    <w:rsid w:val="63794A56"/>
    <w:rsid w:val="6431237D"/>
    <w:rsid w:val="67155392"/>
    <w:rsid w:val="692774E7"/>
    <w:rsid w:val="69BA4959"/>
    <w:rsid w:val="6A3547FA"/>
    <w:rsid w:val="6AD04219"/>
    <w:rsid w:val="6B223AC5"/>
    <w:rsid w:val="6D776AA5"/>
    <w:rsid w:val="6E6A4781"/>
    <w:rsid w:val="6EEF0D78"/>
    <w:rsid w:val="6FAB7738"/>
    <w:rsid w:val="702908D0"/>
    <w:rsid w:val="712B1D1A"/>
    <w:rsid w:val="716C2E5D"/>
    <w:rsid w:val="71953B5C"/>
    <w:rsid w:val="72521C52"/>
    <w:rsid w:val="73F8321D"/>
    <w:rsid w:val="74363F40"/>
    <w:rsid w:val="74D025EE"/>
    <w:rsid w:val="7545076C"/>
    <w:rsid w:val="75507B9C"/>
    <w:rsid w:val="76D0452E"/>
    <w:rsid w:val="786D7DB6"/>
    <w:rsid w:val="792C3B6F"/>
    <w:rsid w:val="79863274"/>
    <w:rsid w:val="7A0D3B54"/>
    <w:rsid w:val="7AD56D69"/>
    <w:rsid w:val="7CF229CE"/>
    <w:rsid w:val="7DD059AA"/>
    <w:rsid w:val="7FF83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7"/>
    <w:semiHidden/>
    <w:unhideWhenUsed/>
    <w:qFormat/>
    <w:uiPriority w:val="99"/>
    <w:rPr>
      <w:rFonts w:ascii="宋体" w:eastAsia="宋体"/>
      <w:sz w:val="18"/>
      <w:szCs w:val="18"/>
    </w:rPr>
  </w:style>
  <w:style w:type="paragraph" w:styleId="11">
    <w:name w:val="annotation text"/>
    <w:basedOn w:val="1"/>
    <w:semiHidden/>
    <w:unhideWhenUsed/>
    <w:qFormat/>
    <w:uiPriority w:val="99"/>
    <w:pPr>
      <w:jc w:val="left"/>
    </w:pPr>
  </w:style>
  <w:style w:type="paragraph" w:styleId="12">
    <w:name w:val="Body Text 3"/>
    <w:basedOn w:val="1"/>
    <w:link w:val="49"/>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Balloon Text"/>
    <w:basedOn w:val="1"/>
    <w:link w:val="59"/>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1">
    <w:name w:val="toc 2"/>
    <w:basedOn w:val="1"/>
    <w:next w:val="1"/>
    <w:unhideWhenUsed/>
    <w:qFormat/>
    <w:uiPriority w:val="39"/>
    <w:pPr>
      <w:ind w:left="420" w:leftChars="200"/>
    </w:pPr>
  </w:style>
  <w:style w:type="paragraph" w:styleId="22">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rPr>
  </w:style>
  <w:style w:type="character" w:styleId="29">
    <w:name w:val="Hyperlink"/>
    <w:basedOn w:val="26"/>
    <w:unhideWhenUsed/>
    <w:qFormat/>
    <w:uiPriority w:val="99"/>
    <w:rPr>
      <w:color w:val="0000FF"/>
      <w:u w:val="single"/>
    </w:rPr>
  </w:style>
  <w:style w:type="character" w:customStyle="1" w:styleId="30">
    <w:name w:val="标题 1 Char"/>
    <w:basedOn w:val="26"/>
    <w:link w:val="4"/>
    <w:qFormat/>
    <w:uiPriority w:val="0"/>
    <w:rPr>
      <w:rFonts w:ascii="Calibri" w:hAnsi="Calibri" w:eastAsia="宋体" w:cs="Times New Roman"/>
      <w:b/>
      <w:bCs/>
      <w:kern w:val="44"/>
      <w:sz w:val="44"/>
      <w:szCs w:val="44"/>
    </w:rPr>
  </w:style>
  <w:style w:type="character" w:customStyle="1" w:styleId="31">
    <w:name w:val="标题 2 Char"/>
    <w:basedOn w:val="26"/>
    <w:link w:val="5"/>
    <w:qFormat/>
    <w:uiPriority w:val="0"/>
    <w:rPr>
      <w:rFonts w:ascii="Arial" w:hAnsi="Arial" w:eastAsia="黑体" w:cs="Times New Roman"/>
      <w:b/>
      <w:bCs/>
      <w:kern w:val="0"/>
      <w:sz w:val="32"/>
      <w:szCs w:val="32"/>
    </w:rPr>
  </w:style>
  <w:style w:type="character" w:customStyle="1" w:styleId="32">
    <w:name w:val="标题 3 Char"/>
    <w:basedOn w:val="26"/>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7"/>
    <w:qFormat/>
    <w:uiPriority w:val="0"/>
    <w:rPr>
      <w:rFonts w:ascii="Arial" w:hAnsi="Arial" w:eastAsia="黑体" w:cs="Times New Roman"/>
      <w:b/>
      <w:bCs/>
      <w:kern w:val="0"/>
      <w:sz w:val="28"/>
      <w:szCs w:val="28"/>
    </w:rPr>
  </w:style>
  <w:style w:type="character" w:customStyle="1" w:styleId="34">
    <w:name w:val="纯文本 Char"/>
    <w:basedOn w:val="26"/>
    <w:link w:val="15"/>
    <w:qFormat/>
    <w:uiPriority w:val="0"/>
    <w:rPr>
      <w:rFonts w:eastAsia="宋体"/>
      <w:sz w:val="24"/>
    </w:rPr>
  </w:style>
  <w:style w:type="character" w:customStyle="1" w:styleId="35">
    <w:name w:val="日期 Char"/>
    <w:basedOn w:val="26"/>
    <w:link w:val="16"/>
    <w:qFormat/>
    <w:uiPriority w:val="99"/>
  </w:style>
  <w:style w:type="character" w:customStyle="1" w:styleId="36">
    <w:name w:val="页脚 Char"/>
    <w:basedOn w:val="26"/>
    <w:link w:val="18"/>
    <w:qFormat/>
    <w:uiPriority w:val="99"/>
    <w:rPr>
      <w:sz w:val="18"/>
      <w:szCs w:val="18"/>
    </w:rPr>
  </w:style>
  <w:style w:type="character" w:customStyle="1" w:styleId="37">
    <w:name w:val="页眉 Char"/>
    <w:basedOn w:val="26"/>
    <w:link w:val="19"/>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6"/>
    <w:link w:val="12"/>
    <w:qFormat/>
    <w:uiPriority w:val="0"/>
    <w:rPr>
      <w:rFonts w:ascii="Times New Roman" w:hAnsi="Times New Roman" w:eastAsia="宋体" w:cs="Times New Roman"/>
      <w:color w:val="FF0000"/>
      <w:sz w:val="24"/>
      <w:szCs w:val="24"/>
    </w:rPr>
  </w:style>
  <w:style w:type="character" w:customStyle="1" w:styleId="50">
    <w:name w:val="edittexttarea"/>
    <w:basedOn w:val="26"/>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6"/>
    <w:link w:val="3"/>
    <w:semiHidden/>
    <w:qFormat/>
    <w:uiPriority w:val="99"/>
  </w:style>
  <w:style w:type="character" w:customStyle="1" w:styleId="54">
    <w:name w:val="正文首行缩进 Char"/>
    <w:basedOn w:val="53"/>
    <w:link w:val="2"/>
    <w:qFormat/>
    <w:uiPriority w:val="0"/>
    <w:rPr>
      <w:rFonts w:ascii="宋体" w:hAnsi="Times New Roman" w:eastAsia="宋体" w:cs="Times New Roman"/>
      <w:kern w:val="0"/>
      <w:sz w:val="34"/>
      <w:szCs w:val="20"/>
    </w:rPr>
  </w:style>
  <w:style w:type="character" w:customStyle="1" w:styleId="55">
    <w:name w:val="HTML 预设格式 Char"/>
    <w:basedOn w:val="26"/>
    <w:link w:val="22"/>
    <w:semiHidden/>
    <w:qFormat/>
    <w:uiPriority w:val="99"/>
    <w:rPr>
      <w:rFonts w:ascii="宋体" w:hAnsi="宋体" w:eastAsia="宋体" w:cs="宋体"/>
      <w:kern w:val="0"/>
      <w:sz w:val="24"/>
      <w:szCs w:val="24"/>
    </w:rPr>
  </w:style>
  <w:style w:type="paragraph" w:customStyle="1" w:styleId="56">
    <w:name w:val="普通(网站)1"/>
    <w:basedOn w:val="1"/>
    <w:qFormat/>
    <w:uiPriority w:val="0"/>
    <w:rPr>
      <w:rFonts w:ascii="Calibri" w:hAnsi="Calibri" w:eastAsia="宋体" w:cs="Times New Roman"/>
      <w:sz w:val="24"/>
      <w:szCs w:val="24"/>
    </w:rPr>
  </w:style>
  <w:style w:type="character" w:customStyle="1" w:styleId="57">
    <w:name w:val="文档结构图 Char"/>
    <w:basedOn w:val="26"/>
    <w:link w:val="10"/>
    <w:semiHidden/>
    <w:qFormat/>
    <w:uiPriority w:val="99"/>
    <w:rPr>
      <w:rFonts w:ascii="宋体" w:eastAsia="宋体"/>
      <w:sz w:val="18"/>
      <w:szCs w:val="18"/>
    </w:rPr>
  </w:style>
  <w:style w:type="paragraph" w:customStyle="1" w:styleId="58">
    <w:name w:val="列出段落2"/>
    <w:basedOn w:val="1"/>
    <w:qFormat/>
    <w:uiPriority w:val="0"/>
    <w:pPr>
      <w:ind w:firstLine="420" w:firstLineChars="200"/>
    </w:pPr>
    <w:rPr>
      <w:rFonts w:ascii="Calibri" w:hAnsi="Calibri" w:eastAsia="宋体" w:cs="黑体"/>
    </w:rPr>
  </w:style>
  <w:style w:type="character" w:customStyle="1" w:styleId="59">
    <w:name w:val="批注框文本 Char"/>
    <w:basedOn w:val="26"/>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E7742-5017-4967-AFB1-7D1094FDD69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80</Pages>
  <Words>40169</Words>
  <Characters>42686</Characters>
  <Lines>336</Lines>
  <Paragraphs>94</Paragraphs>
  <TotalTime>5</TotalTime>
  <ScaleCrop>false</ScaleCrop>
  <LinksUpToDate>false</LinksUpToDate>
  <CharactersWithSpaces>44019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2019-08-20T07:08:00Z</dcterms:created>
  <dc:creator>Administrator</dc:creator>
  <cp:lastModifiedBy>王饼楠</cp:lastModifiedBy>
  <cp:lastPrinted>2022-11-04T03:56:00Z</cp:lastPrinted>
  <dcterms:modified xsi:type="dcterms:W3CDTF">2022-12-01T07:18:16Z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FFABD544FD974A7788DAF63710FCED04</vt:lpwstr>
  </property>
</Properties>
</file>