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hint="eastAsia" w:ascii="宋体" w:hAnsi="宋体" w:eastAsia="宋体" w:cs="宋体"/>
          <w:color w:val="auto"/>
          <w:sz w:val="56"/>
          <w:szCs w:val="56"/>
          <w:highlight w:val="none"/>
        </w:rPr>
      </w:pPr>
      <w:bookmarkStart w:id="42" w:name="_GoBack"/>
    </w:p>
    <w:p>
      <w:pPr>
        <w:tabs>
          <w:tab w:val="left" w:pos="3989"/>
        </w:tabs>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建安区政府采购</w:t>
      </w: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磋</w:t>
      </w:r>
    </w:p>
    <w:p>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商</w:t>
      </w:r>
    </w:p>
    <w:p>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文</w:t>
      </w:r>
    </w:p>
    <w:p>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件</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（不见面开标）</w:t>
      </w:r>
    </w:p>
    <w:p>
      <w:pPr>
        <w:rPr>
          <w:rFonts w:hint="eastAsia" w:ascii="宋体" w:hAnsi="宋体" w:eastAsia="宋体" w:cs="宋体"/>
          <w:color w:val="auto"/>
          <w:sz w:val="24"/>
          <w:szCs w:val="24"/>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项目编号：建安政采竞磋商字〔2024〕</w:t>
      </w:r>
      <w:r>
        <w:rPr>
          <w:rFonts w:hint="eastAsia" w:ascii="宋体" w:hAnsi="宋体" w:cs="宋体"/>
          <w:bCs/>
          <w:color w:val="auto"/>
          <w:sz w:val="32"/>
          <w:szCs w:val="32"/>
          <w:highlight w:val="none"/>
          <w:lang w:val="en-US" w:eastAsia="zh-CN"/>
        </w:rPr>
        <w:t>20</w:t>
      </w:r>
      <w:r>
        <w:rPr>
          <w:rFonts w:hint="eastAsia" w:ascii="宋体" w:hAnsi="宋体" w:eastAsia="宋体" w:cs="宋体"/>
          <w:bCs/>
          <w:color w:val="auto"/>
          <w:sz w:val="32"/>
          <w:szCs w:val="32"/>
          <w:highlight w:val="none"/>
        </w:rPr>
        <w:t>号</w:t>
      </w:r>
    </w:p>
    <w:p>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许昌市建安区看守所辅助人员费用（在押人员伙房厨师工资）</w:t>
      </w:r>
    </w:p>
    <w:p>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采购单位：</w:t>
      </w:r>
      <w:r>
        <w:rPr>
          <w:rFonts w:hint="eastAsia" w:ascii="宋体" w:hAnsi="宋体" w:eastAsia="宋体" w:cs="宋体"/>
          <w:bCs/>
          <w:color w:val="auto"/>
          <w:sz w:val="32"/>
          <w:szCs w:val="32"/>
          <w:highlight w:val="none"/>
          <w:lang w:eastAsia="zh-CN"/>
        </w:rPr>
        <w:t>许昌市建安区看守所</w:t>
      </w:r>
    </w:p>
    <w:p>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代理机构：</w:t>
      </w:r>
      <w:r>
        <w:rPr>
          <w:rFonts w:hint="eastAsia" w:ascii="宋体" w:hAnsi="宋体" w:eastAsia="宋体" w:cs="宋体"/>
          <w:bCs/>
          <w:color w:val="auto"/>
          <w:sz w:val="32"/>
          <w:szCs w:val="32"/>
          <w:highlight w:val="none"/>
          <w:lang w:eastAsia="zh-CN"/>
        </w:rPr>
        <w:t>河南魏恒工程项目管理有限公司</w:t>
      </w:r>
    </w:p>
    <w:p>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二〇二四年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pPr>
        <w:autoSpaceDE w:val="0"/>
        <w:autoSpaceDN w:val="0"/>
        <w:adjustRightInd w:val="0"/>
        <w:spacing w:line="700" w:lineRule="exact"/>
        <w:ind w:firstLine="551"/>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p>
    <w:p>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第一章 磋商邀请</w:t>
      </w:r>
    </w:p>
    <w:p>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zh-CN"/>
        </w:rPr>
        <w:t>第三章 供应商须知前附表</w:t>
      </w:r>
    </w:p>
    <w:p>
      <w:pPr>
        <w:autoSpaceDE w:val="0"/>
        <w:autoSpaceDN w:val="0"/>
        <w:adjustRightInd w:val="0"/>
        <w:spacing w:line="700" w:lineRule="exact"/>
        <w:ind w:firstLine="560"/>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zh-CN"/>
        </w:rPr>
        <w:t>第四章 供应商须知</w:t>
      </w:r>
    </w:p>
    <w:p>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二、磋商文件说明</w:t>
      </w:r>
    </w:p>
    <w:p>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三、响应文件的编制</w:t>
      </w:r>
    </w:p>
    <w:p>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四、响应文件的递交</w:t>
      </w:r>
    </w:p>
    <w:p>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五、磋商和评审</w:t>
      </w:r>
    </w:p>
    <w:p>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8"/>
          <w:szCs w:val="28"/>
          <w:highlight w:val="none"/>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第五章 </w:t>
      </w:r>
      <w:r>
        <w:rPr>
          <w:rFonts w:hint="eastAsia" w:ascii="宋体" w:hAnsi="宋体" w:eastAsia="宋体" w:cs="宋体"/>
          <w:b/>
          <w:color w:val="auto"/>
          <w:kern w:val="0"/>
          <w:sz w:val="28"/>
          <w:szCs w:val="28"/>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第六章 对响应文件审查与评审</w:t>
      </w:r>
    </w:p>
    <w:p>
      <w:pPr>
        <w:autoSpaceDE w:val="0"/>
        <w:autoSpaceDN w:val="0"/>
        <w:adjustRightInd w:val="0"/>
        <w:spacing w:line="700" w:lineRule="exact"/>
        <w:ind w:firstLine="551"/>
        <w:outlineLvl w:val="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第七章 </w:t>
      </w:r>
      <w:r>
        <w:rPr>
          <w:rFonts w:hint="eastAsia" w:ascii="宋体" w:hAnsi="宋体" w:eastAsia="宋体" w:cs="宋体"/>
          <w:b/>
          <w:color w:val="auto"/>
          <w:kern w:val="0"/>
          <w:sz w:val="28"/>
          <w:szCs w:val="28"/>
          <w:highlight w:val="none"/>
        </w:rPr>
        <w:t>合同条款及格式</w:t>
      </w:r>
    </w:p>
    <w:p>
      <w:pPr>
        <w:autoSpaceDE w:val="0"/>
        <w:autoSpaceDN w:val="0"/>
        <w:adjustRightInd w:val="0"/>
        <w:spacing w:line="700" w:lineRule="exact"/>
        <w:ind w:firstLine="551"/>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zh-CN"/>
        </w:rPr>
        <w:t>第八章 响应文件有关格式</w:t>
      </w:r>
    </w:p>
    <w:p>
      <w:pPr>
        <w:pStyle w:val="3"/>
        <w:rPr>
          <w:rFonts w:hint="eastAsia" w:ascii="宋体" w:hAnsi="宋体" w:eastAsia="宋体" w:cs="宋体"/>
          <w:b w:val="0"/>
          <w:color w:val="auto"/>
          <w:sz w:val="24"/>
          <w:szCs w:val="24"/>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jc w:val="center"/>
        <w:rPr>
          <w:rFonts w:hint="eastAsia" w:ascii="宋体" w:hAnsi="宋体" w:eastAsia="宋体" w:cs="宋体"/>
          <w:b/>
          <w:color w:val="auto"/>
          <w:sz w:val="36"/>
          <w:szCs w:val="36"/>
          <w:highlight w:val="none"/>
        </w:rPr>
        <w:sectPr>
          <w:footerReference r:id="rId4" w:type="first"/>
          <w:footerReference r:id="rId3" w:type="default"/>
          <w:pgSz w:w="11906" w:h="16838"/>
          <w:pgMar w:top="1440" w:right="1587" w:bottom="1440"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投标邀请</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32"/>
          <w:szCs w:val="36"/>
          <w:highlight w:val="none"/>
        </w:rPr>
      </w:pPr>
      <w:bookmarkStart w:id="0" w:name="_Toc28359081"/>
      <w:bookmarkStart w:id="1" w:name="_Toc35393792"/>
      <w:bookmarkStart w:id="2" w:name="_Toc28359004"/>
      <w:bookmarkStart w:id="3" w:name="_Toc35393623"/>
      <w:r>
        <w:rPr>
          <w:rFonts w:hint="eastAsia" w:ascii="宋体" w:hAnsi="宋体" w:eastAsia="宋体" w:cs="宋体"/>
          <w:b/>
          <w:bCs/>
          <w:color w:val="auto"/>
          <w:sz w:val="32"/>
          <w:szCs w:val="36"/>
          <w:highlight w:val="none"/>
        </w:rPr>
        <w:t>建安政采竞磋商字〔2024〕</w:t>
      </w:r>
      <w:r>
        <w:rPr>
          <w:rFonts w:hint="eastAsia" w:ascii="宋体" w:hAnsi="宋体" w:cs="宋体"/>
          <w:b/>
          <w:bCs/>
          <w:color w:val="auto"/>
          <w:sz w:val="32"/>
          <w:szCs w:val="36"/>
          <w:highlight w:val="none"/>
          <w:lang w:val="en-US" w:eastAsia="zh-CN"/>
        </w:rPr>
        <w:t>20</w:t>
      </w:r>
      <w:r>
        <w:rPr>
          <w:rFonts w:hint="eastAsia" w:ascii="宋体" w:hAnsi="宋体" w:eastAsia="宋体" w:cs="宋体"/>
          <w:b/>
          <w:bCs/>
          <w:color w:val="auto"/>
          <w:sz w:val="32"/>
          <w:szCs w:val="36"/>
          <w:highlight w:val="none"/>
        </w:rPr>
        <w:t>号</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32"/>
          <w:szCs w:val="36"/>
          <w:highlight w:val="none"/>
          <w:lang w:eastAsia="zh-CN"/>
        </w:rPr>
      </w:pPr>
      <w:r>
        <w:rPr>
          <w:rFonts w:hint="eastAsia" w:ascii="宋体" w:hAnsi="宋体" w:eastAsia="宋体" w:cs="宋体"/>
          <w:b/>
          <w:bCs/>
          <w:color w:val="auto"/>
          <w:sz w:val="32"/>
          <w:szCs w:val="36"/>
          <w:highlight w:val="none"/>
          <w:lang w:eastAsia="zh-CN"/>
        </w:rPr>
        <w:t>许昌市建安区看守所</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lang w:eastAsia="zh-CN"/>
        </w:rPr>
        <w:t>许昌市建安区看守所辅助人员费用（在押人员伙房厨师工资）</w:t>
      </w:r>
      <w:r>
        <w:rPr>
          <w:rFonts w:hint="eastAsia" w:ascii="宋体" w:hAnsi="宋体" w:eastAsia="宋体" w:cs="宋体"/>
          <w:b/>
          <w:bCs/>
          <w:color w:val="auto"/>
          <w:sz w:val="32"/>
          <w:szCs w:val="36"/>
          <w:highlight w:val="none"/>
        </w:rPr>
        <w:t>（不见面开标）竞争性磋商公告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hint="eastAsia" w:ascii="宋体" w:hAnsi="宋体" w:eastAsia="宋体" w:cs="宋体"/>
          <w:color w:val="auto"/>
          <w:sz w:val="24"/>
          <w:szCs w:val="24"/>
          <w:highlight w:val="none"/>
        </w:rPr>
      </w:pPr>
      <w:bookmarkStart w:id="4" w:name="_Toc35393621"/>
      <w:bookmarkStart w:id="5" w:name="_Toc28359079"/>
      <w:bookmarkStart w:id="6" w:name="_Toc28359002"/>
      <w:bookmarkStart w:id="7" w:name="_Toc35393790"/>
      <w:bookmarkStart w:id="8" w:name="_Hlk24379207"/>
      <w:r>
        <w:rPr>
          <w:rStyle w:val="132"/>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hint="eastAsia" w:ascii="宋体" w:hAnsi="宋体" w:eastAsia="宋体" w:cs="宋体"/>
          <w:color w:val="auto"/>
          <w:sz w:val="24"/>
          <w:szCs w:val="24"/>
          <w:highlight w:val="none"/>
        </w:rPr>
      </w:pPr>
      <w:r>
        <w:rPr>
          <w:rStyle w:val="132"/>
          <w:rFonts w:hint="eastAsia" w:ascii="宋体" w:hAnsi="宋体" w:eastAsia="宋体" w:cs="宋体"/>
          <w:color w:val="auto"/>
          <w:sz w:val="24"/>
          <w:szCs w:val="24"/>
          <w:highlight w:val="none"/>
          <w:lang w:eastAsia="zh-CN"/>
        </w:rPr>
        <w:t>许昌市建安区看守所辅助人员费用（在押人员伙房厨师工资）</w:t>
      </w:r>
      <w:r>
        <w:rPr>
          <w:rStyle w:val="132"/>
          <w:rFonts w:hint="eastAsia" w:ascii="宋体" w:hAnsi="宋体" w:eastAsia="宋体" w:cs="宋体"/>
          <w:color w:val="auto"/>
          <w:sz w:val="24"/>
          <w:szCs w:val="24"/>
          <w:highlight w:val="none"/>
        </w:rPr>
        <w:t>招标项目的潜在供应商应在《全国公共资源交易平台（河南省·许昌市）》（http://ggzy.xuchang.gov.cn/）获取磋商文件，并于2024年</w:t>
      </w:r>
      <w:r>
        <w:rPr>
          <w:rStyle w:val="132"/>
          <w:rFonts w:hint="eastAsia" w:ascii="宋体" w:hAnsi="宋体" w:cs="宋体"/>
          <w:color w:val="auto"/>
          <w:sz w:val="24"/>
          <w:szCs w:val="24"/>
          <w:highlight w:val="none"/>
          <w:lang w:val="en-US" w:eastAsia="zh-CN"/>
        </w:rPr>
        <w:t>7</w:t>
      </w:r>
      <w:r>
        <w:rPr>
          <w:rStyle w:val="132"/>
          <w:rFonts w:hint="eastAsia" w:ascii="宋体" w:hAnsi="宋体" w:eastAsia="宋体" w:cs="宋体"/>
          <w:color w:val="auto"/>
          <w:sz w:val="24"/>
          <w:szCs w:val="24"/>
          <w:highlight w:val="none"/>
        </w:rPr>
        <w:t>月</w:t>
      </w:r>
      <w:r>
        <w:rPr>
          <w:rStyle w:val="132"/>
          <w:rFonts w:hint="eastAsia" w:ascii="宋体" w:hAnsi="宋体" w:cs="宋体"/>
          <w:color w:val="auto"/>
          <w:sz w:val="24"/>
          <w:szCs w:val="24"/>
          <w:highlight w:val="none"/>
          <w:lang w:val="en-US" w:eastAsia="zh-CN"/>
        </w:rPr>
        <w:t>4</w:t>
      </w:r>
      <w:r>
        <w:rPr>
          <w:rStyle w:val="132"/>
          <w:rFonts w:hint="eastAsia" w:ascii="宋体" w:hAnsi="宋体" w:eastAsia="宋体" w:cs="宋体"/>
          <w:color w:val="auto"/>
          <w:sz w:val="24"/>
          <w:szCs w:val="24"/>
          <w:highlight w:val="none"/>
        </w:rPr>
        <w:t>日09时30分（北京时间）前提交（上传）响应文件。</w:t>
      </w:r>
    </w:p>
    <w:bookmarkEnd w:id="4"/>
    <w:bookmarkEnd w:id="5"/>
    <w:bookmarkEnd w:id="6"/>
    <w:bookmarkEnd w:id="7"/>
    <w:p>
      <w:pPr>
        <w:keepNext w:val="0"/>
        <w:keepLines w:val="0"/>
        <w:pageBreakBefore w:val="0"/>
        <w:widowControl w:val="0"/>
        <w:kinsoku/>
        <w:wordWrap/>
        <w:overflowPunct/>
        <w:topLinePunct w:val="0"/>
        <w:autoSpaceDE/>
        <w:autoSpaceDN/>
        <w:bidi w:val="0"/>
        <w:adjustRightInd w:val="0"/>
        <w:snapToGrid/>
        <w:spacing w:line="360" w:lineRule="auto"/>
        <w:ind w:right="-512" w:rightChars="-244"/>
        <w:jc w:val="left"/>
        <w:textAlignment w:val="auto"/>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一、项目基本情况</w:t>
      </w:r>
    </w:p>
    <w:p>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1、项目编号：建安政采竞磋商字〔2024〕</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号。</w:t>
      </w:r>
    </w:p>
    <w:p>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2、项目名称</w:t>
      </w:r>
      <w:bookmarkEnd w:id="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许昌市建安区看守所辅助人员费用（在押人员伙房厨师工资）</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pPr>
        <w:keepNext w:val="0"/>
        <w:keepLines w:val="0"/>
        <w:pageBreakBefore w:val="0"/>
        <w:widowControl w:val="0"/>
        <w:kinsoku/>
        <w:wordWrap/>
        <w:overflowPunct/>
        <w:topLinePunct w:val="0"/>
        <w:autoSpaceDE/>
        <w:autoSpaceDN/>
        <w:bidi w:val="0"/>
        <w:adjustRightInd w:val="0"/>
        <w:snapToGrid/>
        <w:spacing w:line="360" w:lineRule="auto"/>
        <w:ind w:left="239" w:leftChars="114" w:right="-512" w:rightChars="-24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377000</w:t>
      </w:r>
      <w:r>
        <w:rPr>
          <w:rFonts w:hint="eastAsia" w:ascii="宋体" w:hAnsi="宋体" w:eastAsia="宋体" w:cs="宋体"/>
          <w:color w:val="auto"/>
          <w:sz w:val="24"/>
          <w:szCs w:val="24"/>
          <w:highlight w:val="none"/>
        </w:rPr>
        <w:t>.00元（财政资金）</w:t>
      </w:r>
    </w:p>
    <w:p>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r>
        <w:rPr>
          <w:rFonts w:hint="eastAsia" w:ascii="宋体" w:hAnsi="宋体" w:eastAsia="宋体" w:cs="宋体"/>
          <w:color w:val="auto"/>
          <w:sz w:val="24"/>
          <w:szCs w:val="24"/>
          <w:highlight w:val="none"/>
          <w:lang w:eastAsia="zh-CN"/>
        </w:rPr>
        <w:t>377000.00</w:t>
      </w:r>
      <w:r>
        <w:rPr>
          <w:rFonts w:hint="eastAsia" w:ascii="宋体" w:hAnsi="宋体" w:eastAsia="宋体" w:cs="宋体"/>
          <w:color w:val="auto"/>
          <w:sz w:val="24"/>
          <w:szCs w:val="24"/>
          <w:highlight w:val="none"/>
        </w:rPr>
        <w:t>元。</w:t>
      </w:r>
    </w:p>
    <w:tbl>
      <w:tblPr>
        <w:tblStyle w:val="37"/>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57" w:type="dxa"/>
            <w:vAlign w:val="center"/>
          </w:tcPr>
          <w:p>
            <w:pPr>
              <w:spacing w:line="360" w:lineRule="auto"/>
              <w:ind w:right="-512" w:rightChars="-244"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包号</w:t>
            </w:r>
          </w:p>
        </w:tc>
        <w:tc>
          <w:tcPr>
            <w:tcW w:w="1104" w:type="dxa"/>
            <w:vAlign w:val="center"/>
          </w:tcPr>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包的名称</w:t>
            </w:r>
          </w:p>
        </w:tc>
        <w:tc>
          <w:tcPr>
            <w:tcW w:w="1440" w:type="dxa"/>
            <w:vAlign w:val="center"/>
          </w:tcPr>
          <w:p>
            <w:pPr>
              <w:spacing w:line="360" w:lineRule="auto"/>
              <w:ind w:right="-512" w:rightChars="-244" w:firstLine="240" w:firstLineChars="1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包预算</w:t>
            </w:r>
          </w:p>
          <w:p>
            <w:pPr>
              <w:spacing w:line="360" w:lineRule="auto"/>
              <w:ind w:right="-512" w:rightChars="-244" w:firstLine="240" w:firstLineChars="1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410" w:type="dxa"/>
            <w:vAlign w:val="center"/>
          </w:tcPr>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包最高限价</w:t>
            </w:r>
          </w:p>
          <w:p>
            <w:pPr>
              <w:spacing w:line="360" w:lineRule="auto"/>
              <w:ind w:right="-512" w:rightChars="-244" w:firstLine="240" w:firstLineChars="1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335" w:type="dxa"/>
            <w:vAlign w:val="center"/>
          </w:tcPr>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是否专门面 </w:t>
            </w:r>
          </w:p>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向中小企业</w:t>
            </w:r>
          </w:p>
        </w:tc>
        <w:tc>
          <w:tcPr>
            <w:tcW w:w="1631" w:type="dxa"/>
            <w:vAlign w:val="center"/>
          </w:tcPr>
          <w:p>
            <w:pPr>
              <w:spacing w:line="360" w:lineRule="auto"/>
              <w:ind w:left="480" w:right="-512" w:rightChars="-244"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采购预留金额</w:t>
            </w:r>
          </w:p>
          <w:p>
            <w:pPr>
              <w:spacing w:line="360" w:lineRule="auto"/>
              <w:ind w:right="-512" w:rightChars="-244"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57" w:type="dxa"/>
            <w:vAlign w:val="center"/>
          </w:tcPr>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建安政采竞磋商字</w:t>
            </w:r>
          </w:p>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〔2024〕</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号-1</w:t>
            </w:r>
          </w:p>
        </w:tc>
        <w:tc>
          <w:tcPr>
            <w:tcW w:w="1104" w:type="dxa"/>
            <w:vAlign w:val="center"/>
          </w:tcPr>
          <w:p>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第一标段</w:t>
            </w:r>
          </w:p>
        </w:tc>
        <w:tc>
          <w:tcPr>
            <w:tcW w:w="1440" w:type="dxa"/>
            <w:vAlign w:val="center"/>
          </w:tcPr>
          <w:p>
            <w:pPr>
              <w:spacing w:line="360" w:lineRule="auto"/>
              <w:ind w:right="-512" w:rightChars="-244"/>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377000.00</w:t>
            </w:r>
          </w:p>
        </w:tc>
        <w:tc>
          <w:tcPr>
            <w:tcW w:w="1410" w:type="dxa"/>
            <w:vAlign w:val="center"/>
          </w:tcPr>
          <w:p>
            <w:pPr>
              <w:spacing w:line="360" w:lineRule="auto"/>
              <w:ind w:right="-512" w:rightChars="-244"/>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377000.00</w:t>
            </w:r>
          </w:p>
        </w:tc>
        <w:tc>
          <w:tcPr>
            <w:tcW w:w="1335" w:type="dxa"/>
            <w:vAlign w:val="center"/>
          </w:tcPr>
          <w:p>
            <w:pPr>
              <w:spacing w:line="360" w:lineRule="auto"/>
              <w:ind w:right="-512" w:rightChars="-244"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631" w:type="dxa"/>
            <w:vAlign w:val="center"/>
          </w:tcPr>
          <w:p>
            <w:pPr>
              <w:spacing w:line="360" w:lineRule="auto"/>
              <w:ind w:right="-512" w:rightChars="-244" w:firstLine="240" w:firstLineChars="100"/>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377000.00</w:t>
            </w:r>
          </w:p>
        </w:tc>
      </w:tr>
    </w:tbl>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5、采购需求（包括但不限于标的的名称、数量、简要技术需求或服务要求等）具体要求详见磋商文件。</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6、合同履行期限：自合同生效之日起</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9" w:name="_Toc35393791"/>
      <w:bookmarkStart w:id="10" w:name="_Toc35393622"/>
      <w:bookmarkStart w:id="11" w:name="_Toc28359080"/>
      <w:bookmarkStart w:id="12" w:name="_Toc28359003"/>
      <w:r>
        <w:rPr>
          <w:rFonts w:hint="eastAsia" w:ascii="宋体" w:hAnsi="宋体" w:eastAsia="宋体" w:cs="宋体"/>
          <w:color w:val="auto"/>
          <w:sz w:val="24"/>
          <w:szCs w:val="24"/>
          <w:highlight w:val="none"/>
        </w:rPr>
        <w:t>、本项目是否接受联合体投标：否。</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9、是否专门面向中小企业：是。</w:t>
      </w:r>
    </w:p>
    <w:p>
      <w:pPr>
        <w:pageBreakBefore w:val="0"/>
        <w:kinsoku/>
        <w:wordWrap/>
        <w:overflowPunct/>
        <w:topLinePunct w:val="0"/>
        <w:autoSpaceDE/>
        <w:autoSpaceDN/>
        <w:bidi w:val="0"/>
        <w:adjustRightInd w:val="0"/>
        <w:snapToGrid/>
        <w:spacing w:line="360" w:lineRule="auto"/>
        <w:ind w:right="-512" w:rightChars="-244"/>
        <w:jc w:val="left"/>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二、供应商资格要求：</w:t>
      </w:r>
      <w:bookmarkEnd w:id="9"/>
      <w:bookmarkEnd w:id="10"/>
      <w:bookmarkEnd w:id="11"/>
      <w:bookmarkEnd w:id="12"/>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1、满足《中华人民共和国政府采购法》第二十二条规定；</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2、落实政府采购政策满足的资格要求：本项目属于专门面向中小企业采购的项目；</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3、本项目的特定资格要求：</w:t>
      </w:r>
      <w:r>
        <w:rPr>
          <w:rFonts w:hint="eastAsia" w:ascii="宋体" w:hAnsi="宋体" w:cs="宋体"/>
          <w:color w:val="auto"/>
          <w:sz w:val="24"/>
          <w:szCs w:val="28"/>
          <w:highlight w:val="none"/>
          <w:lang w:val="en-US" w:eastAsia="zh-CN"/>
        </w:rPr>
        <w:t>无。</w:t>
      </w:r>
    </w:p>
    <w:p>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4"/>
          <w:szCs w:val="28"/>
          <w:highlight w:val="none"/>
        </w:rPr>
        <w:t>三、</w:t>
      </w:r>
      <w:bookmarkEnd w:id="0"/>
      <w:bookmarkEnd w:id="1"/>
      <w:bookmarkEnd w:id="2"/>
      <w:bookmarkEnd w:id="3"/>
      <w:r>
        <w:rPr>
          <w:rFonts w:hint="eastAsia" w:ascii="宋体" w:hAnsi="宋体" w:eastAsia="宋体" w:cs="宋体"/>
          <w:bCs w:val="0"/>
          <w:color w:val="auto"/>
          <w:sz w:val="24"/>
          <w:szCs w:val="28"/>
          <w:highlight w:val="none"/>
        </w:rPr>
        <w:t>获取磋商文件</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日至2024年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，每天上午00:00至12:00，下午12:00至23:59（北京时间，法定节假日除外）</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2.地点：《全国公共资源交易平台（河南省·许昌市）》（http://ggzy.xuchang.gov.cn/）</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3.方式：在线下载</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4.售价：0元</w:t>
      </w:r>
    </w:p>
    <w:p>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1"/>
          <w:szCs w:val="21"/>
          <w:highlight w:val="none"/>
        </w:rPr>
      </w:pPr>
      <w:bookmarkStart w:id="13" w:name="_Toc28359082"/>
      <w:bookmarkStart w:id="14" w:name="_Toc35393624"/>
      <w:bookmarkStart w:id="15" w:name="_Toc35393793"/>
      <w:bookmarkStart w:id="16" w:name="_Toc28359005"/>
      <w:bookmarkStart w:id="17" w:name="_Toc28359007"/>
      <w:bookmarkStart w:id="18" w:name="_Toc35393625"/>
      <w:bookmarkStart w:id="19" w:name="_Toc28359084"/>
      <w:bookmarkStart w:id="20" w:name="_Toc35393794"/>
      <w:r>
        <w:rPr>
          <w:rFonts w:hint="eastAsia" w:ascii="宋体" w:hAnsi="宋体" w:eastAsia="宋体" w:cs="宋体"/>
          <w:bCs w:val="0"/>
          <w:color w:val="auto"/>
          <w:sz w:val="24"/>
          <w:szCs w:val="28"/>
          <w:highlight w:val="none"/>
        </w:rPr>
        <w:t>四、</w:t>
      </w:r>
      <w:bookmarkEnd w:id="13"/>
      <w:bookmarkEnd w:id="14"/>
      <w:bookmarkEnd w:id="15"/>
      <w:bookmarkEnd w:id="16"/>
      <w:r>
        <w:rPr>
          <w:rFonts w:hint="eastAsia" w:ascii="宋体" w:hAnsi="宋体" w:eastAsia="宋体" w:cs="宋体"/>
          <w:bCs w:val="0"/>
          <w:color w:val="auto"/>
          <w:sz w:val="24"/>
          <w:szCs w:val="28"/>
          <w:highlight w:val="none"/>
        </w:rPr>
        <w:t>响应文件提交</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日09时30分</w:t>
      </w:r>
      <w:r>
        <w:rPr>
          <w:rFonts w:hint="eastAsia" w:ascii="宋体" w:hAnsi="宋体" w:eastAsia="宋体" w:cs="宋体"/>
          <w:color w:val="auto"/>
          <w:sz w:val="24"/>
          <w:szCs w:val="24"/>
          <w:highlight w:val="none"/>
        </w:rPr>
        <w:t>（北京时间）</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2.地点：加密电子响应文件（.file格式）须在投标截止时间（开标时间）前通过《全国公共资源交易平台（河南省·许昌市）公共资源交易系统成功上传。</w:t>
      </w:r>
    </w:p>
    <w:p>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4"/>
          <w:szCs w:val="28"/>
          <w:highlight w:val="none"/>
        </w:rPr>
        <w:t>五、响应文件开启</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日09时30分</w:t>
      </w:r>
      <w:r>
        <w:rPr>
          <w:rFonts w:hint="eastAsia" w:ascii="宋体" w:hAnsi="宋体" w:eastAsia="宋体" w:cs="宋体"/>
          <w:color w:val="auto"/>
          <w:sz w:val="24"/>
          <w:szCs w:val="24"/>
          <w:highlight w:val="none"/>
        </w:rPr>
        <w:t>（北京时间）</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2.地点：本项目采用“不见面”网上开标方式，请响应供应商使用CA数字证书登录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——进入公共资源交易系统（http://ggzy.xuchang.gov.cn:8088/ggzy/）——点击“项目信息——项目名称”——在系统操作导航栏点击“开标——不见面开标大厅”，在规定的开标时间内进行解密开标。</w:t>
      </w:r>
    </w:p>
    <w:p>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六、</w:t>
      </w:r>
      <w:bookmarkEnd w:id="17"/>
      <w:bookmarkEnd w:id="18"/>
      <w:bookmarkEnd w:id="19"/>
      <w:bookmarkEnd w:id="20"/>
      <w:r>
        <w:rPr>
          <w:rFonts w:hint="eastAsia" w:ascii="宋体" w:hAnsi="宋体" w:eastAsia="宋体" w:cs="宋体"/>
          <w:bCs w:val="0"/>
          <w:color w:val="auto"/>
          <w:sz w:val="24"/>
          <w:szCs w:val="24"/>
          <w:highlight w:val="none"/>
        </w:rPr>
        <w:t>发布公告的媒介及招标公告期限</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bookmarkStart w:id="21" w:name="_Toc35393626"/>
      <w:bookmarkStart w:id="22" w:name="_Toc35393795"/>
      <w:r>
        <w:rPr>
          <w:rFonts w:hint="eastAsia" w:ascii="宋体" w:hAnsi="宋体" w:eastAsia="宋体" w:cs="宋体"/>
          <w:bCs/>
          <w:color w:val="auto"/>
          <w:sz w:val="24"/>
          <w:szCs w:val="24"/>
          <w:highlight w:val="none"/>
        </w:rPr>
        <w:t>本次磋商公告在《河南省政府采购网》</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《许昌市政府采购网》《全国公共资源交易平台（河南省·许昌市）》上发布，磋商公告期限为三个工作日。</w:t>
      </w:r>
    </w:p>
    <w:p>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七、其他补充事宜</w:t>
      </w:r>
      <w:bookmarkEnd w:id="21"/>
      <w:bookmarkEnd w:id="22"/>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bookmarkStart w:id="23" w:name="_Toc35393796"/>
      <w:bookmarkStart w:id="24" w:name="_Toc35393627"/>
      <w:bookmarkStart w:id="25" w:name="_Toc28359085"/>
      <w:bookmarkStart w:id="26" w:name="_Toc28359008"/>
      <w:r>
        <w:rPr>
          <w:rFonts w:hint="eastAsia" w:ascii="宋体" w:hAnsi="宋体" w:eastAsia="宋体" w:cs="宋体"/>
          <w:bCs/>
          <w:color w:val="auto"/>
          <w:sz w:val="24"/>
          <w:szCs w:val="24"/>
          <w:highlight w:val="none"/>
        </w:rPr>
        <w:t>1.本项目采用电子系统进行招投标，请在投标前详细阅读《全国公共资源交易平台（河南省·许昌市）》首页“资料下载”栏目的《交易系统全电子操作手册（投标人）》及其附件。</w:t>
      </w:r>
    </w:p>
    <w:p>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2.投标供应商在电子系统使用过程中遇到涉及系统使用的问题，可致电0374-2961598进行咨询。</w:t>
      </w:r>
    </w:p>
    <w:p>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八、对本次招标提出询问，请按以下方式联系。</w:t>
      </w:r>
      <w:bookmarkEnd w:id="23"/>
      <w:bookmarkEnd w:id="24"/>
      <w:bookmarkEnd w:id="25"/>
      <w:bookmarkEnd w:id="26"/>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许昌市建安区看守所</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址：许昌市建安区周店</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联系人：</w:t>
      </w:r>
      <w:bookmarkStart w:id="27" w:name="_Toc28359009"/>
      <w:bookmarkStart w:id="28" w:name="_Toc28359086"/>
      <w:r>
        <w:rPr>
          <w:rFonts w:hint="eastAsia" w:ascii="宋体" w:hAnsi="宋体" w:eastAsia="宋体" w:cs="宋体"/>
          <w:color w:val="auto"/>
          <w:sz w:val="24"/>
          <w:szCs w:val="24"/>
          <w:highlight w:val="none"/>
          <w:lang w:val="en-US" w:eastAsia="zh-CN"/>
        </w:rPr>
        <w:t>王彩虹</w:t>
      </w:r>
      <w:r>
        <w:rPr>
          <w:rFonts w:hint="eastAsia" w:ascii="宋体" w:hAnsi="宋体" w:eastAsia="宋体" w:cs="宋体"/>
          <w:color w:val="auto"/>
          <w:sz w:val="24"/>
          <w:szCs w:val="24"/>
          <w:highlight w:val="none"/>
          <w:lang w:val="zh-CN"/>
        </w:rPr>
        <w:t xml:space="preserve">  </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联系方式：18637463259</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27"/>
      <w:bookmarkEnd w:id="28"/>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8"/>
          <w:highlight w:val="none"/>
          <w:lang w:eastAsia="zh-CN"/>
        </w:rPr>
        <w:t>河南魏恒工程项目管理有限公司</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址：许昌市文峰路老广电局院三楼</w:t>
      </w:r>
    </w:p>
    <w:p>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bookmarkStart w:id="29" w:name="_Toc28359010"/>
      <w:bookmarkStart w:id="30" w:name="_Toc28359087"/>
      <w:r>
        <w:rPr>
          <w:rFonts w:hint="eastAsia" w:ascii="宋体" w:hAnsi="宋体" w:eastAsia="宋体" w:cs="宋体"/>
          <w:color w:val="auto"/>
          <w:sz w:val="24"/>
          <w:szCs w:val="24"/>
          <w:highlight w:val="none"/>
          <w:lang w:val="en-US" w:eastAsia="zh-CN"/>
        </w:rPr>
        <w:t>包  勇</w:t>
      </w:r>
      <w:r>
        <w:rPr>
          <w:rFonts w:hint="eastAsia" w:ascii="宋体" w:hAnsi="宋体" w:eastAsia="宋体" w:cs="宋体"/>
          <w:color w:val="auto"/>
          <w:sz w:val="24"/>
          <w:szCs w:val="24"/>
          <w:highlight w:val="none"/>
        </w:rPr>
        <w:t xml:space="preserve">  </w:t>
      </w:r>
    </w:p>
    <w:p>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8"/>
          <w:highlight w:val="none"/>
          <w:lang w:val="en-US" w:eastAsia="zh-CN"/>
        </w:rPr>
        <w:t>18539007070</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bookmarkEnd w:id="29"/>
      <w:bookmarkEnd w:id="30"/>
    </w:p>
    <w:p>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包  勇</w:t>
      </w:r>
      <w:r>
        <w:rPr>
          <w:rFonts w:hint="eastAsia" w:ascii="宋体" w:hAnsi="宋体" w:eastAsia="宋体" w:cs="宋体"/>
          <w:color w:val="auto"/>
          <w:sz w:val="24"/>
          <w:szCs w:val="24"/>
          <w:highlight w:val="none"/>
        </w:rPr>
        <w:t xml:space="preserve">  </w:t>
      </w:r>
    </w:p>
    <w:p>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8"/>
          <w:highlight w:val="none"/>
          <w:lang w:val="en-US" w:eastAsia="zh-CN"/>
        </w:rPr>
        <w:t>18539007070</w:t>
      </w:r>
    </w:p>
    <w:p>
      <w:pPr>
        <w:pStyle w:val="35"/>
        <w:pageBreakBefore w:val="0"/>
        <w:kinsoku/>
        <w:wordWrap/>
        <w:overflowPunct/>
        <w:topLinePunct w:val="0"/>
        <w:autoSpaceDE/>
        <w:autoSpaceDN/>
        <w:bidi w:val="0"/>
        <w:snapToGrid/>
        <w:spacing w:after="0" w:line="360" w:lineRule="auto"/>
        <w:ind w:firstLine="240"/>
        <w:jc w:val="righ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napToGrid/>
        <w:spacing w:line="360" w:lineRule="auto"/>
        <w:ind w:right="6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许昌市建安区看守所</w:t>
      </w:r>
    </w:p>
    <w:p>
      <w:pPr>
        <w:pageBreakBefore w:val="0"/>
        <w:kinsoku/>
        <w:wordWrap/>
        <w:overflowPunct/>
        <w:topLinePunct w:val="0"/>
        <w:autoSpaceDE/>
        <w:autoSpaceDN/>
        <w:bidi w:val="0"/>
        <w:snapToGrid/>
        <w:spacing w:line="360" w:lineRule="auto"/>
        <w:ind w:right="6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p>
    <w:p>
      <w:pPr>
        <w:spacing w:line="440" w:lineRule="exact"/>
        <w:ind w:right="-512" w:rightChars="-244"/>
        <w:jc w:val="left"/>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温馨提示：本项目为全流程电子化交易项目，请注意以下事项。</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1、供应商参加本项目投标，需提前自行联系CA服务机构办理数字认证证书并进行电子签章。 </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2、磋商文件下载、响应文件制作、提交、远程不见面开标（电子响应文件的解密）环节，供应商须使用同一个CA数字证书（证书须在有效期内并可正常使用）。</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3、电子响应文件的制作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3.1供应商登录《全国公共资源交易平台(河南省▪许昌市)》公共资源交易系统 （http://ggzy.xuchang.gov.cn/）下载“许昌响应文件制作系统 SEARUN 最新版本”， 制作响应文件。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3.2供应商对同一项目多个标段进行投标的，应分别下载所投标段的磋商文件，按标段制作响应文件。一个标段对应生成一个文件夹（xxxx 项目xx标段）,其中后缀名为“.file”的文件用于投标。</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4、加密电子响应文件的提交</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4.1供应商对同一项目多个标段进行投标的，加密电子响应文件应按标段分别提交。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4.2加密电子响应文件成功提交后，《全国公共资源交易平台(河南省▪许昌市)》公共资源交易系统（http://ggzy.xuchang.gov.cn/）生成“响应文件提交回执单”。</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5、远程不见面开标（电子响应文件的解密）</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5.1本项目采用远程“不见面”开标方式，投标前请详细阅读全国公共资源交易平台（河南省·许昌市）首页“资料下载”栏目的《许昌市不见面操作手册》。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5.2供应商提前设置不见面开标浏览器，并于开标时间前登录本项目不见面开标大厅，按照规定的开标时间准时参加网上开标。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5.3根据采购代理机构在“文字互动”对话框的通知，供应商选择功能栏“解密环节”按钮进行电子响应文件解密（供应商解密应自采购代理机构点击“开标开始”按钮后 120分钟内完成）。供应商未解密或因供应商原因解密失败的，其投标将被拒绝。</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5.4开标活动结束时，供应商应在《开标记录表》上进行电子签章。供应商未签章的，视同认可开标结果。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5.5供应商对开标过程和开标记录如有疑义，可在本项目不见面开标大厅“文字互动”对话框或“新增质疑”处在线提出询问。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6、评审依据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6.1全流程电子化交易（不见面开标）项目，磋商小组以成功上传、解密的电子响应文件为依据评审。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注：①磋商小组要求提交最后报价时，供应商在磋商小组规定时间内提交最后报价。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②磋商文件第二章“采购需求”中“采购清单”以工程量清单提供的，供应商应以工程量清单方式提交最后报价，</w:t>
      </w:r>
      <w:r>
        <w:rPr>
          <w:rFonts w:hint="eastAsia" w:ascii="宋体" w:hAnsi="宋体" w:eastAsia="宋体" w:cs="宋体"/>
          <w:color w:val="auto"/>
          <w:sz w:val="24"/>
          <w:szCs w:val="24"/>
          <w:highlight w:val="none"/>
          <w:lang w:val="zh-CN"/>
        </w:rPr>
        <w:t>提交最后报价的供应商不得少于3家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③请供应商根据项目情况，可提前准备分项报价。 </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确定伙房服务商1家，负责在押人员伙房厨师服务，服务期限为1年。</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★二、采购需求</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2" w:firstLineChars="200"/>
        <w:jc w:val="left"/>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1、项目需求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确定伙房服务商1家，负责在押人员伙房厨师服务，服务期限为1年。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2、服务内容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、中标人必须严格执行采购人的各项规章制度，服从</w:t>
      </w:r>
      <w:r>
        <w:rPr>
          <w:rFonts w:hint="eastAsia" w:ascii="宋体" w:hAnsi="宋体" w:cs="宋体"/>
          <w:bCs/>
          <w:color w:val="auto"/>
          <w:sz w:val="24"/>
          <w:szCs w:val="24"/>
          <w:highlight w:val="none"/>
          <w:lang w:val="en-US" w:eastAsia="zh-CN"/>
        </w:rPr>
        <w:t>采购人</w:t>
      </w:r>
      <w:r>
        <w:rPr>
          <w:rFonts w:hint="eastAsia" w:ascii="宋体" w:hAnsi="宋体" w:cs="宋体"/>
          <w:bCs/>
          <w:color w:val="auto"/>
          <w:sz w:val="24"/>
          <w:szCs w:val="24"/>
          <w:highlight w:val="none"/>
        </w:rPr>
        <w:t>安排和管理，并制订配套的内部管理制度，严禁出现任何破坏采购人工作秩序的行为。中标人在合同期内若不能严格执行合同，经就餐人员的问卷调查及采购方会议的决定，采购人有权对其进行处罚或单方面终止合同并取消其服务资格，由此产生的一切后果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、中标人负责</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的饮食安全卫生，采购人严格执行事故责任追究制度，如在服务期内发生食物中毒等重大责任事故，损害就餐员工身体健康，影响采购人声誉，中标人必须承担由此造成的一切责任和经济损失，采购人有权无条件终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内的工作人员属于中标人的员工，</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工作人员在工作过程中的安全责任由中标人负责。如用电、用水等不注意安全引起</w:t>
      </w:r>
      <w:r>
        <w:rPr>
          <w:rFonts w:hint="eastAsia" w:ascii="宋体" w:hAnsi="宋体" w:cs="宋体"/>
          <w:bCs/>
          <w:color w:val="auto"/>
          <w:sz w:val="24"/>
          <w:szCs w:val="24"/>
          <w:highlight w:val="none"/>
          <w:lang w:val="en-US" w:eastAsia="zh-CN"/>
        </w:rPr>
        <w:t>安全</w:t>
      </w:r>
      <w:r>
        <w:rPr>
          <w:rFonts w:hint="eastAsia" w:ascii="宋体" w:hAnsi="宋体" w:cs="宋体"/>
          <w:bCs/>
          <w:color w:val="auto"/>
          <w:sz w:val="24"/>
          <w:szCs w:val="24"/>
          <w:highlight w:val="none"/>
        </w:rPr>
        <w:t>事故，或发生意外伤亡事故，中标人承担全部责任和必要的经济补偿，采购人概不承担任何责任。中标人从业人员的工资由中标人按月发放，不得拖欠。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、中标人为所有从业人员办理社保及人身意外保险，并对其人身安全进行负责，如出现相关问题，与采购人无关。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、中标人不得损坏</w:t>
      </w:r>
      <w:r>
        <w:rPr>
          <w:rFonts w:hint="eastAsia" w:ascii="宋体" w:hAnsi="宋体" w:cs="宋体"/>
          <w:bCs/>
          <w:color w:val="auto"/>
          <w:sz w:val="24"/>
          <w:szCs w:val="24"/>
          <w:highlight w:val="none"/>
          <w:lang w:val="en-US" w:eastAsia="zh-CN"/>
        </w:rPr>
        <w:t>采购人原有设备</w:t>
      </w:r>
      <w:r>
        <w:rPr>
          <w:rFonts w:hint="eastAsia" w:ascii="宋体" w:hAnsi="宋体" w:cs="宋体"/>
          <w:bCs/>
          <w:color w:val="auto"/>
          <w:sz w:val="24"/>
          <w:szCs w:val="24"/>
          <w:highlight w:val="none"/>
        </w:rPr>
        <w:t>，损坏后照价赔偿或维修恢复至原样；如无照价赔偿或维修恢复至原样，相应损失从餐费结算中扣除。餐具不足部分，须中标人自行购买，合同到期后，中标人自购</w:t>
      </w:r>
      <w:r>
        <w:rPr>
          <w:rFonts w:hint="eastAsia" w:ascii="宋体" w:hAnsi="宋体" w:cs="宋体"/>
          <w:bCs/>
          <w:color w:val="auto"/>
          <w:sz w:val="24"/>
          <w:szCs w:val="24"/>
          <w:highlight w:val="none"/>
          <w:lang w:val="en-US" w:eastAsia="zh-CN"/>
        </w:rPr>
        <w:t>设备</w:t>
      </w:r>
      <w:r>
        <w:rPr>
          <w:rFonts w:hint="eastAsia" w:ascii="宋体" w:hAnsi="宋体" w:cs="宋体"/>
          <w:bCs/>
          <w:color w:val="auto"/>
          <w:sz w:val="24"/>
          <w:szCs w:val="24"/>
          <w:highlight w:val="none"/>
        </w:rPr>
        <w:t>自行处置。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、如果发生餐具损坏和就餐人员食品安全等事件，由</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rPr>
        <w:t>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、中标人必须严格履行服务合同要求，不得在中标后转包或分包给他人经营。一经发现有转包或分包情况，采购人有权无条件终止合同。</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项目服务人员具体要求</w:t>
      </w:r>
      <w:r>
        <w:rPr>
          <w:rFonts w:hint="eastAsia" w:ascii="宋体" w:hAnsi="宋体" w:cs="宋体"/>
          <w:b/>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1、项目服务人员包括但不限于厨师及服务员</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厨师服务人员不少于8人</w:t>
      </w:r>
      <w:r>
        <w:rPr>
          <w:rFonts w:hint="eastAsia" w:ascii="宋体" w:hAnsi="宋体" w:cs="宋体"/>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2、服务范围及内容：保证人员的用餐及</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和操作间的环境卫生消毒、厨具设备的保养维护等工作。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3、服务内容：一日三餐、临时用餐以及</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的卫生、消毒等服务，保证良好的服务质量和运营效果。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中标后</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lang w:val="en-US" w:eastAsia="zh-CN"/>
        </w:rPr>
        <w:t>需进行体检并办理健康证</w:t>
      </w:r>
      <w:r>
        <w:rPr>
          <w:rFonts w:hint="eastAsia" w:ascii="宋体" w:hAnsi="宋体" w:cs="宋体"/>
          <w:bCs/>
          <w:color w:val="auto"/>
          <w:sz w:val="24"/>
          <w:szCs w:val="24"/>
          <w:highlight w:val="none"/>
        </w:rPr>
        <w:t>，人员相对稳定。从业人员必须经过岗前培训，培训合格后方能上岗。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、负责</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、操作间区域灭四害工作，负责</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区域的卫生管理，确保墙壁、门窗、电气设备、厨房用具等洁净卫生，达到良好的就餐条件。每日工作结束后例行安全检查。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3、技术、质量要求及验收标准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Style w:val="132"/>
          <w:rFonts w:hint="eastAsia" w:ascii="宋体" w:hAnsi="宋体" w:eastAsia="宋体" w:cs="宋体"/>
          <w:b w:val="0"/>
          <w:bCs/>
          <w:color w:val="auto"/>
          <w:sz w:val="24"/>
          <w:szCs w:val="28"/>
          <w:highlight w:val="none"/>
        </w:rPr>
      </w:pPr>
      <w:r>
        <w:rPr>
          <w:rStyle w:val="132"/>
          <w:rFonts w:hint="eastAsia" w:ascii="宋体" w:hAnsi="宋体" w:eastAsia="宋体" w:cs="宋体"/>
          <w:b w:val="0"/>
          <w:bCs/>
          <w:color w:val="auto"/>
          <w:sz w:val="24"/>
          <w:szCs w:val="28"/>
          <w:highlight w:val="none"/>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本服务内容中所列技术规格或参数为最低要求，不允许负偏离，否则将承担其投标被视为非实质性响应投标的风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三、</w:t>
      </w:r>
      <w:r>
        <w:rPr>
          <w:rFonts w:hint="eastAsia" w:ascii="宋体" w:hAnsi="宋体" w:cs="宋体"/>
          <w:b/>
          <w:color w:val="auto"/>
          <w:kern w:val="0"/>
          <w:sz w:val="24"/>
          <w:szCs w:val="24"/>
          <w:highlight w:val="none"/>
          <w:lang w:val="en-US" w:eastAsia="zh-CN"/>
        </w:rPr>
        <w:t>商务</w:t>
      </w:r>
      <w:r>
        <w:rPr>
          <w:rFonts w:hint="eastAsia" w:ascii="宋体" w:hAnsi="宋体" w:eastAsia="宋体" w:cs="宋体"/>
          <w:b/>
          <w:color w:val="auto"/>
          <w:kern w:val="0"/>
          <w:sz w:val="24"/>
          <w:szCs w:val="24"/>
          <w:highlight w:val="none"/>
          <w:lang w:val="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合同履行期限：自合同生效之日起</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val="en-US" w:eastAsia="zh-CN"/>
        </w:rPr>
        <w:t>履行地点</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许昌市建安区看守所</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四、验收标准</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2、按照磋商文件要求、响应文件响应和承诺验收。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zh-CN"/>
        </w:rPr>
        <w:t>本项目预算金额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377000.00</w:t>
      </w:r>
      <w:r>
        <w:rPr>
          <w:rFonts w:hint="eastAsia" w:ascii="宋体" w:hAnsi="宋体" w:eastAsia="宋体" w:cs="宋体"/>
          <w:b/>
          <w:bCs/>
          <w:color w:val="auto"/>
          <w:sz w:val="24"/>
          <w:szCs w:val="24"/>
          <w:highlight w:val="none"/>
        </w:rPr>
        <w:t>元，最高限价：</w:t>
      </w:r>
      <w:r>
        <w:rPr>
          <w:rFonts w:hint="eastAsia" w:ascii="宋体" w:hAnsi="宋体" w:eastAsia="宋体" w:cs="宋体"/>
          <w:b/>
          <w:bCs/>
          <w:color w:val="auto"/>
          <w:sz w:val="24"/>
          <w:szCs w:val="24"/>
          <w:highlight w:val="none"/>
          <w:lang w:eastAsia="zh-CN"/>
        </w:rPr>
        <w:t>377000.00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val="zh-CN"/>
        </w:rPr>
        <w:t>超出预算金额的磋商响应无效。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六、资金支付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1、支付方式：银行转账。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zh-CN"/>
        </w:rPr>
        <w:t>2、支付时间及条件：</w:t>
      </w:r>
      <w:r>
        <w:rPr>
          <w:rFonts w:hint="eastAsia" w:ascii="宋体" w:hAnsi="宋体" w:cs="宋体"/>
          <w:color w:val="auto"/>
          <w:sz w:val="24"/>
          <w:szCs w:val="24"/>
          <w:highlight w:val="none"/>
          <w:lang w:val="zh-CN" w:eastAsia="zh-CN"/>
        </w:rPr>
        <w:t>项目完工验收合格后按政府采购资金拨付程序执行，以最终采购人与中标人签订的合同</w:t>
      </w:r>
      <w:r>
        <w:rPr>
          <w:rFonts w:hint="eastAsia" w:ascii="宋体" w:hAnsi="宋体" w:cs="宋体"/>
          <w:color w:val="auto"/>
          <w:sz w:val="24"/>
          <w:szCs w:val="24"/>
          <w:highlight w:val="none"/>
          <w:lang w:val="zh-CN"/>
        </w:rPr>
        <w:t>为准。</w:t>
      </w:r>
    </w:p>
    <w:p>
      <w:pPr>
        <w:pStyle w:val="47"/>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供应商须知前附表</w:t>
      </w:r>
    </w:p>
    <w:p>
      <w:pPr>
        <w:autoSpaceDE w:val="0"/>
        <w:autoSpaceDN w:val="0"/>
        <w:adjustRightInd w:val="0"/>
        <w:spacing w:line="360" w:lineRule="auto"/>
        <w:ind w:right="-11"/>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磋商文件中凡标有★条款均为实质性要求条款，响应文件须完全响应，未实质响应的，按照无效投标处理。</w:t>
      </w:r>
    </w:p>
    <w:tbl>
      <w:tblPr>
        <w:tblStyle w:val="3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24" w:type="dxa"/>
            <w:vAlign w:val="center"/>
          </w:tcPr>
          <w:p>
            <w:pPr>
              <w:autoSpaceDE w:val="0"/>
              <w:autoSpaceDN w:val="0"/>
              <w:adjustRightInd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7477" w:type="dxa"/>
            <w:vAlign w:val="center"/>
          </w:tcPr>
          <w:p>
            <w:pPr>
              <w:autoSpaceDE w:val="0"/>
              <w:autoSpaceDN w:val="0"/>
              <w:adjustRightInd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2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w:t>
            </w:r>
          </w:p>
        </w:tc>
        <w:tc>
          <w:tcPr>
            <w:tcW w:w="7477" w:type="dxa"/>
          </w:tcPr>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项目名称：许昌市建安区看守所辅助人员费用（在押人员伙房厨师工资）</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项目编号：建安政采竞磋商字〔2024〕</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号</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项目内容：详见磋商文件</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项目地址：</w:t>
            </w:r>
            <w:r>
              <w:rPr>
                <w:rFonts w:hint="eastAsia" w:ascii="宋体" w:hAnsi="宋体" w:cs="宋体"/>
                <w:bCs/>
                <w:color w:val="auto"/>
                <w:szCs w:val="21"/>
                <w:highlight w:val="none"/>
                <w:lang w:val="zh-CN"/>
              </w:rPr>
              <w:t>许昌市建安区看守所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7477" w:type="dxa"/>
            <w:vAlign w:val="center"/>
          </w:tcPr>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称：许昌市建安区看守所</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址：许昌市建安区周店</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联系人：王彩虹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联系方式：18637463259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w:t>
            </w:r>
          </w:p>
        </w:tc>
        <w:tc>
          <w:tcPr>
            <w:tcW w:w="7477" w:type="dxa"/>
            <w:vAlign w:val="center"/>
          </w:tcPr>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称：河南魏恒工程项目管理有限公司</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址：许昌市文峰路老广电局院三楼</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联系人：包  勇  </w:t>
            </w:r>
          </w:p>
          <w:p>
            <w:pPr>
              <w:autoSpaceDE w:val="0"/>
              <w:autoSpaceDN w:val="0"/>
              <w:adjustRightInd w:val="0"/>
              <w:spacing w:line="400" w:lineRule="exact"/>
              <w:ind w:right="-11"/>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联系方式：</w:t>
            </w:r>
            <w:r>
              <w:rPr>
                <w:rFonts w:hint="eastAsia" w:ascii="宋体" w:hAnsi="宋体" w:cs="宋体"/>
                <w:bCs/>
                <w:color w:val="auto"/>
                <w:szCs w:val="21"/>
                <w:highlight w:val="none"/>
                <w:lang w:val="en-US" w:eastAsia="zh-CN"/>
              </w:rPr>
              <w:t>18539007070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24" w:type="dxa"/>
            <w:vAlign w:val="center"/>
          </w:tcPr>
          <w:p>
            <w:pPr>
              <w:autoSpaceDE w:val="0"/>
              <w:autoSpaceDN w:val="0"/>
              <w:adjustRightInd w:val="0"/>
              <w:spacing w:line="360" w:lineRule="auto"/>
              <w:ind w:right="-1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★供应商资格</w:t>
            </w:r>
          </w:p>
        </w:tc>
        <w:tc>
          <w:tcPr>
            <w:tcW w:w="7477" w:type="dxa"/>
            <w:vAlign w:val="center"/>
          </w:tcPr>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lang w:val="zh-CN"/>
              </w:rPr>
              <w:t>一、中小企业或者残疾人福利性单位声明函</w:t>
            </w:r>
            <w:r>
              <w:rPr>
                <w:rFonts w:hint="eastAsia" w:ascii="宋体" w:hAnsi="宋体" w:eastAsia="宋体" w:cs="宋体"/>
                <w:bCs/>
                <w:color w:val="auto"/>
                <w:szCs w:val="21"/>
                <w:highlight w:val="none"/>
                <w:lang w:val="zh-CN"/>
              </w:rPr>
              <w:t xml:space="preserve">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1．中小企业出具《中小企业声明函》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2．残疾人福利性单位出具《残疾人福利企业声明函》</w:t>
            </w:r>
          </w:p>
          <w:p>
            <w:pPr>
              <w:autoSpaceDE w:val="0"/>
              <w:autoSpaceDN w:val="0"/>
              <w:adjustRightInd w:val="0"/>
              <w:spacing w:line="400" w:lineRule="exact"/>
              <w:ind w:right="-1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二、符合《政府采购法》第二十二条规定</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1．具有独立承担民事责任的能力；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2．具有良好的商业信誉和健全的财务会计制度；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3．具有履行合同所必需的设备和专业技术能力；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4．具有依法缴纳税收和社会保障资金的良好记录； </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5．参加政府采购活动前三年内，在经营活动中没有重大违法记录；</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1、供应商在投标时，提供《许昌市建安区政府采购供应商信用承诺函》（详见磋商文件第八章3.6格式），无需再提交上述证明材料。</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2、采购人有权在签订合同前要求中标供应商提供相关证明材料以核实中标供应商承诺事项的真实性。</w:t>
            </w:r>
          </w:p>
          <w:p>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24" w:type="dxa"/>
            <w:vAlign w:val="center"/>
          </w:tcPr>
          <w:p>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lang w:val="zh-CN"/>
              </w:rPr>
              <w:t>联合体投标</w:t>
            </w:r>
          </w:p>
        </w:tc>
        <w:tc>
          <w:tcPr>
            <w:tcW w:w="7477" w:type="dxa"/>
            <w:vAlign w:val="center"/>
          </w:tcPr>
          <w:p>
            <w:pPr>
              <w:autoSpaceDE w:val="0"/>
              <w:autoSpaceDN w:val="0"/>
              <w:adjustRightInd w:val="0"/>
              <w:spacing w:line="276" w:lineRule="auto"/>
              <w:rPr>
                <w:rFonts w:hint="eastAsia" w:ascii="宋体" w:hAnsi="宋体" w:eastAsia="宋体" w:cs="宋体"/>
                <w:bCs/>
                <w:color w:val="auto"/>
                <w:szCs w:val="21"/>
                <w:highlight w:val="none"/>
                <w:lang w:val="zh-CN"/>
              </w:rPr>
            </w:pPr>
            <w:r>
              <w:rPr>
                <w:rFonts w:hint="eastAsia" w:ascii="宋体" w:hAnsi="宋体" w:eastAsia="宋体" w:cs="宋体"/>
                <w:color w:val="auto"/>
                <w:kern w:val="0"/>
                <w:szCs w:val="21"/>
                <w:highlight w:val="none"/>
              </w:rPr>
              <w:t>本项目</w:t>
            </w:r>
            <w:r>
              <w:rPr>
                <w:rFonts w:hint="eastAsia" w:ascii="宋体" w:hAnsi="宋体" w:cs="宋体"/>
                <w:b w:val="0"/>
                <w:bCs w:val="0"/>
                <w:color w:val="auto"/>
                <w:sz w:val="24"/>
                <w:szCs w:val="24"/>
                <w:highlight w:val="none"/>
                <w:lang w:val="zh-CN"/>
              </w:rPr>
              <w:t>☑</w:t>
            </w:r>
            <w:r>
              <w:rPr>
                <w:rFonts w:hint="eastAsia" w:ascii="宋体" w:hAnsi="宋体" w:eastAsia="宋体" w:cs="宋体"/>
                <w:color w:val="auto"/>
                <w:kern w:val="0"/>
                <w:szCs w:val="21"/>
                <w:highlight w:val="none"/>
              </w:rPr>
              <w:t>不接受</w:t>
            </w:r>
            <w:r>
              <w:rPr>
                <w:rFonts w:hint="eastAsia" w:ascii="宋体" w:hAnsi="宋体" w:cs="宋体"/>
                <w:color w:val="auto"/>
                <w:kern w:val="0"/>
                <w:szCs w:val="21"/>
                <w:highlight w:val="none"/>
                <w:lang w:val="en-US" w:eastAsia="zh-CN"/>
              </w:rPr>
              <w:t xml:space="preserve">  </w:t>
            </w: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接受</w:t>
            </w:r>
            <w:r>
              <w:rPr>
                <w:rFonts w:hint="eastAsia" w:ascii="宋体" w:hAnsi="宋体" w:eastAsia="宋体" w:cs="宋体"/>
                <w:color w:val="auto"/>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24" w:type="dxa"/>
            <w:vAlign w:val="center"/>
          </w:tcPr>
          <w:p>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lang w:val="zh-CN"/>
              </w:rPr>
              <w:t>最高限价</w:t>
            </w:r>
          </w:p>
        </w:tc>
        <w:tc>
          <w:tcPr>
            <w:tcW w:w="7477"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377000.00</w:t>
            </w:r>
            <w:r>
              <w:rPr>
                <w:rFonts w:hint="eastAsia" w:ascii="宋体" w:hAnsi="宋体" w:eastAsia="宋体" w:cs="宋体"/>
                <w:color w:val="auto"/>
                <w:highlight w:val="none"/>
              </w:rPr>
              <w:t>元（财政资金），</w:t>
            </w:r>
            <w:r>
              <w:rPr>
                <w:rFonts w:hint="eastAsia" w:ascii="宋体" w:hAnsi="宋体" w:eastAsia="宋体" w:cs="宋体"/>
                <w:b/>
                <w:bCs/>
                <w:color w:val="auto"/>
                <w:highlight w:val="none"/>
              </w:rPr>
              <w:t>超出最高限价的投标无效</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24" w:type="dxa"/>
            <w:vAlign w:val="center"/>
          </w:tcPr>
          <w:p>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现场考察</w:t>
            </w:r>
          </w:p>
        </w:tc>
        <w:tc>
          <w:tcPr>
            <w:tcW w:w="7477" w:type="dxa"/>
            <w:vAlign w:val="center"/>
          </w:tcPr>
          <w:p>
            <w:pPr>
              <w:autoSpaceDE w:val="0"/>
              <w:autoSpaceDN w:val="0"/>
              <w:adjustRightInd w:val="0"/>
              <w:spacing w:line="276" w:lineRule="auto"/>
              <w:rPr>
                <w:rFonts w:hint="eastAsia" w:ascii="宋体" w:hAnsi="宋体" w:eastAsia="宋体" w:cs="宋体"/>
                <w:color w:val="auto"/>
                <w:kern w:val="0"/>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不组织</w:t>
            </w:r>
          </w:p>
          <w:p>
            <w:pPr>
              <w:autoSpaceDE w:val="0"/>
              <w:autoSpaceDN w:val="0"/>
              <w:adjustRightInd w:val="0"/>
              <w:spacing w:line="276" w:lineRule="auto"/>
              <w:rPr>
                <w:rFonts w:hint="eastAsia" w:ascii="宋体" w:hAnsi="宋体" w:eastAsia="宋体" w:cs="宋体"/>
                <w:bCs/>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24" w:type="dxa"/>
            <w:vAlign w:val="center"/>
          </w:tcPr>
          <w:p>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磋商</w:t>
            </w:r>
            <w:r>
              <w:rPr>
                <w:rFonts w:hint="eastAsia" w:ascii="宋体" w:hAnsi="宋体" w:eastAsia="宋体" w:cs="宋体"/>
                <w:bCs/>
                <w:color w:val="auto"/>
                <w:szCs w:val="21"/>
                <w:highlight w:val="none"/>
                <w:lang w:val="zh-CN"/>
              </w:rPr>
              <w:t>前答疑会</w:t>
            </w:r>
          </w:p>
        </w:tc>
        <w:tc>
          <w:tcPr>
            <w:tcW w:w="7477" w:type="dxa"/>
            <w:vAlign w:val="center"/>
          </w:tcPr>
          <w:p>
            <w:pPr>
              <w:autoSpaceDE w:val="0"/>
              <w:autoSpaceDN w:val="0"/>
              <w:adjustRightInd w:val="0"/>
              <w:spacing w:line="276" w:lineRule="auto"/>
              <w:rPr>
                <w:rFonts w:hint="eastAsia" w:ascii="宋体" w:hAnsi="宋体" w:eastAsia="宋体" w:cs="宋体"/>
                <w:color w:val="auto"/>
                <w:kern w:val="0"/>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不召开</w:t>
            </w:r>
          </w:p>
          <w:p>
            <w:pPr>
              <w:autoSpaceDE w:val="0"/>
              <w:autoSpaceDN w:val="0"/>
              <w:adjustRightInd w:val="0"/>
              <w:spacing w:line="276" w:lineRule="auto"/>
              <w:rPr>
                <w:rFonts w:hint="eastAsia" w:ascii="宋体" w:hAnsi="宋体" w:eastAsia="宋体" w:cs="宋体"/>
                <w:bCs/>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进口产品参与</w:t>
            </w:r>
          </w:p>
        </w:tc>
        <w:tc>
          <w:tcPr>
            <w:tcW w:w="7477" w:type="dxa"/>
            <w:vAlign w:val="center"/>
          </w:tcPr>
          <w:p>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 xml:space="preserve">不允许    </w:t>
            </w: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投标有效期</w:t>
            </w:r>
          </w:p>
        </w:tc>
        <w:tc>
          <w:tcPr>
            <w:tcW w:w="7477" w:type="dxa"/>
            <w:vAlign w:val="center"/>
          </w:tcPr>
          <w:p>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90天（自提交磋商文件的截止之日起算） </w:t>
            </w:r>
          </w:p>
          <w:p>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中标人将本项目的非主体、非关键性工作分包</w:t>
            </w:r>
          </w:p>
        </w:tc>
        <w:tc>
          <w:tcPr>
            <w:tcW w:w="7477" w:type="dxa"/>
            <w:vAlign w:val="center"/>
          </w:tcPr>
          <w:p>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 xml:space="preserve">不允许   </w:t>
            </w: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本项目是否采用不见面开标</w:t>
            </w:r>
          </w:p>
        </w:tc>
        <w:tc>
          <w:tcPr>
            <w:tcW w:w="7477" w:type="dxa"/>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24" w:type="dxa"/>
            <w:vAlign w:val="center"/>
          </w:tcPr>
          <w:p>
            <w:pPr>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电子投标文件递交地点</w:t>
            </w:r>
          </w:p>
        </w:tc>
        <w:tc>
          <w:tcPr>
            <w:tcW w:w="7477" w:type="dxa"/>
            <w:vAlign w:val="center"/>
          </w:tcPr>
          <w:p>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电子响应文件应按规定在投标截止时间（开标时间）之前成功提交至《全国公共资源交易平台(河南省▪许昌市)》公共资源交易系统（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"http://221.14.6.70:8088/ggzy/"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http://ggzy.xuchang.gov.cn:8088/ggzy/</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投标截止及</w:t>
            </w:r>
          </w:p>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开标时间</w:t>
            </w:r>
          </w:p>
        </w:tc>
        <w:tc>
          <w:tcPr>
            <w:tcW w:w="7477" w:type="dxa"/>
            <w:vAlign w:val="center"/>
          </w:tcPr>
          <w:p>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2024年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日9时30分</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招标人(代理机构)线上开标地点</w:t>
            </w:r>
          </w:p>
        </w:tc>
        <w:tc>
          <w:tcPr>
            <w:tcW w:w="7477" w:type="dxa"/>
            <w:vAlign w:val="center"/>
          </w:tcPr>
          <w:p>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许昌市建安区公共资源交易中心四楼</w:t>
            </w:r>
            <w:r>
              <w:rPr>
                <w:rFonts w:hint="eastAsia" w:ascii="宋体" w:hAnsi="宋体" w:eastAsia="宋体" w:cs="宋体"/>
                <w:color w:val="auto"/>
                <w:szCs w:val="21"/>
                <w:highlight w:val="none"/>
                <w:lang w:val="zh-CN"/>
              </w:rPr>
              <w:t>开标</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zh-CN"/>
              </w:rPr>
              <w:t>室</w:t>
            </w:r>
            <w:r>
              <w:rPr>
                <w:rFonts w:hint="eastAsia" w:ascii="宋体" w:hAnsi="宋体" w:eastAsia="宋体" w:cs="宋体"/>
                <w:color w:val="auto"/>
                <w:szCs w:val="21"/>
                <w:highlight w:val="none"/>
                <w:lang w:val="zh-CN"/>
              </w:rPr>
              <w:t>（</w:t>
            </w:r>
            <w:r>
              <w:rPr>
                <w:rFonts w:hint="eastAsia" w:ascii="宋体" w:hAnsi="宋体" w:eastAsia="宋体" w:cs="宋体"/>
                <w:b/>
                <w:bCs/>
                <w:color w:val="auto"/>
                <w:szCs w:val="21"/>
                <w:highlight w:val="none"/>
                <w:lang w:val="zh-CN"/>
              </w:rPr>
              <w:t>本项目采用远程不见面开标，供应商无须到现场。</w:t>
            </w:r>
            <w:r>
              <w:rPr>
                <w:rFonts w:hint="eastAsia" w:ascii="宋体" w:hAnsi="宋体" w:eastAsia="宋体" w:cs="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924" w:type="dxa"/>
            <w:vAlign w:val="center"/>
          </w:tcPr>
          <w:p>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7477" w:type="dxa"/>
            <w:vAlign w:val="center"/>
          </w:tcPr>
          <w:p>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lang w:val="zh-CN"/>
              </w:rPr>
              <w:t>不收取。</w:t>
            </w:r>
          </w:p>
          <w:p>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zh-CN"/>
              </w:rPr>
              <w:t>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公告发布</w:t>
            </w:r>
          </w:p>
        </w:tc>
        <w:tc>
          <w:tcPr>
            <w:tcW w:w="7477" w:type="dxa"/>
            <w:tcBorders>
              <w:top w:val="single" w:color="auto" w:sz="4" w:space="0"/>
            </w:tcBorders>
            <w:vAlign w:val="center"/>
          </w:tcPr>
          <w:p>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采购人澄清或修改</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文件时间</w:t>
            </w:r>
          </w:p>
        </w:tc>
        <w:tc>
          <w:tcPr>
            <w:tcW w:w="7477" w:type="dxa"/>
            <w:vAlign w:val="center"/>
          </w:tcPr>
          <w:p>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供应商对磋商文件 </w:t>
            </w:r>
          </w:p>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质疑截止时间</w:t>
            </w:r>
          </w:p>
        </w:tc>
        <w:tc>
          <w:tcPr>
            <w:tcW w:w="7477" w:type="dxa"/>
            <w:vAlign w:val="center"/>
          </w:tcPr>
          <w:p>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924" w:type="dxa"/>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电子响应文件：成功上传至《全国公共资源交易平台（河南省·许昌市）》公共资源交易系统加密电子响应文件1份（文件格式为： XXX公司XXX项目编号.file）。</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24" w:type="dxa"/>
            <w:vAlign w:val="center"/>
          </w:tcPr>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响应文件的</w:t>
            </w:r>
          </w:p>
          <w:p>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签署盖章</w:t>
            </w:r>
          </w:p>
        </w:tc>
        <w:tc>
          <w:tcPr>
            <w:tcW w:w="7477" w:type="dxa"/>
            <w:vAlign w:val="center"/>
          </w:tcPr>
          <w:p>
            <w:pPr>
              <w:autoSpaceDE w:val="0"/>
              <w:autoSpaceDN w:val="0"/>
              <w:adjustRightIn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924" w:type="dxa"/>
            <w:vAlign w:val="center"/>
          </w:tcPr>
          <w:p>
            <w:pPr>
              <w:autoSpaceDE w:val="0"/>
              <w:autoSpaceDN w:val="0"/>
              <w:adjustRightInd w:val="0"/>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7477" w:type="dxa"/>
          </w:tcPr>
          <w:p>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924" w:type="dxa"/>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评标委员会组建</w:t>
            </w:r>
          </w:p>
        </w:tc>
        <w:tc>
          <w:tcPr>
            <w:tcW w:w="7477" w:type="dxa"/>
            <w:vAlign w:val="center"/>
          </w:tcPr>
          <w:p>
            <w:pPr>
              <w:autoSpaceDE w:val="0"/>
              <w:autoSpaceDN w:val="0"/>
              <w:adjustRightInd w:val="0"/>
              <w:spacing w:line="4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评标方法</w:t>
            </w:r>
          </w:p>
        </w:tc>
        <w:tc>
          <w:tcPr>
            <w:tcW w:w="7477" w:type="dxa"/>
            <w:vAlign w:val="center"/>
          </w:tcPr>
          <w:p>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综合评分法</w:t>
            </w:r>
            <w:r>
              <w:rPr>
                <w:rFonts w:hint="eastAsia" w:ascii="宋体" w:hAnsi="宋体" w:cs="宋体"/>
                <w:bCs/>
                <w:color w:val="auto"/>
                <w:szCs w:val="21"/>
                <w:highlight w:val="none"/>
                <w:lang w:val="en-US" w:eastAsia="zh-CN"/>
              </w:rPr>
              <w:t xml:space="preserve">  </w:t>
            </w: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中小企业有关政策</w:t>
            </w:r>
          </w:p>
        </w:tc>
        <w:tc>
          <w:tcPr>
            <w:tcW w:w="7477" w:type="dxa"/>
            <w:vAlign w:val="center"/>
          </w:tcPr>
          <w:p>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1、本项目属于专门面向中小企业采购的项目；本次采购标的对应的中小企业划分标准所属行业：</w:t>
            </w:r>
            <w:r>
              <w:rPr>
                <w:rFonts w:hint="eastAsia" w:ascii="宋体" w:hAnsi="宋体" w:cs="宋体"/>
                <w:bCs/>
                <w:color w:val="auto"/>
                <w:kern w:val="0"/>
                <w:szCs w:val="21"/>
                <w:highlight w:val="none"/>
                <w:lang w:val="en-US" w:eastAsia="zh-CN"/>
              </w:rPr>
              <w:t>餐饮业</w:t>
            </w:r>
            <w:r>
              <w:rPr>
                <w:rFonts w:hint="eastAsia" w:ascii="宋体" w:hAnsi="宋体" w:eastAsia="宋体" w:cs="宋体"/>
                <w:bCs/>
                <w:color w:val="auto"/>
                <w:kern w:val="0"/>
                <w:szCs w:val="21"/>
                <w:highlight w:val="none"/>
                <w:lang w:val="zh-CN"/>
              </w:rPr>
              <w:t>。</w:t>
            </w:r>
          </w:p>
          <w:p>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3、提供由省级以上监狱管理局、戒毒管理局（含新疆生产建设兵团）出具的属于监狱企业证明文件的，视同为小型和微型企业。</w:t>
            </w:r>
          </w:p>
          <w:p>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节能环保要求</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1、本项目强制采购的节能产品：无</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eastAsia="宋体" w:cs="宋体"/>
                <w:color w:val="auto"/>
                <w:kern w:val="0"/>
                <w:szCs w:val="21"/>
                <w:highlight w:val="none"/>
              </w:rPr>
              <w:t>或环境标志产品</w:t>
            </w:r>
            <w:r>
              <w:rPr>
                <w:rFonts w:hint="eastAsia" w:ascii="宋体" w:hAnsi="宋体" w:eastAsia="宋体" w:cs="宋体"/>
                <w:color w:val="auto"/>
                <w:szCs w:val="21"/>
                <w:highlight w:val="none"/>
                <w:lang w:val="zh-CN"/>
              </w:rPr>
              <w:t>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信息安全要求</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1、本项目信息安全产品为：无。</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履约保证金</w:t>
            </w:r>
          </w:p>
        </w:tc>
        <w:tc>
          <w:tcPr>
            <w:tcW w:w="7477" w:type="dxa"/>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代理服务费</w:t>
            </w:r>
          </w:p>
        </w:tc>
        <w:tc>
          <w:tcPr>
            <w:tcW w:w="7477" w:type="dxa"/>
            <w:vAlign w:val="center"/>
          </w:tcPr>
          <w:p>
            <w:pPr>
              <w:autoSpaceDE w:val="0"/>
              <w:autoSpaceDN w:val="0"/>
              <w:spacing w:line="360" w:lineRule="auto"/>
              <w:contextualSpacing/>
              <w:jc w:val="left"/>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收取中标人。</w:t>
            </w:r>
          </w:p>
          <w:p>
            <w:pPr>
              <w:autoSpaceDE w:val="0"/>
              <w:autoSpaceDN w:val="0"/>
              <w:adjustRightInd w:val="0"/>
              <w:spacing w:line="360" w:lineRule="auto"/>
              <w:rPr>
                <w:rFonts w:hint="eastAsia" w:ascii="宋体" w:hAnsi="宋体" w:eastAsia="宋体" w:cs="宋体"/>
                <w:color w:val="auto"/>
                <w:szCs w:val="21"/>
                <w:highlight w:val="none"/>
              </w:rPr>
            </w:pPr>
            <w:bookmarkStart w:id="31" w:name="_Hlk16168403"/>
            <w:r>
              <w:rPr>
                <w:rFonts w:hint="eastAsia" w:ascii="宋体" w:hAnsi="宋体" w:eastAsia="宋体" w:cs="宋体"/>
                <w:color w:val="auto"/>
                <w:szCs w:val="21"/>
                <w:highlight w:val="none"/>
              </w:rPr>
              <w:t>收取标准：收费标准按豫招协【2023】002号文件。一次性以银行划账、电汇、汇票或支票的形式支付。</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授权函</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24" w:type="dxa"/>
            <w:vAlign w:val="center"/>
          </w:tcPr>
          <w:p>
            <w:pPr>
              <w:autoSpaceDE w:val="0"/>
              <w:autoSpaceDN w:val="0"/>
              <w:adjustRightInd w:val="0"/>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中标人需提交</w:t>
            </w:r>
          </w:p>
          <w:p>
            <w:pPr>
              <w:autoSpaceDE w:val="0"/>
              <w:autoSpaceDN w:val="0"/>
              <w:adjustRightInd w:val="0"/>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的资料</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中标人在接到中标通知时，须向采购代理机构发送投标报价及分项报价一览表（包含主要中标标的的名称、规格型号、数量、单价、服务要求等）电子文档，并同时通知代理机构联系人，代理机构邮箱：</w:t>
            </w:r>
            <w:r>
              <w:rPr>
                <w:rFonts w:hint="eastAsia" w:ascii="宋体" w:hAnsi="宋体" w:cs="宋体"/>
                <w:color w:val="auto"/>
                <w:szCs w:val="21"/>
                <w:highlight w:val="none"/>
                <w:lang w:val="en-US" w:eastAsia="zh-CN"/>
              </w:rPr>
              <w:t>henanweiheng</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126</w:t>
            </w:r>
            <w:r>
              <w:rPr>
                <w:rFonts w:hint="eastAsia" w:ascii="宋体" w:hAnsi="宋体" w:eastAsia="宋体" w:cs="宋体"/>
                <w:color w:val="auto"/>
                <w:szCs w:val="21"/>
                <w:highlight w:val="none"/>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电子化采购模式</w:t>
            </w:r>
          </w:p>
        </w:tc>
        <w:tc>
          <w:tcPr>
            <w:tcW w:w="7477" w:type="dxa"/>
            <w:vAlign w:val="center"/>
          </w:tcPr>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本项目为全流程电子化交易（远程不见面开标）项目。</w:t>
            </w:r>
          </w:p>
          <w:p>
            <w:pPr>
              <w:autoSpaceDE w:val="0"/>
              <w:autoSpaceDN w:val="0"/>
              <w:adjustRightInd w:val="0"/>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最后报价</w:t>
            </w:r>
          </w:p>
        </w:tc>
        <w:tc>
          <w:tcPr>
            <w:tcW w:w="7477" w:type="dxa"/>
            <w:vAlign w:val="center"/>
          </w:tcPr>
          <w:p>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 xml:space="preserve">根据磋商小组要求，供应商须使用CA数字证书登录《全国公共资源交易平台 ( 河 南 省 ▪ 许昌市 ) 》 公共资源交易系统（http://ggzy.xuchang.gov.cn:8088/ggzy/）进行最后报价，最后报价应包括： 总报价。 </w:t>
            </w:r>
          </w:p>
          <w:p>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 xml:space="preserve">注： </w:t>
            </w:r>
          </w:p>
          <w:p>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按照《关于推进全流程电子化交易和在线监管工作有关问题的通知》（许公管办[2019]3号）规定：</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924"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供应商资格核验</w:t>
            </w:r>
          </w:p>
        </w:tc>
        <w:tc>
          <w:tcPr>
            <w:tcW w:w="7477" w:type="dxa"/>
            <w:vAlign w:val="center"/>
          </w:tcPr>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一、法人或者其他组织的营业执照等证明文件，自然人的身份证明</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1、企业法人营业执照或营业执照。（企业投标提供）</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2、事业单位法人证书。（事业单位投标提供）</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3、执业许可证。（非企业专业服务机构投标提供）</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4、个体工商户营业执照。（个体工商户投标提供）</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5、自然人身份证明。（自然人投标提供）</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6、民办非企业单位登记证书。（民办非企业单位投标提供）</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二、财务状况报告相关材料</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1、供应商是法人（法人包括企业法人、机关法人、事业单位法人和社会团体法人），提供本单位：</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w:t>
            </w:r>
            <w:r>
              <w:rPr>
                <w:rFonts w:hint="eastAsia" w:ascii="宋体" w:hAnsi="宋体" w:cs="宋体"/>
                <w:color w:val="auto"/>
                <w:szCs w:val="21"/>
                <w:highlight w:val="none"/>
                <w:lang w:val="zh-CN"/>
              </w:rPr>
              <w:t>2023年度</w:t>
            </w:r>
            <w:r>
              <w:rPr>
                <w:rFonts w:hint="eastAsia" w:ascii="宋体" w:hAnsi="宋体" w:eastAsia="宋体" w:cs="宋体"/>
                <w:color w:val="auto"/>
                <w:szCs w:val="21"/>
                <w:highlight w:val="none"/>
                <w:lang w:val="zh-CN"/>
              </w:rPr>
              <w:t>经审计的财务报告，包括资产负债表、利润表、现金流量表、所有者权益变动表及其附注；</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②基本开户银行出具的资信证明；</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③财政部门认可的政府采购专业担保机构的证明文件和担保机构出具的投标担保函。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注：仅需提供序号①～③其中之一即可。</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2、供应商（其他组织和自然人）提供本单位：</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w:t>
            </w:r>
            <w:r>
              <w:rPr>
                <w:rFonts w:hint="eastAsia" w:ascii="宋体" w:hAnsi="宋体" w:cs="宋体"/>
                <w:color w:val="auto"/>
                <w:szCs w:val="21"/>
                <w:highlight w:val="none"/>
                <w:lang w:val="zh-CN"/>
              </w:rPr>
              <w:t>2023年度</w:t>
            </w:r>
            <w:r>
              <w:rPr>
                <w:rFonts w:hint="eastAsia" w:ascii="宋体" w:hAnsi="宋体" w:eastAsia="宋体" w:cs="宋体"/>
                <w:color w:val="auto"/>
                <w:szCs w:val="21"/>
                <w:highlight w:val="none"/>
                <w:lang w:val="zh-CN"/>
              </w:rPr>
              <w:t>经审计的财务报告，包括资产负债表、利润表、现金流量表、所有者权益变动表及其附注；</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②银行出具的资信证明；</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③财政部门认可的政府采购专业担保机构的证明文件和担保机构出具的投标担保函。</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注：仅需提供序号①～③其中之一即可。</w:t>
            </w:r>
          </w:p>
          <w:p>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三、依法缴纳税收相关材料</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四、依法缴纳社会保障资金的证明材料</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五、履行合同所必须的设备和专业技术能力的证明材料</w:t>
            </w:r>
            <w:r>
              <w:rPr>
                <w:rFonts w:hint="eastAsia" w:ascii="宋体" w:hAnsi="宋体" w:eastAsia="宋体" w:cs="宋体"/>
                <w:color w:val="auto"/>
                <w:szCs w:val="21"/>
                <w:highlight w:val="none"/>
                <w:lang w:val="zh-CN"/>
              </w:rPr>
              <w:t xml:space="preserve">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1、相关设备的购置发票、专业技术人员职称证书、用工合同等；</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2、供应商具备履行合同所必须的设备和专业技术能力承诺函或声明（承诺函或声明格式自拟）。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注：仅需提供序号1～2其中之一即可。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六、参加政府采购活动前3年内在经营活动中没有重大违法记录的声明</w:t>
            </w:r>
            <w:r>
              <w:rPr>
                <w:rFonts w:hint="eastAsia" w:ascii="宋体" w:hAnsi="宋体" w:eastAsia="宋体" w:cs="宋体"/>
                <w:color w:val="auto"/>
                <w:szCs w:val="21"/>
                <w:highlight w:val="none"/>
                <w:lang w:val="zh-CN"/>
              </w:rPr>
              <w:t xml:space="preserve">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七、</w:t>
            </w:r>
            <w:r>
              <w:rPr>
                <w:rFonts w:hint="eastAsia" w:ascii="宋体" w:hAnsi="宋体" w:eastAsia="宋体" w:cs="宋体"/>
                <w:color w:val="auto"/>
                <w:szCs w:val="21"/>
                <w:highlight w:val="none"/>
                <w:lang w:val="zh-CN"/>
              </w:rPr>
              <w:t>未被列入“信用中国”网站（www.creditchina.gov.cn/）失信被执行人、</w:t>
            </w:r>
            <w:r>
              <w:rPr>
                <w:rFonts w:hint="eastAsia" w:ascii="宋体" w:hAnsi="宋体" w:cs="宋体"/>
                <w:color w:val="auto"/>
                <w:szCs w:val="21"/>
                <w:highlight w:val="none"/>
                <w:lang w:val="zh-CN"/>
              </w:rPr>
              <w:t>重大税收违法失信主体</w:t>
            </w:r>
            <w:r>
              <w:rPr>
                <w:rFonts w:hint="eastAsia" w:ascii="宋体" w:hAnsi="宋体" w:eastAsia="宋体" w:cs="宋体"/>
                <w:color w:val="auto"/>
                <w:szCs w:val="21"/>
                <w:highlight w:val="none"/>
                <w:lang w:val="zh-CN"/>
              </w:rPr>
              <w:t>的投标人；“中国政府采购网” （www.ccgp.gov.cn/）政府采购严重违法失信行为记录名单的投标人；“中国社会组织政务服务平台”网站（https://chinanpo.mca.gov.cn/）严重违法失信名单的社会组织。</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（联合体形式投标的，联合体成员存在不良信用记录，视同联合体存在不良信用记录）。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①“信用中国”网站（www.creditchina.gov.cn/）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②“中国政府采购网”（www.ccgp.gov.cn/）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③“中国社会组织政务服务平台”网站（https://chinanpo.mca.gov.cn/）（仅查询社会组织）； </w:t>
            </w:r>
          </w:p>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2、截止时间：同投标截止时间； </w:t>
            </w:r>
          </w:p>
          <w:p>
            <w:pPr>
              <w:autoSpaceDE w:val="0"/>
              <w:autoSpaceDN w:val="0"/>
              <w:adjustRightIn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3、信用信息的使用原则：经采购人认定的被列入失信被执行人、</w:t>
            </w:r>
            <w:r>
              <w:rPr>
                <w:rFonts w:hint="eastAsia" w:ascii="宋体" w:hAnsi="宋体" w:cs="宋体"/>
                <w:color w:val="auto"/>
                <w:szCs w:val="21"/>
                <w:highlight w:val="none"/>
                <w:lang w:val="zh-CN"/>
              </w:rPr>
              <w:t>重大税收违法失信主体</w:t>
            </w:r>
            <w:r>
              <w:rPr>
                <w:rFonts w:hint="eastAsia" w:ascii="宋体" w:hAnsi="宋体" w:eastAsia="宋体" w:cs="宋体"/>
                <w:color w:val="auto"/>
                <w:szCs w:val="21"/>
                <w:highlight w:val="none"/>
                <w:lang w:val="zh-CN"/>
              </w:rPr>
              <w:t>、政府采购严重违法失信行为记录名单的投标人、严重违法失信社会组织，将拒绝其参与本次政府采购活动。</w:t>
            </w:r>
          </w:p>
        </w:tc>
      </w:tr>
    </w:tbl>
    <w:p>
      <w:pPr>
        <w:pStyle w:val="35"/>
        <w:keepNext w:val="0"/>
        <w:keepLines w:val="0"/>
        <w:pageBreakBefore w:val="0"/>
        <w:widowControl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第四章 供应商须知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1、适用范围</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1.1本磋商文件仅适用于本次“磋商邀请”中所述采购项目。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1.2本磋商文件解释权属于“磋商邀请”所述的采购人。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2.1“采购项目”：“供应商须知前附表”中所述的采购项目。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2.2“采购人”：“供应商须知前附表”中所述的组织本次招标的代理机构或采购人。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2.3“采购人”：是指依法进行政府采购的国家机关、事业单位、团体组织。采购人名称、地址、电话、联系人见“供应商须知前附表”。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2.4“代理机构”：接受采购人委托，代理采购项目的采购代理机构。代理机构名称、地址、电话、联系人见“供应商须知前附表”。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采购代理机构及其分支机构不得在所代理的采购项目中投标或者代理投标，不得为所代理的采购项目的供应商参加本项目提供投标咨询。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2.5“潜在供应商”指符合《中华人民共和国政府采购法》及相关法律法规和本磋商文件的各项规定，且按照本项目磋商公告及磋商文件规定的方式获取磋商文件的法人、其他组织或者自然人。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2.7.1磋商文件列明不允许或未列明允许进口产品参加投标的，均视为拒绝进口产品参加投标。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2.7.2如磋商文件中已说明，经财政部门审核同意，允许部分或全部产品采购进口产品，供应商既可提供本国产品，也可以提供进口产品。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2.8磋商文件中凡标有“★”的条款均系实质性要求条款。</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3.合格的供应商</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3.1在中华人民共和国境内注册，具有本项目生产、制造、供应或实施能力，符合、承认并承诺履行本磋商文件各项规定的法人、其他组织或者自然人。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3.2符合本项目“投标邀请”和“供应商须知前附表”中规定的合格供应商所必须具备的条件。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eastAsia="宋体" w:cs="宋体"/>
          <w:color w:val="auto"/>
          <w:kern w:val="0"/>
          <w:szCs w:val="21"/>
          <w:highlight w:val="none"/>
        </w:rPr>
        <w:t xml:space="preserve">、政府采购严重违法失信行为记录名单、严重违法失信社会组织名单（联合体形式投标的，联合体成员存在不良信用记录，视同联合体存在不良信用记录）。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3.3.1查询渠道：“信用中国”网站（www.creditchina.gov.cn）、“中国政府采购网”（www.ccgp.gov.cn）、“中国社会组织政务服务平台”网站（</w:t>
      </w:r>
      <w:r>
        <w:rPr>
          <w:rFonts w:hint="eastAsia" w:ascii="宋体" w:hAnsi="宋体" w:eastAsia="宋体" w:cs="宋体"/>
          <w:bCs/>
          <w:color w:val="auto"/>
          <w:szCs w:val="21"/>
          <w:highlight w:val="none"/>
        </w:rPr>
        <w:t>https://chinanpo.mca.gov.cn</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3.3.3信用信息查询记录和证据留存具体方式：经磋商小组确认的查询结果网页截图作为查询记录和证据，与其他磋商文件一并保存；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3.3.4信用信息的使用原则：经磋商小组认定的被列入失信被执行人、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eastAsia="宋体" w:cs="宋体"/>
          <w:color w:val="auto"/>
          <w:kern w:val="0"/>
          <w:szCs w:val="21"/>
          <w:highlight w:val="none"/>
        </w:rPr>
        <w:t xml:space="preserve">、政府采购严重违法失信行为记录名单、严重违法失信社会组织名单的供应商，将拒绝其参与本次政府采购活动。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3.4单位负责人为同一人或者存在直接控股、管理关系的不同供应商，不得同时参加本项目响应。违反规定的，相关响应均无效。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3.5为采购项目提供整体设计、规范编制或者项目管理、监理、检测等服务的供应商，不得再参加该采购项目的其他采购活动。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3.6“投标邀请”和“供应商须知前附表”规定接受联合体投标的，除应符合本章第3.1项和3.2项要求外，还应遵守以下规定：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3.6.1在响应文件中向采购人提交联合体协议书，明确联合体各方承担的工作和义务；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3.6.3采购人根据采购项目的特殊要求规定供应商特定条件的，联合体各方中至少应当有一方符合采购规定的特定条件。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3.6.4联合体各方不得再单独参加或者与其他供应商另外组成联合体参加同一合同项下的政府采购活动；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3.6.5联合体各方应当共同与采购人签订采购合同，就采购合同约定的事项对采购人承担连带责任。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3.7法律、行政法规规定的其他条件。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4.合格的货物和服务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4.2供应商所提供的服务应当没有侵犯任何第三方的知识产权、技术秘密等合法权利。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4.5根据财政部、工业和信息化部、国家质检总局、国家认监委联合发布</w:t>
      </w:r>
      <w:bookmarkStart w:id="32" w:name="baidusnap0"/>
      <w:bookmarkEnd w:id="32"/>
      <w:r>
        <w:rPr>
          <w:rFonts w:hint="eastAsia" w:ascii="宋体" w:hAnsi="宋体" w:eastAsia="宋体" w:cs="宋体"/>
          <w:color w:val="auto"/>
          <w:kern w:val="0"/>
          <w:szCs w:val="21"/>
          <w:highlight w:val="none"/>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"http://www.cnca.gov.cn/cnca/zwxx/ggxx/images/2010/07/19/A6C32D2A507AC2A38326896013A67542.doc"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中国国家信息安全产品认证证书</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》。供应商不能提供超出此目录范畴外的替代品。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5.磋商费用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不论磋商的结果如何，供应商均应自行承担所有与磋商有关的全部费用，采购人在任何情况下均无义务和责任承担这些费用。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6.信息发布</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7.采购代理机构代理费用收取标准和方式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本项目收取代理费用。详见供应商须知前附表。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8.其他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kern w:val="0"/>
          <w:sz w:val="24"/>
          <w:szCs w:val="24"/>
          <w:highlight w:val="none"/>
        </w:rPr>
      </w:pP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二、磋商文件说明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9.磋商文件构成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9.1磋商文件由以下部分组成：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磋商邀请（磋商公告）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（3）供应商须知前附表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（4）供应商须知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（5）政府采购政策功能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（6）对响应文件审查与评审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（7）拟签订的合同文本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（8）响应文件有关格式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（9）本项目磋商文件的澄清、答复、修改、补充内容（如有的话）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10.现场考察、磋商前答疑会（如有）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10.1采购人根据采购项目的具体情况，可以在磋商文件公告期满后，组织已获取磋商文件的供应商现场考察或者召开磋商前答疑会。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10.5现场考察及参加磋商前答疑会所发生的费用及一切责任由供应商自行承担。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11.磋商文件的澄清或修改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11.1在磋商响应截止期前，无论出于何种原因，采购人可主动地或在解答供应商提出的澄清问题时对磋商文件进行修改。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11.3澄清或修改公告的内容为磋商文件的组成部分，并对供应商具有约束力。当磋商文件与澄清或修改公告就同一内容的表述不一致时，以最后发出的文件内容为准。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11.4如果澄清或者修改发出的时间距规定的磋商响应截止时间不足5日的，采购人将顺延提交响应文件的截止时间。</w:t>
      </w:r>
    </w:p>
    <w:p>
      <w:pPr>
        <w:pStyle w:val="35"/>
        <w:keepNext w:val="0"/>
        <w:keepLines w:val="0"/>
        <w:pageBreakBefore w:val="0"/>
        <w:widowControl w:val="0"/>
        <w:kinsoku/>
        <w:wordWrap/>
        <w:overflowPunct/>
        <w:topLinePunct w:val="0"/>
        <w:bidi w:val="0"/>
        <w:snapToGrid/>
        <w:spacing w:after="0" w:line="360" w:lineRule="auto"/>
        <w:ind w:firstLine="240"/>
        <w:textAlignment w:val="auto"/>
        <w:rPr>
          <w:rFonts w:hint="eastAsia" w:ascii="宋体" w:hAnsi="宋体" w:eastAsia="宋体" w:cs="宋体"/>
          <w:color w:val="auto"/>
          <w:sz w:val="24"/>
          <w:szCs w:val="24"/>
          <w:highlight w:val="none"/>
        </w:rPr>
      </w:pP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三、响应文件的编制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12.响应的语言及计量单位</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12.2响应文件计量单位，磋商文件已有明确规定的，使用磋商文件规定的计量单位；磋商文件没有规定的，一律采用中华人民共和国法定计量单位。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13.报价</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13.1本次磋商项目的报价均以人民币为计算单位。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13.2采购人不得向供应商人索要或者接受其给予的赠品、回扣或者与采购无关的其他商品、服务。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13.3供应商应对项目要求的全部内容进行报价，少报漏报将导致其投标为非实质性响应予以拒绝。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13.5本项目所涉及的运输、施工、安装、集成、调试、验收、备品和工具等费用均包含在响应报价中。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13.6本次招标不接受可选择或可调整的投标方案和报价，任何有选择的或可调整的投标方案和报价将被视为非实质性响应投标而作无效投标处理。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13.8最低报价不能作为成交的保证。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14.响应有效期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14.2响应有效期内供应商撤销响应文件的，供应商将承担违背投标承诺函的责任追究。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14.4成交供应商的响应文件作为项目合同的附件，其有效期至成交供应商全部合同义务履行完毕为止。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15.响应文件构成</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15.1响应文件的构成应符合法律法规及磋商文件的要求。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15.2供应商应当按照磋商文件的要求编制响应文件。响应文件应当对磋商文件提出的要求和条件作出明确响应。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15.3响应文件由资格证明材料、符合性证明材料、其它材料等组成。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15.5供应商登录许昌公共资源交易系统下载“许昌响应文件制作系统SEARUN 最新版本”，按磋商文件要求根据所响应标段制作电子响应文件。一个标段对应生成一个文件夹（xxxx项目xx标段）,后缀名为“.file”的文件用于电子响应使用。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15.6电子响应文件制作技术咨询：0374-2961598。</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16.响应文件格式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16.1供应商编制的响应文件应当满足磋商文件规定的基本格式要求。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16.2供应商应按磋商文件提供的格式编写响应文件。磋商文件未提供标准格式的供应商可自行拟定。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17.磋商保证金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17.1按照河南省《关于优化政府采购营商环境有关问题的通知》（豫财购（2019）4号文）的要求，本项目不予收取投标保证金，供应商应提供投标承诺函。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17.2供应商应按照磋商文件要求，在响应文件中提供投标承诺函，明确所应当履行的责任和义务，诚信履约，并自觉接受行政监管部门的监督管理。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18.磋商文件的数量和签署盖章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18.1供应商应提交响应文件份数见“供应商须知前附表”。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18.2在磋商文件中已明示需盖章及签名之处，电子响应文件应按磋商文件要求加盖供应商电子印章和法人电子印章或授权代表电子印章。</w:t>
      </w:r>
    </w:p>
    <w:p>
      <w:pPr>
        <w:pStyle w:val="35"/>
        <w:keepNext w:val="0"/>
        <w:keepLines w:val="0"/>
        <w:pageBreakBefore w:val="0"/>
        <w:widowControl w:val="0"/>
        <w:kinsoku/>
        <w:wordWrap/>
        <w:overflowPunct/>
        <w:topLinePunct w:val="0"/>
        <w:bidi w:val="0"/>
        <w:snapToGrid/>
        <w:spacing w:after="0" w:line="360" w:lineRule="auto"/>
        <w:ind w:firstLine="240"/>
        <w:textAlignment w:val="auto"/>
        <w:rPr>
          <w:rFonts w:hint="eastAsia" w:ascii="宋体" w:hAnsi="宋体" w:eastAsia="宋体" w:cs="宋体"/>
          <w:color w:val="auto"/>
          <w:sz w:val="24"/>
          <w:szCs w:val="24"/>
          <w:highlight w:val="none"/>
        </w:rPr>
      </w:pP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四、响应文件的递交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19.磋商响应截止时间</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20.迟交的响应文件</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磋商响应文件截止时间之后上传的响应文件，采购人将拒绝接收。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21.响应文件的修改和撤回</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21.2供应商补充、修改的内容并作为响应文件的组成部分。补充或修改应当按磋商文件要求签署、盖章、递交，并应注明“修改”或“补充”字样。</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21.3供应商不得在投标有效期内撤销响应文件，否则将依法自行承担不利后果。</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Cs w:val="21"/>
          <w:highlight w:val="none"/>
        </w:rPr>
        <w:t>22.除供应商须知前附表另有规定外，供应商所提交的电子响应文件不予退还。</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b/>
          <w:color w:val="auto"/>
          <w:kern w:val="0"/>
          <w:sz w:val="24"/>
          <w:szCs w:val="24"/>
          <w:highlight w:val="none"/>
        </w:rPr>
      </w:pPr>
    </w:p>
    <w:p>
      <w:pPr>
        <w:pStyle w:val="131"/>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五、响应文件开启和磋商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23.响应文件开启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23.1采购人将按磋商文件规定的磋商响应截止时间和地点解密电子响应文件。 由代理机构主持，供应商无须到现场。磋商小组成员不得参加开标活动。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23.2.1电子响应文件的解密：全流程电子化交易项目电子响应文件采用双重加密。 解密需分标段进行两次解密。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23.2.1.1供应商解密：供应商使用本单位CA数字证书进行远程解密。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23.2.1.2代理机构解密：代理机构按电子响应文件到达交易系统的先后顺序，使用本单位CA数字证书进行再次解密。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23.2.1.3因供应商原因电子响应文件解密失败的，其响应文件将被拒绝。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23.3供应商不足3家的，本项目磋商活动终止。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23.4开标过程由采购代理机构负责记录，《开标记录表》经供应商进行电子签章、由参加开标相关工作人员签字确认后随采购文件一并存档。供应商未电子签章的， 视同认可开标结果。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23.5供应商对解密过程和记录有疑义，以及认为采购人、代理机构相关工作人员有需要回避的情形的，应当场提出询问或者回避申请。采购人、采购代理机构对供应商提出的询问或者回避申请应当及时处理。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23.6响应文件解密活动结束时，供应商应在《开标记录表》上进行电子签章。供应商未签章的，视同认可开标结果。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24.资格审查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开标结束后，磋商小组依法对供应商的资格进行审查。合格供应商不足3家的，不得磋商。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25.磋商小组的组成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25.1.1采购人将依法组建磋商小组，磋商小组由评审专家组成，成员人数应当为3人以上单数组成。评审专家依法从政府采购评审专家库中随机抽取。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25.3磋商小组成员与供应商存在下列利害关系之一的,应当回避：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25.3.2与供应商的法定代表人或者负责人有夫妻、直系血亲、三代以内旁系血亲或者近姻亲关系；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25.3.3与供应商有其他可能影响政府采购活动公平、公正进行的关系。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25.4评审专家发现本人与参加采购活动的供应商有利害关系的,应当主动提出回避。采购人或者代理机构发现评审专家与参加采购活动的供应商有利害关系的,应当要求其回避。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25.5采购人不得担任磋商小组组长。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25.6磋商小组成员名单在成交结果公告前应当保密。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26.符合性审查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26.1磋商小组依据有关法律法规和磋商文件的规定，对符合资格的供应商的响应文件进行符合性审查，以确定其是否满足磋商文件的实质性要求。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26.2审查、评价磋商文件是否符合磋商文件的商务、技术等实质性要求。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26.3可要求供应商对响应文件有关事项作出澄清或者说明。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27.响应文件的澄清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27.1对于响应文件中含义不明确、同类问题表述不一致或者有明显文字和计算错误的内容，磋商小组应当以书面形式要求供应商作出必要的澄清、说明或者补正。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27.3供应商的澄清文件是其响应文件的组成部分。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28.响应文件报价出现前后不一致的修正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28.1磋商文件中开标一览表(报价表)内容与响应文件中相应内容不一致的，以开标一览表(报价表)为准；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28.2大写金额和小写金额不一致的，以大写金额为准；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29.投标无效情形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29.1响应文件属下列情况之一的，按照无效投标处理：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29.1.1未按照磋商文件的规定提交《许昌市建安区政府采购供应商信用承诺函》的；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29.1.2未按照磋商文件的规定提交磋商承诺函的；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29.1.3响应文件未按磋商文件要求签署、盖章的；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29.1.4资格证明文件不全或没有满足磋商文件规定的供应商资格要求的；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29.1.5报价超过磋商文件中规定的预算金额的；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29.1.6响应文件内容模糊不清，无法辨认的；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29.1.7响应文件含有采购人不能接受的附加条件的；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29.1.8不按磋商小组要求澄清、说明或补正的；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29.1.9响应文件没有法定代表人签字或签字人没有法定代表人有效委托书的；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29.1.10响应文件中载明的标准和方法等不符合磋商文件要求的；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29.1.11不符合项目质量要求的；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 有下列情形之一的，视为供应商串通投标，其响应无效：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29.2.1不同供应商的响应文件由同一单位或者个人编制；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29.2.3不同供应商委托同一单位或者个人办理响应事宜；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29.2.4不同供应商的响应文件载明的项目管理成员或者联系人员为同一人；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29.2.5不同供应商的响应文件异常一致或者投标报价呈规律性差异；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29.2.6不同供应商的响应文件相互混装。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29.6对响应文件进行一致性分析，分析投标文件是否有雷同现象，判定供应商是否有串通投标行为。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29.7法律、法规和磋商文件规定的其他无效情形。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30.相同品牌供应商的认定</w:t>
      </w:r>
      <w:r>
        <w:rPr>
          <w:rFonts w:hint="eastAsia" w:ascii="宋体" w:hAnsi="宋体" w:eastAsia="宋体" w:cs="宋体"/>
          <w:b/>
          <w:bCs/>
          <w:color w:val="auto"/>
          <w:kern w:val="0"/>
          <w:szCs w:val="21"/>
          <w:highlight w:val="none"/>
          <w:lang w:val="zh-CN"/>
        </w:rPr>
        <w:t>（服务类项目不适用本条款规定）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31.响应文件的比较与评价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磋商小组按照磋商文件中规定的评标方法和标准，对符合性审查合格的响应文件进行商务和技术评估，综合比较与评价。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32.评标方法、评标标准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32.1评标方法分为最低评标价法和综合评分法。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32.1.1综合评分法，是指响应文件满足磋商文件全部实质性要求，且按照评审因素的量化指标评审得分最高的供应商为成交候选人的评标方法。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32.2价格分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32.2.1价格分采用低价优先法计算，即满足磋商文件要求且最后报价最低的供应商的价格为磋商基准价，其价格分为满分。其他供应商的价格分统一按照下列公式计算：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磋商报价得分=(磋商基准价/最后磋商报价)×100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32.2.2评标过程中，不得去掉报价中的最高报价和最低报价。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32.2.3因落实政府采购政策进行价格调整的，以调整后的价格计算磋商基准价和磋商报价。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32.3本次磋商具体磋商方法、磋商标准见（第六章 对响应文件审查与评审）。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33.磋商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33.1磋商小组与通过符合性审查合格的响应文件，即实质性响应磋商文件的供应商分别进行磋商。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33.2磋商小组所有成员应当集中与单一供应商分别进行磋商，并给予所有参加磋商的供应商平等的磋商机会。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33.3在磋商中，磋商的任何一方不得透露与磋商有关的其他供应商的技术资料、价格和其他信息。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33.7如磋商中出现符合《财政部关于政府采购竞争性磋商采购方式管理暂行办法有关问题的补充通知》（财库〔2015〕124号）中的情形，则按财政部通知要求执行。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33.8最后报价是供应商响应文件的有效组成部分。符合《政府采购竞争性磋商采购方式管理暂行办法》【（财库2014）214号】第三条第四项情形的，提交最后报价的供应商可以为2家。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33.9已提交响应文件的供应商，在提交最后报价之前，可以根据磋商情况退出磋商。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33.10按照《关于推进全流程电子化交易和在线监管工作有关问题的通知》（许公管办[2019]3号）规定，评审专家应严格按照要求查看“硬件特征码”相关信息并进行评审。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34.推荐成交候选人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35.评审意见无效情形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磋商小组及其成员有下列行为之一的，其评审意见无效：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(1)确定参与评标至评标结束前私自接触供应商；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(2)接受供应商提出的与响应文件不一致的澄清或者说明；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(3)违反评标纪律发表倾向性意见或者征询采购人的倾向性意见；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(4)对需要专业判断的主观评审因素协商评分；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(5)在评标过程中擅离职守，影响评标程序正常进行的；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(6)记录、复制或者带走任何评标资料；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(7)其他不遵守评标纪律的行为。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36.保密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36.2采购人、采购代理机构应当采取必要措施，保证评标在严格保密的情况下进行。有关人员对评标情况以及在评标过程中获悉的国家秘密、商业秘密负有保密责任。</w:t>
      </w:r>
    </w:p>
    <w:p>
      <w:pPr>
        <w:pStyle w:val="35"/>
        <w:keepNext w:val="0"/>
        <w:keepLines w:val="0"/>
        <w:pageBreakBefore w:val="0"/>
        <w:widowControl w:val="0"/>
        <w:kinsoku/>
        <w:wordWrap/>
        <w:overflowPunct/>
        <w:topLinePunct w:val="0"/>
        <w:bidi w:val="0"/>
        <w:snapToGrid/>
        <w:spacing w:after="0" w:line="360" w:lineRule="auto"/>
        <w:ind w:firstLine="240"/>
        <w:textAlignment w:val="auto"/>
        <w:rPr>
          <w:rFonts w:hint="eastAsia" w:ascii="宋体" w:hAnsi="宋体" w:eastAsia="宋体" w:cs="宋体"/>
          <w:color w:val="auto"/>
          <w:sz w:val="24"/>
          <w:szCs w:val="24"/>
          <w:highlight w:val="none"/>
        </w:rPr>
      </w:pPr>
    </w:p>
    <w:p>
      <w:pPr>
        <w:keepNext w:val="0"/>
        <w:keepLines w:val="0"/>
        <w:pageBreakBefore w:val="0"/>
        <w:widowControl w:val="0"/>
        <w:numPr>
          <w:ilvl w:val="0"/>
          <w:numId w:val="2"/>
        </w:numPr>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定标和授予合同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37.确定中标人</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37.1采购人应当自收到评标报告之日起1个工作日内，在评标报告确定的成交候选人名单中按顺序确定成交人。成交候选人并列的，由采购人采取随机抽取的方式确定。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37.2采购人在收到评标报告1个工作日内未按评标报告推荐的成交候选人顺序确定成交人，又不能说明合法理由的，视同按评标报告推荐的顺序确定排名第一的成交候选人为成交人。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38.成交公告、发出成交通知书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38.1采购人确认成交人后，采购人在发布公告成交结果的同时，通知成交人核验投标时由信用承诺函替代的证明材料。经核验无误后，发出成交通知书。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38.2成交通知书发出后，采购人不得违法改变成交结果，成交人无正当理由不得放弃成交。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38.3成交人在接到成交通知时，须向代理机构发送投标报价及分项报价一览表（包含主要成交标的的名称、规格型号、数量、单价、服务要求等）电子文档，并同时通知代理机构联系人。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39.质疑提出与答复</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39.2.1对磋商文件提出的质疑，依法通过澄清或者修改可以继续开展采购活动的，澄清或者修改磋商文件后继续开展采购活动；否则应当修改磋商文件后重新开展采购活动。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39.2.2对采购过程、成交结果提出的质疑，合格供应商符合法定数量时，可以从合格的成交候选人中另行确定成交供应商的，应当依法另行确定成交供应商；否则应当重新开展采购活动。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40.签订合同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采购人自采购合同签订之日起，1个工作日内到许昌市建安区财政局采购办进行合同备案，并登陆“河南省政府采购网”进行网上备案。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41.履约保证金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根据《许昌市建安区财政局关于加大政府采购支持中小企业力度有关事项的通知》（建安财购〔2022〕1号）要求自2022年7月1日起，全面取消政府采购履约保证金。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kern w:val="0"/>
          <w:szCs w:val="21"/>
          <w:highlight w:val="none"/>
        </w:rPr>
        <w:t xml:space="preserve">2.政府采购合同融资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42.1缓解中小企业融资难题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42.2合作金融机构（排名不分先后）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1）合作金融机构名称：中原银行许昌分行（小微金融部）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联系人及电话：陈阳 13137407575 方金龙 15836539901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地址：许昌市建安大道与紫云路交汇处中原银行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2）合作金融机构名称：浦发银行许昌分行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联系人及电话：赵勇 0374-7313569、7313502 18937459920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地址：许昌市许继大道1163号许继花园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3）合作金融机构名称：交通银行许昌分行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联系人：宋纪刚 0374-2369912 13733951305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地址：许昌市莲城大道114号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4）合作金融机构名称：光大银行许昌分行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联系人：李东磊 0374-2928168 18569936868</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地址：许昌市魏都区八一路文峰路交叉口西北角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5）合作金融机构名称：招商银行许昌分行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联系人及电话：崔星迪 0374-5376058 18839983051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地址：许昌市建安大道中段新天下AB座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6）合作金融机构名称：邮储银行许昌市分行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联系人及电话：张彦峰13839001972 武松涛18839902679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徐亚爽15038297574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地址：许昌市莲城大道邮储银行莲城支行二楼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7）合作金融机构名称：中国银行许昌分行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联系人及电话：白炜 13938772680 刘晓飞 0374-3338596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地址：许昌市魏都区建设路1488号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8）合作金融机构名称：中信银行郑州红专路支行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联系人：韩晨 13253490679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地址：郑州市金水区经三路北26号中信银行郑州红专路支行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9）合作金融机构名称：郑州银行许昌分行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联系人：王晶 0374-2298011 18339062222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地址：河南省许昌市魏都区莲城大道与魏文路交叉口西南角亨通君成国际大厦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42.3“许昌市政府采购合同融资金融产品推介名录”链接 </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http://xuchang.hngp.gov.cn/xuchang/content?infoId=1606365368231095&amp;channelCode=H711001</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43. 其他</w:t>
      </w:r>
    </w:p>
    <w:p>
      <w:pPr>
        <w:keepNext w:val="0"/>
        <w:keepLines w:val="0"/>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本次磋商文件未尽事项，以法律法规规定的为准。</w:t>
      </w:r>
    </w:p>
    <w:p>
      <w:pPr>
        <w:pStyle w:val="15"/>
        <w:rPr>
          <w:rFonts w:hint="eastAsia" w:ascii="宋体" w:hAnsi="宋体" w:eastAsia="宋体" w:cs="宋体"/>
          <w:color w:val="auto"/>
          <w:szCs w:val="24"/>
          <w:highlight w:val="none"/>
        </w:rPr>
      </w:pPr>
    </w:p>
    <w:p>
      <w:pPr>
        <w:jc w:val="center"/>
        <w:rPr>
          <w:rFonts w:hint="eastAsia" w:ascii="宋体" w:hAnsi="宋体" w:eastAsia="宋体" w:cs="宋体"/>
          <w:b/>
          <w:color w:val="auto"/>
          <w:sz w:val="24"/>
          <w:szCs w:val="24"/>
          <w:highlight w:val="none"/>
        </w:rPr>
      </w:pPr>
    </w:p>
    <w:p>
      <w:pPr>
        <w:jc w:val="center"/>
        <w:rPr>
          <w:rFonts w:hint="eastAsia" w:ascii="宋体" w:hAnsi="宋体" w:eastAsia="宋体" w:cs="宋体"/>
          <w:b/>
          <w:color w:val="auto"/>
          <w:sz w:val="24"/>
          <w:szCs w:val="24"/>
          <w:highlight w:val="none"/>
        </w:rPr>
      </w:pPr>
    </w:p>
    <w:p>
      <w:pPr>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政府采购政策功能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一、节约能源、保护环境</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highlight w:val="none"/>
        </w:rPr>
        <w:t>财政部、生态环境部</w:t>
      </w:r>
      <w:r>
        <w:rPr>
          <w:rFonts w:hint="eastAsia" w:ascii="宋体" w:hAnsi="宋体" w:eastAsia="宋体" w:cs="宋体"/>
          <w:color w:val="auto"/>
          <w:highlight w:val="none"/>
          <w:lang w:val="zh-CN"/>
        </w:rPr>
        <w:t>《关于印发环境标志产品政府采购品目清单的通知》</w:t>
      </w:r>
      <w:r>
        <w:rPr>
          <w:rFonts w:hint="eastAsia" w:ascii="宋体" w:hAnsi="宋体" w:eastAsia="宋体" w:cs="宋体"/>
          <w:color w:val="auto"/>
          <w:highlight w:val="none"/>
        </w:rPr>
        <w:t>（财库[2019]18号）以及</w:t>
      </w:r>
      <w:r>
        <w:rPr>
          <w:rFonts w:hint="eastAsia" w:ascii="宋体" w:hAnsi="宋体" w:eastAsia="宋体" w:cs="宋体"/>
          <w:color w:val="auto"/>
          <w:highlight w:val="none"/>
          <w:lang w:val="zh-CN"/>
        </w:rPr>
        <w:t>财政部、发展改革委</w:t>
      </w:r>
      <w:r>
        <w:rPr>
          <w:rFonts w:hint="eastAsia" w:ascii="宋体" w:hAnsi="宋体" w:eastAsia="宋体" w:cs="宋体"/>
          <w:color w:val="auto"/>
          <w:highlight w:val="none"/>
        </w:rPr>
        <w:t>《关于印发节能产品政府采购品目清单的通知》（财库[2019]19号）</w:t>
      </w:r>
      <w:r>
        <w:rPr>
          <w:rFonts w:hint="eastAsia" w:ascii="宋体" w:hAnsi="宋体" w:eastAsia="宋体" w:cs="宋体"/>
          <w:color w:val="auto"/>
          <w:highlight w:val="none"/>
          <w:lang w:val="zh-CN"/>
        </w:rPr>
        <w:t>，</w:t>
      </w:r>
      <w:r>
        <w:rPr>
          <w:rFonts w:hint="eastAsia" w:ascii="宋体" w:hAnsi="宋体" w:eastAsia="宋体" w:cs="宋体"/>
          <w:color w:val="auto"/>
          <w:highlight w:val="none"/>
        </w:rPr>
        <w:t>采购政府强</w:t>
      </w:r>
      <w:r>
        <w:rPr>
          <w:rFonts w:hint="eastAsia" w:ascii="宋体" w:hAnsi="宋体" w:eastAsia="宋体" w:cs="宋体"/>
          <w:color w:val="auto"/>
          <w:highlight w:val="none"/>
          <w:lang w:val="zh-CN"/>
        </w:rPr>
        <w:t>制采购产品的，该产品必须具有国家确定的认证机构出具的、处于有效期之内的节能产品</w:t>
      </w:r>
      <w:r>
        <w:rPr>
          <w:rFonts w:hint="eastAsia" w:ascii="宋体" w:hAnsi="宋体" w:eastAsia="宋体" w:cs="宋体"/>
          <w:color w:val="auto"/>
          <w:kern w:val="0"/>
          <w:highlight w:val="none"/>
        </w:rPr>
        <w:t>或环境标志产品</w:t>
      </w:r>
      <w:r>
        <w:rPr>
          <w:rFonts w:hint="eastAsia" w:ascii="宋体" w:hAnsi="宋体" w:eastAsia="宋体" w:cs="宋体"/>
          <w:color w:val="auto"/>
          <w:highlight w:val="none"/>
          <w:lang w:val="zh-CN"/>
        </w:rPr>
        <w:t>认证证书；采购政府优先采购产品的，该产品具有国家确定的认证机构出具的、处于有效期之内的节能产品、环境标志产品认证证书，应当优先采购。</w:t>
      </w:r>
    </w:p>
    <w:p>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二、促进中小企业发展（不含民办非企业）</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val="zh-CN"/>
        </w:rPr>
        <w:t>专门面向中小企业预留采购份额</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（二）非</w:t>
      </w:r>
      <w:r>
        <w:rPr>
          <w:rFonts w:hint="eastAsia" w:ascii="宋体" w:hAnsi="宋体" w:eastAsia="宋体" w:cs="宋体"/>
          <w:color w:val="auto"/>
          <w:highlight w:val="none"/>
          <w:lang w:val="zh-CN"/>
        </w:rPr>
        <w:t>专门面向中小企业预留采购份额</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根据财政部、工业和信息化部《政府采购促进中小企业发展管理办法》（财库[2020]46号）</w:t>
      </w:r>
      <w:r>
        <w:rPr>
          <w:rFonts w:hint="eastAsia" w:ascii="宋体" w:hAnsi="宋体" w:eastAsia="宋体" w:cs="宋体"/>
          <w:color w:val="auto"/>
          <w:highlight w:val="none"/>
        </w:rPr>
        <w:t>、《关于进一步加大政府采购支持中小企业力度的通知》（财库〔2022〕19号）</w:t>
      </w:r>
      <w:r>
        <w:rPr>
          <w:rFonts w:hint="eastAsia" w:ascii="宋体" w:hAnsi="宋体" w:eastAsia="宋体" w:cs="宋体"/>
          <w:color w:val="auto"/>
          <w:highlight w:val="none"/>
          <w:lang w:val="zh-CN"/>
        </w:rPr>
        <w:t>规定，对符合该办法规定的小型和微型企业报价给予10%-20%的扣除，用扣除后的价格参与评审。</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2、在货物采购项目中，供应商提供的货物既有中小企业制造货物，也有大型企业制造货物的，不享受</w:t>
      </w:r>
      <w:r>
        <w:rPr>
          <w:rFonts w:hint="eastAsia" w:ascii="宋体" w:hAnsi="宋体" w:eastAsia="宋体" w:cs="宋体"/>
          <w:color w:val="auto"/>
          <w:highlight w:val="none"/>
          <w:lang w:val="zh-CN"/>
        </w:rPr>
        <w:t>《政府采购促进中小企业发展管理办法》（财库[2020]46号）</w:t>
      </w:r>
      <w:r>
        <w:rPr>
          <w:rFonts w:hint="eastAsia" w:ascii="宋体" w:hAnsi="宋体" w:eastAsia="宋体" w:cs="宋体"/>
          <w:color w:val="auto"/>
          <w:highlight w:val="none"/>
        </w:rPr>
        <w:t>规定的中小企业扶持政策。</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3、以联合体形式参加政府采购活动，联合体各方均为中小企业的，联合体视同中小企业。其中，联合体各方均为小微企业的，联合体视同小微企业。</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5、按照本次采购标的所属行业的划型标准，符合条件的中小企业应按照招标文件格式要求提供《中小企业声明函》，否则不得享受相关中小企业扶持政策。</w:t>
      </w:r>
    </w:p>
    <w:p>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三、支持监狱企业发展</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四、促进残疾人就业</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highlight w:val="none"/>
        </w:rPr>
        <w:t>残疾人福利性单位属于小型、微型企业的，不重复享受政策。</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3、中标人为残疾人福利性单位的，招标人应当随中标结果同时公告其《残疾人福利性单位声明函》，接受社会监督</w:t>
      </w:r>
      <w:r>
        <w:rPr>
          <w:rFonts w:hint="eastAsia" w:ascii="宋体" w:hAnsi="宋体" w:eastAsia="宋体" w:cs="宋体"/>
          <w:color w:val="auto"/>
          <w:highlight w:val="none"/>
        </w:rPr>
        <w:t>。</w:t>
      </w:r>
    </w:p>
    <w:p>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6"/>
          <w:szCs w:val="36"/>
          <w:highlight w:val="none"/>
        </w:rPr>
        <w:t>第六章 资格审查与评标</w:t>
      </w:r>
    </w:p>
    <w:p>
      <w:pPr>
        <w:pStyle w:val="22"/>
        <w:spacing w:line="440" w:lineRule="exact"/>
        <w:ind w:firstLine="211"/>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一、资格审查</w:t>
      </w:r>
    </w:p>
    <w:p>
      <w:pPr>
        <w:spacing w:line="440" w:lineRule="exact"/>
        <w:ind w:right="420" w:rightChars="200"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eastAsia="宋体" w:cs="宋体"/>
          <w:color w:val="auto"/>
          <w:szCs w:val="21"/>
          <w:highlight w:val="none"/>
          <w:lang w:val="zh-CN"/>
        </w:rPr>
        <w:cr/>
      </w:r>
      <w:r>
        <w:rPr>
          <w:rFonts w:hint="eastAsia" w:ascii="宋体" w:hAnsi="宋体" w:eastAsia="宋体" w:cs="宋体"/>
          <w:color w:val="auto"/>
          <w:szCs w:val="21"/>
          <w:highlight w:val="none"/>
          <w:lang w:val="zh-CN"/>
        </w:rPr>
        <w:t xml:space="preserve">    （二）资格证明材料（本栏所列内容为本项目的资格审查条件，如有一项不符合要求，则不能进入下一步评审）。</w:t>
      </w:r>
    </w:p>
    <w:p>
      <w:pPr>
        <w:spacing w:line="440" w:lineRule="exact"/>
        <w:ind w:right="420" w:rightChars="200"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（三）资格审查中所涉及到的证书及材料，均须在电子响应文件中提供原件扫描件（或图片）。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w:t>
            </w:r>
          </w:p>
        </w:tc>
        <w:tc>
          <w:tcPr>
            <w:tcW w:w="5954" w:type="dxa"/>
            <w:vAlign w:val="center"/>
          </w:tcPr>
          <w:p>
            <w:pPr>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（1）中小企业出具《中小企业声明函》</w:t>
            </w:r>
          </w:p>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许昌市建安区政府采购</w:t>
            </w:r>
          </w:p>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供应商信用承诺函</w:t>
            </w:r>
          </w:p>
        </w:tc>
        <w:tc>
          <w:tcPr>
            <w:tcW w:w="5954" w:type="dxa"/>
            <w:vAlign w:val="center"/>
          </w:tcPr>
          <w:p>
            <w:pPr>
              <w:spacing w:line="400" w:lineRule="exac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按照</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rPr>
              <w:t>文件第八章3.6格式填写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供应商须具备的特殊资质证书</w:t>
            </w:r>
          </w:p>
        </w:tc>
        <w:tc>
          <w:tcPr>
            <w:tcW w:w="5954" w:type="dxa"/>
            <w:vAlign w:val="center"/>
          </w:tcPr>
          <w:p>
            <w:pPr>
              <w:spacing w:line="400" w:lineRule="exac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磋商</w:t>
            </w:r>
            <w:r>
              <w:rPr>
                <w:rFonts w:hint="eastAsia" w:ascii="宋体" w:hAnsi="宋体" w:eastAsia="宋体" w:cs="宋体"/>
                <w:b/>
                <w:color w:val="auto"/>
                <w:szCs w:val="21"/>
                <w:highlight w:val="none"/>
                <w:lang w:val="zh-CN"/>
              </w:rPr>
              <w:t>报价</w:t>
            </w:r>
          </w:p>
        </w:tc>
        <w:tc>
          <w:tcPr>
            <w:tcW w:w="5954" w:type="dxa"/>
          </w:tcPr>
          <w:p>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zh-CN"/>
              </w:rPr>
              <w:t>供应商报价是否超出磋商文件中规定的预算金额，超出预算金额的投标无效。如供应商须知前附表规定最高限价，则</w:t>
            </w:r>
            <w:r>
              <w:rPr>
                <w:rFonts w:hint="eastAsia" w:ascii="宋体" w:hAnsi="宋体" w:eastAsia="宋体" w:cs="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2410" w:type="dxa"/>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磋商承诺函</w:t>
            </w:r>
          </w:p>
        </w:tc>
        <w:tc>
          <w:tcPr>
            <w:tcW w:w="5954" w:type="dxa"/>
            <w:vAlign w:val="center"/>
          </w:tcPr>
          <w:p>
            <w:pPr>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联合体协议</w:t>
            </w:r>
          </w:p>
        </w:tc>
        <w:tc>
          <w:tcPr>
            <w:tcW w:w="5954" w:type="dxa"/>
          </w:tcPr>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2410" w:type="dxa"/>
            <w:vAlign w:val="center"/>
          </w:tcPr>
          <w:p>
            <w:pPr>
              <w:spacing w:line="400" w:lineRule="exact"/>
              <w:contextualSpacing/>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供应商身份证明及授权</w:t>
            </w:r>
          </w:p>
        </w:tc>
        <w:tc>
          <w:tcPr>
            <w:tcW w:w="5954" w:type="dxa"/>
          </w:tcPr>
          <w:p>
            <w:pPr>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pPr>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pPr>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①企业（银行、保险、石油石化、电力、电信等行业除外）、事业单位和社会团体供应商以法人身份参加投标的，法定代表人应与实际提交的“营业执照等证明文件”载明的一致。</w:t>
            </w:r>
          </w:p>
          <w:p>
            <w:pPr>
              <w:spacing w:line="400" w:lineRule="exact"/>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400" w:lineRule="exact"/>
              <w:contextualSpacing/>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w:t>
            </w:r>
          </w:p>
        </w:tc>
        <w:tc>
          <w:tcPr>
            <w:tcW w:w="241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2410" w:type="dxa"/>
            <w:vAlign w:val="center"/>
          </w:tcPr>
          <w:p>
            <w:pPr>
              <w:spacing w:line="40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zh-CN"/>
              </w:rPr>
              <w:t>供应商提供未为本项目提供整体设计、规范编制或者项目管理、监理、检测等服务承诺函（承诺函格式自拟）。</w:t>
            </w:r>
          </w:p>
        </w:tc>
      </w:tr>
    </w:tbl>
    <w:p>
      <w:pPr>
        <w:pStyle w:val="22"/>
        <w:spacing w:line="440" w:lineRule="exact"/>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二、评标</w:t>
      </w:r>
    </w:p>
    <w:p>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（一）评标方法</w:t>
      </w:r>
    </w:p>
    <w:p>
      <w:pPr>
        <w:pStyle w:val="22"/>
        <w:spacing w:line="440" w:lineRule="exact"/>
        <w:ind w:firstLine="420" w:firstLineChars="200"/>
        <w:contextualSpacing/>
        <w:rPr>
          <w:rFonts w:ascii="宋体" w:hAnsi="宋体" w:cs="宋体"/>
          <w:color w:val="auto"/>
          <w:highlight w:val="none"/>
        </w:rPr>
      </w:pPr>
      <w:r>
        <w:rPr>
          <w:rFonts w:hint="eastAsia" w:ascii="宋体" w:hAnsi="宋体" w:cs="宋体"/>
          <w:color w:val="auto"/>
          <w:highlight w:val="none"/>
        </w:rPr>
        <w:t>本项目采用综合评分法。总分为100分。</w:t>
      </w:r>
    </w:p>
    <w:p>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（二）磋商小组负责具体评标事务，并独立履行下列职责</w:t>
      </w:r>
    </w:p>
    <w:p>
      <w:pPr>
        <w:pStyle w:val="22"/>
        <w:spacing w:line="440" w:lineRule="exact"/>
        <w:ind w:firstLine="422" w:firstLineChars="200"/>
        <w:contextualSpacing/>
        <w:jc w:val="left"/>
        <w:rPr>
          <w:rFonts w:ascii="宋体" w:hAnsi="宋体" w:cs="宋体"/>
          <w:b/>
          <w:bCs/>
          <w:color w:val="auto"/>
          <w:highlight w:val="none"/>
        </w:rPr>
      </w:pPr>
      <w:r>
        <w:rPr>
          <w:rFonts w:hint="eastAsia" w:ascii="宋体" w:hAnsi="宋体" w:cs="宋体"/>
          <w:b/>
          <w:bCs/>
          <w:color w:val="auto"/>
          <w:highlight w:val="none"/>
        </w:rPr>
        <w:t>1、审查、评价响应文件是否符合磋商文件的商务、技术等实质性要求；</w:t>
      </w:r>
    </w:p>
    <w:p>
      <w:pPr>
        <w:pStyle w:val="22"/>
        <w:spacing w:line="440" w:lineRule="exact"/>
        <w:ind w:right="-512" w:rightChars="-244" w:firstLine="420" w:firstLineChars="200"/>
        <w:contextualSpacing/>
        <w:jc w:val="left"/>
        <w:rPr>
          <w:rFonts w:ascii="宋体" w:hAnsi="宋体" w:cs="宋体"/>
          <w:color w:val="auto"/>
          <w:highlight w:val="none"/>
        </w:rPr>
      </w:pPr>
      <w:r>
        <w:rPr>
          <w:rFonts w:hint="eastAsia" w:ascii="宋体" w:hAnsi="宋体" w:cs="宋体"/>
          <w:color w:val="auto"/>
          <w:highlight w:val="none"/>
        </w:rPr>
        <w:t>磋商小组对符合资格的供应商的响应文件进行符合性审查，以确定其是否满足磋商文件的商务、技术等实质性要求。</w:t>
      </w:r>
    </w:p>
    <w:p>
      <w:pPr>
        <w:pStyle w:val="22"/>
        <w:spacing w:line="440" w:lineRule="exact"/>
        <w:ind w:firstLine="420" w:firstLineChars="200"/>
        <w:contextualSpacing/>
        <w:jc w:val="left"/>
        <w:rPr>
          <w:rFonts w:ascii="宋体" w:hAnsi="宋体" w:cs="宋体"/>
          <w:color w:val="auto"/>
          <w:highlight w:val="none"/>
        </w:rPr>
      </w:pPr>
      <w:r>
        <w:rPr>
          <w:rFonts w:hint="eastAsia" w:ascii="宋体" w:hAnsi="宋体" w:cs="宋体"/>
          <w:color w:val="auto"/>
          <w:highlight w:val="none"/>
        </w:rPr>
        <w:t>注：符合性审查中所涉及到的证书及材料，均应在电子响应文件中提供原件扫描件（或图片）。</w:t>
      </w:r>
    </w:p>
    <w:p>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2、要求供应商对响应文件有关事项作出澄清或者说明；</w:t>
      </w:r>
    </w:p>
    <w:p>
      <w:pPr>
        <w:pStyle w:val="22"/>
        <w:spacing w:line="440" w:lineRule="exact"/>
        <w:ind w:right="-512" w:rightChars="-244" w:firstLine="420" w:firstLineChars="200"/>
        <w:contextualSpacing/>
        <w:rPr>
          <w:rFonts w:ascii="宋体" w:hAnsi="宋体" w:cs="宋体"/>
          <w:color w:val="auto"/>
          <w:highlight w:val="none"/>
        </w:rPr>
      </w:pPr>
      <w:r>
        <w:rPr>
          <w:rFonts w:hint="eastAsia" w:ascii="宋体" w:hAnsi="宋体" w:cs="宋体"/>
          <w:color w:val="auto"/>
          <w:highlight w:val="none"/>
        </w:rPr>
        <w:t>对于响应文件中含义不明确、同类问题表述不一致或者有明显文字和计算错误的内容，磋商小组应当以书面形式要求供应商作出必要的澄清、说明或者补正。</w:t>
      </w:r>
    </w:p>
    <w:p>
      <w:pPr>
        <w:pStyle w:val="22"/>
        <w:spacing w:line="440" w:lineRule="exact"/>
        <w:ind w:firstLine="420" w:firstLineChars="200"/>
        <w:contextualSpacing/>
        <w:rPr>
          <w:rFonts w:ascii="宋体" w:hAnsi="宋体" w:cs="宋体"/>
          <w:color w:val="auto"/>
          <w:highlight w:val="none"/>
        </w:rPr>
      </w:pPr>
      <w:r>
        <w:rPr>
          <w:rFonts w:hint="eastAsia" w:ascii="宋体" w:hAnsi="宋体" w:cs="宋体"/>
          <w:color w:val="auto"/>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pStyle w:val="22"/>
        <w:spacing w:line="440" w:lineRule="exact"/>
        <w:ind w:firstLine="465"/>
        <w:contextualSpacing/>
        <w:jc w:val="left"/>
        <w:rPr>
          <w:rFonts w:ascii="宋体" w:hAnsi="宋体" w:cs="宋体"/>
          <w:b/>
          <w:bCs/>
          <w:color w:val="auto"/>
          <w:highlight w:val="none"/>
        </w:rPr>
      </w:pPr>
      <w:r>
        <w:rPr>
          <w:rFonts w:hint="eastAsia" w:ascii="宋体" w:hAnsi="宋体" w:cs="宋体"/>
          <w:b/>
          <w:bCs/>
          <w:color w:val="auto"/>
          <w:highlight w:val="none"/>
        </w:rPr>
        <w:t>3、对响应文件进行比较和评价；</w:t>
      </w:r>
    </w:p>
    <w:p>
      <w:pPr>
        <w:pStyle w:val="22"/>
        <w:spacing w:line="440" w:lineRule="exact"/>
        <w:ind w:firstLine="420" w:firstLineChars="200"/>
        <w:contextualSpacing/>
        <w:rPr>
          <w:rFonts w:ascii="宋体" w:hAnsi="宋体" w:cs="宋体"/>
          <w:color w:val="auto"/>
          <w:highlight w:val="none"/>
        </w:rPr>
      </w:pPr>
      <w:r>
        <w:rPr>
          <w:rFonts w:hint="eastAsia" w:ascii="宋体" w:hAnsi="宋体" w:cs="宋体"/>
          <w:color w:val="auto"/>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注：评标标准中所涉及到的证书及材料，均应在电子投标文件中提供原件扫描件（或图片）。</w:t>
      </w:r>
    </w:p>
    <w:p>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（1）价格分计算</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440" w:lineRule="exact"/>
        <w:ind w:firstLine="420" w:firstLineChars="200"/>
        <w:contextualSpacing/>
        <w:rPr>
          <w:rFonts w:ascii="宋体" w:hAnsi="宋体" w:cs="宋体"/>
          <w:color w:val="auto"/>
          <w:highlight w:val="none"/>
        </w:rPr>
      </w:pPr>
      <w:r>
        <w:rPr>
          <w:rFonts w:ascii="宋体"/>
          <w:color w:val="auto"/>
          <w:highlight w:val="none"/>
          <w:lang w:val="zh-CN"/>
        </w:rPr>
        <w:t>本项目专门面向中小企业采购</w:t>
      </w:r>
      <w:r>
        <w:rPr>
          <w:rFonts w:hint="eastAsia" w:ascii="宋体" w:hAnsi="宋体" w:cs="宋体"/>
          <w:color w:val="auto"/>
          <w:highlight w:val="none"/>
        </w:rPr>
        <w:t>。</w:t>
      </w:r>
    </w:p>
    <w:p>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（2）关于相同品牌产品（服务类项目不适用本条款规定）</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pStyle w:val="22"/>
        <w:spacing w:line="440" w:lineRule="exact"/>
        <w:ind w:firstLine="465"/>
        <w:contextualSpacing/>
        <w:jc w:val="left"/>
        <w:rPr>
          <w:rFonts w:ascii="宋体" w:hAnsi="宋体" w:cs="宋体"/>
          <w:color w:val="auto"/>
          <w:highlight w:val="none"/>
        </w:rPr>
      </w:pPr>
      <w:r>
        <w:rPr>
          <w:rFonts w:hint="eastAsia" w:ascii="宋体" w:hAnsi="宋体" w:cs="宋体"/>
          <w:color w:val="auto"/>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color w:val="auto"/>
          <w:highlight w:val="none"/>
        </w:rPr>
        <w:t>。</w:t>
      </w:r>
    </w:p>
    <w:p>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（3）强制采购节能产品和优先采购节能产品、优先采购环保产品</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pStyle w:val="22"/>
        <w:spacing w:line="440" w:lineRule="exact"/>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（4）关于强制性产品认证</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2）供应商所投产品如被列入《信息安全产品强制性认证目录》，则响应文件中应根据本项目招标文件“第二章 项目需求”提供：</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①中国信息安全认证中心官网（http://www.isccc.gov.cn/index.shtml）产品查询结果截图并加盖供应商公章；</w:t>
      </w:r>
    </w:p>
    <w:p>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②中国信息安全认证中心颁发的《中国国家信息安全产品认证证书》加盖供应商公章的原件扫描件（或图片）。</w:t>
      </w:r>
    </w:p>
    <w:p>
      <w:pPr>
        <w:wordWrap w:val="0"/>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val="zh-CN"/>
        </w:rPr>
        <w:t>注：仅需提供序号①～②其中之一即可</w:t>
      </w:r>
      <w:r>
        <w:rPr>
          <w:rFonts w:hint="eastAsia" w:ascii="宋体" w:hAnsi="宋体" w:cs="宋体"/>
          <w:color w:val="auto"/>
          <w:szCs w:val="21"/>
          <w:highlight w:val="none"/>
        </w:rPr>
        <w:t>。</w:t>
      </w:r>
    </w:p>
    <w:p>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（5）支持脱贫攻坚（物业服务项目）</w:t>
      </w:r>
    </w:p>
    <w:p>
      <w:pPr>
        <w:tabs>
          <w:tab w:val="left" w:pos="1260"/>
        </w:tabs>
        <w:autoSpaceDE w:val="0"/>
        <w:autoSpaceDN w:val="0"/>
        <w:spacing w:line="440" w:lineRule="exact"/>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（6）投标无效情形</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2）符合性审查资料未按磋商文件要求签署、盖章的；</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3）有下列情形之一的，视为供应商串通投标，其投标无效：</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a.不同供应商的响应文件由同一单位或者个人编制；</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b.不同供应商委托同一单位或者个人办理投标事宜；</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c.不同供应商的响应文件载明的项目管理成员或者联系人员为同一人；</w:t>
      </w:r>
    </w:p>
    <w:p>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d.不同供应商的响应文件异常一致或者投标报价呈规律性差异。</w:t>
      </w:r>
    </w:p>
    <w:p>
      <w:pPr>
        <w:spacing w:line="440" w:lineRule="exact"/>
        <w:ind w:right="-512" w:rightChars="-244" w:firstLine="422" w:firstLineChars="200"/>
        <w:contextualSpacing/>
        <w:rPr>
          <w:rFonts w:ascii="宋体" w:hAnsi="宋体" w:cs="宋体"/>
          <w:b/>
          <w:bCs/>
          <w:color w:val="auto"/>
          <w:szCs w:val="21"/>
          <w:highlight w:val="none"/>
          <w:lang w:val="zh-CN"/>
        </w:rPr>
      </w:pPr>
      <w:r>
        <w:rPr>
          <w:rFonts w:hint="eastAsia" w:ascii="宋体" w:hAnsi="宋体" w:cs="宋体"/>
          <w:b/>
          <w:bCs/>
          <w:color w:val="auto"/>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2"/>
        <w:spacing w:line="440" w:lineRule="exact"/>
        <w:ind w:firstLine="420" w:firstLineChars="200"/>
        <w:contextualSpacing/>
        <w:rPr>
          <w:rFonts w:ascii="宋体" w:hAnsi="宋体" w:cs="宋体"/>
          <w:b/>
          <w:bCs/>
          <w:color w:val="auto"/>
          <w:highlight w:val="none"/>
          <w:lang w:val="zh-CN"/>
        </w:rPr>
      </w:pPr>
      <w:r>
        <w:rPr>
          <w:rFonts w:hint="eastAsia" w:ascii="宋体" w:hAnsi="宋体" w:cs="宋体"/>
          <w:color w:val="auto"/>
          <w:highlight w:val="none"/>
          <w:lang w:val="zh-CN"/>
        </w:rPr>
        <w:t>5）法律、法规和磋商文件规定的其他无效情形</w:t>
      </w:r>
      <w:r>
        <w:rPr>
          <w:rFonts w:hint="eastAsia" w:ascii="宋体" w:hAnsi="宋体" w:cs="宋体"/>
          <w:b/>
          <w:bCs/>
          <w:color w:val="auto"/>
          <w:highlight w:val="none"/>
          <w:lang w:val="zh-CN"/>
        </w:rPr>
        <w:t>。</w:t>
      </w:r>
    </w:p>
    <w:p>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（7）评标标准</w:t>
      </w:r>
    </w:p>
    <w:p>
      <w:pPr>
        <w:tabs>
          <w:tab w:val="left" w:pos="1260"/>
        </w:tabs>
        <w:autoSpaceDE w:val="0"/>
        <w:autoSpaceDN w:val="0"/>
        <w:spacing w:line="440" w:lineRule="exact"/>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（一）评标方法：最低评标价法□综合评分法☑</w:t>
      </w:r>
    </w:p>
    <w:p>
      <w:pPr>
        <w:tabs>
          <w:tab w:val="left" w:pos="1260"/>
        </w:tabs>
        <w:autoSpaceDE w:val="0"/>
        <w:autoSpaceDN w:val="0"/>
        <w:spacing w:line="440" w:lineRule="exact"/>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（二）综合评分法评标标准：</w:t>
      </w:r>
    </w:p>
    <w:tbl>
      <w:tblPr>
        <w:tblStyle w:val="3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660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noWrap/>
            <w:vAlign w:val="center"/>
          </w:tcPr>
          <w:p>
            <w:pPr>
              <w:spacing w:line="360" w:lineRule="auto"/>
              <w:ind w:right="-512" w:rightChars="-244"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spacing w:line="360" w:lineRule="auto"/>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7645" w:type="dxa"/>
            <w:gridSpan w:val="2"/>
            <w:noWrap/>
            <w:vAlign w:val="center"/>
          </w:tcPr>
          <w:p>
            <w:pPr>
              <w:spacing w:line="360" w:lineRule="auto"/>
              <w:ind w:right="-512" w:rightChars="-24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w:t>
            </w:r>
          </w:p>
          <w:p>
            <w:pPr>
              <w:spacing w:line="360" w:lineRule="auto"/>
              <w:ind w:right="-512" w:rightChars="-24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pPr>
              <w:spacing w:line="360" w:lineRule="auto"/>
              <w:ind w:right="-512" w:rightChars="-24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5" w:type="dxa"/>
            <w:gridSpan w:val="3"/>
            <w:noWrap/>
            <w:vAlign w:val="center"/>
          </w:tcPr>
          <w:p>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价格部分（满分</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40" w:type="dxa"/>
            <w:noWrap/>
            <w:vAlign w:val="center"/>
          </w:tcPr>
          <w:p>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600" w:type="dxa"/>
            <w:noWrap/>
            <w:vAlign w:val="center"/>
          </w:tcPr>
          <w:p>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1045" w:type="dxa"/>
            <w:noWrap/>
            <w:vAlign w:val="center"/>
          </w:tcPr>
          <w:p>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40" w:type="dxa"/>
            <w:noWrap/>
            <w:vAlign w:val="center"/>
          </w:tcPr>
          <w:p>
            <w:pPr>
              <w:spacing w:line="360" w:lineRule="auto"/>
              <w:ind w:right="-512" w:rightChars="-24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最终磋商报价</w:t>
            </w:r>
          </w:p>
          <w:p>
            <w:pPr>
              <w:spacing w:line="360" w:lineRule="auto"/>
              <w:ind w:right="-512" w:rightChars="-244"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6600" w:type="dxa"/>
            <w:noWrap/>
            <w:vAlign w:val="center"/>
          </w:tcPr>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投标报价得分采用低价优先法计算，即满足磋商文件要求且最低的最终磋商报价为磋商基准价，其价格分为满分20分。其他供应商的报价得分计算：</w:t>
            </w:r>
          </w:p>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报价得分=(磋商基准价／最终磋商报价)×20</w:t>
            </w:r>
          </w:p>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计算按四舍五入法则,保留小数点后两位。</w:t>
            </w:r>
          </w:p>
        </w:tc>
        <w:tc>
          <w:tcPr>
            <w:tcW w:w="1045" w:type="dxa"/>
            <w:noWrap/>
            <w:vAlign w:val="center"/>
          </w:tcPr>
          <w:p>
            <w:pPr>
              <w:ind w:right="-512" w:rightChars="-244"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5" w:type="dxa"/>
            <w:gridSpan w:val="3"/>
            <w:noWrap/>
            <w:vAlign w:val="center"/>
          </w:tcPr>
          <w:p>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商务部分（满分</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0" w:type="dxa"/>
            <w:noWrap/>
            <w:vAlign w:val="center"/>
          </w:tcPr>
          <w:p>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600" w:type="dxa"/>
            <w:noWrap/>
            <w:vAlign w:val="center"/>
          </w:tcPr>
          <w:p>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1045" w:type="dxa"/>
            <w:noWrap/>
            <w:vAlign w:val="center"/>
          </w:tcPr>
          <w:p>
            <w:pPr>
              <w:ind w:right="-512" w:rightChars="-244" w:firstLine="211" w:firstLineChars="1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pPr>
              <w:spacing w:line="360" w:lineRule="auto"/>
              <w:ind w:right="-512" w:rightChars="-244"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600" w:type="dxa"/>
            <w:noWrap/>
            <w:vAlign w:val="center"/>
          </w:tcPr>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自</w:t>
            </w:r>
            <w:r>
              <w:rPr>
                <w:rFonts w:hint="eastAsia" w:ascii="宋体" w:hAnsi="宋体" w:eastAsia="宋体" w:cs="宋体"/>
                <w:bCs/>
                <w:color w:val="auto"/>
                <w:szCs w:val="21"/>
                <w:highlight w:val="none"/>
                <w:lang w:val="zh-CN" w:eastAsia="zh-CN"/>
              </w:rPr>
              <w:t>20</w:t>
            </w:r>
            <w:r>
              <w:rPr>
                <w:rFonts w:hint="eastAsia" w:ascii="宋体" w:hAnsi="宋体" w:eastAsia="宋体" w:cs="宋体"/>
                <w:bCs/>
                <w:color w:val="auto"/>
                <w:szCs w:val="21"/>
                <w:highlight w:val="none"/>
                <w:lang w:val="en-US" w:eastAsia="zh-CN"/>
              </w:rPr>
              <w:t>2</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年</w:t>
            </w:r>
            <w:r>
              <w:rPr>
                <w:rFonts w:hint="eastAsia" w:ascii="宋体" w:hAnsi="宋体" w:eastAsia="宋体" w:cs="宋体"/>
                <w:bCs/>
                <w:color w:val="auto"/>
                <w:szCs w:val="21"/>
                <w:highlight w:val="none"/>
                <w:lang w:val="en-US" w:eastAsia="zh-CN"/>
              </w:rPr>
              <w:t>1月1日</w:t>
            </w:r>
            <w:r>
              <w:rPr>
                <w:rFonts w:hint="eastAsia" w:ascii="宋体" w:hAnsi="宋体" w:eastAsia="宋体" w:cs="宋体"/>
                <w:bCs/>
                <w:color w:val="auto"/>
                <w:szCs w:val="21"/>
                <w:highlight w:val="none"/>
                <w:lang w:val="zh-CN" w:eastAsia="zh-CN"/>
              </w:rPr>
              <w:t>以来具有类似项目业绩的得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分，最高得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分。（注：</w:t>
            </w:r>
            <w:r>
              <w:rPr>
                <w:rFonts w:hint="eastAsia" w:ascii="宋体" w:hAnsi="宋体" w:eastAsia="宋体" w:cs="宋体"/>
                <w:color w:val="auto"/>
                <w:szCs w:val="21"/>
                <w:highlight w:val="none"/>
                <w:lang w:val="en-US" w:eastAsia="zh-CN"/>
              </w:rPr>
              <w:t>须提供项目合同</w:t>
            </w:r>
            <w:r>
              <w:rPr>
                <w:rFonts w:hint="eastAsia" w:ascii="宋体" w:hAnsi="宋体" w:cs="宋体"/>
                <w:color w:val="auto"/>
                <w:szCs w:val="21"/>
                <w:highlight w:val="none"/>
                <w:lang w:val="en-US" w:eastAsia="zh-CN"/>
              </w:rPr>
              <w:t>和中标（或成交）通知书</w:t>
            </w:r>
            <w:r>
              <w:rPr>
                <w:rFonts w:hint="eastAsia" w:ascii="宋体" w:hAnsi="宋体" w:eastAsia="宋体" w:cs="宋体"/>
                <w:color w:val="auto"/>
                <w:szCs w:val="21"/>
                <w:highlight w:val="none"/>
                <w:lang w:val="en-US" w:eastAsia="zh-CN"/>
              </w:rPr>
              <w:t>扫描件。</w:t>
            </w:r>
            <w:r>
              <w:rPr>
                <w:rFonts w:hint="eastAsia" w:ascii="宋体" w:hAnsi="宋体" w:eastAsia="宋体" w:cs="宋体"/>
                <w:bCs/>
                <w:color w:val="auto"/>
                <w:szCs w:val="21"/>
                <w:highlight w:val="none"/>
                <w:lang w:val="zh-CN" w:eastAsia="zh-CN"/>
              </w:rPr>
              <w:t>）</w:t>
            </w:r>
          </w:p>
        </w:tc>
        <w:tc>
          <w:tcPr>
            <w:tcW w:w="1045" w:type="dxa"/>
            <w:noWrap/>
            <w:vAlign w:val="center"/>
          </w:tcPr>
          <w:p>
            <w:pPr>
              <w:ind w:right="-512" w:rightChars="-244" w:firstLine="210" w:firstLineChars="100"/>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pPr>
              <w:spacing w:line="360" w:lineRule="auto"/>
              <w:ind w:right="-512" w:rightChars="-244"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管理团队</w:t>
            </w:r>
          </w:p>
        </w:tc>
        <w:tc>
          <w:tcPr>
            <w:tcW w:w="6600" w:type="dxa"/>
            <w:noWrap/>
            <w:vAlign w:val="center"/>
          </w:tcPr>
          <w:p>
            <w:pPr>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投标人拟派项目管理人员具有有效健康证的，每有一人得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分，此项最高</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eastAsia="zh-CN"/>
              </w:rPr>
              <w:t>分。</w:t>
            </w:r>
          </w:p>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投标人拟派项目人员具有厨师证的每有一人得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分，此项最高得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eastAsia="zh-CN"/>
              </w:rPr>
              <w:t>分。</w:t>
            </w:r>
          </w:p>
        </w:tc>
        <w:tc>
          <w:tcPr>
            <w:tcW w:w="1045" w:type="dxa"/>
            <w:noWrap/>
            <w:vAlign w:val="center"/>
          </w:tcPr>
          <w:p>
            <w:pPr>
              <w:ind w:right="-512" w:rightChars="-244"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pPr>
              <w:spacing w:line="360" w:lineRule="auto"/>
              <w:ind w:right="-512" w:rightChars="-244"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服务承诺</w:t>
            </w:r>
          </w:p>
        </w:tc>
        <w:tc>
          <w:tcPr>
            <w:tcW w:w="6600" w:type="dxa"/>
            <w:noWrap/>
            <w:vAlign w:val="center"/>
          </w:tcPr>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承诺内容（包含食品质量保证承诺、中标后对合同履约情况承诺、违约责任承诺等）</w:t>
            </w:r>
            <w:r>
              <w:rPr>
                <w:rFonts w:hint="eastAsia" w:ascii="宋体" w:hAnsi="宋体" w:eastAsia="宋体" w:cs="宋体"/>
                <w:bCs/>
                <w:color w:val="auto"/>
                <w:szCs w:val="21"/>
                <w:highlight w:val="none"/>
                <w:lang w:val="zh-CN" w:eastAsia="zh-CN"/>
              </w:rPr>
              <w:t>有详细描述得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eastAsia="zh-CN"/>
              </w:rPr>
              <w:t>分，有简单描述且不缺项得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分，否则不得分。</w:t>
            </w:r>
          </w:p>
        </w:tc>
        <w:tc>
          <w:tcPr>
            <w:tcW w:w="1045" w:type="dxa"/>
            <w:noWrap/>
            <w:vAlign w:val="center"/>
          </w:tcPr>
          <w:p>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pPr>
              <w:spacing w:line="360" w:lineRule="auto"/>
              <w:ind w:right="-512" w:rightChars="-244"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tc>
        <w:tc>
          <w:tcPr>
            <w:tcW w:w="6600" w:type="dxa"/>
            <w:noWrap/>
            <w:vAlign w:val="center"/>
          </w:tcPr>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1、投标人具有国家认证认可监督管理委员会认可的从业机构出具的有效期内ISO9001质量体系认证证书得2分（如认证证书注明应进行年度监审，须附监审标识或年审报告等有关证明材料）。</w:t>
            </w:r>
          </w:p>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2、投标人具有国家认证认可监督管理委员会认可的从业机构出具的有效期内ISO14001环境管理体系认证证书得2分（如认证证书注明应进行年度监审，须附监审标识或年审报告等有关证明材料）。</w:t>
            </w:r>
          </w:p>
          <w:p>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3、投标人具有国家认证认可监督管理委员会认可的从业机构出具的有效期内ISO45001职业健康安全管理体系认证证书得2分（如认证证书注明应进行年度监审，须附监审标识或年审报告等有关证明材料）。</w:t>
            </w:r>
          </w:p>
        </w:tc>
        <w:tc>
          <w:tcPr>
            <w:tcW w:w="1045" w:type="dxa"/>
            <w:noWrap/>
            <w:vAlign w:val="center"/>
          </w:tcPr>
          <w:p>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85" w:type="dxa"/>
            <w:gridSpan w:val="3"/>
            <w:noWrap/>
            <w:vAlign w:val="center"/>
          </w:tcPr>
          <w:p>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技术部分（满分</w:t>
            </w: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40" w:type="dxa"/>
            <w:noWrap/>
            <w:vAlign w:val="center"/>
          </w:tcPr>
          <w:p>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600" w:type="dxa"/>
            <w:noWrap/>
            <w:vAlign w:val="center"/>
          </w:tcPr>
          <w:p>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1045" w:type="dxa"/>
            <w:noWrap/>
            <w:vAlign w:val="center"/>
          </w:tcPr>
          <w:p>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540" w:type="dxa"/>
            <w:noWrap/>
            <w:vAlign w:val="center"/>
          </w:tcPr>
          <w:p>
            <w:pPr>
              <w:tabs>
                <w:tab w:val="left" w:pos="525"/>
                <w:tab w:val="left" w:pos="105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技术（实施）方案</w:t>
            </w:r>
          </w:p>
        </w:tc>
        <w:tc>
          <w:tcPr>
            <w:tcW w:w="6600" w:type="dxa"/>
            <w:noWrap/>
            <w:vAlign w:val="center"/>
          </w:tcPr>
          <w:p>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b/>
                <w:bCs/>
                <w:color w:val="auto"/>
                <w:highlight w:val="none"/>
                <w:lang w:val="zh-CN" w:eastAsia="zh-CN"/>
              </w:rPr>
              <w:t>1、团队建设方案：</w:t>
            </w:r>
            <w:r>
              <w:rPr>
                <w:rFonts w:hint="eastAsia" w:ascii="宋体" w:hAnsi="宋体" w:eastAsia="宋体" w:cs="宋体"/>
                <w:color w:val="auto"/>
                <w:highlight w:val="none"/>
                <w:lang w:val="zh-CN" w:eastAsia="zh-CN"/>
              </w:rPr>
              <w:t>依据项目采购需求，投标人的厨师团队建设方案精细程度，包括人员配备、组织架构、岗位职责明确等进行评定。描述完整、可行、详细的得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eastAsia="zh-CN"/>
              </w:rPr>
              <w:t>分，不提供不得分。</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val="zh-CN" w:eastAsia="zh-CN"/>
              </w:rPr>
              <w:t>后厨管理方案：</w:t>
            </w:r>
            <w:r>
              <w:rPr>
                <w:rFonts w:hint="eastAsia" w:ascii="宋体" w:hAnsi="宋体" w:eastAsia="宋体" w:cs="宋体"/>
                <w:color w:val="auto"/>
                <w:highlight w:val="none"/>
                <w:lang w:val="zh-CN" w:eastAsia="zh-CN"/>
              </w:rPr>
              <w:t>依据项目采购需求，投标人的后厨管理方案精细程度，包括食品存储与前期处理、工具及餐具管理、人员配备、管理制度、有高于项目需求等进行综合评定。描述完整、可行、详细的得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b/>
                <w:bCs/>
                <w:color w:val="auto"/>
                <w:highlight w:val="none"/>
                <w:lang w:val="zh-CN" w:eastAsia="zh-CN"/>
              </w:rPr>
              <w:t>3、饮食质量保障方案：</w:t>
            </w:r>
            <w:r>
              <w:rPr>
                <w:rFonts w:hint="eastAsia" w:ascii="宋体" w:hAnsi="宋体" w:eastAsia="宋体" w:cs="宋体"/>
                <w:color w:val="auto"/>
                <w:highlight w:val="none"/>
                <w:lang w:val="zh-CN" w:eastAsia="zh-CN"/>
              </w:rPr>
              <w:t>依据项目采购需求，投标人的饮食质量保障方案精细程度，包括食品营养与健康方案、食品花样品种齐全、能满足不同人群的饮食需求、有高于项目需求等进行综合评定。描述完整、可行、详细的得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pPr>
              <w:numPr>
                <w:ilvl w:val="0"/>
                <w:numId w:val="0"/>
              </w:numPr>
              <w:spacing w:line="360" w:lineRule="auto"/>
              <w:rPr>
                <w:rFonts w:hint="default" w:ascii="宋体" w:hAnsi="宋体" w:eastAsia="宋体" w:cs="宋体"/>
                <w:color w:val="auto"/>
                <w:highlight w:val="none"/>
                <w:lang w:val="en-US" w:eastAsia="zh-CN"/>
              </w:rPr>
            </w:pPr>
            <w:r>
              <w:rPr>
                <w:rFonts w:hint="default" w:ascii="宋体" w:hAnsi="宋体" w:eastAsia="宋体" w:cs="宋体"/>
                <w:b/>
                <w:bCs/>
                <w:color w:val="auto"/>
                <w:highlight w:val="none"/>
                <w:lang w:val="en-US" w:eastAsia="zh-CN"/>
              </w:rPr>
              <w:t>4、</w:t>
            </w:r>
            <w:r>
              <w:rPr>
                <w:rFonts w:hint="eastAsia" w:ascii="宋体" w:hAnsi="宋体" w:eastAsia="宋体" w:cs="宋体"/>
                <w:b/>
                <w:bCs/>
                <w:color w:val="auto"/>
                <w:highlight w:val="none"/>
                <w:lang w:val="zh-CN" w:eastAsia="zh-CN"/>
              </w:rPr>
              <w:t>卫生保障方案：</w:t>
            </w:r>
            <w:r>
              <w:rPr>
                <w:rFonts w:hint="eastAsia" w:ascii="宋体" w:hAnsi="宋体" w:eastAsia="宋体" w:cs="宋体"/>
                <w:color w:val="auto"/>
                <w:highlight w:val="none"/>
                <w:lang w:val="zh-CN" w:eastAsia="zh-CN"/>
              </w:rPr>
              <w:t>依据项目采购需求，投标人的卫生保障方案精细程度，包括食品卫生制度、从业人员卫生制度、执行方案、监督机制健全等进行综合评定。描述完整、可行、详细的得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b/>
                <w:bCs/>
                <w:color w:val="auto"/>
                <w:highlight w:val="none"/>
                <w:lang w:val="zh-CN" w:eastAsia="zh-CN"/>
              </w:rPr>
              <w:t>5、</w:t>
            </w:r>
            <w:r>
              <w:rPr>
                <w:rFonts w:hint="eastAsia" w:ascii="宋体" w:hAnsi="宋体" w:eastAsia="宋体" w:cs="宋体"/>
                <w:b/>
                <w:bCs/>
                <w:color w:val="auto"/>
                <w:highlight w:val="none"/>
                <w:lang w:val="en-US" w:eastAsia="zh-CN"/>
              </w:rPr>
              <w:t>应急响应方案：</w:t>
            </w:r>
            <w:r>
              <w:rPr>
                <w:rFonts w:hint="eastAsia" w:ascii="宋体" w:hAnsi="宋体" w:eastAsia="宋体" w:cs="宋体"/>
                <w:color w:val="auto"/>
                <w:highlight w:val="none"/>
                <w:lang w:val="zh-CN" w:eastAsia="zh-CN"/>
              </w:rPr>
              <w:t>依据项目采购需求，投标人的应急响应方案精细程度，包括停水、停电、停气、火灾、自然灾害、流行性疾病等突发事件进行综合评定。描述完整、可行、详细的得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pPr>
              <w:numPr>
                <w:ilvl w:val="0"/>
                <w:numId w:val="0"/>
              </w:numPr>
              <w:spacing w:line="360" w:lineRule="auto"/>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lang w:val="zh-CN" w:eastAsia="zh-CN"/>
              </w:rPr>
              <w:t>投诉处理方案：</w:t>
            </w:r>
            <w:r>
              <w:rPr>
                <w:rFonts w:hint="eastAsia" w:ascii="宋体" w:hAnsi="宋体" w:eastAsia="宋体" w:cs="宋体"/>
                <w:color w:val="auto"/>
                <w:highlight w:val="none"/>
                <w:lang w:val="zh-CN" w:eastAsia="zh-CN"/>
              </w:rPr>
              <w:t>依据项目采购需求，投标人的投诉处理方案精细程度，包括食品、服务、卫生等进行综合评定。描述完整、可行、详细的得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tc>
        <w:tc>
          <w:tcPr>
            <w:tcW w:w="1045" w:type="dxa"/>
            <w:noWrap/>
            <w:vAlign w:val="center"/>
          </w:tcPr>
          <w:p>
            <w:pPr>
              <w:spacing w:line="360" w:lineRule="auto"/>
              <w:jc w:val="center"/>
              <w:rPr>
                <w:rFonts w:hint="eastAsia" w:ascii="宋体" w:hAnsi="宋体" w:eastAsia="宋体" w:cs="宋体"/>
                <w:color w:val="auto"/>
                <w:sz w:val="21"/>
                <w:szCs w:val="21"/>
                <w:highlight w:val="none"/>
              </w:rPr>
            </w:pPr>
          </w:p>
          <w:p>
            <w:pPr>
              <w:pStyle w:val="35"/>
              <w:rPr>
                <w:rFonts w:hint="eastAsia" w:ascii="宋体" w:hAnsi="宋体" w:eastAsia="宋体" w:cs="宋体"/>
                <w:color w:val="auto"/>
                <w:sz w:val="21"/>
                <w:szCs w:val="21"/>
                <w:highlight w:val="none"/>
              </w:rPr>
            </w:pPr>
          </w:p>
          <w:p>
            <w:pPr>
              <w:pStyle w:val="36"/>
              <w:ind w:left="0" w:lef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50分</w:t>
            </w:r>
          </w:p>
          <w:p>
            <w:pPr>
              <w:pStyle w:val="36"/>
              <w:rPr>
                <w:rFonts w:hint="eastAsia" w:ascii="宋体" w:hAnsi="宋体" w:eastAsia="宋体" w:cs="宋体"/>
                <w:color w:val="auto"/>
                <w:sz w:val="21"/>
                <w:szCs w:val="21"/>
                <w:highlight w:val="none"/>
              </w:rPr>
            </w:pPr>
          </w:p>
        </w:tc>
      </w:tr>
    </w:tbl>
    <w:p>
      <w:pPr>
        <w:pStyle w:val="22"/>
        <w:spacing w:line="440" w:lineRule="exact"/>
        <w:ind w:firstLine="211" w:firstLineChars="100"/>
        <w:contextualSpacing/>
        <w:rPr>
          <w:rFonts w:ascii="宋体" w:hAnsi="宋体" w:cs="宋体"/>
          <w:color w:val="auto"/>
          <w:highlight w:val="none"/>
          <w:lang w:val="zh-CN"/>
        </w:rPr>
      </w:pPr>
      <w:r>
        <w:rPr>
          <w:rFonts w:hint="eastAsia" w:ascii="宋体" w:hAnsi="宋体" w:cs="宋体"/>
          <w:b/>
          <w:color w:val="auto"/>
          <w:highlight w:val="none"/>
          <w:lang w:val="zh-CN"/>
        </w:rPr>
        <w:t>（</w:t>
      </w:r>
      <w:r>
        <w:rPr>
          <w:rFonts w:hint="eastAsia" w:ascii="宋体" w:hAnsi="宋体" w:cs="宋体"/>
          <w:b/>
          <w:color w:val="auto"/>
          <w:highlight w:val="none"/>
        </w:rPr>
        <w:t>8</w:t>
      </w:r>
      <w:r>
        <w:rPr>
          <w:rFonts w:hint="eastAsia" w:ascii="宋体" w:hAnsi="宋体" w:cs="宋体"/>
          <w:b/>
          <w:color w:val="auto"/>
          <w:highlight w:val="none"/>
          <w:lang w:val="zh-CN"/>
        </w:rPr>
        <w:t>）评标结果汇总完成后，除下列情形外，任何人不得修改评标结果：</w:t>
      </w:r>
    </w:p>
    <w:p>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1） 分值汇总计算错误的；</w:t>
      </w:r>
    </w:p>
    <w:p>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2） 分项评分超出评分标准范围的；</w:t>
      </w:r>
    </w:p>
    <w:p>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3） 磋商小组成员对客观评审因素评分不一致的；</w:t>
      </w:r>
    </w:p>
    <w:p>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4） 经磋商小组认定评分畸高、畸低的。</w:t>
      </w:r>
    </w:p>
    <w:p>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评标报告签署前，经复核发现存在以上情形之一的，磋商小组应当当场修</w:t>
      </w:r>
      <w:r>
        <w:rPr>
          <w:rFonts w:hint="eastAsia" w:ascii="宋体" w:hAnsi="宋体" w:cs="宋体"/>
          <w:color w:val="auto"/>
          <w:szCs w:val="21"/>
          <w:highlight w:val="none"/>
          <w:lang w:val="zh-CN"/>
        </w:rPr>
        <w:t>改评标结</w:t>
      </w:r>
      <w:r>
        <w:rPr>
          <w:rFonts w:hint="eastAsia" w:ascii="宋体" w:hAnsi="宋体" w:cs="宋体"/>
          <w:bCs/>
          <w:color w:val="auto"/>
          <w:szCs w:val="21"/>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pPr>
        <w:spacing w:line="440" w:lineRule="exact"/>
        <w:ind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供应商对本条第一款情形提出质疑的，采购人或者采购代理机构可以组织原磋商小组进行重新评审，重新评审改变评标结果的，应当书面报告本级财政部门。</w:t>
      </w:r>
    </w:p>
    <w:p>
      <w:pPr>
        <w:widowControl/>
        <w:spacing w:line="440" w:lineRule="exact"/>
        <w:ind w:firstLine="422" w:firstLineChars="200"/>
        <w:jc w:val="left"/>
        <w:rPr>
          <w:rFonts w:ascii="宋体" w:hAnsi="宋体" w:cs="宋体"/>
          <w:b/>
          <w:color w:val="auto"/>
          <w:szCs w:val="21"/>
          <w:highlight w:val="none"/>
          <w:lang w:val="en-GB"/>
        </w:rPr>
      </w:pPr>
      <w:r>
        <w:rPr>
          <w:rFonts w:hint="eastAsia" w:ascii="宋体" w:hAnsi="宋体" w:cs="宋体"/>
          <w:b/>
          <w:color w:val="auto"/>
          <w:szCs w:val="21"/>
          <w:highlight w:val="none"/>
        </w:rPr>
        <w:t xml:space="preserve">（9） </w:t>
      </w:r>
      <w:r>
        <w:rPr>
          <w:rFonts w:hint="eastAsia" w:ascii="宋体" w:hAnsi="宋体" w:cs="宋体"/>
          <w:b/>
          <w:color w:val="auto"/>
          <w:szCs w:val="21"/>
          <w:highlight w:val="none"/>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440" w:lineRule="exact"/>
        <w:ind w:firstLine="422" w:firstLineChars="200"/>
        <w:jc w:val="left"/>
        <w:rPr>
          <w:rFonts w:ascii="宋体" w:hAnsi="宋体" w:cs="宋体"/>
          <w:b/>
          <w:color w:val="auto"/>
          <w:szCs w:val="21"/>
          <w:highlight w:val="none"/>
          <w:lang w:val="en-GB"/>
        </w:rPr>
      </w:pPr>
      <w:r>
        <w:rPr>
          <w:rFonts w:hint="eastAsia" w:ascii="宋体" w:hAnsi="宋体" w:cs="宋体"/>
          <w:b/>
          <w:color w:val="auto"/>
          <w:szCs w:val="21"/>
          <w:highlight w:val="none"/>
        </w:rPr>
        <w:t xml:space="preserve">（10）推荐成交候选供应商 </w:t>
      </w:r>
    </w:p>
    <w:p>
      <w:pPr>
        <w:tabs>
          <w:tab w:val="left" w:pos="1260"/>
        </w:tabs>
        <w:autoSpaceDE w:val="0"/>
        <w:autoSpaceDN w:val="0"/>
        <w:spacing w:line="440" w:lineRule="exact"/>
        <w:ind w:firstLine="420" w:firstLineChars="200"/>
        <w:contextualSpacing/>
        <w:rPr>
          <w:rFonts w:ascii="宋体" w:hAnsi="宋体" w:cs="宋体"/>
          <w:b/>
          <w:color w:val="auto"/>
          <w:szCs w:val="21"/>
          <w:highlight w:val="none"/>
          <w:lang w:val="zh-CN"/>
        </w:rPr>
      </w:pPr>
      <w:r>
        <w:rPr>
          <w:rFonts w:hint="eastAsia" w:ascii="宋体" w:hAnsi="宋体" w:cs="宋体"/>
          <w:bCs/>
          <w:color w:val="auto"/>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40" w:lineRule="exact"/>
        <w:ind w:right="-512" w:rightChars="-244" w:firstLine="422" w:firstLineChars="200"/>
        <w:contextualSpacing/>
        <w:rPr>
          <w:rFonts w:ascii="宋体" w:hAnsi="宋体" w:cs="宋体"/>
          <w:color w:val="auto"/>
          <w:spacing w:val="-4"/>
          <w:szCs w:val="21"/>
          <w:highlight w:val="none"/>
          <w:lang w:val="zh-CN"/>
        </w:rPr>
      </w:pPr>
      <w:r>
        <w:rPr>
          <w:rFonts w:hint="eastAsia" w:ascii="宋体" w:hAnsi="宋体" w:cs="宋体"/>
          <w:b/>
          <w:color w:val="auto"/>
          <w:szCs w:val="21"/>
          <w:highlight w:val="none"/>
          <w:lang w:val="zh-CN"/>
        </w:rPr>
        <w:t>（</w:t>
      </w:r>
      <w:r>
        <w:rPr>
          <w:rFonts w:hint="eastAsia" w:ascii="宋体" w:hAnsi="宋体" w:cs="宋体"/>
          <w:b/>
          <w:color w:val="auto"/>
          <w:szCs w:val="21"/>
          <w:highlight w:val="none"/>
        </w:rPr>
        <w:t>11</w:t>
      </w:r>
      <w:r>
        <w:rPr>
          <w:rFonts w:hint="eastAsia" w:ascii="宋体" w:hAnsi="宋体" w:cs="宋体"/>
          <w:b/>
          <w:color w:val="auto"/>
          <w:szCs w:val="21"/>
          <w:highlight w:val="none"/>
          <w:lang w:val="zh-CN"/>
        </w:rPr>
        <w:t>）磋商小组争议处理</w:t>
      </w:r>
    </w:p>
    <w:p>
      <w:pPr>
        <w:spacing w:line="440" w:lineRule="exact"/>
        <w:ind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color w:val="auto"/>
          <w:szCs w:val="21"/>
          <w:highlight w:val="none"/>
          <w:lang w:val="en-GB"/>
        </w:rPr>
        <w:t>。</w:t>
      </w:r>
    </w:p>
    <w:p>
      <w:pPr>
        <w:pStyle w:val="22"/>
        <w:spacing w:line="440" w:lineRule="exact"/>
        <w:ind w:firstLine="422" w:firstLineChars="200"/>
        <w:contextualSpacing/>
        <w:rPr>
          <w:rFonts w:hint="eastAsia" w:ascii="宋体" w:hAnsi="宋体" w:eastAsia="宋体" w:cs="宋体"/>
          <w:b/>
          <w:color w:val="auto"/>
          <w:sz w:val="24"/>
          <w:szCs w:val="24"/>
          <w:highlight w:val="none"/>
          <w:lang w:val="zh-CN"/>
        </w:rPr>
      </w:pPr>
      <w:r>
        <w:rPr>
          <w:rFonts w:hint="eastAsia" w:ascii="宋体" w:hAnsi="宋体" w:cs="宋体"/>
          <w:b/>
          <w:color w:val="auto"/>
          <w:highlight w:val="none"/>
          <w:lang w:val="zh-CN"/>
        </w:rPr>
        <w:t>4、确定中标候选人名单，以及根据采购人委托直接确定中标人。</w:t>
      </w:r>
    </w:p>
    <w:p>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第七章   合同条款及格式</w:t>
      </w: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最终签定合同的主要条款不能与招标文件有冲突）</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 定义</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合同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合同价格</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系指根据合同规定，在乙方全面正确地履行合同义务时应支付给乙方的款项。</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系指通过招标方式，接受合同服务的采购人</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系指中标后提供合同服务的</w:t>
      </w:r>
      <w:r>
        <w:rPr>
          <w:rFonts w:hint="eastAsia" w:ascii="宋体" w:hAnsi="宋体" w:eastAsia="宋体" w:cs="宋体"/>
          <w:bCs/>
          <w:color w:val="auto"/>
          <w:szCs w:val="21"/>
          <w:highlight w:val="none"/>
          <w:lang w:val="zh-CN"/>
        </w:rPr>
        <w:t>中标方</w:t>
      </w:r>
      <w:r>
        <w:rPr>
          <w:rFonts w:hint="eastAsia" w:ascii="宋体" w:hAnsi="宋体" w:eastAsia="宋体" w:cs="宋体"/>
          <w:color w:val="auto"/>
          <w:szCs w:val="21"/>
          <w:highlight w:val="none"/>
          <w:lang w:val="zh-CN"/>
        </w:rPr>
        <w:t>或供应商。</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2.适用范围</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本合同条款仅适用于本次招标活动。</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3.技术规格和标准</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本合同项下所提供货物设备和服务应与本招标文件规定的标准相一致。</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4.合同期限</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即自</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 日起至</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日止。</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5.价格</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6.索赔</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7.不可抗力</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8.履约保证金</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8.1履约保证金的有效期至供货完毕且验收合格。</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8.4如果乙方未能按合同规定履行其义务，甲方有权从履约保证金取得补偿。</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9.争议的解决</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9.4 仲裁裁决应为最终决定，并对双方具有约束力。</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9.5 除另有裁决外，仲裁费应由败诉方负担。</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9.6 在仲裁期间，除正在进行的仲裁部分外，合同其他部分继续执行。</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10.合同终止</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10.2 出现下列情况时合同自动终止：</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10.2.1发生不可抗力时。</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11.合同修改</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12.适用法律</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本合同应按中华人民共和国的法律解释。</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13.主导语言与计量单位</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 合同书写应用中文书写。甲乙双方及相关部门各执一份，具有同等法律效力。</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13.2 除技术规格另有规定外，计量单位均使用中华人民共和国法定计量单位。</w:t>
      </w:r>
    </w:p>
    <w:p>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14.合同生效</w:t>
      </w:r>
    </w:p>
    <w:p>
      <w:pPr>
        <w:wordWrap w:val="0"/>
        <w:topLinePunct/>
        <w:autoSpaceDE w:val="0"/>
        <w:autoSpaceDN w:val="0"/>
        <w:adjustRightInd w:val="0"/>
        <w:snapToGri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除非合同中另有说明，本合同经双方签字盖章，并在招标人收到乙方的履约保证金后，即开始生效。</w:t>
      </w:r>
    </w:p>
    <w:p>
      <w:pPr>
        <w:pStyle w:val="22"/>
        <w:spacing w:line="360" w:lineRule="auto"/>
        <w:contextualSpacing/>
        <w:rPr>
          <w:rFonts w:hint="eastAsia" w:ascii="宋体" w:hAnsi="宋体" w:eastAsia="宋体" w:cs="宋体"/>
          <w:b/>
          <w:bCs/>
          <w:color w:val="auto"/>
          <w:kern w:val="0"/>
          <w:sz w:val="24"/>
          <w:szCs w:val="24"/>
          <w:highlight w:val="none"/>
        </w:rPr>
      </w:pPr>
    </w:p>
    <w:p>
      <w:pPr>
        <w:autoSpaceDE w:val="0"/>
        <w:autoSpaceDN w:val="0"/>
        <w:adjustRightInd w:val="0"/>
        <w:spacing w:line="360" w:lineRule="auto"/>
        <w:contextualSpacing/>
        <w:jc w:val="center"/>
        <w:rPr>
          <w:rFonts w:hint="eastAsia" w:ascii="宋体" w:hAnsi="宋体" w:eastAsia="宋体" w:cs="宋体"/>
          <w:b/>
          <w:bCs/>
          <w:color w:val="auto"/>
          <w:kern w:val="0"/>
          <w:sz w:val="24"/>
          <w:szCs w:val="24"/>
          <w:highlight w:val="none"/>
        </w:rPr>
      </w:pPr>
    </w:p>
    <w:p>
      <w:pPr>
        <w:autoSpaceDE w:val="0"/>
        <w:autoSpaceDN w:val="0"/>
        <w:adjustRightInd w:val="0"/>
        <w:spacing w:line="360" w:lineRule="auto"/>
        <w:contextualSpacing/>
        <w:jc w:val="center"/>
        <w:rPr>
          <w:rFonts w:hint="eastAsia" w:ascii="宋体" w:hAnsi="宋体" w:eastAsia="宋体" w:cs="宋体"/>
          <w:b/>
          <w:bCs/>
          <w:color w:val="auto"/>
          <w:kern w:val="0"/>
          <w:sz w:val="24"/>
          <w:szCs w:val="24"/>
          <w:highlight w:val="none"/>
        </w:rPr>
      </w:pPr>
    </w:p>
    <w:p>
      <w:pPr>
        <w:autoSpaceDE w:val="0"/>
        <w:autoSpaceDN w:val="0"/>
        <w:adjustRightInd w:val="0"/>
        <w:spacing w:line="360" w:lineRule="auto"/>
        <w:contextualSpacing/>
        <w:jc w:val="center"/>
        <w:rPr>
          <w:rFonts w:hint="eastAsia" w:ascii="宋体" w:hAnsi="宋体" w:eastAsia="宋体" w:cs="宋体"/>
          <w:b/>
          <w:bCs/>
          <w:color w:val="auto"/>
          <w:kern w:val="0"/>
          <w:sz w:val="24"/>
          <w:szCs w:val="24"/>
          <w:highlight w:val="none"/>
        </w:rPr>
      </w:pPr>
    </w:p>
    <w:p>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第八章   投标文件有关格式</w:t>
      </w: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zh-CN"/>
        </w:rPr>
        <w:t>投标文件封面格式</w:t>
      </w:r>
    </w:p>
    <w:p>
      <w:pPr>
        <w:autoSpaceDE w:val="0"/>
        <w:autoSpaceDN w:val="0"/>
        <w:adjustRightInd w:val="0"/>
        <w:spacing w:line="360" w:lineRule="auto"/>
        <w:rPr>
          <w:rFonts w:hint="eastAsia" w:ascii="宋体" w:hAnsi="宋体" w:eastAsia="宋体" w:cs="宋体"/>
          <w:b/>
          <w:bCs/>
          <w:color w:val="auto"/>
          <w:sz w:val="24"/>
          <w:szCs w:val="24"/>
          <w:highlight w:val="none"/>
          <w:lang w:val="zh-CN"/>
        </w:rPr>
      </w:pPr>
    </w:p>
    <w:p>
      <w:pPr>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36"/>
          <w:szCs w:val="36"/>
          <w:highlight w:val="none"/>
          <w:u w:val="single"/>
        </w:rPr>
        <w:t xml:space="preserve">                        （项目名称）</w:t>
      </w:r>
    </w:p>
    <w:p>
      <w:pPr>
        <w:pStyle w:val="18"/>
        <w:jc w:val="center"/>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响 应 文 件</w:t>
      </w:r>
    </w:p>
    <w:p>
      <w:pPr>
        <w:spacing w:line="380" w:lineRule="exact"/>
        <w:jc w:val="center"/>
        <w:rPr>
          <w:rFonts w:hint="eastAsia" w:ascii="宋体" w:hAnsi="宋体" w:eastAsia="宋体" w:cs="宋体"/>
          <w:color w:val="auto"/>
          <w:sz w:val="24"/>
          <w:highlight w:val="none"/>
        </w:rPr>
      </w:pPr>
    </w:p>
    <w:p>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spacing w:line="480" w:lineRule="auto"/>
        <w:ind w:firstLine="560" w:firstLineChars="200"/>
        <w:rPr>
          <w:rFonts w:hint="eastAsia" w:ascii="宋体" w:hAnsi="宋体" w:eastAsia="宋体" w:cs="宋体"/>
          <w:color w:val="auto"/>
          <w:sz w:val="24"/>
          <w:highlight w:val="none"/>
          <w:u w:val="single"/>
        </w:rPr>
      </w:pPr>
      <w:bookmarkStart w:id="33" w:name="_Toc27760_WPSOffice_Level1"/>
      <w:bookmarkStart w:id="34" w:name="_Toc7428_WPSOffice_Level1"/>
      <w:r>
        <w:rPr>
          <w:rFonts w:hint="eastAsia" w:ascii="宋体" w:hAnsi="宋体" w:eastAsia="宋体" w:cs="宋体"/>
          <w:color w:val="auto"/>
          <w:sz w:val="28"/>
          <w:szCs w:val="28"/>
          <w:highlight w:val="none"/>
        </w:rPr>
        <w:t>供应商名称（全称并加盖公章）：</w:t>
      </w:r>
      <w:bookmarkEnd w:id="33"/>
      <w:bookmarkEnd w:id="34"/>
    </w:p>
    <w:p>
      <w:pPr>
        <w:spacing w:line="480" w:lineRule="auto"/>
        <w:ind w:firstLine="560" w:firstLineChars="200"/>
        <w:rPr>
          <w:rFonts w:hint="eastAsia" w:ascii="宋体" w:hAnsi="宋体" w:eastAsia="宋体" w:cs="宋体"/>
          <w:b/>
          <w:bCs/>
          <w:color w:val="auto"/>
          <w:sz w:val="28"/>
          <w:szCs w:val="28"/>
          <w:highlight w:val="none"/>
        </w:rPr>
      </w:pPr>
      <w:bookmarkStart w:id="35" w:name="_Toc4840_WPSOffice_Level1"/>
      <w:bookmarkStart w:id="36" w:name="_Toc28157_WPSOffice_Level1"/>
      <w:r>
        <w:rPr>
          <w:rFonts w:hint="eastAsia" w:ascii="宋体" w:hAnsi="宋体" w:eastAsia="宋体" w:cs="宋体"/>
          <w:color w:val="auto"/>
          <w:sz w:val="28"/>
          <w:szCs w:val="28"/>
          <w:highlight w:val="none"/>
        </w:rPr>
        <w:t>法定代表人或委托代理人（签字或盖章）：</w:t>
      </w:r>
      <w:bookmarkEnd w:id="35"/>
      <w:bookmarkEnd w:id="36"/>
    </w:p>
    <w:p>
      <w:pPr>
        <w:spacing w:line="480" w:lineRule="auto"/>
        <w:ind w:firstLine="560" w:firstLineChars="200"/>
        <w:rPr>
          <w:rFonts w:hint="eastAsia" w:ascii="宋体" w:hAnsi="宋体" w:eastAsia="宋体" w:cs="宋体"/>
          <w:color w:val="auto"/>
          <w:sz w:val="24"/>
          <w:highlight w:val="none"/>
        </w:rPr>
      </w:pPr>
      <w:bookmarkStart w:id="37" w:name="_Toc2311_WPSOffice_Level1"/>
      <w:bookmarkStart w:id="38" w:name="_Toc15640_WPSOffice_Level1"/>
      <w:r>
        <w:rPr>
          <w:rFonts w:hint="eastAsia" w:ascii="宋体" w:hAnsi="宋体" w:eastAsia="宋体" w:cs="宋体"/>
          <w:color w:val="auto"/>
          <w:sz w:val="28"/>
          <w:szCs w:val="28"/>
          <w:highlight w:val="none"/>
        </w:rPr>
        <w:t>日    期： 年 月 日</w:t>
      </w:r>
      <w:bookmarkEnd w:id="37"/>
      <w:bookmarkEnd w:id="38"/>
    </w:p>
    <w:p>
      <w:pPr>
        <w:autoSpaceDE w:val="0"/>
        <w:autoSpaceDN w:val="0"/>
        <w:adjustRightInd w:val="0"/>
        <w:spacing w:line="360" w:lineRule="auto"/>
        <w:rPr>
          <w:rFonts w:hint="eastAsia" w:ascii="宋体" w:hAnsi="宋体" w:eastAsia="宋体" w:cs="宋体"/>
          <w:b/>
          <w:bCs/>
          <w:color w:val="auto"/>
          <w:sz w:val="24"/>
          <w:szCs w:val="24"/>
          <w:highlight w:val="none"/>
          <w:lang w:val="zh-CN"/>
        </w:rPr>
      </w:pPr>
    </w:p>
    <w:p>
      <w:pPr>
        <w:rPr>
          <w:rFonts w:hint="eastAsia" w:ascii="宋体" w:hAnsi="宋体" w:eastAsia="宋体" w:cs="宋体"/>
          <w:color w:val="auto"/>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zh-CN"/>
        </w:rPr>
        <w:t>一览表</w:t>
      </w:r>
    </w:p>
    <w:p>
      <w:pPr>
        <w:pStyle w:val="22"/>
        <w:spacing w:line="360" w:lineRule="auto"/>
        <w:jc w:val="center"/>
        <w:rPr>
          <w:rFonts w:hint="eastAsia" w:ascii="宋体" w:hAnsi="宋体" w:eastAsia="宋体" w:cs="宋体"/>
          <w:b/>
          <w:bCs/>
          <w:color w:val="auto"/>
          <w:kern w:val="0"/>
          <w:sz w:val="24"/>
          <w:szCs w:val="24"/>
          <w:highlight w:val="none"/>
        </w:rPr>
      </w:pPr>
    </w:p>
    <w:p>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 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spacing w:line="360" w:lineRule="auto"/>
        <w:contextualSpacing/>
        <w:rPr>
          <w:rFonts w:hint="eastAsia" w:ascii="宋体" w:hAnsi="宋体" w:eastAsia="宋体" w:cs="宋体"/>
          <w:color w:val="auto"/>
          <w:sz w:val="24"/>
          <w:szCs w:val="24"/>
          <w:highlight w:val="none"/>
        </w:rPr>
      </w:pPr>
    </w:p>
    <w:p>
      <w:pPr>
        <w:autoSpaceDE w:val="0"/>
        <w:autoSpaceDN w:val="0"/>
        <w:adjustRightInd w:val="0"/>
        <w:spacing w:line="480" w:lineRule="auto"/>
        <w:ind w:right="-512" w:rightChars="-24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u w:val="single"/>
          <w:lang w:val="zh-CN"/>
        </w:rPr>
        <w:t xml:space="preserve">     （全称）   </w:t>
      </w:r>
      <w:r>
        <w:rPr>
          <w:rFonts w:hint="eastAsia" w:ascii="宋体" w:hAnsi="宋体" w:eastAsia="宋体" w:cs="宋体"/>
          <w:color w:val="auto"/>
          <w:szCs w:val="21"/>
          <w:highlight w:val="none"/>
          <w:lang w:val="zh-CN"/>
        </w:rPr>
        <w:t>（公章）：</w:t>
      </w:r>
    </w:p>
    <w:p>
      <w:pPr>
        <w:autoSpaceDE w:val="0"/>
        <w:autoSpaceDN w:val="0"/>
        <w:adjustRightInd w:val="0"/>
        <w:spacing w:line="480" w:lineRule="auto"/>
        <w:ind w:right="-512" w:rightChars="-24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供应商法定代表人（单位负责人）或授权代表（签字或盖章）：</w:t>
      </w:r>
    </w:p>
    <w:p>
      <w:pPr>
        <w:autoSpaceDE w:val="0"/>
        <w:autoSpaceDN w:val="0"/>
        <w:adjustRightInd w:val="0"/>
        <w:spacing w:line="480" w:lineRule="auto"/>
        <w:ind w:right="-512" w:rightChars="-24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日期：   年   月   日</w:t>
      </w:r>
    </w:p>
    <w:p>
      <w:pPr>
        <w:autoSpaceDE w:val="0"/>
        <w:autoSpaceDN w:val="0"/>
        <w:adjustRightInd w:val="0"/>
        <w:spacing w:line="360" w:lineRule="auto"/>
        <w:ind w:right="-512" w:rightChars="-244"/>
        <w:rPr>
          <w:rFonts w:hint="eastAsia" w:ascii="宋体" w:hAnsi="宋体" w:eastAsia="宋体" w:cs="宋体"/>
          <w:color w:val="auto"/>
          <w:szCs w:val="21"/>
          <w:highlight w:val="none"/>
          <w:lang w:val="zh-CN"/>
        </w:rPr>
      </w:pPr>
    </w:p>
    <w:p>
      <w:pPr>
        <w:spacing w:line="48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注：1、合同履行期限指完成该项目的最终时间（日历天）。</w:t>
      </w:r>
    </w:p>
    <w:p>
      <w:pPr>
        <w:spacing w:line="48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2、如招标公告明确合同履行期限以年为单位，本表应填写完成该项目的年限。</w:t>
      </w:r>
    </w:p>
    <w:p>
      <w:pPr>
        <w:rPr>
          <w:rFonts w:hint="eastAsia" w:ascii="宋体" w:hAnsi="宋体" w:eastAsia="宋体" w:cs="宋体"/>
          <w:color w:val="auto"/>
          <w:sz w:val="24"/>
          <w:szCs w:val="24"/>
          <w:highlight w:val="none"/>
          <w:lang w:val="zh-CN"/>
        </w:rPr>
      </w:pPr>
    </w:p>
    <w:p>
      <w:pPr>
        <w:pStyle w:val="3"/>
        <w:rPr>
          <w:rFonts w:hint="eastAsia" w:ascii="宋体" w:hAnsi="宋体" w:eastAsia="宋体" w:cs="宋体"/>
          <w:color w:val="auto"/>
          <w:sz w:val="24"/>
          <w:szCs w:val="24"/>
          <w:highlight w:val="none"/>
          <w:lang w:val="zh-CN"/>
        </w:rPr>
      </w:pPr>
    </w:p>
    <w:p>
      <w:pP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pStyle w:val="18"/>
        <w:rPr>
          <w:rFonts w:hint="eastAsia" w:ascii="宋体" w:hAnsi="宋体" w:eastAsia="宋体" w:cs="宋体"/>
          <w:color w:val="auto"/>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、资格审查证明材料</w:t>
      </w:r>
    </w:p>
    <w:p>
      <w:pPr>
        <w:pStyle w:val="22"/>
        <w:spacing w:line="36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3.1 投 标 函</w:t>
      </w:r>
    </w:p>
    <w:p>
      <w:pPr>
        <w:adjustRightInd w:val="0"/>
        <w:spacing w:line="360" w:lineRule="auto"/>
        <w:contextualSpacing/>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b/>
          <w:snapToGrid w:val="0"/>
          <w:color w:val="auto"/>
          <w:kern w:val="0"/>
          <w:szCs w:val="21"/>
          <w:highlight w:val="none"/>
          <w:u w:val="single"/>
        </w:rPr>
        <w:t>（采购人）</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根据贵方</w:t>
      </w:r>
      <w:r>
        <w:rPr>
          <w:rFonts w:hint="eastAsia" w:ascii="宋体" w:hAnsi="宋体" w:eastAsia="宋体" w:cs="宋体"/>
          <w:snapToGrid w:val="0"/>
          <w:color w:val="auto"/>
          <w:kern w:val="0"/>
          <w:szCs w:val="21"/>
          <w:highlight w:val="none"/>
          <w:u w:val="single"/>
        </w:rPr>
        <w:t xml:space="preserve">     （项目名称、项目编号）</w:t>
      </w:r>
      <w:r>
        <w:rPr>
          <w:rFonts w:hint="eastAsia" w:ascii="宋体" w:hAnsi="宋体" w:eastAsia="宋体" w:cs="宋体"/>
          <w:snapToGrid w:val="0"/>
          <w:color w:val="auto"/>
          <w:kern w:val="0"/>
          <w:szCs w:val="21"/>
          <w:highlight w:val="none"/>
        </w:rPr>
        <w:t>采购的招标公告及投标邀请，</w:t>
      </w:r>
      <w:r>
        <w:rPr>
          <w:rFonts w:hint="eastAsia" w:ascii="宋体" w:hAnsi="宋体" w:eastAsia="宋体" w:cs="宋体"/>
          <w:snapToGrid w:val="0"/>
          <w:color w:val="auto"/>
          <w:kern w:val="0"/>
          <w:szCs w:val="21"/>
          <w:highlight w:val="none"/>
          <w:u w:val="single"/>
        </w:rPr>
        <w:t xml:space="preserve">    （姓名和职务）</w:t>
      </w:r>
      <w:r>
        <w:rPr>
          <w:rFonts w:hint="eastAsia" w:ascii="宋体" w:hAnsi="宋体" w:eastAsia="宋体" w:cs="宋体"/>
          <w:snapToGrid w:val="0"/>
          <w:color w:val="auto"/>
          <w:kern w:val="0"/>
          <w:szCs w:val="21"/>
          <w:highlight w:val="none"/>
        </w:rPr>
        <w:t>被正式授权并代表供应商</w:t>
      </w:r>
      <w:r>
        <w:rPr>
          <w:rFonts w:hint="eastAsia" w:ascii="宋体" w:hAnsi="宋体" w:eastAsia="宋体" w:cs="宋体"/>
          <w:snapToGrid w:val="0"/>
          <w:color w:val="auto"/>
          <w:kern w:val="0"/>
          <w:szCs w:val="21"/>
          <w:highlight w:val="none"/>
          <w:u w:val="single"/>
        </w:rPr>
        <w:t xml:space="preserve">    （供应商名称、地址）</w:t>
      </w:r>
      <w:r>
        <w:rPr>
          <w:rFonts w:hint="eastAsia" w:ascii="宋体" w:hAnsi="宋体" w:eastAsia="宋体" w:cs="宋体"/>
          <w:snapToGrid w:val="0"/>
          <w:color w:val="auto"/>
          <w:kern w:val="0"/>
          <w:szCs w:val="21"/>
          <w:highlight w:val="none"/>
        </w:rPr>
        <w:t>提交。</w:t>
      </w:r>
    </w:p>
    <w:p>
      <w:pPr>
        <w:pStyle w:val="22"/>
        <w:adjustRightInd w:val="0"/>
        <w:spacing w:line="360" w:lineRule="auto"/>
        <w:ind w:firstLine="420" w:firstLineChars="200"/>
        <w:contextualSpacing/>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我方确认收到贵方提供的</w:t>
      </w:r>
      <w:r>
        <w:rPr>
          <w:rFonts w:hint="eastAsia" w:ascii="宋体" w:hAnsi="宋体" w:eastAsia="宋体" w:cs="宋体"/>
          <w:snapToGrid w:val="0"/>
          <w:color w:val="auto"/>
          <w:kern w:val="0"/>
          <w:highlight w:val="none"/>
          <w:u w:val="single"/>
        </w:rPr>
        <w:t xml:space="preserve">    （项目名称、项目编号）</w:t>
      </w:r>
      <w:r>
        <w:rPr>
          <w:rFonts w:hint="eastAsia" w:ascii="宋体" w:hAnsi="宋体" w:eastAsia="宋体" w:cs="宋体"/>
          <w:snapToGrid w:val="0"/>
          <w:color w:val="auto"/>
          <w:highlight w:val="none"/>
        </w:rPr>
        <w:t>磋商文件</w:t>
      </w:r>
      <w:r>
        <w:rPr>
          <w:rFonts w:hint="eastAsia" w:ascii="宋体" w:hAnsi="宋体" w:eastAsia="宋体" w:cs="宋体"/>
          <w:snapToGrid w:val="0"/>
          <w:color w:val="auto"/>
          <w:kern w:val="0"/>
          <w:highlight w:val="none"/>
        </w:rPr>
        <w:t>的全部内容。</w:t>
      </w:r>
    </w:p>
    <w:p>
      <w:pPr>
        <w:adjustRightIn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eastAsia="宋体" w:cs="宋体"/>
          <w:color w:val="auto"/>
          <w:szCs w:val="21"/>
          <w:highlight w:val="none"/>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 xml:space="preserve">（供应商名称） </w:t>
      </w:r>
      <w:r>
        <w:rPr>
          <w:rFonts w:hint="eastAsia" w:ascii="宋体" w:hAnsi="宋体" w:eastAsia="宋体" w:cs="宋体"/>
          <w:i/>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作为供应商正式授权</w:t>
      </w:r>
      <w:r>
        <w:rPr>
          <w:rFonts w:hint="eastAsia" w:ascii="宋体" w:hAnsi="宋体" w:eastAsia="宋体" w:cs="宋体"/>
          <w:snapToGrid w:val="0"/>
          <w:color w:val="auto"/>
          <w:kern w:val="0"/>
          <w:szCs w:val="21"/>
          <w:highlight w:val="none"/>
          <w:u w:val="single"/>
        </w:rPr>
        <w:t xml:space="preserve">（授权代表全名， 职务） </w:t>
      </w:r>
      <w:r>
        <w:rPr>
          <w:rFonts w:hint="eastAsia" w:ascii="宋体" w:hAnsi="宋体" w:eastAsia="宋体" w:cs="宋体"/>
          <w:i/>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代表我方全权处理有关本投标的一切事宜。</w:t>
      </w:r>
    </w:p>
    <w:p>
      <w:pPr>
        <w:adjustRightIn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我方已完全明白招标文件的所有条款要求，并申明如下：</w:t>
      </w:r>
    </w:p>
    <w:p>
      <w:pPr>
        <w:spacing w:line="360" w:lineRule="auto"/>
        <w:ind w:right="-512" w:rightChars="-244"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一、按磋商文件提供的全部货物与相关服务的投标总价详见《开标一览表》。</w:t>
      </w:r>
    </w:p>
    <w:p>
      <w:pPr>
        <w:spacing w:line="360" w:lineRule="auto"/>
        <w:ind w:right="-512" w:rightChars="-244"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二、本响应文件的有效期为投标截止时间起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七、我方在此保证所提交的所有文件和全部说明是真实的和正确的。</w:t>
      </w:r>
    </w:p>
    <w:p>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九、我方具备《政府采购法》第二十二条规定的条件；承诺如下：</w:t>
      </w:r>
    </w:p>
    <w:p>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（3）我方已依法建立健全的财务会计制度，如有需要，可随时向采购人提供相关证明材料，以便核查。</w:t>
      </w:r>
    </w:p>
    <w:p>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（4）参加政府采购活动前三年内，在经营活动中没有重大违法记录。</w:t>
      </w:r>
    </w:p>
    <w:p>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（5）符合法律、行政法规规定的其他条件。</w:t>
      </w:r>
    </w:p>
    <w:p>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以上内容如有虚假或与事实不符的，评审委员会可将我方做无效投标处理，我方愿意承担相应的法律责任。</w:t>
      </w:r>
    </w:p>
    <w:p>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十、我方具备履行合同所必需的设备和专业技术能力。</w:t>
      </w:r>
    </w:p>
    <w:p>
      <w:pPr>
        <w:pStyle w:val="22"/>
        <w:adjustRightInd w:val="0"/>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十一、我方对在本函及响应文件中所作的所有承诺承担法律责任。</w:t>
      </w:r>
    </w:p>
    <w:p>
      <w:pPr>
        <w:pStyle w:val="22"/>
        <w:adjustRightInd w:val="0"/>
        <w:snapToGrid w:val="0"/>
        <w:spacing w:line="360" w:lineRule="auto"/>
        <w:rPr>
          <w:rFonts w:hint="eastAsia" w:ascii="宋体" w:hAnsi="宋体" w:eastAsia="宋体" w:cs="宋体"/>
          <w:color w:val="auto"/>
          <w:sz w:val="24"/>
          <w:szCs w:val="24"/>
          <w:highlight w:val="none"/>
        </w:rPr>
      </w:pPr>
    </w:p>
    <w:p>
      <w:pPr>
        <w:pStyle w:val="22"/>
        <w:adjustRightInd w:val="0"/>
        <w:snapToGrid w:val="0"/>
        <w:spacing w:line="360" w:lineRule="auto"/>
        <w:rPr>
          <w:rFonts w:hint="eastAsia" w:ascii="宋体" w:hAnsi="宋体" w:eastAsia="宋体" w:cs="宋体"/>
          <w:color w:val="auto"/>
          <w:sz w:val="24"/>
          <w:szCs w:val="24"/>
          <w:highlight w:val="none"/>
        </w:rPr>
      </w:pPr>
    </w:p>
    <w:p>
      <w:pPr>
        <w:pStyle w:val="22"/>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所有与本招标有关的一切正式往来请寄：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kern w:val="0"/>
          <w:szCs w:val="21"/>
          <w:highlight w:val="none"/>
        </w:rPr>
        <w:t>________________</w:t>
      </w:r>
      <w:r>
        <w:rPr>
          <w:rFonts w:hint="eastAsia" w:ascii="宋体" w:hAnsi="宋体" w:eastAsia="宋体" w:cs="宋体"/>
          <w:color w:val="auto"/>
          <w:szCs w:val="21"/>
          <w:highlight w:val="none"/>
        </w:rPr>
        <w:t xml:space="preserve">     邮政编码：</w:t>
      </w:r>
      <w:r>
        <w:rPr>
          <w:rFonts w:hint="eastAsia" w:ascii="宋体" w:hAnsi="宋体" w:eastAsia="宋体" w:cs="宋体"/>
          <w:color w:val="auto"/>
          <w:kern w:val="0"/>
          <w:szCs w:val="21"/>
          <w:highlight w:val="none"/>
        </w:rPr>
        <w:t>____________</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kern w:val="0"/>
          <w:szCs w:val="21"/>
          <w:highlight w:val="none"/>
        </w:rPr>
        <w:t>________________</w:t>
      </w:r>
      <w:r>
        <w:rPr>
          <w:rFonts w:hint="eastAsia" w:ascii="宋体" w:hAnsi="宋体" w:eastAsia="宋体" w:cs="宋体"/>
          <w:color w:val="auto"/>
          <w:szCs w:val="21"/>
          <w:highlight w:val="none"/>
        </w:rPr>
        <w:t xml:space="preserve">     传    真：</w:t>
      </w:r>
      <w:r>
        <w:rPr>
          <w:rFonts w:hint="eastAsia" w:ascii="宋体" w:hAnsi="宋体" w:eastAsia="宋体" w:cs="宋体"/>
          <w:color w:val="auto"/>
          <w:kern w:val="0"/>
          <w:szCs w:val="21"/>
          <w:highlight w:val="none"/>
        </w:rPr>
        <w:t>____________</w:t>
      </w:r>
    </w:p>
    <w:p>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w:t>
      </w:r>
      <w:r>
        <w:rPr>
          <w:rFonts w:hint="eastAsia" w:ascii="宋体" w:hAnsi="宋体" w:eastAsia="宋体" w:cs="宋体"/>
          <w:color w:val="auto"/>
          <w:kern w:val="0"/>
          <w:szCs w:val="21"/>
          <w:highlight w:val="none"/>
        </w:rPr>
        <w:t>__________</w:t>
      </w:r>
      <w:r>
        <w:rPr>
          <w:rFonts w:hint="eastAsia" w:ascii="宋体" w:hAnsi="宋体" w:eastAsia="宋体" w:cs="宋体"/>
          <w:color w:val="auto"/>
          <w:szCs w:val="21"/>
          <w:highlight w:val="none"/>
        </w:rPr>
        <w:t xml:space="preserve">     职    务：</w:t>
      </w:r>
      <w:r>
        <w:rPr>
          <w:rFonts w:hint="eastAsia" w:ascii="宋体" w:hAnsi="宋体" w:eastAsia="宋体" w:cs="宋体"/>
          <w:color w:val="auto"/>
          <w:kern w:val="0"/>
          <w:szCs w:val="21"/>
          <w:highlight w:val="none"/>
        </w:rPr>
        <w:t>____________</w:t>
      </w:r>
    </w:p>
    <w:p>
      <w:pPr>
        <w:adjustRightInd w:val="0"/>
        <w:snapToGrid w:val="0"/>
        <w:spacing w:line="360" w:lineRule="auto"/>
        <w:rPr>
          <w:rFonts w:hint="eastAsia" w:ascii="宋体" w:hAnsi="宋体" w:eastAsia="宋体" w:cs="宋体"/>
          <w:color w:val="auto"/>
          <w:szCs w:val="21"/>
          <w:highlight w:val="none"/>
          <w:u w:val="single"/>
        </w:rPr>
      </w:pP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供应商法定代表人（或法定代表人授权代表）签字或盖章：</w:t>
      </w:r>
      <w:r>
        <w:rPr>
          <w:rFonts w:hint="eastAsia" w:ascii="宋体" w:hAnsi="宋体" w:eastAsia="宋体" w:cs="宋体"/>
          <w:color w:val="auto"/>
          <w:kern w:val="0"/>
          <w:szCs w:val="21"/>
          <w:highlight w:val="none"/>
        </w:rPr>
        <w:t>________</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w:t>
      </w:r>
      <w:r>
        <w:rPr>
          <w:rFonts w:hint="eastAsia" w:ascii="宋体" w:hAnsi="宋体" w:eastAsia="宋体" w:cs="宋体"/>
          <w:color w:val="auto"/>
          <w:kern w:val="0"/>
          <w:szCs w:val="21"/>
          <w:highlight w:val="none"/>
        </w:rPr>
        <w:t>____________</w:t>
      </w:r>
    </w:p>
    <w:p>
      <w:pPr>
        <w:adjustRightInd w:val="0"/>
        <w:snapToGrid w:val="0"/>
        <w:spacing w:line="360" w:lineRule="auto"/>
        <w:ind w:firstLine="4305" w:firstLineChars="2050"/>
        <w:rPr>
          <w:rFonts w:hint="eastAsia" w:ascii="宋体" w:hAnsi="宋体" w:eastAsia="宋体" w:cs="宋体"/>
          <w:color w:val="auto"/>
          <w:szCs w:val="21"/>
          <w:highlight w:val="none"/>
        </w:rPr>
      </w:pPr>
    </w:p>
    <w:p>
      <w:pPr>
        <w:spacing w:line="48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   年   月   日</w:t>
      </w:r>
    </w:p>
    <w:p>
      <w:pPr>
        <w:spacing w:line="480" w:lineRule="exact"/>
        <w:jc w:val="center"/>
        <w:rPr>
          <w:rFonts w:hint="eastAsia" w:ascii="宋体" w:hAnsi="宋体" w:eastAsia="宋体" w:cs="宋体"/>
          <w:b/>
          <w:bCs/>
          <w:color w:val="auto"/>
          <w:sz w:val="24"/>
          <w:szCs w:val="24"/>
          <w:highlight w:val="none"/>
        </w:rPr>
      </w:pPr>
    </w:p>
    <w:p>
      <w:pPr>
        <w:spacing w:line="480" w:lineRule="exact"/>
        <w:jc w:val="center"/>
        <w:rPr>
          <w:rFonts w:hint="eastAsia" w:ascii="宋体" w:hAnsi="宋体" w:eastAsia="宋体" w:cs="宋体"/>
          <w:b/>
          <w:bCs/>
          <w:color w:val="auto"/>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p>
    <w:p>
      <w:pPr>
        <w:spacing w:line="48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       性别：     年龄：     职务：        联系电话：</w:t>
      </w:r>
    </w:p>
    <w:p>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本人系</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供应商名称 </w:t>
      </w:r>
      <w:r>
        <w:rPr>
          <w:rFonts w:hint="eastAsia" w:ascii="宋体" w:hAnsi="宋体" w:eastAsia="宋体" w:cs="宋体"/>
          <w:color w:val="auto"/>
          <w:sz w:val="21"/>
          <w:szCs w:val="21"/>
          <w:highlight w:val="none"/>
        </w:rPr>
        <w:t>的法定代表人。就参加贵方项目编号为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项目编号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项目名称 </w:t>
      </w:r>
      <w:r>
        <w:rPr>
          <w:rFonts w:hint="eastAsia" w:ascii="宋体" w:hAnsi="宋体" w:eastAsia="宋体" w:cs="宋体"/>
          <w:color w:val="auto"/>
          <w:sz w:val="21"/>
          <w:szCs w:val="21"/>
          <w:highlight w:val="none"/>
        </w:rPr>
        <w:t>公开招标项目的投标报价，签署上述项目的响应文件及合同的执行、完成、服务和保修，签署合同和处理与之有关的一切事务。</w:t>
      </w:r>
    </w:p>
    <w:p>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pStyle w:val="119"/>
        <w:spacing w:line="480" w:lineRule="auto"/>
        <w:ind w:firstLine="472" w:firstLineChars="225"/>
        <w:jc w:val="left"/>
        <w:rPr>
          <w:rFonts w:hint="eastAsia" w:ascii="宋体" w:hAnsi="宋体" w:eastAsia="宋体" w:cs="宋体"/>
          <w:color w:val="auto"/>
          <w:sz w:val="21"/>
          <w:szCs w:val="21"/>
          <w:highlight w:val="none"/>
        </w:rPr>
      </w:pPr>
    </w:p>
    <w:p>
      <w:pPr>
        <w:pStyle w:val="119"/>
        <w:spacing w:line="480" w:lineRule="auto"/>
        <w:ind w:firstLine="472" w:firstLineChars="225"/>
        <w:jc w:val="left"/>
        <w:rPr>
          <w:rFonts w:hint="eastAsia" w:ascii="宋体" w:hAnsi="宋体" w:eastAsia="宋体" w:cs="宋体"/>
          <w:color w:val="auto"/>
          <w:sz w:val="21"/>
          <w:szCs w:val="21"/>
          <w:highlight w:val="none"/>
        </w:rPr>
      </w:pPr>
    </w:p>
    <w:p>
      <w:pPr>
        <w:pStyle w:val="119"/>
        <w:spacing w:line="480" w:lineRule="auto"/>
        <w:ind w:left="-538" w:leftChars="-256" w:firstLine="539" w:firstLineChars="2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【此处请粘贴法定代表人身份证复印件，需清晰反映身份证有效期限】</w:t>
      </w:r>
    </w:p>
    <w:p>
      <w:pPr>
        <w:pStyle w:val="119"/>
        <w:spacing w:line="480" w:lineRule="auto"/>
        <w:ind w:left="-538" w:leftChars="-256" w:firstLine="539" w:firstLineChars="257"/>
        <w:jc w:val="center"/>
        <w:rPr>
          <w:rFonts w:hint="eastAsia" w:ascii="宋体" w:hAnsi="宋体" w:eastAsia="宋体" w:cs="宋体"/>
          <w:bCs/>
          <w:color w:val="auto"/>
          <w:sz w:val="21"/>
          <w:szCs w:val="21"/>
          <w:highlight w:val="none"/>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spacing w:line="480" w:lineRule="auto"/>
        <w:ind w:firstLine="3412" w:firstLineChars="162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供应商名称（并加盖公章）：</w:t>
      </w:r>
    </w:p>
    <w:p>
      <w:pPr>
        <w:pStyle w:val="129"/>
        <w:spacing w:before="60" w:line="480" w:lineRule="auto"/>
        <w:ind w:firstLine="3412" w:firstLineChars="16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   年   月  日</w:t>
      </w:r>
    </w:p>
    <w:p>
      <w:pPr>
        <w:pStyle w:val="122"/>
        <w:spacing w:line="480" w:lineRule="auto"/>
        <w:rPr>
          <w:rFonts w:hint="eastAsia" w:ascii="宋体" w:hAnsi="宋体" w:eastAsia="宋体" w:cs="宋体"/>
          <w:color w:val="auto"/>
          <w:szCs w:val="24"/>
          <w:highlight w:val="none"/>
        </w:rPr>
      </w:pPr>
    </w:p>
    <w:p>
      <w:pPr>
        <w:rPr>
          <w:rFonts w:hint="eastAsia" w:ascii="宋体" w:hAnsi="宋体" w:eastAsia="宋体" w:cs="宋体"/>
          <w:color w:val="auto"/>
          <w:highlight w:val="none"/>
        </w:rPr>
      </w:pPr>
    </w:p>
    <w:p>
      <w:pPr>
        <w:spacing w:line="320" w:lineRule="exact"/>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w:t>
      </w:r>
      <w:r>
        <w:rPr>
          <w:rFonts w:hint="eastAsia" w:ascii="宋体" w:hAnsi="宋体" w:eastAsia="宋体" w:cs="宋体"/>
          <w:bCs/>
          <w:color w:val="auto"/>
          <w:kern w:val="12"/>
          <w:szCs w:val="21"/>
          <w:highlight w:val="none"/>
        </w:rPr>
        <w:t>法定代表人（单位负责人）参加本招标项目投标的，仅须出具此证明书</w:t>
      </w:r>
      <w:r>
        <w:rPr>
          <w:rFonts w:hint="eastAsia" w:ascii="宋体" w:hAnsi="宋体" w:eastAsia="宋体" w:cs="宋体"/>
          <w:bCs/>
          <w:color w:val="auto"/>
          <w:kern w:val="12"/>
          <w:sz w:val="24"/>
          <w:szCs w:val="24"/>
          <w:highlight w:val="none"/>
        </w:rPr>
        <w:t>。</w:t>
      </w:r>
    </w:p>
    <w:p>
      <w:pPr>
        <w:spacing w:line="320" w:lineRule="exact"/>
        <w:rPr>
          <w:rFonts w:hint="eastAsia" w:ascii="宋体" w:hAnsi="宋体" w:eastAsia="宋体" w:cs="宋体"/>
          <w:bCs/>
          <w:color w:val="auto"/>
          <w:kern w:val="12"/>
          <w:sz w:val="24"/>
          <w:szCs w:val="24"/>
          <w:highlight w:val="none"/>
        </w:rPr>
      </w:pPr>
    </w:p>
    <w:p>
      <w:pPr>
        <w:pStyle w:val="35"/>
        <w:ind w:firstLine="240"/>
        <w:rPr>
          <w:rFonts w:hint="eastAsia" w:ascii="宋体" w:hAnsi="宋体" w:eastAsia="宋体" w:cs="宋体"/>
          <w:color w:val="auto"/>
          <w:sz w:val="24"/>
          <w:szCs w:val="24"/>
          <w:highlight w:val="none"/>
        </w:rPr>
      </w:pPr>
    </w:p>
    <w:p>
      <w:pPr>
        <w:widowControl/>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3</w:t>
      </w:r>
      <w:r>
        <w:rPr>
          <w:rFonts w:hint="eastAsia" w:ascii="宋体" w:hAnsi="宋体" w:eastAsia="宋体" w:cs="宋体"/>
          <w:b/>
          <w:snapToGrid w:val="0"/>
          <w:color w:val="auto"/>
          <w:kern w:val="0"/>
          <w:sz w:val="24"/>
          <w:szCs w:val="24"/>
          <w:highlight w:val="none"/>
        </w:rPr>
        <w:t>.3 法定代表人（单位负责人）授权书</w:t>
      </w:r>
    </w:p>
    <w:p>
      <w:pPr>
        <w:spacing w:line="480" w:lineRule="exact"/>
        <w:jc w:val="center"/>
        <w:rPr>
          <w:rFonts w:hint="eastAsia" w:ascii="宋体" w:hAnsi="宋体" w:eastAsia="宋体" w:cs="宋体"/>
          <w:b/>
          <w:bCs/>
          <w:color w:val="auto"/>
          <w:sz w:val="24"/>
          <w:szCs w:val="24"/>
          <w:highlight w:val="none"/>
        </w:rPr>
      </w:pPr>
    </w:p>
    <w:p>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snapToGrid w:val="0"/>
          <w:color w:val="auto"/>
          <w:kern w:val="0"/>
          <w:szCs w:val="21"/>
          <w:highlight w:val="none"/>
          <w:u w:val="single"/>
        </w:rPr>
        <w:t>法人姓名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u w:val="single"/>
        </w:rPr>
        <w:t xml:space="preserve">供应商名称 </w:t>
      </w:r>
      <w:r>
        <w:rPr>
          <w:rFonts w:hint="eastAsia" w:ascii="宋体" w:hAnsi="宋体" w:eastAsia="宋体" w:cs="宋体"/>
          <w:i/>
          <w:snapToGrid w:val="0"/>
          <w:color w:val="auto"/>
          <w:szCs w:val="21"/>
          <w:highlight w:val="none"/>
          <w:u w:val="single"/>
        </w:rPr>
        <w:t xml:space="preserve"> </w:t>
      </w:r>
      <w:r>
        <w:rPr>
          <w:rFonts w:hint="eastAsia" w:ascii="宋体" w:hAnsi="宋体" w:eastAsia="宋体" w:cs="宋体"/>
          <w:color w:val="auto"/>
          <w:szCs w:val="21"/>
          <w:highlight w:val="none"/>
        </w:rPr>
        <w:t>的法定代表人，现委托</w:t>
      </w:r>
      <w:r>
        <w:rPr>
          <w:rFonts w:hint="eastAsia" w:ascii="宋体" w:hAnsi="宋体" w:eastAsia="宋体" w:cs="宋体"/>
          <w:snapToGrid w:val="0"/>
          <w:color w:val="auto"/>
          <w:kern w:val="0"/>
          <w:szCs w:val="21"/>
          <w:highlight w:val="none"/>
          <w:u w:val="single"/>
        </w:rPr>
        <w:t>姓名，职务</w:t>
      </w:r>
      <w:r>
        <w:rPr>
          <w:rFonts w:hint="eastAsia" w:ascii="宋体" w:hAnsi="宋体" w:eastAsia="宋体" w:cs="宋体"/>
          <w:color w:val="auto"/>
          <w:szCs w:val="21"/>
          <w:highlight w:val="none"/>
        </w:rPr>
        <w:t>以我方的名义参加贵方项目的磋商响应活动，并代表我方全权办理针对上述项目的磋商、响应文件澄清、签约等一切具体事务和签署相关文件。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供应商名称： </w:t>
      </w:r>
      <w:r>
        <w:rPr>
          <w:rFonts w:hint="eastAsia" w:ascii="宋体" w:hAnsi="宋体" w:eastAsia="宋体" w:cs="宋体"/>
          <w:color w:val="auto"/>
          <w:szCs w:val="21"/>
          <w:highlight w:val="none"/>
          <w:u w:val="single"/>
        </w:rPr>
        <w:t xml:space="preserve">       （全称）        </w:t>
      </w:r>
      <w:r>
        <w:rPr>
          <w:rFonts w:hint="eastAsia" w:ascii="宋体" w:hAnsi="宋体" w:eastAsia="宋体" w:cs="宋体"/>
          <w:color w:val="auto"/>
          <w:szCs w:val="21"/>
          <w:highlight w:val="none"/>
        </w:rPr>
        <w:t xml:space="preserve"> （盖单位公章）</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法定代表人（单位负责人）：（签字或加盖名章）</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法定代表人（单位负责人）或授权代表联系电话（手机）：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法定代表人（单位负责人）身份证（正面）</w:t>
            </w:r>
          </w:p>
        </w:tc>
        <w:tc>
          <w:tcPr>
            <w:tcW w:w="453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hint="eastAsia" w:ascii="宋体" w:hAnsi="宋体" w:eastAsia="宋体" w:cs="宋体"/>
                <w:color w:val="auto"/>
                <w:szCs w:val="21"/>
                <w:highlight w:val="none"/>
              </w:rPr>
            </w:pPr>
            <w:bookmarkStart w:id="39" w:name="_资格证明文件"/>
            <w:bookmarkEnd w:id="39"/>
            <w:bookmarkStart w:id="40" w:name="_Toc364329026"/>
            <w:r>
              <w:rPr>
                <w:rFonts w:hint="eastAsia" w:ascii="宋体" w:hAnsi="宋体" w:eastAsia="宋体" w:cs="宋体"/>
                <w:color w:val="auto"/>
                <w:szCs w:val="21"/>
                <w:highlight w:val="none"/>
              </w:rPr>
              <w:t>法定代表人（单位负责人）授权代表身份证</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（正面）</w:t>
            </w:r>
            <w:bookmarkEnd w:id="40"/>
          </w:p>
        </w:tc>
        <w:tc>
          <w:tcPr>
            <w:tcW w:w="4536" w:type="dxa"/>
            <w:vAlign w:val="center"/>
          </w:tcPr>
          <w:p>
            <w:pPr>
              <w:jc w:val="center"/>
              <w:rPr>
                <w:rFonts w:hint="eastAsia" w:ascii="宋体" w:hAnsi="宋体" w:eastAsia="宋体" w:cs="宋体"/>
                <w:color w:val="auto"/>
                <w:szCs w:val="21"/>
                <w:highlight w:val="none"/>
              </w:rPr>
            </w:pPr>
            <w:bookmarkStart w:id="41" w:name="_Toc364329027"/>
            <w:r>
              <w:rPr>
                <w:rFonts w:hint="eastAsia" w:ascii="宋体" w:hAnsi="宋体" w:eastAsia="宋体" w:cs="宋体"/>
                <w:color w:val="auto"/>
                <w:szCs w:val="21"/>
                <w:highlight w:val="none"/>
              </w:rPr>
              <w:t>法定代表人（单位负责人）授权代表身份证</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（反面）</w:t>
            </w:r>
            <w:bookmarkEnd w:id="41"/>
          </w:p>
        </w:tc>
      </w:tr>
    </w:tbl>
    <w:p>
      <w:pPr>
        <w:spacing w:line="320" w:lineRule="exact"/>
        <w:ind w:left="2" w:firstLine="357" w:firstLineChars="149"/>
        <w:rPr>
          <w:rFonts w:hint="eastAsia" w:ascii="宋体" w:hAnsi="宋体" w:eastAsia="宋体" w:cs="宋体"/>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3</w:t>
      </w:r>
      <w:r>
        <w:rPr>
          <w:rFonts w:hint="eastAsia" w:ascii="宋体" w:hAnsi="宋体" w:eastAsia="宋体" w:cs="宋体"/>
          <w:b/>
          <w:snapToGrid w:val="0"/>
          <w:color w:val="auto"/>
          <w:kern w:val="0"/>
          <w:sz w:val="24"/>
          <w:szCs w:val="24"/>
          <w:highlight w:val="none"/>
        </w:rPr>
        <w:t>.4 中小企业声明函（工程、服务）</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 xml:space="preserve"> （单位名称）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 xml:space="preserve">（标的名称） </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 xml:space="preserve"> （采购文件中明确的所属行业） </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 xml:space="preserve"> （企业名称） </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 xml:space="preserve"> （中型企业、小型企业、微型企业） </w:t>
      </w:r>
      <w:r>
        <w:rPr>
          <w:rFonts w:hint="eastAsia" w:ascii="宋体" w:hAnsi="宋体" w:eastAsia="宋体" w:cs="宋体"/>
          <w:color w:val="auto"/>
          <w:kern w:val="0"/>
          <w:szCs w:val="21"/>
          <w:highlight w:val="none"/>
        </w:rPr>
        <w:t>；</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 xml:space="preserve">  （标的名称） </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 xml:space="preserve"> （采购文件中明确的所属行业） </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 xml:space="preserve"> （企业名称） </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 xml:space="preserve"> （中型企业、小型企业、微型企业） </w:t>
      </w:r>
      <w:r>
        <w:rPr>
          <w:rFonts w:hint="eastAsia" w:ascii="宋体" w:hAnsi="宋体" w:eastAsia="宋体" w:cs="宋体"/>
          <w:color w:val="auto"/>
          <w:kern w:val="0"/>
          <w:szCs w:val="21"/>
          <w:highlight w:val="none"/>
        </w:rPr>
        <w:t>；</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企业名称（盖章）：　　　　　　　　　</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日　  期：      </w:t>
      </w:r>
      <w:r>
        <w:rPr>
          <w:rFonts w:hint="eastAsia" w:ascii="宋体" w:hAnsi="宋体" w:eastAsia="宋体" w:cs="宋体"/>
          <w:color w:val="auto"/>
          <w:szCs w:val="21"/>
          <w:highlight w:val="none"/>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numPr>
          <w:ilvl w:val="0"/>
          <w:numId w:val="3"/>
        </w:numPr>
        <w:autoSpaceDE w:val="0"/>
        <w:autoSpaceDN w:val="0"/>
        <w:spacing w:line="360" w:lineRule="auto"/>
        <w:jc w:val="left"/>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从业人员、营业收入、资产总额填报上一年度数据，无上一年度数据的新成立企业可不填报。</w:t>
      </w:r>
    </w:p>
    <w:p>
      <w:pPr>
        <w:autoSpaceDE w:val="0"/>
        <w:autoSpaceDN w:val="0"/>
        <w:spacing w:line="360" w:lineRule="auto"/>
        <w:jc w:val="left"/>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hint="eastAsia" w:ascii="宋体" w:hAnsi="宋体" w:eastAsia="宋体" w:cs="宋体"/>
          <w:color w:val="auto"/>
          <w:kern w:val="0"/>
          <w:szCs w:val="21"/>
          <w:highlight w:val="none"/>
        </w:rPr>
      </w:pPr>
    </w:p>
    <w:p>
      <w:pPr>
        <w:widowControl/>
        <w:ind w:right="-512" w:rightChars="-244"/>
        <w:jc w:val="center"/>
        <w:rPr>
          <w:rFonts w:hint="eastAsia" w:ascii="宋体" w:hAnsi="宋体" w:eastAsia="宋体" w:cs="宋体"/>
          <w:b/>
          <w:bCs/>
          <w:color w:val="auto"/>
          <w:sz w:val="36"/>
          <w:szCs w:val="36"/>
          <w:highlight w:val="none"/>
        </w:rPr>
      </w:pPr>
    </w:p>
    <w:p>
      <w:pPr>
        <w:widowControl/>
        <w:ind w:right="-512" w:rightChars="-244"/>
        <w:jc w:val="center"/>
        <w:rPr>
          <w:rFonts w:hint="eastAsia" w:ascii="宋体" w:hAnsi="宋体" w:eastAsia="宋体" w:cs="宋体"/>
          <w:b/>
          <w:bCs/>
          <w:color w:val="auto"/>
          <w:sz w:val="36"/>
          <w:szCs w:val="36"/>
          <w:highlight w:val="none"/>
        </w:rPr>
      </w:pPr>
    </w:p>
    <w:p>
      <w:pPr>
        <w:widowControl/>
        <w:ind w:right="-512" w:rightChars="-244"/>
        <w:jc w:val="center"/>
        <w:rPr>
          <w:rFonts w:hint="eastAsia" w:ascii="宋体" w:hAnsi="宋体" w:eastAsia="宋体" w:cs="宋体"/>
          <w:b/>
          <w:bCs/>
          <w:color w:val="auto"/>
          <w:sz w:val="36"/>
          <w:szCs w:val="36"/>
          <w:highlight w:val="none"/>
        </w:rPr>
      </w:pPr>
    </w:p>
    <w:p>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p>
    <w:p>
      <w:pPr>
        <w:widowControl/>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3.5 残疾人福利性单位声明函</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widowControl/>
        <w:spacing w:before="100" w:beforeAutospacing="1" w:after="100" w:afterAutospacing="1" w:line="360" w:lineRule="auto"/>
        <w:jc w:val="center"/>
        <w:rPr>
          <w:rFonts w:hint="eastAsia" w:ascii="宋体" w:hAnsi="宋体" w:eastAsia="宋体" w:cs="宋体"/>
          <w:b/>
          <w:bCs/>
          <w:color w:val="auto"/>
          <w:szCs w:val="21"/>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3.6 许昌市建安区政府采购供应商信用承诺函</w:t>
      </w:r>
    </w:p>
    <w:p>
      <w:pPr>
        <w:spacing w:line="360" w:lineRule="auto"/>
        <w:ind w:right="-512" w:rightChars="-24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（采购人）</w:t>
      </w:r>
      <w:r>
        <w:rPr>
          <w:rFonts w:hint="eastAsia" w:ascii="宋体" w:hAnsi="宋体" w:eastAsia="宋体" w:cs="宋体"/>
          <w:color w:val="auto"/>
          <w:spacing w:val="0"/>
          <w:sz w:val="21"/>
          <w:szCs w:val="21"/>
          <w:highlight w:val="none"/>
        </w:rPr>
        <w:t>：</w:t>
      </w:r>
    </w:p>
    <w:p>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单位名称（自然人姓名）：</w:t>
      </w:r>
    </w:p>
    <w:p>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统一社会信用代码（身份证号码）：</w:t>
      </w:r>
    </w:p>
    <w:p>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法定代表人（负责人）：</w:t>
      </w:r>
    </w:p>
    <w:p>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联系地址和电话：</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为维护公平、公正、公开的政府采购市场秩序，树立诚实守信的政府采购供应商形象，我单位（本人）自愿作出以下承诺：</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（一）具有独立承担民事责任的能力；</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（二）具有良好的商业信誉和健全的财务会计制度；</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（三）具有履行合同所必需的设备和专业技术能力；</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（四）有依法缴纳税收和社会保障资金的良好记录；</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（五）参加政府采购活动前三年内，在经营活动中没有重大违法记录；</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（六）未被列入经营异常名录或者严重违法失信名单、失信被执行人，重大税收违法案件当事人名单、政府采购严重违法失信行为记录名单；</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（七）未被相关监管部门作出行政处罚且尚在处罚有效期的；</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（八）未曾作出虚假采购承诺；</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（九）符合法律、行政法规规定的其他条件。</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供应商（电子章）：</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法定代表人、负责人、本人、或授权代表（签字或电子印章）：</w:t>
      </w:r>
    </w:p>
    <w:p>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日期：    年  月  日</w:t>
      </w:r>
    </w:p>
    <w:p>
      <w:pPr>
        <w:spacing w:line="360" w:lineRule="auto"/>
        <w:ind w:right="-512" w:rightChars="-244"/>
        <w:rPr>
          <w:rFonts w:hint="eastAsia" w:ascii="宋体" w:hAnsi="宋体" w:eastAsia="宋体" w:cs="宋体"/>
          <w:color w:val="auto"/>
          <w:spacing w:val="0"/>
          <w:sz w:val="21"/>
          <w:szCs w:val="21"/>
          <w:highlight w:val="none"/>
        </w:rPr>
      </w:pPr>
    </w:p>
    <w:p>
      <w:pPr>
        <w:spacing w:line="360" w:lineRule="auto"/>
        <w:ind w:right="-512" w:rightChars="-244"/>
        <w:rPr>
          <w:rFonts w:hint="eastAsia" w:ascii="宋体" w:hAnsi="宋体" w:eastAsia="宋体" w:cs="宋体"/>
          <w:color w:val="auto"/>
          <w:spacing w:val="0"/>
          <w:sz w:val="21"/>
          <w:szCs w:val="21"/>
          <w:highlight w:val="none"/>
        </w:rPr>
      </w:pPr>
    </w:p>
    <w:p>
      <w:pPr>
        <w:spacing w:line="360" w:lineRule="auto"/>
        <w:ind w:right="-512" w:rightChars="-244"/>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注：1.供应商须在响应文件中按此模板提供承诺函，未提供视为未实质性响应磋商文件要求，按无效投标处理。</w:t>
      </w:r>
    </w:p>
    <w:p>
      <w:pPr>
        <w:spacing w:line="360" w:lineRule="auto"/>
        <w:ind w:right="-512" w:rightChars="-244"/>
        <w:rPr>
          <w:rFonts w:hint="eastAsia" w:ascii="宋体" w:hAnsi="宋体" w:eastAsia="宋体" w:cs="宋体"/>
          <w:b/>
          <w:bCs/>
          <w:color w:val="auto"/>
          <w:szCs w:val="21"/>
          <w:highlight w:val="none"/>
        </w:rPr>
      </w:pPr>
      <w:r>
        <w:rPr>
          <w:rFonts w:hint="eastAsia" w:ascii="宋体" w:hAnsi="宋体" w:eastAsia="宋体" w:cs="宋体"/>
          <w:b/>
          <w:bCs/>
          <w:color w:val="auto"/>
          <w:spacing w:val="0"/>
          <w:sz w:val="21"/>
          <w:szCs w:val="21"/>
          <w:highlight w:val="none"/>
        </w:rPr>
        <w:t>2.供应商的法定代表人或者授权代表的签字或盖章应真实、有效，如由授权代表签字或盖章的，应提供“法定代表人授权书”。</w:t>
      </w:r>
    </w:p>
    <w:p>
      <w:pPr>
        <w:spacing w:line="360" w:lineRule="auto"/>
        <w:ind w:right="-512" w:rightChars="-244"/>
        <w:rPr>
          <w:rFonts w:hint="eastAsia" w:ascii="宋体" w:hAnsi="宋体" w:eastAsia="宋体" w:cs="宋体"/>
          <w:color w:val="auto"/>
          <w:szCs w:val="21"/>
          <w:highlight w:val="none"/>
        </w:rPr>
      </w:pPr>
    </w:p>
    <w:p>
      <w:pPr>
        <w:pStyle w:val="35"/>
        <w:spacing w:line="360" w:lineRule="auto"/>
        <w:ind w:right="-512" w:rightChars="-244" w:firstLine="211"/>
        <w:jc w:val="center"/>
        <w:rPr>
          <w:rFonts w:hint="eastAsia" w:ascii="宋体" w:hAnsi="宋体" w:eastAsia="宋体" w:cs="宋体"/>
          <w:b/>
          <w:bCs/>
          <w:color w:val="auto"/>
          <w:szCs w:val="21"/>
          <w:highlight w:val="none"/>
        </w:rPr>
      </w:pPr>
    </w:p>
    <w:p>
      <w:pPr>
        <w:pStyle w:val="35"/>
        <w:ind w:right="-512" w:rightChars="-244" w:firstLine="361"/>
        <w:jc w:val="center"/>
        <w:rPr>
          <w:rFonts w:hint="eastAsia" w:ascii="宋体" w:hAnsi="宋体" w:eastAsia="宋体" w:cs="宋体"/>
          <w:b/>
          <w:bCs/>
          <w:color w:val="auto"/>
          <w:sz w:val="36"/>
          <w:szCs w:val="36"/>
          <w:highlight w:val="none"/>
        </w:rPr>
      </w:pPr>
    </w:p>
    <w:p>
      <w:pPr>
        <w:pStyle w:val="35"/>
        <w:ind w:right="-512" w:rightChars="-244" w:firstLine="361"/>
        <w:jc w:val="center"/>
        <w:rPr>
          <w:rFonts w:hint="eastAsia" w:ascii="宋体" w:hAnsi="宋体" w:eastAsia="宋体" w:cs="宋体"/>
          <w:b/>
          <w:bCs/>
          <w:color w:val="auto"/>
          <w:sz w:val="36"/>
          <w:szCs w:val="36"/>
          <w:highlight w:val="none"/>
        </w:rPr>
      </w:pPr>
    </w:p>
    <w:p>
      <w:pPr>
        <w:pStyle w:val="35"/>
        <w:ind w:right="-512" w:rightChars="-244" w:firstLine="361"/>
        <w:jc w:val="center"/>
        <w:rPr>
          <w:rFonts w:hint="eastAsia" w:ascii="宋体" w:hAnsi="宋体" w:eastAsia="宋体" w:cs="宋体"/>
          <w:b/>
          <w:bCs/>
          <w:color w:val="auto"/>
          <w:sz w:val="36"/>
          <w:szCs w:val="36"/>
          <w:highlight w:val="none"/>
        </w:rPr>
      </w:pPr>
    </w:p>
    <w:p>
      <w:pPr>
        <w:pStyle w:val="35"/>
        <w:ind w:right="-512" w:rightChars="-244" w:firstLine="361"/>
        <w:jc w:val="center"/>
        <w:rPr>
          <w:rFonts w:hint="eastAsia" w:ascii="宋体" w:hAnsi="宋体" w:eastAsia="宋体" w:cs="宋体"/>
          <w:b/>
          <w:bCs/>
          <w:color w:val="auto"/>
          <w:sz w:val="36"/>
          <w:szCs w:val="36"/>
          <w:highlight w:val="none"/>
        </w:rPr>
      </w:pPr>
    </w:p>
    <w:p>
      <w:pPr>
        <w:pStyle w:val="36"/>
        <w:ind w:left="420" w:firstLine="420"/>
        <w:rPr>
          <w:rFonts w:hint="eastAsia" w:ascii="宋体" w:hAnsi="宋体" w:eastAsia="宋体" w:cs="宋体"/>
          <w:color w:val="auto"/>
          <w:highlight w:val="none"/>
          <w:lang w:eastAsia="zh-CN"/>
        </w:rPr>
      </w:pPr>
    </w:p>
    <w:p>
      <w:pPr>
        <w:pStyle w:val="35"/>
        <w:ind w:right="-512" w:rightChars="-244" w:firstLine="361"/>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pStyle w:val="3"/>
        <w:rPr>
          <w:rFonts w:hint="eastAsia" w:ascii="宋体" w:hAnsi="宋体" w:eastAsia="宋体" w:cs="宋体"/>
          <w:color w:val="auto"/>
          <w:highlight w:val="none"/>
        </w:rPr>
      </w:pPr>
    </w:p>
    <w:p>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pPr>
        <w:widowControl/>
        <w:jc w:val="center"/>
        <w:rPr>
          <w:rFonts w:hint="eastAsia" w:ascii="宋体" w:hAnsi="宋体" w:eastAsia="宋体" w:cs="宋体"/>
          <w:b/>
          <w:snapToGrid w:val="0"/>
          <w:color w:val="auto"/>
          <w:kern w:val="0"/>
          <w:sz w:val="24"/>
          <w:szCs w:val="24"/>
          <w:highlight w:val="none"/>
          <w:lang w:val="zh-CN"/>
        </w:rPr>
      </w:pPr>
      <w:r>
        <w:rPr>
          <w:rFonts w:hint="eastAsia" w:ascii="宋体" w:hAnsi="宋体" w:eastAsia="宋体" w:cs="宋体"/>
          <w:b/>
          <w:snapToGrid w:val="0"/>
          <w:color w:val="auto"/>
          <w:kern w:val="0"/>
          <w:sz w:val="24"/>
          <w:szCs w:val="24"/>
          <w:highlight w:val="none"/>
        </w:rPr>
        <w:t>3.7磋商承诺函</w:t>
      </w:r>
    </w:p>
    <w:p>
      <w:pPr>
        <w:spacing w:before="156" w:beforeLines="50" w:after="156" w:afterLines="50" w:line="48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经研究，我方自愿参与贵方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一、在投标有效期内撤销投标文件；</w:t>
      </w:r>
    </w:p>
    <w:p>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二、在投标文件中提供虚假材料；</w:t>
      </w:r>
    </w:p>
    <w:p>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三、除因不可抗力或招标文件认可的情形以外，中标后不与采购人签订合同；</w:t>
      </w:r>
    </w:p>
    <w:p>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四、与采购人、其他投标人或者采购代理机构恶意串通；</w:t>
      </w:r>
    </w:p>
    <w:p>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五、法律法规及本招标文件规定的其他严重违法行为。</w:t>
      </w:r>
    </w:p>
    <w:p>
      <w:pPr>
        <w:spacing w:line="480" w:lineRule="auto"/>
        <w:rPr>
          <w:rFonts w:hint="eastAsia" w:ascii="宋体" w:hAnsi="宋体" w:eastAsia="宋体" w:cs="宋体"/>
          <w:color w:val="auto"/>
          <w:szCs w:val="21"/>
          <w:highlight w:val="none"/>
          <w:u w:val="single"/>
        </w:rPr>
      </w:pPr>
    </w:p>
    <w:p>
      <w:pPr>
        <w:rPr>
          <w:rFonts w:hint="eastAsia" w:ascii="宋体" w:hAnsi="宋体" w:eastAsia="宋体" w:cs="宋体"/>
          <w:color w:val="auto"/>
          <w:szCs w:val="21"/>
          <w:highlight w:val="none"/>
          <w:u w:val="single"/>
        </w:rPr>
      </w:pPr>
    </w:p>
    <w:p>
      <w:pPr>
        <w:spacing w:line="480" w:lineRule="auto"/>
        <w:ind w:firstLine="4357" w:firstLineChars="207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rPr>
        <w:t>并加盖公章</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w:t>
      </w:r>
    </w:p>
    <w:p>
      <w:pPr>
        <w:spacing w:line="480" w:lineRule="auto"/>
        <w:ind w:firstLine="4357" w:firstLineChars="2075"/>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widowControl/>
        <w:spacing w:before="100" w:beforeAutospacing="1" w:after="100" w:afterAutospacing="1" w:line="360" w:lineRule="auto"/>
        <w:ind w:right="-512" w:rightChars="-244"/>
        <w:jc w:val="center"/>
        <w:rPr>
          <w:rFonts w:hint="eastAsia" w:ascii="宋体" w:hAnsi="宋体" w:eastAsia="宋体" w:cs="宋体"/>
          <w:b/>
          <w:bCs/>
          <w:color w:val="auto"/>
          <w:szCs w:val="21"/>
          <w:highlight w:val="none"/>
        </w:rPr>
      </w:pPr>
    </w:p>
    <w:p>
      <w:pPr>
        <w:widowControl/>
        <w:spacing w:before="100" w:beforeAutospacing="1" w:after="100" w:afterAutospacing="1" w:line="360" w:lineRule="auto"/>
        <w:ind w:right="-512" w:rightChars="-244"/>
        <w:jc w:val="center"/>
        <w:rPr>
          <w:rFonts w:hint="eastAsia" w:ascii="宋体" w:hAnsi="宋体" w:eastAsia="宋体" w:cs="宋体"/>
          <w:b/>
          <w:bCs/>
          <w:color w:val="auto"/>
          <w:sz w:val="32"/>
          <w:szCs w:val="32"/>
          <w:highlight w:val="none"/>
        </w:rPr>
      </w:pPr>
    </w:p>
    <w:p>
      <w:pPr>
        <w:widowControl/>
        <w:spacing w:before="100" w:beforeAutospacing="1" w:after="100" w:afterAutospacing="1" w:line="360" w:lineRule="auto"/>
        <w:ind w:right="-512" w:rightChars="-244"/>
        <w:jc w:val="center"/>
        <w:rPr>
          <w:rFonts w:hint="eastAsia" w:ascii="宋体" w:hAnsi="宋体" w:eastAsia="宋体" w:cs="宋体"/>
          <w:b/>
          <w:bCs/>
          <w:color w:val="auto"/>
          <w:sz w:val="32"/>
          <w:szCs w:val="32"/>
          <w:highlight w:val="none"/>
        </w:rPr>
      </w:pPr>
    </w:p>
    <w:p>
      <w:pPr>
        <w:widowControl/>
        <w:spacing w:before="100" w:beforeAutospacing="1" w:after="100" w:afterAutospacing="1" w:line="360" w:lineRule="auto"/>
        <w:ind w:right="-512" w:rightChars="-244"/>
        <w:jc w:val="center"/>
        <w:rPr>
          <w:rFonts w:hint="eastAsia" w:ascii="宋体" w:hAnsi="宋体" w:eastAsia="宋体" w:cs="宋体"/>
          <w:b/>
          <w:bCs/>
          <w:color w:val="auto"/>
          <w:sz w:val="32"/>
          <w:szCs w:val="32"/>
          <w:highlight w:val="none"/>
        </w:rPr>
      </w:pPr>
    </w:p>
    <w:p>
      <w:pPr>
        <w:widowControl/>
        <w:spacing w:line="480" w:lineRule="auto"/>
        <w:jc w:val="center"/>
        <w:rPr>
          <w:rFonts w:hint="eastAsia" w:ascii="宋体" w:hAnsi="宋体" w:eastAsia="宋体" w:cs="宋体"/>
          <w:b/>
          <w:snapToGrid w:val="0"/>
          <w:color w:val="auto"/>
          <w:kern w:val="0"/>
          <w:sz w:val="24"/>
          <w:szCs w:val="24"/>
          <w:highlight w:val="none"/>
        </w:rPr>
      </w:pPr>
    </w:p>
    <w:p>
      <w:pPr>
        <w:widowControl/>
        <w:spacing w:line="48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3.8 供应商提供与参加本项目投标的其他供应商之间，单位负责人不为同一人并且不存在直接控股、管理关系承诺函</w:t>
      </w:r>
    </w:p>
    <w:p>
      <w:pPr>
        <w:autoSpaceDE w:val="0"/>
        <w:autoSpaceDN w:val="0"/>
        <w:adjustRightInd w:val="0"/>
        <w:spacing w:line="480" w:lineRule="auto"/>
        <w:ind w:right="-512" w:rightChars="-24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ind w:right="-512" w:rightChars="-244"/>
        <w:rPr>
          <w:rFonts w:hint="eastAsia" w:ascii="宋体" w:hAnsi="宋体" w:eastAsia="宋体" w:cs="宋体"/>
          <w:color w:val="auto"/>
          <w:highlight w:val="none"/>
          <w:lang w:val="zh-CN"/>
        </w:rPr>
      </w:pPr>
    </w:p>
    <w:p>
      <w:pPr>
        <w:ind w:right="-512" w:rightChars="-244"/>
        <w:rPr>
          <w:rFonts w:hint="eastAsia" w:ascii="宋体" w:hAnsi="宋体" w:eastAsia="宋体" w:cs="宋体"/>
          <w:color w:val="auto"/>
          <w:highlight w:val="none"/>
          <w:lang w:val="zh-CN"/>
        </w:rPr>
      </w:pPr>
    </w:p>
    <w:p>
      <w:pPr>
        <w:autoSpaceDE w:val="0"/>
        <w:autoSpaceDN w:val="0"/>
        <w:adjustRightInd w:val="0"/>
        <w:spacing w:line="360" w:lineRule="auto"/>
        <w:ind w:right="-512" w:rightChars="-244"/>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ind w:right="-512" w:rightChars="-244"/>
        <w:jc w:val="center"/>
        <w:rPr>
          <w:rFonts w:hint="eastAsia" w:ascii="宋体" w:hAnsi="宋体" w:eastAsia="宋体" w:cs="宋体"/>
          <w:b/>
          <w:bCs/>
          <w:color w:val="auto"/>
          <w:sz w:val="32"/>
          <w:szCs w:val="32"/>
          <w:highlight w:val="none"/>
        </w:rPr>
      </w:pPr>
    </w:p>
    <w:p>
      <w:pPr>
        <w:autoSpaceDE w:val="0"/>
        <w:autoSpaceDN w:val="0"/>
        <w:adjustRightInd w:val="0"/>
        <w:spacing w:line="360" w:lineRule="auto"/>
        <w:ind w:right="-512" w:rightChars="-244"/>
        <w:jc w:val="center"/>
        <w:rPr>
          <w:rFonts w:hint="eastAsia" w:ascii="宋体" w:hAnsi="宋体" w:eastAsia="宋体" w:cs="宋体"/>
          <w:b/>
          <w:bCs/>
          <w:color w:val="auto"/>
          <w:sz w:val="32"/>
          <w:szCs w:val="32"/>
          <w:highlight w:val="none"/>
        </w:rPr>
      </w:pPr>
    </w:p>
    <w:p>
      <w:pPr>
        <w:widowControl/>
        <w:spacing w:line="48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3.9供应商提供未为本项目提供整体设计、规范编制或者项目管理、监理、检测等服务承诺函</w:t>
      </w:r>
    </w:p>
    <w:p>
      <w:pPr>
        <w:autoSpaceDE w:val="0"/>
        <w:autoSpaceDN w:val="0"/>
        <w:adjustRightInd w:val="0"/>
        <w:spacing w:line="480" w:lineRule="auto"/>
        <w:ind w:right="-512" w:rightChars="-244"/>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（承诺函格式自拟）</w:t>
      </w:r>
    </w:p>
    <w:p>
      <w:pPr>
        <w:autoSpaceDE w:val="0"/>
        <w:autoSpaceDN w:val="0"/>
        <w:adjustRightInd w:val="0"/>
        <w:spacing w:line="360" w:lineRule="auto"/>
        <w:ind w:right="-512" w:rightChars="-244"/>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ind w:right="-512" w:rightChars="-244"/>
        <w:jc w:val="center"/>
        <w:rPr>
          <w:rFonts w:hint="eastAsia" w:ascii="宋体" w:hAnsi="宋体" w:eastAsia="宋体" w:cs="宋体"/>
          <w:b/>
          <w:bCs/>
          <w:color w:val="auto"/>
          <w:sz w:val="44"/>
          <w:szCs w:val="44"/>
          <w:highlight w:val="none"/>
          <w:lang w:val="zh-CN"/>
        </w:rPr>
      </w:pPr>
    </w:p>
    <w:p>
      <w:pPr>
        <w:autoSpaceDE w:val="0"/>
        <w:autoSpaceDN w:val="0"/>
        <w:adjustRightInd w:val="0"/>
        <w:spacing w:line="360" w:lineRule="auto"/>
        <w:ind w:right="-512" w:rightChars="-244"/>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ind w:right="-512" w:rightChars="-244"/>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ind w:right="-512" w:rightChars="-244"/>
        <w:jc w:val="center"/>
        <w:outlineLvl w:val="0"/>
        <w:rPr>
          <w:rFonts w:hint="eastAsia" w:ascii="宋体" w:hAnsi="宋体" w:eastAsia="宋体" w:cs="宋体"/>
          <w:b/>
          <w:bCs/>
          <w:color w:val="auto"/>
          <w:sz w:val="36"/>
          <w:szCs w:val="36"/>
          <w:highlight w:val="none"/>
        </w:rPr>
      </w:pPr>
    </w:p>
    <w:p>
      <w:pPr>
        <w:autoSpaceDE w:val="0"/>
        <w:autoSpaceDN w:val="0"/>
        <w:adjustRightInd w:val="0"/>
        <w:spacing w:line="360" w:lineRule="auto"/>
        <w:ind w:right="-512" w:rightChars="-244"/>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kern w:val="0"/>
          <w:sz w:val="24"/>
          <w:szCs w:val="24"/>
          <w:highlight w:val="none"/>
        </w:rPr>
        <w:t>3.10 其他资格证书或材料</w:t>
      </w:r>
    </w:p>
    <w:p>
      <w:pPr>
        <w:pStyle w:val="35"/>
        <w:ind w:firstLine="24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四、符合性审查证明材料</w:t>
      </w:r>
    </w:p>
    <w:p>
      <w:pPr>
        <w:autoSpaceDE w:val="0"/>
        <w:autoSpaceDN w:val="0"/>
        <w:adjustRightInd w:val="0"/>
        <w:spacing w:line="360" w:lineRule="auto"/>
        <w:outlineLvl w:val="0"/>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exact"/>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4.1技术方案</w:t>
      </w: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（供应商根据磋商文件要求自行编制）</w:t>
      </w:r>
    </w:p>
    <w:p>
      <w:pPr>
        <w:pStyle w:val="36"/>
        <w:ind w:left="420" w:firstLine="420"/>
        <w:rPr>
          <w:rFonts w:hint="eastAsia" w:ascii="宋体" w:hAnsi="宋体" w:eastAsia="宋体" w:cs="宋体"/>
          <w:color w:val="auto"/>
          <w:highlight w:val="none"/>
          <w:lang w:val="zh-CN" w:eastAsia="zh-CN"/>
        </w:rPr>
      </w:pPr>
    </w:p>
    <w:p>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4.2 拟投入技术人员</w:t>
      </w:r>
    </w:p>
    <w:p>
      <w:pPr>
        <w:autoSpaceDE w:val="0"/>
        <w:autoSpaceDN w:val="0"/>
        <w:adjustRightInd w:val="0"/>
        <w:spacing w:line="360" w:lineRule="auto"/>
        <w:jc w:val="center"/>
        <w:outlineLvl w:val="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（格式自拟）</w:t>
      </w:r>
    </w:p>
    <w:p>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4.3 业绩情况表</w:t>
      </w:r>
    </w:p>
    <w:p>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napToGrid w:val="0"/>
        <w:spacing w:line="360" w:lineRule="auto"/>
        <w:rPr>
          <w:rFonts w:hint="eastAsia" w:ascii="宋体" w:hAnsi="宋体" w:eastAsia="宋体" w:cs="宋体"/>
          <w:b/>
          <w:snapToGrid w:val="0"/>
          <w:color w:val="auto"/>
          <w:kern w:val="0"/>
          <w:sz w:val="36"/>
          <w:szCs w:val="36"/>
          <w:highlight w:val="none"/>
        </w:rPr>
      </w:pPr>
      <w:r>
        <w:rPr>
          <w:rFonts w:hint="eastAsia" w:ascii="宋体" w:hAnsi="宋体" w:eastAsia="宋体" w:cs="宋体"/>
          <w:color w:val="auto"/>
          <w:sz w:val="24"/>
          <w:szCs w:val="24"/>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auto"/>
            <w:vAlign w:val="center"/>
          </w:tcPr>
          <w:p>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auto"/>
            <w:vAlign w:val="center"/>
          </w:tcPr>
          <w:p>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auto"/>
            <w:vAlign w:val="center"/>
          </w:tcPr>
          <w:p>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auto"/>
            <w:vAlign w:val="center"/>
          </w:tcPr>
          <w:p>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13"/>
              <w:spacing w:line="360" w:lineRule="auto"/>
              <w:rPr>
                <w:rFonts w:hint="eastAsia" w:ascii="宋体" w:hAnsi="宋体" w:eastAsia="宋体" w:cs="宋体"/>
                <w:color w:val="auto"/>
                <w:sz w:val="24"/>
                <w:szCs w:val="24"/>
                <w:highlight w:val="none"/>
              </w:rPr>
            </w:pPr>
          </w:p>
        </w:tc>
        <w:tc>
          <w:tcPr>
            <w:tcW w:w="3579" w:type="dxa"/>
            <w:vAlign w:val="center"/>
          </w:tcPr>
          <w:p>
            <w:pPr>
              <w:pStyle w:val="13"/>
              <w:spacing w:line="360" w:lineRule="auto"/>
              <w:rPr>
                <w:rFonts w:hint="eastAsia" w:ascii="宋体" w:hAnsi="宋体" w:eastAsia="宋体" w:cs="宋体"/>
                <w:color w:val="auto"/>
                <w:sz w:val="24"/>
                <w:szCs w:val="24"/>
                <w:highlight w:val="none"/>
              </w:rPr>
            </w:pPr>
          </w:p>
        </w:tc>
        <w:tc>
          <w:tcPr>
            <w:tcW w:w="1440" w:type="dxa"/>
            <w:vAlign w:val="center"/>
          </w:tcPr>
          <w:p>
            <w:pPr>
              <w:pStyle w:val="13"/>
              <w:spacing w:line="360" w:lineRule="auto"/>
              <w:rPr>
                <w:rFonts w:hint="eastAsia" w:ascii="宋体" w:hAnsi="宋体" w:eastAsia="宋体" w:cs="宋体"/>
                <w:color w:val="auto"/>
                <w:sz w:val="24"/>
                <w:szCs w:val="24"/>
                <w:highlight w:val="none"/>
              </w:rPr>
            </w:pPr>
          </w:p>
        </w:tc>
        <w:tc>
          <w:tcPr>
            <w:tcW w:w="1706" w:type="dxa"/>
            <w:vAlign w:val="center"/>
          </w:tcPr>
          <w:p>
            <w:pPr>
              <w:pStyle w:val="13"/>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13"/>
              <w:spacing w:line="360" w:lineRule="auto"/>
              <w:rPr>
                <w:rFonts w:hint="eastAsia" w:ascii="宋体" w:hAnsi="宋体" w:eastAsia="宋体" w:cs="宋体"/>
                <w:color w:val="auto"/>
                <w:sz w:val="24"/>
                <w:szCs w:val="24"/>
                <w:highlight w:val="none"/>
              </w:rPr>
            </w:pPr>
          </w:p>
        </w:tc>
        <w:tc>
          <w:tcPr>
            <w:tcW w:w="3579" w:type="dxa"/>
            <w:vAlign w:val="center"/>
          </w:tcPr>
          <w:p>
            <w:pPr>
              <w:pStyle w:val="13"/>
              <w:spacing w:line="360" w:lineRule="auto"/>
              <w:rPr>
                <w:rFonts w:hint="eastAsia" w:ascii="宋体" w:hAnsi="宋体" w:eastAsia="宋体" w:cs="宋体"/>
                <w:color w:val="auto"/>
                <w:sz w:val="24"/>
                <w:szCs w:val="24"/>
                <w:highlight w:val="none"/>
              </w:rPr>
            </w:pPr>
          </w:p>
        </w:tc>
        <w:tc>
          <w:tcPr>
            <w:tcW w:w="1440" w:type="dxa"/>
            <w:vAlign w:val="center"/>
          </w:tcPr>
          <w:p>
            <w:pPr>
              <w:pStyle w:val="13"/>
              <w:spacing w:line="360" w:lineRule="auto"/>
              <w:rPr>
                <w:rFonts w:hint="eastAsia" w:ascii="宋体" w:hAnsi="宋体" w:eastAsia="宋体" w:cs="宋体"/>
                <w:color w:val="auto"/>
                <w:sz w:val="24"/>
                <w:szCs w:val="24"/>
                <w:highlight w:val="none"/>
              </w:rPr>
            </w:pPr>
          </w:p>
        </w:tc>
        <w:tc>
          <w:tcPr>
            <w:tcW w:w="1706" w:type="dxa"/>
            <w:vAlign w:val="center"/>
          </w:tcPr>
          <w:p>
            <w:pPr>
              <w:pStyle w:val="13"/>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13"/>
              <w:spacing w:line="360" w:lineRule="auto"/>
              <w:rPr>
                <w:rFonts w:hint="eastAsia" w:ascii="宋体" w:hAnsi="宋体" w:eastAsia="宋体" w:cs="宋体"/>
                <w:color w:val="auto"/>
                <w:sz w:val="24"/>
                <w:szCs w:val="24"/>
                <w:highlight w:val="none"/>
              </w:rPr>
            </w:pPr>
          </w:p>
        </w:tc>
        <w:tc>
          <w:tcPr>
            <w:tcW w:w="3579" w:type="dxa"/>
            <w:vAlign w:val="center"/>
          </w:tcPr>
          <w:p>
            <w:pPr>
              <w:pStyle w:val="13"/>
              <w:spacing w:line="360" w:lineRule="auto"/>
              <w:rPr>
                <w:rFonts w:hint="eastAsia" w:ascii="宋体" w:hAnsi="宋体" w:eastAsia="宋体" w:cs="宋体"/>
                <w:color w:val="auto"/>
                <w:sz w:val="24"/>
                <w:szCs w:val="24"/>
                <w:highlight w:val="none"/>
              </w:rPr>
            </w:pPr>
          </w:p>
        </w:tc>
        <w:tc>
          <w:tcPr>
            <w:tcW w:w="1440" w:type="dxa"/>
            <w:vAlign w:val="center"/>
          </w:tcPr>
          <w:p>
            <w:pPr>
              <w:pStyle w:val="13"/>
              <w:spacing w:line="360" w:lineRule="auto"/>
              <w:rPr>
                <w:rFonts w:hint="eastAsia" w:ascii="宋体" w:hAnsi="宋体" w:eastAsia="宋体" w:cs="宋体"/>
                <w:color w:val="auto"/>
                <w:sz w:val="24"/>
                <w:szCs w:val="24"/>
                <w:highlight w:val="none"/>
              </w:rPr>
            </w:pPr>
          </w:p>
        </w:tc>
        <w:tc>
          <w:tcPr>
            <w:tcW w:w="1706" w:type="dxa"/>
            <w:vAlign w:val="center"/>
          </w:tcPr>
          <w:p>
            <w:pPr>
              <w:pStyle w:val="13"/>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rPr>
                <w:rFonts w:hint="eastAsia" w:ascii="宋体" w:hAnsi="宋体" w:eastAsia="宋体" w:cs="宋体"/>
                <w:color w:val="auto"/>
                <w:highlight w:val="none"/>
              </w:rPr>
            </w:pPr>
          </w:p>
        </w:tc>
        <w:tc>
          <w:tcPr>
            <w:tcW w:w="3579" w:type="dxa"/>
            <w:vAlign w:val="center"/>
          </w:tcPr>
          <w:p>
            <w:pPr>
              <w:rPr>
                <w:rFonts w:hint="eastAsia" w:ascii="宋体" w:hAnsi="宋体" w:eastAsia="宋体" w:cs="宋体"/>
                <w:color w:val="auto"/>
                <w:highlight w:val="none"/>
              </w:rPr>
            </w:pPr>
          </w:p>
        </w:tc>
        <w:tc>
          <w:tcPr>
            <w:tcW w:w="1440" w:type="dxa"/>
            <w:vAlign w:val="center"/>
          </w:tcPr>
          <w:p>
            <w:pPr>
              <w:rPr>
                <w:rFonts w:hint="eastAsia" w:ascii="宋体" w:hAnsi="宋体" w:eastAsia="宋体" w:cs="宋体"/>
                <w:color w:val="auto"/>
                <w:highlight w:val="none"/>
              </w:rPr>
            </w:pPr>
          </w:p>
        </w:tc>
        <w:tc>
          <w:tcPr>
            <w:tcW w:w="1706"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hint="eastAsia" w:ascii="宋体" w:hAnsi="宋体" w:eastAsia="宋体" w:cs="宋体"/>
                <w:color w:val="auto"/>
                <w:highlight w:val="none"/>
              </w:rPr>
            </w:pPr>
          </w:p>
        </w:tc>
        <w:tc>
          <w:tcPr>
            <w:tcW w:w="3579" w:type="dxa"/>
            <w:vAlign w:val="center"/>
          </w:tcPr>
          <w:p>
            <w:pPr>
              <w:rPr>
                <w:rFonts w:hint="eastAsia" w:ascii="宋体" w:hAnsi="宋体" w:eastAsia="宋体" w:cs="宋体"/>
                <w:color w:val="auto"/>
                <w:highlight w:val="none"/>
              </w:rPr>
            </w:pPr>
          </w:p>
        </w:tc>
        <w:tc>
          <w:tcPr>
            <w:tcW w:w="1440" w:type="dxa"/>
            <w:vAlign w:val="center"/>
          </w:tcPr>
          <w:p>
            <w:pPr>
              <w:rPr>
                <w:rFonts w:hint="eastAsia" w:ascii="宋体" w:hAnsi="宋体" w:eastAsia="宋体" w:cs="宋体"/>
                <w:color w:val="auto"/>
                <w:highlight w:val="none"/>
              </w:rPr>
            </w:pPr>
          </w:p>
        </w:tc>
        <w:tc>
          <w:tcPr>
            <w:tcW w:w="1706" w:type="dxa"/>
            <w:vAlign w:val="center"/>
          </w:tcPr>
          <w:p>
            <w:pPr>
              <w:rPr>
                <w:rFonts w:hint="eastAsia" w:ascii="宋体" w:hAnsi="宋体" w:eastAsia="宋体" w:cs="宋体"/>
                <w:color w:val="auto"/>
                <w:highlight w:val="none"/>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供应商法定代表人（单位负责人）或授权代表（签字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w:t>
      </w:r>
    </w:p>
    <w:p>
      <w:pPr>
        <w:widowControl/>
        <w:jc w:val="left"/>
        <w:rPr>
          <w:rFonts w:hint="eastAsia" w:ascii="宋体" w:hAnsi="宋体" w:eastAsia="宋体" w:cs="宋体"/>
          <w:b/>
          <w:bCs/>
          <w:color w:val="auto"/>
          <w:sz w:val="32"/>
          <w:szCs w:val="32"/>
          <w:highlight w:val="none"/>
        </w:rPr>
      </w:pPr>
    </w:p>
    <w:p>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4.4 服务承诺</w:t>
      </w: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（供应商根据磋商文件要求自行编制）</w:t>
      </w: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4.5项目班子配备</w:t>
      </w:r>
    </w:p>
    <w:p>
      <w:pPr>
        <w:spacing w:line="360" w:lineRule="auto"/>
        <w:jc w:val="center"/>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val="zh-CN"/>
        </w:rPr>
        <w:t>（供应商根据磋商文件要求自行编制）</w:t>
      </w:r>
    </w:p>
    <w:p>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autoSpaceDE w:val="0"/>
        <w:autoSpaceDN w:val="0"/>
        <w:adjustRightIn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五、其他资料（若有）</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right="-512" w:rightChars="-244"/>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除磋商文件另有规定外，供应商认为需要提交的其他证明材料或资料加盖供应商的单位公章后应在此项下提交。</w:t>
      </w:r>
    </w:p>
    <w:p>
      <w:pPr>
        <w:spacing w:line="360" w:lineRule="auto"/>
        <w:jc w:val="center"/>
        <w:rPr>
          <w:rFonts w:hint="eastAsia" w:ascii="宋体" w:hAnsi="宋体" w:eastAsia="宋体" w:cs="宋体"/>
          <w:b/>
          <w:bCs/>
          <w:color w:val="auto"/>
          <w:sz w:val="28"/>
          <w:szCs w:val="28"/>
          <w:highlight w:val="none"/>
        </w:rPr>
      </w:pPr>
    </w:p>
    <w:p>
      <w:pPr>
        <w:rPr>
          <w:rFonts w:hint="eastAsia" w:ascii="宋体" w:hAnsi="宋体" w:eastAsia="宋体" w:cs="宋体"/>
          <w:color w:val="auto"/>
          <w:sz w:val="24"/>
          <w:szCs w:val="24"/>
          <w:highlight w:val="none"/>
        </w:rPr>
      </w:pPr>
    </w:p>
    <w:p>
      <w:pPr>
        <w:ind w:firstLine="1200" w:firstLineChars="500"/>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bookmarkEnd w:id="42"/>
    <w:sectPr>
      <w:footerReference r:id="rId6" w:type="first"/>
      <w:footerReference r:id="rId5"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73234"/>
      <w:docPartObj>
        <w:docPartGallery w:val="autotext"/>
      </w:docPartObj>
    </w:sdtPr>
    <w:sdtContent>
      <w:sdt>
        <w:sdtPr>
          <w:id w:val="-1926095659"/>
          <w:docPartObj>
            <w:docPartGallery w:val="autotext"/>
          </w:docPartObj>
        </w:sdtPr>
        <w:sdtContent>
          <w:p>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48557"/>
      <w:docPartObj>
        <w:docPartGallery w:val="autotext"/>
      </w:docPartObj>
    </w:sdtPr>
    <w:sdtContent>
      <w:sdt>
        <w:sdtPr>
          <w:id w:val="1728636285"/>
          <w:docPartObj>
            <w:docPartGallery w:val="autotext"/>
          </w:docPartObj>
        </w:sdtPr>
        <w:sdtContent>
          <w:p>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06276"/>
      <w:docPartObj>
        <w:docPartGallery w:val="autotext"/>
      </w:docPartObj>
    </w:sdtPr>
    <w:sdtEndPr>
      <w:rPr>
        <w:rFonts w:hint="eastAsia" w:ascii="宋体" w:hAnsi="宋体" w:eastAsia="宋体" w:cs="宋体"/>
      </w:rPr>
    </w:sdtEndPr>
    <w:sdtContent>
      <w:sdt>
        <w:sdtPr>
          <w:id w:val="1631514402"/>
          <w:docPartObj>
            <w:docPartGallery w:val="autotext"/>
          </w:docPartObj>
        </w:sdtPr>
        <w:sdtEndPr>
          <w:rPr>
            <w:rFonts w:hint="eastAsia" w:ascii="宋体" w:hAnsi="宋体" w:eastAsia="宋体" w:cs="宋体"/>
          </w:rPr>
        </w:sdtEndPr>
        <w:sdtContent>
          <w:p>
            <w:pPr>
              <w:pStyle w:val="25"/>
              <w:jc w:val="center"/>
            </w:pPr>
            <w:r>
              <w:rPr>
                <w:rFonts w:hint="eastAsia" w:ascii="宋体" w:hAnsi="宋体" w:eastAsia="宋体" w:cs="宋体"/>
                <w:lang w:val="zh-CN"/>
              </w:rPr>
              <w:t xml:space="preserve"> </w:t>
            </w:r>
            <w:r>
              <w:rPr>
                <w:rFonts w:hint="eastAsia" w:ascii="宋体" w:hAnsi="宋体" w:eastAsia="宋体" w:cs="宋体"/>
                <w:b/>
                <w:bCs/>
                <w:sz w:val="24"/>
                <w:szCs w:val="24"/>
              </w:rPr>
              <w:fldChar w:fldCharType="begin"/>
            </w:r>
            <w:r>
              <w:rPr>
                <w:rFonts w:hint="eastAsia" w:ascii="宋体" w:hAnsi="宋体" w:eastAsia="宋体" w:cs="宋体"/>
                <w:b/>
                <w:bCs/>
              </w:rPr>
              <w:instrText xml:space="preserve">PAGE</w:instrText>
            </w:r>
            <w:r>
              <w:rPr>
                <w:rFonts w:hint="eastAsia" w:ascii="宋体" w:hAnsi="宋体" w:eastAsia="宋体" w:cs="宋体"/>
                <w:b/>
                <w:bCs/>
                <w:sz w:val="24"/>
                <w:szCs w:val="24"/>
              </w:rPr>
              <w:fldChar w:fldCharType="separate"/>
            </w:r>
            <w:r>
              <w:rPr>
                <w:rFonts w:hint="eastAsia" w:ascii="宋体" w:hAnsi="宋体" w:eastAsia="宋体" w:cs="宋体"/>
                <w:b/>
                <w:bCs/>
                <w:lang w:val="zh-CN"/>
              </w:rPr>
              <w:t>2</w:t>
            </w:r>
            <w:r>
              <w:rPr>
                <w:rFonts w:hint="eastAsia" w:ascii="宋体" w:hAnsi="宋体" w:eastAsia="宋体" w:cs="宋体"/>
                <w:b/>
                <w:bCs/>
                <w:sz w:val="24"/>
                <w:szCs w:val="24"/>
              </w:rPr>
              <w:fldChar w:fldCharType="end"/>
            </w:r>
            <w:r>
              <w:rPr>
                <w:rFonts w:hint="eastAsia" w:ascii="宋体" w:hAnsi="宋体" w:eastAsia="宋体" w:cs="宋体"/>
                <w:lang w:val="zh-CN"/>
              </w:rPr>
              <w:t xml:space="preserve"> / </w:t>
            </w:r>
            <w:r>
              <w:rPr>
                <w:rFonts w:hint="eastAsia" w:ascii="宋体" w:hAnsi="宋体" w:eastAsia="宋体" w:cs="宋体"/>
                <w:b/>
                <w:bCs/>
                <w:sz w:val="24"/>
                <w:szCs w:val="24"/>
              </w:rPr>
              <w:fldChar w:fldCharType="begin"/>
            </w:r>
            <w:r>
              <w:rPr>
                <w:rFonts w:hint="eastAsia" w:ascii="宋体" w:hAnsi="宋体" w:eastAsia="宋体" w:cs="宋体"/>
                <w:b/>
                <w:bCs/>
              </w:rPr>
              <w:instrText xml:space="preserve">NUMPAGES</w:instrText>
            </w:r>
            <w:r>
              <w:rPr>
                <w:rFonts w:hint="eastAsia" w:ascii="宋体" w:hAnsi="宋体" w:eastAsia="宋体" w:cs="宋体"/>
                <w:b/>
                <w:bCs/>
                <w:sz w:val="24"/>
                <w:szCs w:val="24"/>
              </w:rPr>
              <w:fldChar w:fldCharType="separate"/>
            </w:r>
            <w:r>
              <w:rPr>
                <w:rFonts w:hint="eastAsia" w:ascii="宋体" w:hAnsi="宋体" w:eastAsia="宋体" w:cs="宋体"/>
                <w:b/>
                <w:bCs/>
                <w:lang w:val="zh-CN"/>
              </w:rPr>
              <w:t>2</w:t>
            </w:r>
            <w:r>
              <w:rPr>
                <w:rFonts w:hint="eastAsia" w:ascii="宋体" w:hAnsi="宋体" w:eastAsia="宋体" w:cs="宋体"/>
                <w:b/>
                <w:bCs/>
                <w:sz w:val="24"/>
                <w:szCs w:val="24"/>
              </w:rPr>
              <w:fldChar w:fldCharType="end"/>
            </w:r>
          </w:p>
        </w:sdtContent>
      </w:sdt>
    </w:sdtContent>
  </w:sdt>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59F817E8"/>
    <w:multiLevelType w:val="singleLevel"/>
    <w:tmpl w:val="59F817E8"/>
    <w:lvl w:ilvl="0" w:tentative="0">
      <w:start w:val="1"/>
      <w:numFmt w:val="chineseCounting"/>
      <w:pStyle w:val="127"/>
      <w:suff w:val="nothing"/>
      <w:lvlText w:val="%1、"/>
      <w:lvlJc w:val="left"/>
    </w:lvl>
  </w:abstractNum>
  <w:abstractNum w:abstractNumId="2">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YzUyMWQ2YWRmOTYxZmZiOTM1OGUwNTJmNTdlNWUifQ=="/>
  </w:docVars>
  <w:rsids>
    <w:rsidRoot w:val="004A2B1F"/>
    <w:rsid w:val="00006760"/>
    <w:rsid w:val="00047BE4"/>
    <w:rsid w:val="000649F8"/>
    <w:rsid w:val="00065538"/>
    <w:rsid w:val="00067807"/>
    <w:rsid w:val="000854B4"/>
    <w:rsid w:val="00094D93"/>
    <w:rsid w:val="000D1BC3"/>
    <w:rsid w:val="00171F06"/>
    <w:rsid w:val="001746F8"/>
    <w:rsid w:val="001B1611"/>
    <w:rsid w:val="001C627B"/>
    <w:rsid w:val="001D20B4"/>
    <w:rsid w:val="001E6379"/>
    <w:rsid w:val="0020160C"/>
    <w:rsid w:val="00211A0C"/>
    <w:rsid w:val="0021340C"/>
    <w:rsid w:val="00216F22"/>
    <w:rsid w:val="0022549C"/>
    <w:rsid w:val="00235DCE"/>
    <w:rsid w:val="00242F6D"/>
    <w:rsid w:val="002476EA"/>
    <w:rsid w:val="00271D68"/>
    <w:rsid w:val="0029765F"/>
    <w:rsid w:val="002A59B4"/>
    <w:rsid w:val="002F72EC"/>
    <w:rsid w:val="0031134F"/>
    <w:rsid w:val="00330261"/>
    <w:rsid w:val="003362D0"/>
    <w:rsid w:val="00361E20"/>
    <w:rsid w:val="00380D37"/>
    <w:rsid w:val="003B1EB8"/>
    <w:rsid w:val="00444470"/>
    <w:rsid w:val="00447B07"/>
    <w:rsid w:val="00457882"/>
    <w:rsid w:val="00466DBB"/>
    <w:rsid w:val="00486687"/>
    <w:rsid w:val="004906BE"/>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0201"/>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1FDF"/>
    <w:rsid w:val="008F5636"/>
    <w:rsid w:val="008F7FDB"/>
    <w:rsid w:val="00934227"/>
    <w:rsid w:val="0096085E"/>
    <w:rsid w:val="00963325"/>
    <w:rsid w:val="009714E3"/>
    <w:rsid w:val="00972BCB"/>
    <w:rsid w:val="00994CD4"/>
    <w:rsid w:val="00A277C0"/>
    <w:rsid w:val="00A55C36"/>
    <w:rsid w:val="00A750F2"/>
    <w:rsid w:val="00A8018D"/>
    <w:rsid w:val="00A84D91"/>
    <w:rsid w:val="00A85AD3"/>
    <w:rsid w:val="00AA509A"/>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51665"/>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DB7420"/>
    <w:rsid w:val="00E17B80"/>
    <w:rsid w:val="00E2401D"/>
    <w:rsid w:val="00E33B09"/>
    <w:rsid w:val="00E430FB"/>
    <w:rsid w:val="00E46309"/>
    <w:rsid w:val="00E71686"/>
    <w:rsid w:val="00E83359"/>
    <w:rsid w:val="00E87803"/>
    <w:rsid w:val="00EA6590"/>
    <w:rsid w:val="00EB5D6C"/>
    <w:rsid w:val="00ED19F0"/>
    <w:rsid w:val="00EF3648"/>
    <w:rsid w:val="00EF42CD"/>
    <w:rsid w:val="00EF6F67"/>
    <w:rsid w:val="00EF79F5"/>
    <w:rsid w:val="00F55CAC"/>
    <w:rsid w:val="00F636BE"/>
    <w:rsid w:val="00F64A28"/>
    <w:rsid w:val="00FB5993"/>
    <w:rsid w:val="00FC5738"/>
    <w:rsid w:val="00FD55CD"/>
    <w:rsid w:val="00FE39BC"/>
    <w:rsid w:val="00FF04BC"/>
    <w:rsid w:val="014C1CF3"/>
    <w:rsid w:val="015A4593"/>
    <w:rsid w:val="018576DB"/>
    <w:rsid w:val="01A826C4"/>
    <w:rsid w:val="02AB3193"/>
    <w:rsid w:val="02C8160E"/>
    <w:rsid w:val="02E628AE"/>
    <w:rsid w:val="02F24B10"/>
    <w:rsid w:val="03463878"/>
    <w:rsid w:val="036668E4"/>
    <w:rsid w:val="04321290"/>
    <w:rsid w:val="048A6D54"/>
    <w:rsid w:val="04EE6E6D"/>
    <w:rsid w:val="04F521D5"/>
    <w:rsid w:val="051146F2"/>
    <w:rsid w:val="05686E88"/>
    <w:rsid w:val="05B212ED"/>
    <w:rsid w:val="05D073E5"/>
    <w:rsid w:val="05E9604A"/>
    <w:rsid w:val="06B05663"/>
    <w:rsid w:val="06BA068D"/>
    <w:rsid w:val="06BA45AC"/>
    <w:rsid w:val="06C03B4F"/>
    <w:rsid w:val="06C9033C"/>
    <w:rsid w:val="07073AE0"/>
    <w:rsid w:val="070807F7"/>
    <w:rsid w:val="07290BC1"/>
    <w:rsid w:val="07694744"/>
    <w:rsid w:val="078E3F07"/>
    <w:rsid w:val="07A71B9D"/>
    <w:rsid w:val="07E50FB0"/>
    <w:rsid w:val="083F3878"/>
    <w:rsid w:val="08433A8C"/>
    <w:rsid w:val="084F28E1"/>
    <w:rsid w:val="08564BF9"/>
    <w:rsid w:val="08604B69"/>
    <w:rsid w:val="08967224"/>
    <w:rsid w:val="089C18BA"/>
    <w:rsid w:val="08DC7B3D"/>
    <w:rsid w:val="08DD4224"/>
    <w:rsid w:val="0906507A"/>
    <w:rsid w:val="09185702"/>
    <w:rsid w:val="098B66E7"/>
    <w:rsid w:val="0A207864"/>
    <w:rsid w:val="0A447476"/>
    <w:rsid w:val="0A6A3B22"/>
    <w:rsid w:val="0A7B2255"/>
    <w:rsid w:val="0A954B98"/>
    <w:rsid w:val="0AE6253D"/>
    <w:rsid w:val="0B547F96"/>
    <w:rsid w:val="0B633CEA"/>
    <w:rsid w:val="0B7B75A3"/>
    <w:rsid w:val="0B865559"/>
    <w:rsid w:val="0BA70ED9"/>
    <w:rsid w:val="0BD96D11"/>
    <w:rsid w:val="0BF903DC"/>
    <w:rsid w:val="0C6A0B39"/>
    <w:rsid w:val="0CA8328D"/>
    <w:rsid w:val="0CDD6A5C"/>
    <w:rsid w:val="0CED55B2"/>
    <w:rsid w:val="0D1150F2"/>
    <w:rsid w:val="0D4C353E"/>
    <w:rsid w:val="0D65044B"/>
    <w:rsid w:val="0D713D7D"/>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61D1F"/>
    <w:rsid w:val="11AF71A1"/>
    <w:rsid w:val="11BE2890"/>
    <w:rsid w:val="11F90CB0"/>
    <w:rsid w:val="11FC6573"/>
    <w:rsid w:val="125B421D"/>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3B3985"/>
    <w:rsid w:val="15454CAE"/>
    <w:rsid w:val="15513DDD"/>
    <w:rsid w:val="15762ED6"/>
    <w:rsid w:val="15991ED0"/>
    <w:rsid w:val="15B06890"/>
    <w:rsid w:val="15D14A6F"/>
    <w:rsid w:val="15EA7C35"/>
    <w:rsid w:val="15F50031"/>
    <w:rsid w:val="15FE04C2"/>
    <w:rsid w:val="1665589D"/>
    <w:rsid w:val="166961E0"/>
    <w:rsid w:val="16710CA0"/>
    <w:rsid w:val="16800789"/>
    <w:rsid w:val="16DE3001"/>
    <w:rsid w:val="175E7186"/>
    <w:rsid w:val="176E330F"/>
    <w:rsid w:val="17963DA3"/>
    <w:rsid w:val="17AC1FE1"/>
    <w:rsid w:val="17CA0B34"/>
    <w:rsid w:val="17E10798"/>
    <w:rsid w:val="18077756"/>
    <w:rsid w:val="181E2A27"/>
    <w:rsid w:val="184A0053"/>
    <w:rsid w:val="18BD7957"/>
    <w:rsid w:val="18EC7120"/>
    <w:rsid w:val="191D0970"/>
    <w:rsid w:val="1979168F"/>
    <w:rsid w:val="19796BD0"/>
    <w:rsid w:val="19E8738B"/>
    <w:rsid w:val="19F41CBC"/>
    <w:rsid w:val="19FB78C0"/>
    <w:rsid w:val="1A1A1B96"/>
    <w:rsid w:val="1A244C58"/>
    <w:rsid w:val="1A2C3250"/>
    <w:rsid w:val="1A695AE7"/>
    <w:rsid w:val="1A8E3946"/>
    <w:rsid w:val="1AA73748"/>
    <w:rsid w:val="1ADB10F6"/>
    <w:rsid w:val="1ADC4C84"/>
    <w:rsid w:val="1B0C7414"/>
    <w:rsid w:val="1B163899"/>
    <w:rsid w:val="1B1A7D5A"/>
    <w:rsid w:val="1B3577DA"/>
    <w:rsid w:val="1B6E743F"/>
    <w:rsid w:val="1B833194"/>
    <w:rsid w:val="1BD86BD8"/>
    <w:rsid w:val="1C433315"/>
    <w:rsid w:val="1C6B0438"/>
    <w:rsid w:val="1C861B27"/>
    <w:rsid w:val="1C9507AD"/>
    <w:rsid w:val="1CA11DF7"/>
    <w:rsid w:val="1CE26B89"/>
    <w:rsid w:val="1CE35AC4"/>
    <w:rsid w:val="1D127DED"/>
    <w:rsid w:val="1D7C16DF"/>
    <w:rsid w:val="1D8A2A83"/>
    <w:rsid w:val="1D9B4AA9"/>
    <w:rsid w:val="1DBD2494"/>
    <w:rsid w:val="1DF117FF"/>
    <w:rsid w:val="1DFC6EAC"/>
    <w:rsid w:val="1E0769E3"/>
    <w:rsid w:val="1E703414"/>
    <w:rsid w:val="1E8C5AAA"/>
    <w:rsid w:val="1EB0588F"/>
    <w:rsid w:val="1EC12D06"/>
    <w:rsid w:val="1EEE0F99"/>
    <w:rsid w:val="1F05374E"/>
    <w:rsid w:val="1F0E254E"/>
    <w:rsid w:val="1F281830"/>
    <w:rsid w:val="1F410AA5"/>
    <w:rsid w:val="1F5E63C4"/>
    <w:rsid w:val="1F9D2BA5"/>
    <w:rsid w:val="1FC91C0D"/>
    <w:rsid w:val="1FED24C3"/>
    <w:rsid w:val="1FFC2298"/>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B45EAC"/>
    <w:rsid w:val="22EC2585"/>
    <w:rsid w:val="22FB3F53"/>
    <w:rsid w:val="232B387E"/>
    <w:rsid w:val="23812AD1"/>
    <w:rsid w:val="23893003"/>
    <w:rsid w:val="23C142AF"/>
    <w:rsid w:val="23CB794A"/>
    <w:rsid w:val="24432ED8"/>
    <w:rsid w:val="2492168E"/>
    <w:rsid w:val="249B7219"/>
    <w:rsid w:val="24B2466D"/>
    <w:rsid w:val="24B8053C"/>
    <w:rsid w:val="25134148"/>
    <w:rsid w:val="25263466"/>
    <w:rsid w:val="252A4E97"/>
    <w:rsid w:val="25914AA0"/>
    <w:rsid w:val="25C8447A"/>
    <w:rsid w:val="26031E1C"/>
    <w:rsid w:val="27726CFA"/>
    <w:rsid w:val="277D353C"/>
    <w:rsid w:val="27A113FF"/>
    <w:rsid w:val="27AB5F8D"/>
    <w:rsid w:val="27EC0AE3"/>
    <w:rsid w:val="28027C46"/>
    <w:rsid w:val="281E69E2"/>
    <w:rsid w:val="28335D1D"/>
    <w:rsid w:val="28534858"/>
    <w:rsid w:val="28615787"/>
    <w:rsid w:val="2899479A"/>
    <w:rsid w:val="28BE0630"/>
    <w:rsid w:val="28D7734A"/>
    <w:rsid w:val="28F5226A"/>
    <w:rsid w:val="292B3799"/>
    <w:rsid w:val="292C2CB7"/>
    <w:rsid w:val="29A40FF5"/>
    <w:rsid w:val="29C17B37"/>
    <w:rsid w:val="29CD6A01"/>
    <w:rsid w:val="2A272568"/>
    <w:rsid w:val="2A2F727E"/>
    <w:rsid w:val="2A353D77"/>
    <w:rsid w:val="2A355DE3"/>
    <w:rsid w:val="2A3A7A42"/>
    <w:rsid w:val="2A3B2200"/>
    <w:rsid w:val="2A44639F"/>
    <w:rsid w:val="2A506E02"/>
    <w:rsid w:val="2AA418DF"/>
    <w:rsid w:val="2AC54C91"/>
    <w:rsid w:val="2AF936EA"/>
    <w:rsid w:val="2B0030A8"/>
    <w:rsid w:val="2B37096E"/>
    <w:rsid w:val="2BD2193E"/>
    <w:rsid w:val="2BE513F7"/>
    <w:rsid w:val="2BED5674"/>
    <w:rsid w:val="2C0F4464"/>
    <w:rsid w:val="2C7D2148"/>
    <w:rsid w:val="2C862C0D"/>
    <w:rsid w:val="2C8F1056"/>
    <w:rsid w:val="2CC54F93"/>
    <w:rsid w:val="2CCF5412"/>
    <w:rsid w:val="2CD960F8"/>
    <w:rsid w:val="2D23466C"/>
    <w:rsid w:val="2D8F194B"/>
    <w:rsid w:val="2DA46F4B"/>
    <w:rsid w:val="2DAA1396"/>
    <w:rsid w:val="2DBB4FAC"/>
    <w:rsid w:val="2DC31A9A"/>
    <w:rsid w:val="2E103567"/>
    <w:rsid w:val="2E415E94"/>
    <w:rsid w:val="2EA55B36"/>
    <w:rsid w:val="2EFA1B52"/>
    <w:rsid w:val="2F7D16BC"/>
    <w:rsid w:val="2F927575"/>
    <w:rsid w:val="2F9772F7"/>
    <w:rsid w:val="2FA91BCF"/>
    <w:rsid w:val="2FBE42B9"/>
    <w:rsid w:val="2FC41931"/>
    <w:rsid w:val="30121733"/>
    <w:rsid w:val="303B757E"/>
    <w:rsid w:val="304545E8"/>
    <w:rsid w:val="30686053"/>
    <w:rsid w:val="30900714"/>
    <w:rsid w:val="30AC5D88"/>
    <w:rsid w:val="30B362CA"/>
    <w:rsid w:val="30BF44BC"/>
    <w:rsid w:val="31064426"/>
    <w:rsid w:val="311F3C56"/>
    <w:rsid w:val="31A94923"/>
    <w:rsid w:val="31E11F3D"/>
    <w:rsid w:val="3215600C"/>
    <w:rsid w:val="32711136"/>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702107"/>
    <w:rsid w:val="358A2FDA"/>
    <w:rsid w:val="35957B13"/>
    <w:rsid w:val="359D2ABD"/>
    <w:rsid w:val="35CF3C29"/>
    <w:rsid w:val="36046907"/>
    <w:rsid w:val="361554C5"/>
    <w:rsid w:val="365F1B0B"/>
    <w:rsid w:val="367E53A5"/>
    <w:rsid w:val="36AB2277"/>
    <w:rsid w:val="36B87CB7"/>
    <w:rsid w:val="36C71F76"/>
    <w:rsid w:val="36D758C3"/>
    <w:rsid w:val="373A3175"/>
    <w:rsid w:val="37831245"/>
    <w:rsid w:val="379173CB"/>
    <w:rsid w:val="37925323"/>
    <w:rsid w:val="37D93F1C"/>
    <w:rsid w:val="37F23808"/>
    <w:rsid w:val="38330CEC"/>
    <w:rsid w:val="385110CF"/>
    <w:rsid w:val="38681A07"/>
    <w:rsid w:val="38773939"/>
    <w:rsid w:val="38A766E2"/>
    <w:rsid w:val="38B925AD"/>
    <w:rsid w:val="38E47094"/>
    <w:rsid w:val="38F4037B"/>
    <w:rsid w:val="390C5304"/>
    <w:rsid w:val="39245FCE"/>
    <w:rsid w:val="39381E49"/>
    <w:rsid w:val="39651B3E"/>
    <w:rsid w:val="399F7D68"/>
    <w:rsid w:val="39A42BE4"/>
    <w:rsid w:val="39B37BD9"/>
    <w:rsid w:val="39D0223C"/>
    <w:rsid w:val="39E22F74"/>
    <w:rsid w:val="3A257964"/>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3D44CE"/>
    <w:rsid w:val="3D4F4791"/>
    <w:rsid w:val="3D53074E"/>
    <w:rsid w:val="3D7A4C95"/>
    <w:rsid w:val="3D817F02"/>
    <w:rsid w:val="3DC05D1E"/>
    <w:rsid w:val="3DD02E59"/>
    <w:rsid w:val="3DF67196"/>
    <w:rsid w:val="3E3363C7"/>
    <w:rsid w:val="3E7E57A6"/>
    <w:rsid w:val="3E8A6F8D"/>
    <w:rsid w:val="3EAC32D7"/>
    <w:rsid w:val="3EC01103"/>
    <w:rsid w:val="3ECB10D6"/>
    <w:rsid w:val="3EFF105D"/>
    <w:rsid w:val="3F1E0E25"/>
    <w:rsid w:val="3F3E0D93"/>
    <w:rsid w:val="3F5B1CE1"/>
    <w:rsid w:val="3F605C44"/>
    <w:rsid w:val="3F7C5266"/>
    <w:rsid w:val="3FA76A33"/>
    <w:rsid w:val="3FF048AD"/>
    <w:rsid w:val="3FF31AB0"/>
    <w:rsid w:val="3FFF5DA8"/>
    <w:rsid w:val="403A6D00"/>
    <w:rsid w:val="40710E51"/>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201C02"/>
    <w:rsid w:val="44390047"/>
    <w:rsid w:val="44436B4C"/>
    <w:rsid w:val="44521665"/>
    <w:rsid w:val="446C61DF"/>
    <w:rsid w:val="447B09BE"/>
    <w:rsid w:val="44D41F6E"/>
    <w:rsid w:val="44E168CC"/>
    <w:rsid w:val="44FC6E36"/>
    <w:rsid w:val="45291B7A"/>
    <w:rsid w:val="45440AF1"/>
    <w:rsid w:val="4579499F"/>
    <w:rsid w:val="45EA06D4"/>
    <w:rsid w:val="46205944"/>
    <w:rsid w:val="463A1A0B"/>
    <w:rsid w:val="46576356"/>
    <w:rsid w:val="466B051E"/>
    <w:rsid w:val="46773276"/>
    <w:rsid w:val="46FD2BD9"/>
    <w:rsid w:val="47064B25"/>
    <w:rsid w:val="471C785E"/>
    <w:rsid w:val="47426E60"/>
    <w:rsid w:val="475564B6"/>
    <w:rsid w:val="478B4B7E"/>
    <w:rsid w:val="479F2BC8"/>
    <w:rsid w:val="47A95EC1"/>
    <w:rsid w:val="47D02AA5"/>
    <w:rsid w:val="48273D40"/>
    <w:rsid w:val="485356E5"/>
    <w:rsid w:val="485C33CC"/>
    <w:rsid w:val="48CF6A35"/>
    <w:rsid w:val="48FB5B56"/>
    <w:rsid w:val="48FD29CA"/>
    <w:rsid w:val="491E0AFA"/>
    <w:rsid w:val="492E5F9C"/>
    <w:rsid w:val="497279C1"/>
    <w:rsid w:val="49876449"/>
    <w:rsid w:val="4A824045"/>
    <w:rsid w:val="4A9E3583"/>
    <w:rsid w:val="4ACC15B5"/>
    <w:rsid w:val="4AD80819"/>
    <w:rsid w:val="4AE954CC"/>
    <w:rsid w:val="4B2E5A10"/>
    <w:rsid w:val="4B305982"/>
    <w:rsid w:val="4B6D116B"/>
    <w:rsid w:val="4BCD4BF1"/>
    <w:rsid w:val="4C257870"/>
    <w:rsid w:val="4C3A54C9"/>
    <w:rsid w:val="4C4F431E"/>
    <w:rsid w:val="4C5365B2"/>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32A62"/>
    <w:rsid w:val="4E380F45"/>
    <w:rsid w:val="4E3F0225"/>
    <w:rsid w:val="4E6067AB"/>
    <w:rsid w:val="4E653411"/>
    <w:rsid w:val="4E9F2AF8"/>
    <w:rsid w:val="4EBE5C67"/>
    <w:rsid w:val="4EF82FC5"/>
    <w:rsid w:val="4F4F3225"/>
    <w:rsid w:val="4F56631C"/>
    <w:rsid w:val="4F5C244A"/>
    <w:rsid w:val="4F68628F"/>
    <w:rsid w:val="4F6B6E5D"/>
    <w:rsid w:val="4F722794"/>
    <w:rsid w:val="4F806670"/>
    <w:rsid w:val="4FE93E33"/>
    <w:rsid w:val="4FFA271E"/>
    <w:rsid w:val="500241D3"/>
    <w:rsid w:val="5028677A"/>
    <w:rsid w:val="502D1879"/>
    <w:rsid w:val="507D794A"/>
    <w:rsid w:val="50DE0CFA"/>
    <w:rsid w:val="510D4856"/>
    <w:rsid w:val="51372FB1"/>
    <w:rsid w:val="51CA317D"/>
    <w:rsid w:val="51CE4A72"/>
    <w:rsid w:val="520824E4"/>
    <w:rsid w:val="52182968"/>
    <w:rsid w:val="521A4D0F"/>
    <w:rsid w:val="52464380"/>
    <w:rsid w:val="52692F22"/>
    <w:rsid w:val="528B2E8F"/>
    <w:rsid w:val="52EA2BBB"/>
    <w:rsid w:val="53332C9A"/>
    <w:rsid w:val="5350522C"/>
    <w:rsid w:val="53691FCC"/>
    <w:rsid w:val="536D0D7D"/>
    <w:rsid w:val="53D5551A"/>
    <w:rsid w:val="53FE7EF6"/>
    <w:rsid w:val="540431B2"/>
    <w:rsid w:val="54195397"/>
    <w:rsid w:val="545C0004"/>
    <w:rsid w:val="548F3498"/>
    <w:rsid w:val="54BE141D"/>
    <w:rsid w:val="54EF6778"/>
    <w:rsid w:val="55387801"/>
    <w:rsid w:val="558C48E3"/>
    <w:rsid w:val="55C04435"/>
    <w:rsid w:val="55E71B19"/>
    <w:rsid w:val="55ED7CD5"/>
    <w:rsid w:val="5606114A"/>
    <w:rsid w:val="5607232F"/>
    <w:rsid w:val="561312B8"/>
    <w:rsid w:val="562543F0"/>
    <w:rsid w:val="566A2358"/>
    <w:rsid w:val="567333AD"/>
    <w:rsid w:val="56A11E7E"/>
    <w:rsid w:val="56A84BA6"/>
    <w:rsid w:val="56C32748"/>
    <w:rsid w:val="572302D5"/>
    <w:rsid w:val="57D251AF"/>
    <w:rsid w:val="57E67C37"/>
    <w:rsid w:val="57E77679"/>
    <w:rsid w:val="57F24B13"/>
    <w:rsid w:val="57FA5D66"/>
    <w:rsid w:val="58354037"/>
    <w:rsid w:val="58690530"/>
    <w:rsid w:val="586D648B"/>
    <w:rsid w:val="59512F57"/>
    <w:rsid w:val="599C0E6D"/>
    <w:rsid w:val="59C011E6"/>
    <w:rsid w:val="59E8794C"/>
    <w:rsid w:val="5A374FBF"/>
    <w:rsid w:val="5A47462F"/>
    <w:rsid w:val="5A52303F"/>
    <w:rsid w:val="5A580EF3"/>
    <w:rsid w:val="5B283435"/>
    <w:rsid w:val="5B636A0C"/>
    <w:rsid w:val="5BD60666"/>
    <w:rsid w:val="5BE40050"/>
    <w:rsid w:val="5C161E3E"/>
    <w:rsid w:val="5C761B4C"/>
    <w:rsid w:val="5C865A2A"/>
    <w:rsid w:val="5C9A461F"/>
    <w:rsid w:val="5C9B0E51"/>
    <w:rsid w:val="5C9B21D4"/>
    <w:rsid w:val="5CAC7BA5"/>
    <w:rsid w:val="5D120068"/>
    <w:rsid w:val="5D17336E"/>
    <w:rsid w:val="5D841BC4"/>
    <w:rsid w:val="5DD6339D"/>
    <w:rsid w:val="5DF5170F"/>
    <w:rsid w:val="5E18244A"/>
    <w:rsid w:val="5E297212"/>
    <w:rsid w:val="5E337CE0"/>
    <w:rsid w:val="5EAE21AC"/>
    <w:rsid w:val="5EAF7B4D"/>
    <w:rsid w:val="5EBA1556"/>
    <w:rsid w:val="5F254B2A"/>
    <w:rsid w:val="5F561A12"/>
    <w:rsid w:val="5FFD1AA0"/>
    <w:rsid w:val="60981DD4"/>
    <w:rsid w:val="60B46BD1"/>
    <w:rsid w:val="60D32162"/>
    <w:rsid w:val="60D80FE2"/>
    <w:rsid w:val="610710D3"/>
    <w:rsid w:val="61560EC7"/>
    <w:rsid w:val="61755337"/>
    <w:rsid w:val="61C21388"/>
    <w:rsid w:val="61FA272B"/>
    <w:rsid w:val="62161512"/>
    <w:rsid w:val="626315BC"/>
    <w:rsid w:val="626C7D6D"/>
    <w:rsid w:val="62725094"/>
    <w:rsid w:val="627800DF"/>
    <w:rsid w:val="627A2EEF"/>
    <w:rsid w:val="6285395D"/>
    <w:rsid w:val="628D6868"/>
    <w:rsid w:val="62A501C0"/>
    <w:rsid w:val="631226BF"/>
    <w:rsid w:val="633A6D24"/>
    <w:rsid w:val="63B24F69"/>
    <w:rsid w:val="63D71A8D"/>
    <w:rsid w:val="648373FE"/>
    <w:rsid w:val="649654A5"/>
    <w:rsid w:val="649E7351"/>
    <w:rsid w:val="64C608DC"/>
    <w:rsid w:val="64D35A12"/>
    <w:rsid w:val="64EE6A3D"/>
    <w:rsid w:val="650621ED"/>
    <w:rsid w:val="65223476"/>
    <w:rsid w:val="65397009"/>
    <w:rsid w:val="654B3E73"/>
    <w:rsid w:val="658F51D6"/>
    <w:rsid w:val="65A87445"/>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8E63EB3"/>
    <w:rsid w:val="692769A5"/>
    <w:rsid w:val="695E1A8A"/>
    <w:rsid w:val="69925493"/>
    <w:rsid w:val="69A87FAE"/>
    <w:rsid w:val="69AF0896"/>
    <w:rsid w:val="69B932CA"/>
    <w:rsid w:val="69BD7473"/>
    <w:rsid w:val="69D25890"/>
    <w:rsid w:val="69D3470F"/>
    <w:rsid w:val="69E210D0"/>
    <w:rsid w:val="6A0B6F53"/>
    <w:rsid w:val="6A49484D"/>
    <w:rsid w:val="6A4D70F5"/>
    <w:rsid w:val="6A6E0431"/>
    <w:rsid w:val="6B243303"/>
    <w:rsid w:val="6B3E3B32"/>
    <w:rsid w:val="6BB27F94"/>
    <w:rsid w:val="6BE12A78"/>
    <w:rsid w:val="6BE97901"/>
    <w:rsid w:val="6C0E0C99"/>
    <w:rsid w:val="6C1A459F"/>
    <w:rsid w:val="6C231029"/>
    <w:rsid w:val="6C473860"/>
    <w:rsid w:val="6C526115"/>
    <w:rsid w:val="6CB50475"/>
    <w:rsid w:val="6D0155A0"/>
    <w:rsid w:val="6D0E0914"/>
    <w:rsid w:val="6D5676AD"/>
    <w:rsid w:val="6D5E5D56"/>
    <w:rsid w:val="6DD7739B"/>
    <w:rsid w:val="6DD87796"/>
    <w:rsid w:val="6DF02879"/>
    <w:rsid w:val="6E054DDB"/>
    <w:rsid w:val="6E275B77"/>
    <w:rsid w:val="6E2A5362"/>
    <w:rsid w:val="6E2B408F"/>
    <w:rsid w:val="6E5A5B28"/>
    <w:rsid w:val="6E7F1C54"/>
    <w:rsid w:val="6EB827B4"/>
    <w:rsid w:val="6F1D243F"/>
    <w:rsid w:val="6F257DF2"/>
    <w:rsid w:val="6F4B4500"/>
    <w:rsid w:val="6F5C1F72"/>
    <w:rsid w:val="6F833A4D"/>
    <w:rsid w:val="6FCA05E6"/>
    <w:rsid w:val="6FD04AB8"/>
    <w:rsid w:val="702D0EC6"/>
    <w:rsid w:val="70356B3D"/>
    <w:rsid w:val="70A66401"/>
    <w:rsid w:val="70AA53C8"/>
    <w:rsid w:val="70B44FAD"/>
    <w:rsid w:val="70BB0BD1"/>
    <w:rsid w:val="70F6746C"/>
    <w:rsid w:val="70F71A00"/>
    <w:rsid w:val="70FB6193"/>
    <w:rsid w:val="71057209"/>
    <w:rsid w:val="711B574E"/>
    <w:rsid w:val="7145419B"/>
    <w:rsid w:val="71754669"/>
    <w:rsid w:val="718E7484"/>
    <w:rsid w:val="71994187"/>
    <w:rsid w:val="71A67318"/>
    <w:rsid w:val="71C814AA"/>
    <w:rsid w:val="71EC11A1"/>
    <w:rsid w:val="72280CDC"/>
    <w:rsid w:val="72407297"/>
    <w:rsid w:val="724E4B1F"/>
    <w:rsid w:val="72C144FE"/>
    <w:rsid w:val="730C63E7"/>
    <w:rsid w:val="73543DCA"/>
    <w:rsid w:val="73634689"/>
    <w:rsid w:val="736F5B51"/>
    <w:rsid w:val="737D4ACE"/>
    <w:rsid w:val="73D72F5E"/>
    <w:rsid w:val="73DC320D"/>
    <w:rsid w:val="73F4368B"/>
    <w:rsid w:val="742D4A77"/>
    <w:rsid w:val="74414561"/>
    <w:rsid w:val="7475188B"/>
    <w:rsid w:val="74A35743"/>
    <w:rsid w:val="74BC7E20"/>
    <w:rsid w:val="74E408E3"/>
    <w:rsid w:val="74EE1CDE"/>
    <w:rsid w:val="751205E1"/>
    <w:rsid w:val="75371D1E"/>
    <w:rsid w:val="753A4C00"/>
    <w:rsid w:val="75490E4E"/>
    <w:rsid w:val="756966A4"/>
    <w:rsid w:val="75B972FC"/>
    <w:rsid w:val="75DA5746"/>
    <w:rsid w:val="76561A33"/>
    <w:rsid w:val="76630022"/>
    <w:rsid w:val="76D65A80"/>
    <w:rsid w:val="76E61C4D"/>
    <w:rsid w:val="77325581"/>
    <w:rsid w:val="77344E49"/>
    <w:rsid w:val="77557DA7"/>
    <w:rsid w:val="775D72DC"/>
    <w:rsid w:val="776202C3"/>
    <w:rsid w:val="776540A3"/>
    <w:rsid w:val="776A18F9"/>
    <w:rsid w:val="777D2F3D"/>
    <w:rsid w:val="778952B3"/>
    <w:rsid w:val="77A21158"/>
    <w:rsid w:val="77B3459C"/>
    <w:rsid w:val="78340711"/>
    <w:rsid w:val="783E4214"/>
    <w:rsid w:val="78705C4D"/>
    <w:rsid w:val="78776C54"/>
    <w:rsid w:val="788108BE"/>
    <w:rsid w:val="792E5ECC"/>
    <w:rsid w:val="795E0D28"/>
    <w:rsid w:val="79631129"/>
    <w:rsid w:val="796F13F5"/>
    <w:rsid w:val="79757FA7"/>
    <w:rsid w:val="797C5B10"/>
    <w:rsid w:val="798419F4"/>
    <w:rsid w:val="79862D88"/>
    <w:rsid w:val="799F44A4"/>
    <w:rsid w:val="79D25A4C"/>
    <w:rsid w:val="79F07938"/>
    <w:rsid w:val="7A0E0922"/>
    <w:rsid w:val="7A1B7EA6"/>
    <w:rsid w:val="7A2A5D44"/>
    <w:rsid w:val="7A3E66B9"/>
    <w:rsid w:val="7AD7668F"/>
    <w:rsid w:val="7B1D0559"/>
    <w:rsid w:val="7B230521"/>
    <w:rsid w:val="7B3C7569"/>
    <w:rsid w:val="7B6E3B9B"/>
    <w:rsid w:val="7B8A32FE"/>
    <w:rsid w:val="7B8B11CA"/>
    <w:rsid w:val="7B925F54"/>
    <w:rsid w:val="7BBE5677"/>
    <w:rsid w:val="7C0B5F1D"/>
    <w:rsid w:val="7C0D0ADC"/>
    <w:rsid w:val="7C4B636E"/>
    <w:rsid w:val="7C54761B"/>
    <w:rsid w:val="7C7C65CB"/>
    <w:rsid w:val="7C9574A6"/>
    <w:rsid w:val="7CD641FE"/>
    <w:rsid w:val="7CDE588D"/>
    <w:rsid w:val="7CFD6558"/>
    <w:rsid w:val="7D056BA0"/>
    <w:rsid w:val="7D0B2692"/>
    <w:rsid w:val="7D8249FF"/>
    <w:rsid w:val="7DD5063C"/>
    <w:rsid w:val="7DDE2DCC"/>
    <w:rsid w:val="7E200FC1"/>
    <w:rsid w:val="7E531C3F"/>
    <w:rsid w:val="7E7A7DA5"/>
    <w:rsid w:val="7E862707"/>
    <w:rsid w:val="7EBC03A9"/>
    <w:rsid w:val="7EDB7BBE"/>
    <w:rsid w:val="7EE23B29"/>
    <w:rsid w:val="7F082F93"/>
    <w:rsid w:val="7F08327B"/>
    <w:rsid w:val="7F0F1615"/>
    <w:rsid w:val="7F3656C2"/>
    <w:rsid w:val="7F6623F5"/>
    <w:rsid w:val="7F6F4608"/>
    <w:rsid w:val="7F7E7CC5"/>
    <w:rsid w:val="7F983B28"/>
    <w:rsid w:val="7FBA4F9E"/>
    <w:rsid w:val="7FC31BEB"/>
    <w:rsid w:val="7FE01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69"/>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71"/>
    <w:autoRedefine/>
    <w:semiHidden/>
    <w:qFormat/>
    <w:uiPriority w:val="0"/>
    <w:pPr>
      <w:shd w:val="clear" w:color="auto" w:fill="000080"/>
    </w:pPr>
  </w:style>
  <w:style w:type="paragraph" w:styleId="15">
    <w:name w:val="toa heading"/>
    <w:basedOn w:val="1"/>
    <w:next w:val="1"/>
    <w:autoRedefine/>
    <w:qFormat/>
    <w:uiPriority w:val="0"/>
    <w:rPr>
      <w:rFonts w:ascii="Arial" w:hAnsi="Arial"/>
      <w:sz w:val="24"/>
    </w:rPr>
  </w:style>
  <w:style w:type="paragraph" w:styleId="16">
    <w:name w:val="annotation text"/>
    <w:basedOn w:val="1"/>
    <w:link w:val="59"/>
    <w:autoRedefine/>
    <w:qFormat/>
    <w:uiPriority w:val="99"/>
    <w:pPr>
      <w:jc w:val="left"/>
    </w:pPr>
  </w:style>
  <w:style w:type="paragraph" w:styleId="17">
    <w:name w:val="Body Text 3"/>
    <w:basedOn w:val="1"/>
    <w:link w:val="68"/>
    <w:autoRedefine/>
    <w:qFormat/>
    <w:uiPriority w:val="0"/>
    <w:rPr>
      <w:sz w:val="24"/>
    </w:rPr>
  </w:style>
  <w:style w:type="paragraph" w:styleId="18">
    <w:name w:val="Body Text"/>
    <w:basedOn w:val="1"/>
    <w:next w:val="19"/>
    <w:link w:val="63"/>
    <w:autoRedefine/>
    <w:qFormat/>
    <w:uiPriority w:val="99"/>
    <w:pPr>
      <w:spacing w:after="120"/>
    </w:pPr>
    <w:rPr>
      <w:rFonts w:hint="eastAsia" w:hAnsi="宋体" w:cs="宋体"/>
      <w:szCs w:val="34"/>
    </w:rPr>
  </w:style>
  <w:style w:type="paragraph" w:styleId="19">
    <w:name w:val="Body Text 2"/>
    <w:basedOn w:val="1"/>
    <w:next w:val="18"/>
    <w:autoRedefine/>
    <w:qFormat/>
    <w:uiPriority w:val="99"/>
    <w:pPr>
      <w:spacing w:line="900" w:lineRule="exact"/>
      <w:jc w:val="center"/>
    </w:pPr>
    <w:rPr>
      <w:rFonts w:eastAsia="楷体_GB2312"/>
      <w:b/>
      <w:bCs/>
      <w:sz w:val="36"/>
      <w:szCs w:val="36"/>
    </w:rPr>
  </w:style>
  <w:style w:type="paragraph" w:styleId="20">
    <w:name w:val="Body Text Indent"/>
    <w:basedOn w:val="1"/>
    <w:next w:val="1"/>
    <w:link w:val="64"/>
    <w:autoRedefine/>
    <w:qFormat/>
    <w:uiPriority w:val="99"/>
    <w:pPr>
      <w:spacing w:after="120"/>
      <w:ind w:left="420" w:leftChars="200"/>
    </w:pPr>
  </w:style>
  <w:style w:type="paragraph" w:styleId="21">
    <w:name w:val="toc 3"/>
    <w:basedOn w:val="1"/>
    <w:next w:val="1"/>
    <w:autoRedefine/>
    <w:semiHidden/>
    <w:qFormat/>
    <w:uiPriority w:val="0"/>
    <w:pPr>
      <w:ind w:left="840" w:leftChars="400"/>
    </w:pPr>
  </w:style>
  <w:style w:type="paragraph" w:styleId="22">
    <w:name w:val="Plain Text"/>
    <w:basedOn w:val="1"/>
    <w:link w:val="72"/>
    <w:autoRedefine/>
    <w:qFormat/>
    <w:uiPriority w:val="0"/>
    <w:rPr>
      <w:rFonts w:hAnsi="Courier New" w:cs="Courier New"/>
      <w:szCs w:val="21"/>
    </w:rPr>
  </w:style>
  <w:style w:type="paragraph" w:styleId="23">
    <w:name w:val="Date"/>
    <w:basedOn w:val="1"/>
    <w:next w:val="1"/>
    <w:link w:val="65"/>
    <w:autoRedefine/>
    <w:qFormat/>
    <w:uiPriority w:val="0"/>
    <w:pPr>
      <w:ind w:left="100" w:leftChars="2500"/>
    </w:pPr>
  </w:style>
  <w:style w:type="paragraph" w:styleId="24">
    <w:name w:val="Balloon Text"/>
    <w:basedOn w:val="1"/>
    <w:link w:val="73"/>
    <w:autoRedefine/>
    <w:qFormat/>
    <w:uiPriority w:val="99"/>
    <w:rPr>
      <w:sz w:val="18"/>
      <w:szCs w:val="18"/>
    </w:rPr>
  </w:style>
  <w:style w:type="paragraph" w:styleId="25">
    <w:name w:val="footer"/>
    <w:basedOn w:val="1"/>
    <w:link w:val="61"/>
    <w:autoRedefine/>
    <w:qFormat/>
    <w:uiPriority w:val="99"/>
    <w:pPr>
      <w:tabs>
        <w:tab w:val="center" w:pos="4153"/>
        <w:tab w:val="right" w:pos="8306"/>
      </w:tabs>
      <w:snapToGrid w:val="0"/>
      <w:jc w:val="left"/>
    </w:pPr>
    <w:rPr>
      <w:sz w:val="18"/>
      <w:szCs w:val="18"/>
    </w:rPr>
  </w:style>
  <w:style w:type="paragraph" w:styleId="26">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70"/>
    <w:autoRedefine/>
    <w:qFormat/>
    <w:uiPriority w:val="0"/>
    <w:pPr>
      <w:ind w:firstLine="420" w:firstLineChars="200"/>
    </w:pPr>
    <w:rPr>
      <w:rFonts w:hAnsi="宋体"/>
    </w:rPr>
  </w:style>
  <w:style w:type="paragraph" w:styleId="29">
    <w:name w:val="table of figures"/>
    <w:basedOn w:val="1"/>
    <w:next w:val="1"/>
    <w:autoRedefine/>
    <w:qFormat/>
    <w:uiPriority w:val="0"/>
    <w:pPr>
      <w:ind w:left="200" w:leftChars="200" w:hanging="200" w:hangingChars="200"/>
    </w:pPr>
  </w:style>
  <w:style w:type="paragraph" w:styleId="30">
    <w:name w:val="Message Header"/>
    <w:basedOn w:val="1"/>
    <w:next w:val="1"/>
    <w:link w:val="5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6"/>
    <w:next w:val="16"/>
    <w:link w:val="126"/>
    <w:autoRedefine/>
    <w:unhideWhenUsed/>
    <w:qFormat/>
    <w:uiPriority w:val="99"/>
    <w:rPr>
      <w:b/>
      <w:bCs/>
    </w:rPr>
  </w:style>
  <w:style w:type="paragraph" w:styleId="35">
    <w:name w:val="Body Text First Indent"/>
    <w:basedOn w:val="18"/>
    <w:next w:val="36"/>
    <w:link w:val="66"/>
    <w:autoRedefine/>
    <w:qFormat/>
    <w:uiPriority w:val="99"/>
    <w:pPr>
      <w:ind w:firstLine="420" w:firstLineChars="100"/>
    </w:pPr>
  </w:style>
  <w:style w:type="paragraph" w:styleId="36">
    <w:name w:val="Body Text First Indent 2"/>
    <w:basedOn w:val="20"/>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unhideWhenUsed/>
    <w:qFormat/>
    <w:uiPriority w:val="99"/>
    <w:rPr>
      <w:sz w:val="21"/>
      <w:szCs w:val="21"/>
    </w:rPr>
  </w:style>
  <w:style w:type="paragraph" w:customStyle="1" w:styleId="46">
    <w:name w:val="Blockquote"/>
    <w:basedOn w:val="1"/>
    <w:next w:val="1"/>
    <w:autoRedefine/>
    <w:qFormat/>
    <w:uiPriority w:val="0"/>
    <w:pPr>
      <w:autoSpaceDE w:val="0"/>
      <w:autoSpaceDN w:val="0"/>
      <w:adjustRightInd w:val="0"/>
      <w:ind w:left="360" w:right="360"/>
      <w:jc w:val="left"/>
    </w:pPr>
    <w:rPr>
      <w:kern w:val="0"/>
      <w:sz w:val="24"/>
      <w:szCs w:val="20"/>
    </w:rPr>
  </w:style>
  <w:style w:type="paragraph" w:customStyle="1" w:styleId="47">
    <w:name w:val="Default"/>
    <w:next w:val="2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_Style 2"/>
    <w:basedOn w:val="1"/>
    <w:next w:val="1"/>
    <w:autoRedefine/>
    <w:qFormat/>
    <w:uiPriority w:val="0"/>
    <w:pPr>
      <w:ind w:firstLine="420" w:firstLineChars="200"/>
    </w:pPr>
  </w:style>
  <w:style w:type="character" w:customStyle="1" w:styleId="49">
    <w:name w:val="标题 1 字符"/>
    <w:basedOn w:val="39"/>
    <w:link w:val="3"/>
    <w:autoRedefine/>
    <w:qFormat/>
    <w:uiPriority w:val="9"/>
    <w:rPr>
      <w:rFonts w:ascii="宋体" w:hAnsi="Times New Roman"/>
      <w:b/>
      <w:bCs/>
      <w:kern w:val="44"/>
      <w:sz w:val="44"/>
      <w:szCs w:val="44"/>
    </w:rPr>
  </w:style>
  <w:style w:type="character" w:customStyle="1" w:styleId="50">
    <w:name w:val="信息标题 字符"/>
    <w:basedOn w:val="39"/>
    <w:link w:val="30"/>
    <w:autoRedefine/>
    <w:qFormat/>
    <w:uiPriority w:val="0"/>
    <w:rPr>
      <w:rFonts w:ascii="Arial" w:hAnsi="Arial" w:cstheme="majorBidi"/>
      <w:sz w:val="24"/>
      <w:shd w:val="pct20" w:color="auto" w:fill="auto"/>
    </w:rPr>
  </w:style>
  <w:style w:type="character" w:customStyle="1" w:styleId="51">
    <w:name w:val="标题 2 字符"/>
    <w:link w:val="4"/>
    <w:autoRedefine/>
    <w:qFormat/>
    <w:uiPriority w:val="0"/>
    <w:rPr>
      <w:rFonts w:ascii="Arial" w:hAnsi="Arial" w:eastAsia="黑体"/>
      <w:b/>
      <w:bCs/>
      <w:kern w:val="2"/>
      <w:sz w:val="32"/>
      <w:szCs w:val="32"/>
      <w:lang w:val="en-US" w:eastAsia="zh-CN" w:bidi="ar-SA"/>
    </w:rPr>
  </w:style>
  <w:style w:type="character" w:customStyle="1" w:styleId="52">
    <w:name w:val="标题 3 字符"/>
    <w:basedOn w:val="39"/>
    <w:link w:val="5"/>
    <w:autoRedefine/>
    <w:qFormat/>
    <w:uiPriority w:val="0"/>
    <w:rPr>
      <w:rFonts w:ascii="宋体" w:hAnsi="Times New Roman"/>
      <w:b/>
      <w:bCs/>
      <w:sz w:val="32"/>
      <w:szCs w:val="32"/>
    </w:rPr>
  </w:style>
  <w:style w:type="character" w:customStyle="1" w:styleId="53">
    <w:name w:val="标题 4 字符"/>
    <w:basedOn w:val="39"/>
    <w:link w:val="6"/>
    <w:autoRedefine/>
    <w:qFormat/>
    <w:uiPriority w:val="0"/>
    <w:rPr>
      <w:rFonts w:ascii="Arial" w:hAnsi="Arial"/>
      <w:b/>
      <w:bCs/>
      <w:sz w:val="34"/>
      <w:szCs w:val="28"/>
    </w:rPr>
  </w:style>
  <w:style w:type="character" w:customStyle="1" w:styleId="54">
    <w:name w:val="标题 5 字符"/>
    <w:basedOn w:val="39"/>
    <w:link w:val="7"/>
    <w:autoRedefine/>
    <w:qFormat/>
    <w:uiPriority w:val="0"/>
    <w:rPr>
      <w:rFonts w:ascii="宋体" w:hAnsi="Times New Roman"/>
      <w:b/>
      <w:bCs/>
      <w:sz w:val="28"/>
      <w:szCs w:val="28"/>
    </w:rPr>
  </w:style>
  <w:style w:type="character" w:customStyle="1" w:styleId="55">
    <w:name w:val="标题 6 字符"/>
    <w:basedOn w:val="39"/>
    <w:link w:val="8"/>
    <w:autoRedefine/>
    <w:qFormat/>
    <w:uiPriority w:val="0"/>
    <w:rPr>
      <w:rFonts w:ascii="Arial" w:hAnsi="Arial" w:eastAsia="黑体"/>
      <w:b/>
      <w:bCs/>
      <w:sz w:val="24"/>
    </w:rPr>
  </w:style>
  <w:style w:type="character" w:customStyle="1" w:styleId="56">
    <w:name w:val="标题 7 字符"/>
    <w:basedOn w:val="39"/>
    <w:link w:val="9"/>
    <w:autoRedefine/>
    <w:qFormat/>
    <w:uiPriority w:val="0"/>
    <w:rPr>
      <w:rFonts w:ascii="宋体" w:hAnsi="Times New Roman"/>
      <w:b/>
      <w:bCs/>
      <w:sz w:val="24"/>
    </w:rPr>
  </w:style>
  <w:style w:type="character" w:customStyle="1" w:styleId="57">
    <w:name w:val="标题 8 字符"/>
    <w:basedOn w:val="39"/>
    <w:link w:val="10"/>
    <w:autoRedefine/>
    <w:qFormat/>
    <w:uiPriority w:val="0"/>
    <w:rPr>
      <w:rFonts w:ascii="Arial" w:hAnsi="Arial" w:eastAsia="黑体"/>
      <w:sz w:val="24"/>
    </w:rPr>
  </w:style>
  <w:style w:type="character" w:customStyle="1" w:styleId="58">
    <w:name w:val="标题 9 字符"/>
    <w:basedOn w:val="39"/>
    <w:link w:val="11"/>
    <w:autoRedefine/>
    <w:qFormat/>
    <w:uiPriority w:val="0"/>
    <w:rPr>
      <w:rFonts w:ascii="Arial" w:hAnsi="Arial" w:eastAsia="黑体"/>
      <w:sz w:val="34"/>
      <w:szCs w:val="21"/>
    </w:rPr>
  </w:style>
  <w:style w:type="character" w:customStyle="1" w:styleId="59">
    <w:name w:val="批注文字 字符"/>
    <w:basedOn w:val="39"/>
    <w:link w:val="16"/>
    <w:autoRedefine/>
    <w:qFormat/>
    <w:uiPriority w:val="99"/>
    <w:rPr>
      <w:rFonts w:ascii="宋体" w:hAnsi="Times New Roman"/>
      <w:sz w:val="34"/>
    </w:rPr>
  </w:style>
  <w:style w:type="character" w:customStyle="1" w:styleId="60">
    <w:name w:val="页眉 字符"/>
    <w:basedOn w:val="39"/>
    <w:link w:val="26"/>
    <w:autoRedefine/>
    <w:qFormat/>
    <w:uiPriority w:val="99"/>
    <w:rPr>
      <w:rFonts w:ascii="宋体"/>
      <w:sz w:val="18"/>
      <w:szCs w:val="18"/>
    </w:rPr>
  </w:style>
  <w:style w:type="character" w:customStyle="1" w:styleId="61">
    <w:name w:val="页脚 字符"/>
    <w:link w:val="25"/>
    <w:autoRedefine/>
    <w:qFormat/>
    <w:uiPriority w:val="99"/>
    <w:rPr>
      <w:kern w:val="2"/>
      <w:sz w:val="18"/>
      <w:szCs w:val="18"/>
    </w:rPr>
  </w:style>
  <w:style w:type="character" w:customStyle="1" w:styleId="62">
    <w:name w:val="标题 字符"/>
    <w:basedOn w:val="39"/>
    <w:link w:val="33"/>
    <w:autoRedefine/>
    <w:qFormat/>
    <w:uiPriority w:val="0"/>
    <w:rPr>
      <w:rFonts w:ascii="Arial" w:hAnsi="Arial"/>
      <w:b/>
      <w:sz w:val="32"/>
    </w:rPr>
  </w:style>
  <w:style w:type="character" w:customStyle="1" w:styleId="63">
    <w:name w:val="正文文本 字符"/>
    <w:basedOn w:val="39"/>
    <w:link w:val="18"/>
    <w:autoRedefine/>
    <w:qFormat/>
    <w:uiPriority w:val="99"/>
    <w:rPr>
      <w:rFonts w:hint="eastAsia" w:ascii="宋体" w:hAnsi="宋体" w:eastAsia="宋体" w:cs="宋体"/>
      <w:sz w:val="34"/>
      <w:szCs w:val="34"/>
    </w:rPr>
  </w:style>
  <w:style w:type="character" w:customStyle="1" w:styleId="64">
    <w:name w:val="正文文本缩进 字符"/>
    <w:basedOn w:val="39"/>
    <w:link w:val="20"/>
    <w:autoRedefine/>
    <w:qFormat/>
    <w:uiPriority w:val="0"/>
    <w:rPr>
      <w:rFonts w:ascii="宋体" w:hAnsi="Times New Roman"/>
      <w:sz w:val="34"/>
    </w:rPr>
  </w:style>
  <w:style w:type="character" w:customStyle="1" w:styleId="65">
    <w:name w:val="日期 字符"/>
    <w:basedOn w:val="39"/>
    <w:link w:val="23"/>
    <w:autoRedefine/>
    <w:qFormat/>
    <w:uiPriority w:val="0"/>
    <w:rPr>
      <w:rFonts w:ascii="宋体" w:hAnsi="Times New Roman"/>
      <w:sz w:val="34"/>
    </w:rPr>
  </w:style>
  <w:style w:type="character" w:customStyle="1" w:styleId="66">
    <w:name w:val="正文文本首行缩进 字符"/>
    <w:basedOn w:val="63"/>
    <w:link w:val="35"/>
    <w:autoRedefine/>
    <w:qFormat/>
    <w:uiPriority w:val="99"/>
    <w:rPr>
      <w:rFonts w:hint="eastAsia" w:ascii="宋体" w:hAnsi="宋体" w:eastAsia="宋体" w:cs="宋体"/>
      <w:sz w:val="34"/>
      <w:szCs w:val="34"/>
    </w:rPr>
  </w:style>
  <w:style w:type="character" w:customStyle="1" w:styleId="67">
    <w:name w:val="正文文本首行缩进 2 字符"/>
    <w:basedOn w:val="64"/>
    <w:link w:val="36"/>
    <w:autoRedefine/>
    <w:qFormat/>
    <w:uiPriority w:val="0"/>
    <w:rPr>
      <w:rFonts w:ascii="仿宋_GB2312" w:hAnsi="仿宋_GB2312"/>
      <w:sz w:val="34"/>
      <w:szCs w:val="30"/>
      <w:lang w:eastAsia="en-US"/>
    </w:rPr>
  </w:style>
  <w:style w:type="character" w:customStyle="1" w:styleId="68">
    <w:name w:val="正文文本 3 字符"/>
    <w:basedOn w:val="39"/>
    <w:link w:val="17"/>
    <w:autoRedefine/>
    <w:qFormat/>
    <w:uiPriority w:val="0"/>
    <w:rPr>
      <w:rFonts w:ascii="宋体" w:hAnsi="Times New Roman"/>
      <w:sz w:val="24"/>
    </w:rPr>
  </w:style>
  <w:style w:type="character" w:customStyle="1" w:styleId="69">
    <w:name w:val="正文文本缩进 2 字符"/>
    <w:basedOn w:val="39"/>
    <w:link w:val="2"/>
    <w:autoRedefine/>
    <w:qFormat/>
    <w:uiPriority w:val="0"/>
    <w:rPr>
      <w:rFonts w:ascii="宋体" w:hAnsi="Times New Roman"/>
      <w:sz w:val="34"/>
    </w:rPr>
  </w:style>
  <w:style w:type="character" w:customStyle="1" w:styleId="70">
    <w:name w:val="正文文本缩进 3 字符"/>
    <w:basedOn w:val="39"/>
    <w:link w:val="28"/>
    <w:autoRedefine/>
    <w:qFormat/>
    <w:uiPriority w:val="0"/>
    <w:rPr>
      <w:rFonts w:ascii="宋体" w:hAnsi="宋体"/>
      <w:sz w:val="34"/>
    </w:rPr>
  </w:style>
  <w:style w:type="character" w:customStyle="1" w:styleId="71">
    <w:name w:val="文档结构图 字符"/>
    <w:basedOn w:val="39"/>
    <w:link w:val="14"/>
    <w:autoRedefine/>
    <w:semiHidden/>
    <w:qFormat/>
    <w:uiPriority w:val="0"/>
    <w:rPr>
      <w:rFonts w:ascii="宋体" w:hAnsi="Times New Roman"/>
      <w:sz w:val="34"/>
      <w:shd w:val="clear" w:color="auto" w:fill="000080"/>
    </w:rPr>
  </w:style>
  <w:style w:type="character" w:customStyle="1" w:styleId="72">
    <w:name w:val="纯文本 字符"/>
    <w:link w:val="22"/>
    <w:autoRedefine/>
    <w:qFormat/>
    <w:uiPriority w:val="0"/>
    <w:rPr>
      <w:rFonts w:ascii="宋体" w:hAnsi="Courier New" w:eastAsia="宋体" w:cs="Courier New"/>
      <w:kern w:val="2"/>
      <w:sz w:val="21"/>
      <w:szCs w:val="21"/>
      <w:lang w:val="en-US" w:eastAsia="zh-CN" w:bidi="ar-SA"/>
    </w:rPr>
  </w:style>
  <w:style w:type="character" w:customStyle="1" w:styleId="73">
    <w:name w:val="批注框文本 字符"/>
    <w:basedOn w:val="39"/>
    <w:link w:val="24"/>
    <w:autoRedefine/>
    <w:semiHidden/>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39"/>
    <w:autoRedefine/>
    <w:qFormat/>
    <w:uiPriority w:val="0"/>
  </w:style>
  <w:style w:type="character" w:customStyle="1" w:styleId="76">
    <w:name w:val="textcontents"/>
    <w:basedOn w:val="39"/>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39"/>
    <w:autoRedefine/>
    <w:qFormat/>
    <w:uiPriority w:val="0"/>
  </w:style>
  <w:style w:type="character" w:customStyle="1" w:styleId="79">
    <w:name w:val="tit"/>
    <w:basedOn w:val="39"/>
    <w:autoRedefine/>
    <w:qFormat/>
    <w:uiPriority w:val="0"/>
  </w:style>
  <w:style w:type="character" w:customStyle="1" w:styleId="80">
    <w:name w:val="sl"/>
    <w:basedOn w:val="39"/>
    <w:autoRedefine/>
    <w:qFormat/>
    <w:uiPriority w:val="0"/>
  </w:style>
  <w:style w:type="character" w:customStyle="1" w:styleId="81">
    <w:name w:val="up"/>
    <w:basedOn w:val="39"/>
    <w:autoRedefine/>
    <w:qFormat/>
    <w:uiPriority w:val="0"/>
  </w:style>
  <w:style w:type="character" w:customStyle="1" w:styleId="82">
    <w:name w:val="lsr"/>
    <w:basedOn w:val="39"/>
    <w:autoRedefine/>
    <w:qFormat/>
    <w:uiPriority w:val="0"/>
  </w:style>
  <w:style w:type="character" w:customStyle="1" w:styleId="83">
    <w:name w:val="cpb"/>
    <w:autoRedefine/>
    <w:qFormat/>
    <w:uiPriority w:val="0"/>
    <w:rPr>
      <w:color w:val="FFFFFF"/>
    </w:rPr>
  </w:style>
  <w:style w:type="character" w:customStyle="1" w:styleId="84">
    <w:name w:val="sr"/>
    <w:basedOn w:val="39"/>
    <w:autoRedefine/>
    <w:qFormat/>
    <w:uiPriority w:val="0"/>
  </w:style>
  <w:style w:type="character" w:customStyle="1" w:styleId="85">
    <w:name w:val="apple-converted-space"/>
    <w:basedOn w:val="39"/>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39"/>
    <w:autoRedefine/>
    <w:qFormat/>
    <w:uiPriority w:val="0"/>
    <w:rPr>
      <w:color w:val="0371C6"/>
      <w:sz w:val="21"/>
      <w:szCs w:val="21"/>
    </w:rPr>
  </w:style>
  <w:style w:type="character" w:customStyle="1" w:styleId="107">
    <w:name w:val="gb-jt"/>
    <w:basedOn w:val="39"/>
    <w:autoRedefine/>
    <w:qFormat/>
    <w:uiPriority w:val="0"/>
  </w:style>
  <w:style w:type="character" w:customStyle="1" w:styleId="108">
    <w:name w:val="red"/>
    <w:basedOn w:val="39"/>
    <w:autoRedefine/>
    <w:qFormat/>
    <w:uiPriority w:val="0"/>
    <w:rPr>
      <w:color w:val="FF0000"/>
      <w:sz w:val="18"/>
      <w:szCs w:val="18"/>
    </w:rPr>
  </w:style>
  <w:style w:type="character" w:customStyle="1" w:styleId="109">
    <w:name w:val="red1"/>
    <w:basedOn w:val="39"/>
    <w:autoRedefine/>
    <w:qFormat/>
    <w:uiPriority w:val="0"/>
    <w:rPr>
      <w:color w:val="FF0000"/>
      <w:sz w:val="18"/>
      <w:szCs w:val="18"/>
    </w:rPr>
  </w:style>
  <w:style w:type="character" w:customStyle="1" w:styleId="110">
    <w:name w:val="red2"/>
    <w:basedOn w:val="39"/>
    <w:autoRedefine/>
    <w:qFormat/>
    <w:uiPriority w:val="0"/>
    <w:rPr>
      <w:color w:val="FF0000"/>
    </w:rPr>
  </w:style>
  <w:style w:type="character" w:customStyle="1" w:styleId="111">
    <w:name w:val="green"/>
    <w:basedOn w:val="39"/>
    <w:autoRedefine/>
    <w:qFormat/>
    <w:uiPriority w:val="0"/>
    <w:rPr>
      <w:color w:val="66AE00"/>
      <w:sz w:val="18"/>
      <w:szCs w:val="18"/>
    </w:rPr>
  </w:style>
  <w:style w:type="character" w:customStyle="1" w:styleId="112">
    <w:name w:val="green1"/>
    <w:basedOn w:val="39"/>
    <w:autoRedefine/>
    <w:qFormat/>
    <w:uiPriority w:val="0"/>
    <w:rPr>
      <w:color w:val="66AE00"/>
      <w:sz w:val="18"/>
      <w:szCs w:val="18"/>
    </w:rPr>
  </w:style>
  <w:style w:type="character" w:customStyle="1" w:styleId="113">
    <w:name w:val="hover25"/>
    <w:basedOn w:val="39"/>
    <w:autoRedefine/>
    <w:qFormat/>
    <w:uiPriority w:val="0"/>
  </w:style>
  <w:style w:type="character" w:customStyle="1" w:styleId="114">
    <w:name w:val="right"/>
    <w:basedOn w:val="39"/>
    <w:autoRedefine/>
    <w:qFormat/>
    <w:uiPriority w:val="0"/>
    <w:rPr>
      <w:color w:val="999999"/>
      <w:sz w:val="18"/>
      <w:szCs w:val="18"/>
    </w:rPr>
  </w:style>
  <w:style w:type="character" w:customStyle="1" w:styleId="115">
    <w:name w:val="hover"/>
    <w:basedOn w:val="39"/>
    <w:autoRedefine/>
    <w:qFormat/>
    <w:uiPriority w:val="0"/>
  </w:style>
  <w:style w:type="character" w:customStyle="1" w:styleId="116">
    <w:name w:val="red3"/>
    <w:basedOn w:val="39"/>
    <w:autoRedefine/>
    <w:qFormat/>
    <w:uiPriority w:val="0"/>
    <w:rPr>
      <w:color w:val="FF0000"/>
    </w:rPr>
  </w:style>
  <w:style w:type="character" w:customStyle="1" w:styleId="117">
    <w:name w:val="hover24"/>
    <w:basedOn w:val="39"/>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39"/>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39"/>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9"/>
    <w:autoRedefine/>
    <w:qFormat/>
    <w:uiPriority w:val="99"/>
    <w:rPr>
      <w:rFonts w:ascii="宋体" w:hAnsi="Times New Roman"/>
      <w:b/>
      <w:bCs/>
      <w:kern w:val="2"/>
      <w:sz w:val="21"/>
      <w:szCs w:val="22"/>
    </w:rPr>
  </w:style>
  <w:style w:type="character" w:customStyle="1" w:styleId="125">
    <w:name w:val="HTML 预设格式 字符"/>
    <w:basedOn w:val="39"/>
    <w:link w:val="31"/>
    <w:autoRedefine/>
    <w:qFormat/>
    <w:uiPriority w:val="99"/>
    <w:rPr>
      <w:rFonts w:ascii="宋体" w:hAnsi="宋体"/>
      <w:sz w:val="24"/>
      <w:szCs w:val="24"/>
    </w:rPr>
  </w:style>
  <w:style w:type="character" w:customStyle="1" w:styleId="126">
    <w:name w:val="批注主题 字符"/>
    <w:basedOn w:val="59"/>
    <w:link w:val="34"/>
    <w:autoRedefine/>
    <w:semiHidden/>
    <w:qFormat/>
    <w:uiPriority w:val="99"/>
    <w:rPr>
      <w:rFonts w:ascii="宋体" w:hAnsi="Times New Roman"/>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basedOn w:val="39"/>
    <w:autoRedefine/>
    <w:qFormat/>
    <w:uiPriority w:val="0"/>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4">
    <w:name w:val="active4"/>
    <w:basedOn w:val="39"/>
    <w:autoRedefine/>
    <w:qFormat/>
    <w:uiPriority w:val="0"/>
    <w:rPr>
      <w:color w:val="FFFFFF"/>
      <w:shd w:val="clear" w:color="auto" w:fill="2B7AFC"/>
    </w:rPr>
  </w:style>
  <w:style w:type="paragraph" w:customStyle="1" w:styleId="135">
    <w:name w:val="题注1"/>
    <w:basedOn w:val="1"/>
    <w:next w:val="1"/>
    <w:autoRedefine/>
    <w:qFormat/>
    <w:uiPriority w:val="0"/>
    <w:rPr>
      <w:rFonts w:ascii="Arial" w:hAnsi="Arial" w:eastAsia="黑体"/>
      <w:sz w:val="20"/>
      <w:szCs w:val="20"/>
    </w:rPr>
  </w:style>
  <w:style w:type="paragraph" w:customStyle="1" w:styleId="136">
    <w:name w:val="BodyText1I"/>
    <w:basedOn w:val="137"/>
    <w:autoRedefine/>
    <w:qFormat/>
    <w:uiPriority w:val="0"/>
    <w:pPr>
      <w:ind w:firstLine="420" w:firstLineChars="100"/>
    </w:pPr>
    <w:rPr>
      <w:rFonts w:ascii="宋体" w:hAnsi="Times New Roman"/>
      <w:kern w:val="0"/>
      <w:sz w:val="34"/>
      <w:szCs w:val="34"/>
    </w:rPr>
  </w:style>
  <w:style w:type="paragraph" w:customStyle="1" w:styleId="137">
    <w:name w:val="BodyText"/>
    <w:basedOn w:val="1"/>
    <w:autoRedefine/>
    <w:qFormat/>
    <w:uiPriority w:val="0"/>
    <w:pPr>
      <w:spacing w:after="120"/>
    </w:pPr>
  </w:style>
  <w:style w:type="character" w:customStyle="1" w:styleId="138">
    <w:name w:val="active"/>
    <w:basedOn w:val="39"/>
    <w:autoRedefine/>
    <w:qFormat/>
    <w:uiPriority w:val="0"/>
    <w:rPr>
      <w:color w:val="FFFFFF"/>
      <w:shd w:val="clear" w:color="auto" w:fill="2B7AFC"/>
    </w:rPr>
  </w:style>
  <w:style w:type="character" w:customStyle="1" w:styleId="139">
    <w:name w:val="red4"/>
    <w:basedOn w:val="39"/>
    <w:autoRedefine/>
    <w:qFormat/>
    <w:uiPriority w:val="0"/>
    <w:rPr>
      <w:color w:val="FF0000"/>
      <w:sz w:val="18"/>
      <w:szCs w:val="18"/>
    </w:rPr>
  </w:style>
  <w:style w:type="character" w:customStyle="1" w:styleId="140">
    <w:name w:val="red5"/>
    <w:basedOn w:val="39"/>
    <w:autoRedefine/>
    <w:qFormat/>
    <w:uiPriority w:val="0"/>
    <w:rPr>
      <w:color w:val="CC0000"/>
    </w:rPr>
  </w:style>
  <w:style w:type="character" w:customStyle="1" w:styleId="141">
    <w:name w:val="red6"/>
    <w:basedOn w:val="39"/>
    <w:autoRedefine/>
    <w:qFormat/>
    <w:uiPriority w:val="0"/>
    <w:rPr>
      <w:color w:val="FF0000"/>
    </w:rPr>
  </w:style>
  <w:style w:type="character" w:customStyle="1" w:styleId="142">
    <w:name w:val="hover16"/>
    <w:basedOn w:val="39"/>
    <w:autoRedefine/>
    <w:qFormat/>
    <w:uiPriority w:val="0"/>
  </w:style>
  <w:style w:type="paragraph" w:customStyle="1" w:styleId="143">
    <w:name w:val="Table Paragraph"/>
    <w:basedOn w:val="1"/>
    <w:autoRedefine/>
    <w:qFormat/>
    <w:uiPriority w:val="1"/>
    <w:rPr>
      <w:rFonts w:ascii="宋体" w:hAnsi="宋体" w:cs="宋体"/>
      <w:szCs w:val="20"/>
      <w:lang w:val="zh-CN" w:bidi="zh-CN"/>
    </w:rPr>
  </w:style>
  <w:style w:type="paragraph" w:customStyle="1" w:styleId="144">
    <w:name w:val="Table Text"/>
    <w:basedOn w:val="1"/>
    <w:autoRedefine/>
    <w:semiHidden/>
    <w:qFormat/>
    <w:uiPriority w:val="0"/>
    <w:rPr>
      <w:rFonts w:ascii="宋体" w:hAnsi="宋体" w:cs="宋体"/>
      <w:sz w:val="22"/>
      <w:lang w:eastAsia="en-US"/>
    </w:rPr>
  </w:style>
  <w:style w:type="character" w:customStyle="1" w:styleId="145">
    <w:name w:val="red7"/>
    <w:basedOn w:val="39"/>
    <w:autoRedefine/>
    <w:qFormat/>
    <w:uiPriority w:val="0"/>
    <w:rPr>
      <w:color w:val="FF0000"/>
    </w:rPr>
  </w:style>
  <w:style w:type="paragraph" w:customStyle="1" w:styleId="146">
    <w:name w:val="UserStyle_33"/>
    <w:basedOn w:val="1"/>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34387</Words>
  <Characters>36641</Characters>
  <Lines>274</Lines>
  <Paragraphs>77</Paragraphs>
  <TotalTime>10</TotalTime>
  <ScaleCrop>false</ScaleCrop>
  <LinksUpToDate>false</LinksUpToDate>
  <CharactersWithSpaces>37382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小包同志</cp:lastModifiedBy>
  <cp:lastPrinted>2024-04-30T07:09:00Z</cp:lastPrinted>
  <dcterms:modified xsi:type="dcterms:W3CDTF">2024-06-19T03:11:03Z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5075923341C242F4947A8BE80641B907_13</vt:lpwstr>
  </property>
</Properties>
</file>