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AE1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p>
    <w:p w14:paraId="2F44800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襄城县“千乡万村驭风行动”风电试点项目</w:t>
      </w:r>
    </w:p>
    <w:p w14:paraId="08993C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（不见面开标）</w:t>
      </w:r>
    </w:p>
    <w:p w14:paraId="2B1F1D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highlight w:val="yellow"/>
        </w:rPr>
      </w:pPr>
      <w:bookmarkStart w:id="0" w:name="OLE_LINK1"/>
    </w:p>
    <w:bookmarkEnd w:id="0"/>
    <w:p w14:paraId="65DC80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527E41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4A22DA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669B7DB5">
      <w:pPr>
        <w:adjustRightInd w:val="0"/>
        <w:snapToGrid w:val="0"/>
        <w:spacing w:line="276" w:lineRule="auto"/>
        <w:jc w:val="center"/>
        <w:rPr>
          <w:rFonts w:ascii="仿宋" w:hAnsi="仿宋" w:eastAsia="仿宋" w:cs="仿宋"/>
          <w:b/>
          <w:sz w:val="28"/>
        </w:rPr>
      </w:pPr>
      <w:r>
        <w:rPr>
          <w:rFonts w:hint="eastAsia" w:ascii="仿宋" w:hAnsi="仿宋" w:eastAsia="仿宋" w:cs="仿宋"/>
          <w:b/>
          <w:sz w:val="72"/>
          <w:szCs w:val="72"/>
        </w:rPr>
        <w:t>竞争性磋商文件</w:t>
      </w:r>
    </w:p>
    <w:p w14:paraId="635C02D6">
      <w:pPr>
        <w:adjustRightInd w:val="0"/>
        <w:snapToGrid w:val="0"/>
        <w:spacing w:line="276" w:lineRule="auto"/>
        <w:jc w:val="center"/>
        <w:rPr>
          <w:rFonts w:hint="eastAsia" w:ascii="仿宋" w:hAnsi="仿宋" w:eastAsia="仿宋" w:cs="宋体"/>
          <w:b/>
          <w:bCs/>
          <w:color w:val="000000" w:themeColor="text1"/>
          <w:sz w:val="30"/>
          <w:szCs w:val="30"/>
          <w14:textFill>
            <w14:solidFill>
              <w14:schemeClr w14:val="tx1"/>
            </w14:solidFill>
          </w14:textFill>
        </w:rPr>
      </w:pPr>
    </w:p>
    <w:p w14:paraId="185F18E8">
      <w:pPr>
        <w:adjustRightInd w:val="0"/>
        <w:snapToGrid w:val="0"/>
        <w:spacing w:line="276" w:lineRule="auto"/>
        <w:jc w:val="center"/>
        <w:rPr>
          <w:rFonts w:hint="default" w:ascii="仿宋" w:hAnsi="仿宋" w:eastAsia="仿宋" w:cs="宋体"/>
          <w:b/>
          <w:bCs/>
          <w:color w:val="000000" w:themeColor="text1"/>
          <w:sz w:val="30"/>
          <w:szCs w:val="30"/>
          <w:highlight w:val="yellow"/>
          <w:lang w:val="en-US" w:eastAsia="zh-CN"/>
          <w14:textFill>
            <w14:solidFill>
              <w14:schemeClr w14:val="tx1"/>
            </w14:solidFill>
          </w14:textFill>
        </w:rPr>
      </w:pPr>
      <w:r>
        <w:rPr>
          <w:rFonts w:hint="eastAsia" w:ascii="仿宋" w:hAnsi="仿宋" w:eastAsia="仿宋" w:cs="宋体"/>
          <w:b/>
          <w:bCs/>
          <w:color w:val="000000" w:themeColor="text1"/>
          <w:sz w:val="30"/>
          <w:szCs w:val="30"/>
          <w14:textFill>
            <w14:solidFill>
              <w14:schemeClr w14:val="tx1"/>
            </w14:solidFill>
          </w14:textFill>
        </w:rPr>
        <w:t>项目编号：襄财磋商采购-2024-</w:t>
      </w:r>
      <w:r>
        <w:rPr>
          <w:rFonts w:hint="eastAsia" w:ascii="仿宋" w:hAnsi="仿宋" w:eastAsia="仿宋" w:cs="宋体"/>
          <w:b/>
          <w:bCs/>
          <w:color w:val="000000" w:themeColor="text1"/>
          <w:sz w:val="30"/>
          <w:szCs w:val="30"/>
          <w:lang w:val="en-US" w:eastAsia="zh-CN"/>
          <w14:textFill>
            <w14:solidFill>
              <w14:schemeClr w14:val="tx1"/>
            </w14:solidFill>
          </w14:textFill>
        </w:rPr>
        <w:t>51</w:t>
      </w:r>
    </w:p>
    <w:p w14:paraId="609F28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6FB211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74820D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489EF4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13821D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32EE9C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2BC1CDE9">
      <w:pPr>
        <w:autoSpaceDE w:val="0"/>
        <w:autoSpaceDN w:val="0"/>
        <w:adjustRightInd w:val="0"/>
        <w:spacing w:line="700" w:lineRule="exact"/>
        <w:ind w:firstLine="1285" w:firstLineChars="400"/>
        <w:jc w:val="both"/>
        <w:rPr>
          <w:rFonts w:ascii="仿宋" w:hAnsi="仿宋" w:eastAsia="仿宋" w:cs="仿宋"/>
          <w:b/>
          <w:bCs/>
          <w:sz w:val="32"/>
          <w:szCs w:val="36"/>
        </w:rPr>
      </w:pPr>
      <w:r>
        <w:rPr>
          <w:rFonts w:hint="eastAsia" w:ascii="仿宋" w:hAnsi="仿宋" w:eastAsia="仿宋" w:cs="仿宋"/>
          <w:b/>
          <w:bCs/>
          <w:sz w:val="32"/>
          <w:szCs w:val="36"/>
        </w:rPr>
        <w:t>采购单位：襄城县发展和改革委员会</w:t>
      </w:r>
    </w:p>
    <w:p w14:paraId="10D2067B">
      <w:pPr>
        <w:autoSpaceDE w:val="0"/>
        <w:autoSpaceDN w:val="0"/>
        <w:adjustRightInd w:val="0"/>
        <w:spacing w:line="700" w:lineRule="exact"/>
        <w:ind w:firstLine="1285" w:firstLineChars="400"/>
        <w:jc w:val="both"/>
        <w:rPr>
          <w:rFonts w:ascii="仿宋" w:hAnsi="仿宋" w:eastAsia="仿宋" w:cs="仿宋"/>
          <w:b/>
          <w:bCs/>
          <w:sz w:val="32"/>
          <w:szCs w:val="36"/>
        </w:rPr>
      </w:pPr>
      <w:r>
        <w:rPr>
          <w:rFonts w:hint="eastAsia" w:ascii="仿宋" w:hAnsi="仿宋" w:eastAsia="仿宋" w:cs="仿宋"/>
          <w:b/>
          <w:bCs/>
          <w:sz w:val="32"/>
          <w:szCs w:val="36"/>
        </w:rPr>
        <w:t>代理机构：襄城县政府采购中心</w:t>
      </w:r>
    </w:p>
    <w:p w14:paraId="0AAC3A85">
      <w:pPr>
        <w:autoSpaceDE w:val="0"/>
        <w:autoSpaceDN w:val="0"/>
        <w:adjustRightInd w:val="0"/>
        <w:spacing w:line="700" w:lineRule="exact"/>
        <w:jc w:val="center"/>
        <w:rPr>
          <w:rFonts w:ascii="仿宋" w:hAnsi="仿宋" w:eastAsia="仿宋" w:cs="仿宋"/>
          <w:b/>
          <w:bCs/>
          <w:sz w:val="32"/>
          <w:szCs w:val="36"/>
        </w:rPr>
      </w:pPr>
      <w:r>
        <w:rPr>
          <w:rFonts w:hint="eastAsia" w:ascii="仿宋" w:hAnsi="仿宋" w:eastAsia="仿宋" w:cs="仿宋"/>
          <w:b/>
          <w:bCs/>
          <w:sz w:val="32"/>
          <w:szCs w:val="36"/>
        </w:rPr>
        <w:t>日   期：二〇二四年十</w:t>
      </w:r>
      <w:r>
        <w:rPr>
          <w:rFonts w:hint="eastAsia" w:ascii="仿宋" w:hAnsi="仿宋" w:eastAsia="仿宋" w:cs="仿宋"/>
          <w:b/>
          <w:bCs/>
          <w:sz w:val="32"/>
          <w:szCs w:val="36"/>
          <w:lang w:val="en-US" w:eastAsia="zh-CN"/>
        </w:rPr>
        <w:t>二</w:t>
      </w:r>
      <w:r>
        <w:rPr>
          <w:rFonts w:hint="eastAsia" w:ascii="仿宋" w:hAnsi="仿宋" w:eastAsia="仿宋" w:cs="仿宋"/>
          <w:b/>
          <w:bCs/>
          <w:sz w:val="32"/>
          <w:szCs w:val="36"/>
        </w:rPr>
        <w:t>月</w:t>
      </w:r>
    </w:p>
    <w:p w14:paraId="620E4C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14:paraId="06CE8B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14:paraId="608ADC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第一章</w:t>
      </w:r>
      <w:r>
        <w:rPr>
          <w:rFonts w:hint="eastAsia" w:ascii="仿宋" w:hAnsi="仿宋" w:eastAsia="仿宋" w:cs="仿宋"/>
          <w:color w:val="auto"/>
          <w:sz w:val="32"/>
          <w:szCs w:val="32"/>
        </w:rPr>
        <w:t xml:space="preserve"> 磋商邀请</w:t>
      </w:r>
    </w:p>
    <w:p w14:paraId="4807C6B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第二章</w:t>
      </w:r>
      <w:r>
        <w:rPr>
          <w:rFonts w:hint="eastAsia" w:ascii="仿宋" w:hAnsi="仿宋" w:eastAsia="仿宋" w:cs="仿宋"/>
          <w:color w:val="auto"/>
          <w:sz w:val="32"/>
          <w:szCs w:val="32"/>
        </w:rPr>
        <w:t xml:space="preserve"> 采购需求</w:t>
      </w:r>
    </w:p>
    <w:p w14:paraId="7586EC9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第三章</w:t>
      </w:r>
      <w:r>
        <w:rPr>
          <w:rFonts w:hint="eastAsia" w:ascii="仿宋" w:hAnsi="仿宋" w:eastAsia="仿宋" w:cs="仿宋"/>
          <w:color w:val="auto"/>
          <w:sz w:val="32"/>
          <w:szCs w:val="32"/>
        </w:rPr>
        <w:t xml:space="preserve"> 供应商须知前附表</w:t>
      </w:r>
    </w:p>
    <w:p w14:paraId="18D6538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第四章</w:t>
      </w:r>
      <w:r>
        <w:rPr>
          <w:rFonts w:hint="eastAsia" w:ascii="仿宋" w:hAnsi="仿宋" w:eastAsia="仿宋" w:cs="仿宋"/>
          <w:color w:val="auto"/>
          <w:sz w:val="32"/>
          <w:szCs w:val="32"/>
        </w:rPr>
        <w:t xml:space="preserve"> 供应商须知</w:t>
      </w:r>
    </w:p>
    <w:p w14:paraId="12C6CCB8">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一、概念释义</w:t>
      </w:r>
    </w:p>
    <w:p w14:paraId="233FC556">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二、磋商文件说明</w:t>
      </w:r>
    </w:p>
    <w:p w14:paraId="1EBFC72F">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三、响应文件的编制</w:t>
      </w:r>
    </w:p>
    <w:p w14:paraId="5F689A9D">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四、响应文件的提交</w:t>
      </w:r>
    </w:p>
    <w:p w14:paraId="5E351176">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五、响应文件开启和磋商</w:t>
      </w:r>
    </w:p>
    <w:p w14:paraId="6AB44F24">
      <w:pPr>
        <w:keepNext w:val="0"/>
        <w:keepLines w:val="0"/>
        <w:pageBreakBefore w:val="0"/>
        <w:widowControl w:val="0"/>
        <w:kinsoku/>
        <w:wordWrap/>
        <w:overflowPunct/>
        <w:topLinePunct w:val="0"/>
        <w:autoSpaceDE/>
        <w:autoSpaceDN/>
        <w:bidi w:val="0"/>
        <w:adjustRightInd/>
        <w:snapToGrid/>
        <w:spacing w:line="600" w:lineRule="exact"/>
        <w:ind w:firstLine="1280" w:firstLineChars="4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六、定标和授予合同</w:t>
      </w:r>
    </w:p>
    <w:p w14:paraId="491EF41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第五章</w:t>
      </w:r>
      <w:r>
        <w:rPr>
          <w:rFonts w:hint="eastAsia" w:ascii="仿宋" w:hAnsi="仿宋" w:eastAsia="仿宋" w:cs="仿宋"/>
          <w:color w:val="auto"/>
          <w:sz w:val="32"/>
          <w:szCs w:val="32"/>
        </w:rPr>
        <w:t xml:space="preserve"> 政府采购政策功能</w:t>
      </w:r>
    </w:p>
    <w:p w14:paraId="3018FF5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第六章</w:t>
      </w:r>
      <w:r>
        <w:rPr>
          <w:rFonts w:hint="eastAsia" w:ascii="仿宋" w:hAnsi="仿宋" w:eastAsia="仿宋" w:cs="仿宋"/>
          <w:color w:val="auto"/>
          <w:sz w:val="32"/>
          <w:szCs w:val="32"/>
        </w:rPr>
        <w:t xml:space="preserve"> 对响应文件审查与评审</w:t>
      </w:r>
    </w:p>
    <w:p w14:paraId="3C7914D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第七章</w:t>
      </w:r>
      <w:r>
        <w:rPr>
          <w:rFonts w:hint="eastAsia" w:ascii="仿宋" w:hAnsi="仿宋" w:eastAsia="仿宋" w:cs="仿宋"/>
          <w:color w:val="auto"/>
          <w:sz w:val="32"/>
          <w:szCs w:val="32"/>
        </w:rPr>
        <w:t xml:space="preserve"> 合同条款及格式</w:t>
      </w:r>
    </w:p>
    <w:p w14:paraId="2E03954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第八章</w:t>
      </w:r>
      <w:r>
        <w:rPr>
          <w:rFonts w:hint="eastAsia" w:ascii="仿宋" w:hAnsi="仿宋" w:eastAsia="仿宋" w:cs="仿宋"/>
          <w:color w:val="auto"/>
          <w:sz w:val="32"/>
          <w:szCs w:val="32"/>
        </w:rPr>
        <w:t xml:space="preserve"> 响应文件有关格式</w:t>
      </w:r>
    </w:p>
    <w:p w14:paraId="3B3004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p>
    <w:p w14:paraId="4856D83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p>
    <w:p w14:paraId="0EC715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p>
    <w:p w14:paraId="4FB14BC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p>
    <w:p w14:paraId="1106D22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p>
    <w:p w14:paraId="18911D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332768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第一章 磋商邀请</w:t>
      </w:r>
    </w:p>
    <w:p w14:paraId="165574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14:paraId="0AB62E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“襄城县发展和改革委员会襄城县“千乡万村驭风行动”风电试点项目”的潜在投标人应在</w:t>
      </w:r>
      <w:r>
        <w:rPr>
          <w:rFonts w:hint="eastAsia" w:ascii="宋体" w:hAnsi="宋体" w:eastAsia="宋体" w:cs="宋体"/>
          <w:color w:val="auto"/>
          <w:spacing w:val="-20"/>
          <w:sz w:val="24"/>
          <w:szCs w:val="24"/>
        </w:rPr>
        <w:t>《全国公共资源交易平台（河南省·许昌市）》（http://117.159.53.11:60632/）自行免费下载竞争性磋商文件</w:t>
      </w:r>
      <w:r>
        <w:rPr>
          <w:rFonts w:hint="eastAsia" w:ascii="宋体" w:hAnsi="宋体" w:eastAsia="宋体" w:cs="宋体"/>
          <w:color w:val="auto"/>
          <w:spacing w:val="-20"/>
          <w:sz w:val="24"/>
          <w:szCs w:val="24"/>
          <w:lang w:eastAsia="zh-CN"/>
        </w:rPr>
        <w:t>，</w:t>
      </w:r>
      <w:r>
        <w:rPr>
          <w:rFonts w:hint="eastAsia" w:ascii="宋体" w:hAnsi="宋体" w:eastAsia="宋体" w:cs="宋体"/>
          <w:color w:val="auto"/>
          <w:sz w:val="24"/>
          <w:szCs w:val="24"/>
        </w:rPr>
        <w:t>获取招标文件，</w:t>
      </w:r>
      <w:r>
        <w:rPr>
          <w:rFonts w:hint="eastAsia" w:ascii="宋体" w:hAnsi="宋体" w:eastAsia="宋体" w:cs="宋体"/>
          <w:color w:val="auto"/>
          <w:sz w:val="24"/>
          <w:szCs w:val="24"/>
          <w:highlight w:val="none"/>
        </w:rPr>
        <w:t>并于2024年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时00分（北</w:t>
      </w:r>
      <w:r>
        <w:rPr>
          <w:rFonts w:hint="eastAsia" w:ascii="宋体" w:hAnsi="宋体" w:eastAsia="宋体" w:cs="宋体"/>
          <w:color w:val="auto"/>
          <w:sz w:val="24"/>
          <w:szCs w:val="24"/>
        </w:rPr>
        <w:t>京时间）前递交响应文件。</w:t>
      </w:r>
    </w:p>
    <w:p w14:paraId="088A5A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b w:val="0"/>
          <w:bCs w:val="0"/>
          <w:color w:val="auto"/>
          <w:sz w:val="24"/>
          <w:szCs w:val="24"/>
        </w:rPr>
      </w:pPr>
      <w:r>
        <w:rPr>
          <w:rFonts w:hint="eastAsia" w:ascii="黑体" w:hAnsi="黑体" w:eastAsia="黑体" w:cs="黑体"/>
          <w:b w:val="0"/>
          <w:bCs w:val="0"/>
          <w:color w:val="auto"/>
          <w:sz w:val="24"/>
          <w:szCs w:val="24"/>
        </w:rPr>
        <w:t>一、项目基本情况</w:t>
      </w:r>
    </w:p>
    <w:p w14:paraId="7B121D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1、项目编号</w:t>
      </w:r>
      <w:r>
        <w:rPr>
          <w:rFonts w:hint="eastAsia" w:ascii="宋体" w:hAnsi="宋体" w:eastAsia="宋体" w:cs="宋体"/>
          <w:color w:val="auto"/>
          <w:sz w:val="24"/>
          <w:szCs w:val="24"/>
          <w:highlight w:val="none"/>
        </w:rPr>
        <w:t>：襄财磋商采购-2024-</w:t>
      </w:r>
      <w:r>
        <w:rPr>
          <w:rFonts w:hint="eastAsia" w:ascii="宋体" w:hAnsi="宋体" w:eastAsia="宋体" w:cs="宋体"/>
          <w:color w:val="auto"/>
          <w:sz w:val="24"/>
          <w:szCs w:val="24"/>
          <w:highlight w:val="none"/>
          <w:lang w:val="en-US" w:eastAsia="zh-CN"/>
        </w:rPr>
        <w:t>51</w:t>
      </w:r>
    </w:p>
    <w:p w14:paraId="208F41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2、项目名称：襄城县发展和改革委员会襄城县</w:t>
      </w:r>
      <w:r>
        <w:rPr>
          <w:rFonts w:hint="eastAsia" w:ascii="宋体" w:hAnsi="宋体" w:eastAsia="宋体" w:cs="宋体"/>
          <w:color w:val="auto"/>
          <w:spacing w:val="-20"/>
          <w:sz w:val="24"/>
          <w:szCs w:val="24"/>
        </w:rPr>
        <w:t>“千乡万村驭风行动”</w:t>
      </w:r>
      <w:r>
        <w:rPr>
          <w:rFonts w:hint="eastAsia" w:ascii="宋体" w:hAnsi="宋体" w:eastAsia="宋体" w:cs="宋体"/>
          <w:color w:val="auto"/>
          <w:sz w:val="24"/>
          <w:szCs w:val="24"/>
        </w:rPr>
        <w:t>风电试点项目</w:t>
      </w:r>
    </w:p>
    <w:p w14:paraId="327FFE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3、采购方式：竞争性磋商 </w:t>
      </w:r>
    </w:p>
    <w:p w14:paraId="422D9E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4、预算金额：</w:t>
      </w:r>
      <w:r>
        <w:rPr>
          <w:rFonts w:hint="eastAsia" w:ascii="宋体" w:hAnsi="宋体" w:eastAsia="宋体" w:cs="宋体"/>
          <w:color w:val="auto"/>
          <w:sz w:val="24"/>
          <w:szCs w:val="24"/>
          <w:highlight w:val="none"/>
          <w:lang w:val="en-US" w:eastAsia="zh-CN"/>
        </w:rPr>
        <w:t>300000.00</w:t>
      </w:r>
      <w:r>
        <w:rPr>
          <w:rFonts w:hint="eastAsia" w:ascii="宋体" w:hAnsi="宋体" w:eastAsia="宋体" w:cs="宋体"/>
          <w:color w:val="auto"/>
          <w:sz w:val="24"/>
          <w:szCs w:val="24"/>
          <w:highlight w:val="none"/>
        </w:rPr>
        <w:t>元 ；最高限价：</w:t>
      </w:r>
      <w:r>
        <w:rPr>
          <w:rFonts w:hint="eastAsia" w:ascii="宋体" w:hAnsi="宋体" w:eastAsia="宋体" w:cs="宋体"/>
          <w:color w:val="auto"/>
          <w:sz w:val="24"/>
          <w:szCs w:val="24"/>
          <w:highlight w:val="none"/>
          <w:lang w:val="en-US" w:eastAsia="zh-CN"/>
        </w:rPr>
        <w:t>300000.00</w:t>
      </w:r>
      <w:r>
        <w:rPr>
          <w:rFonts w:hint="eastAsia" w:ascii="宋体" w:hAnsi="宋体" w:eastAsia="宋体" w:cs="宋体"/>
          <w:color w:val="auto"/>
          <w:sz w:val="24"/>
          <w:szCs w:val="24"/>
          <w:highlight w:val="none"/>
        </w:rPr>
        <w:t xml:space="preserve">元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732"/>
        <w:gridCol w:w="1811"/>
        <w:gridCol w:w="2125"/>
        <w:gridCol w:w="2227"/>
      </w:tblGrid>
      <w:tr w14:paraId="495A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4D6CB6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序号</w:t>
            </w:r>
          </w:p>
        </w:tc>
        <w:tc>
          <w:tcPr>
            <w:tcW w:w="1732" w:type="dxa"/>
            <w:vAlign w:val="center"/>
          </w:tcPr>
          <w:p w14:paraId="483601B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包号</w:t>
            </w:r>
          </w:p>
        </w:tc>
        <w:tc>
          <w:tcPr>
            <w:tcW w:w="1811" w:type="dxa"/>
            <w:vAlign w:val="center"/>
          </w:tcPr>
          <w:p w14:paraId="525A99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包名称</w:t>
            </w:r>
          </w:p>
        </w:tc>
        <w:tc>
          <w:tcPr>
            <w:tcW w:w="2125" w:type="dxa"/>
            <w:vAlign w:val="center"/>
          </w:tcPr>
          <w:p w14:paraId="6589CE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包预算（元）</w:t>
            </w:r>
          </w:p>
        </w:tc>
        <w:tc>
          <w:tcPr>
            <w:tcW w:w="2227" w:type="dxa"/>
            <w:vAlign w:val="center"/>
          </w:tcPr>
          <w:p w14:paraId="31E4B7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包最高限价（元）</w:t>
            </w:r>
          </w:p>
        </w:tc>
      </w:tr>
      <w:tr w14:paraId="16BF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14:paraId="400332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32" w:type="dxa"/>
            <w:vAlign w:val="center"/>
          </w:tcPr>
          <w:p w14:paraId="2F81E6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rPr>
              <w:t>襄财磋商采购-2024-</w:t>
            </w:r>
            <w:r>
              <w:rPr>
                <w:rFonts w:hint="eastAsia" w:ascii="宋体" w:hAnsi="宋体" w:eastAsia="宋体" w:cs="宋体"/>
                <w:color w:val="auto"/>
                <w:sz w:val="24"/>
                <w:szCs w:val="24"/>
                <w:highlight w:val="none"/>
                <w:vertAlign w:val="baseline"/>
                <w:lang w:val="en-US" w:eastAsia="zh-CN"/>
              </w:rPr>
              <w:t>51</w:t>
            </w:r>
            <w:r>
              <w:rPr>
                <w:rFonts w:hint="eastAsia" w:ascii="宋体" w:hAnsi="宋体" w:eastAsia="宋体" w:cs="宋体"/>
                <w:color w:val="auto"/>
                <w:sz w:val="24"/>
                <w:szCs w:val="24"/>
                <w:highlight w:val="none"/>
                <w:vertAlign w:val="baseline"/>
              </w:rPr>
              <w:t>-1</w:t>
            </w:r>
          </w:p>
        </w:tc>
        <w:tc>
          <w:tcPr>
            <w:tcW w:w="1811" w:type="dxa"/>
            <w:vAlign w:val="center"/>
          </w:tcPr>
          <w:p w14:paraId="3B76FC1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rPr>
            </w:pPr>
            <w:r>
              <w:rPr>
                <w:rFonts w:hint="eastAsia" w:ascii="宋体" w:hAnsi="宋体"/>
                <w:bCs/>
                <w:color w:val="auto"/>
                <w:kern w:val="0"/>
                <w:sz w:val="24"/>
                <w:szCs w:val="24"/>
                <w:highlight w:val="none"/>
                <w:lang w:val="en-US" w:eastAsia="zh-CN"/>
              </w:rPr>
              <w:t>第一标段</w:t>
            </w:r>
          </w:p>
        </w:tc>
        <w:tc>
          <w:tcPr>
            <w:tcW w:w="2125" w:type="dxa"/>
            <w:vAlign w:val="center"/>
          </w:tcPr>
          <w:p w14:paraId="6E1EDA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300000.00</w:t>
            </w:r>
          </w:p>
        </w:tc>
        <w:tc>
          <w:tcPr>
            <w:tcW w:w="2227" w:type="dxa"/>
            <w:vAlign w:val="center"/>
          </w:tcPr>
          <w:p w14:paraId="0E1D43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300000.00</w:t>
            </w:r>
          </w:p>
        </w:tc>
      </w:tr>
    </w:tbl>
    <w:p w14:paraId="1E383D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5、采购需求（包括但不限于标的的名称、数量、简要技术需求或服务要求等） </w:t>
      </w:r>
      <w:bookmarkStart w:id="1" w:name="OLE_LINK2"/>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确定投资主体，在襄城县境内选1个行政村（或临近行政村联合）开展试点示范，优先支持开展整村开发类源网荷储一体化项目的行政村纳入“千乡万村驭风行动”试点，每个试点项目建设规模不超过2万千瓦，总投资约1.2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由中标企业负责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由投资主体负责完成本项目选址规划设计工作，保证工程融资、开发建设资金，自行承担建设费用和风险，负责项目的设计、投资、建设以及工程竣工后的运营、维护等工作，确保工程建设顺利进行并达到国家、地方质量相关标准要求</w:t>
      </w:r>
      <w:bookmarkEnd w:id="1"/>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具体内容详见磋商文件。</w:t>
      </w:r>
    </w:p>
    <w:p w14:paraId="78D33A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6、合同履行期限：建设期18个月</w:t>
      </w:r>
    </w:p>
    <w:p w14:paraId="4C7F03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、本项目合作期限：</w:t>
      </w:r>
      <w:r>
        <w:rPr>
          <w:rFonts w:hint="eastAsia" w:ascii="宋体" w:hAnsi="宋体" w:eastAsia="宋体" w:cs="宋体"/>
          <w:color w:val="auto"/>
          <w:sz w:val="24"/>
          <w:szCs w:val="24"/>
          <w:lang w:val="en-US" w:eastAsia="zh-CN"/>
        </w:rPr>
        <w:t>不低于</w:t>
      </w:r>
      <w:r>
        <w:rPr>
          <w:rFonts w:hint="eastAsia" w:ascii="宋体" w:hAnsi="宋体" w:eastAsia="宋体" w:cs="宋体"/>
          <w:color w:val="auto"/>
          <w:sz w:val="24"/>
          <w:szCs w:val="24"/>
        </w:rPr>
        <w:t>20年</w:t>
      </w:r>
      <w:r>
        <w:rPr>
          <w:rFonts w:hint="eastAsia" w:ascii="宋体" w:hAnsi="宋体" w:eastAsia="宋体" w:cs="宋体"/>
          <w:color w:val="auto"/>
          <w:sz w:val="24"/>
          <w:szCs w:val="24"/>
          <w:lang w:eastAsia="zh-CN"/>
        </w:rPr>
        <w:t>（不包含建设期）</w:t>
      </w:r>
    </w:p>
    <w:p w14:paraId="236E01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 xml:space="preserve">、本项目是否接受联合体投标：否 </w:t>
      </w:r>
    </w:p>
    <w:p w14:paraId="5DAC92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xml:space="preserve">、是否接受进口产品：否 </w:t>
      </w:r>
    </w:p>
    <w:p w14:paraId="37A202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、是否专门面向中小企业：否</w:t>
      </w:r>
    </w:p>
    <w:p w14:paraId="41FEF5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 xml:space="preserve"> 二、申请人资格要求</w:t>
      </w:r>
    </w:p>
    <w:p w14:paraId="759B10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1、满足《中华人民共和国政府采购法》第二十二条规定； </w:t>
      </w:r>
    </w:p>
    <w:p w14:paraId="208EC7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2、落实政府采购政策满足的资格要求：本项目落实节能环保、中小微型企业、监狱企业、残疾人福利性单位扶持等相关政府采购政策。</w:t>
      </w:r>
    </w:p>
    <w:p w14:paraId="1DB8D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本项目接受中华人民共和国境内注册并合法运营的分支机构参与投标：若分支机构参与投标的，须提供其具有独立法人资格的总公司或上级公司出具的有效授权委托书。授权书中应明确分支机构在采购活动中所能代表总公司或上级公司行使的权利、义务及相关资质的使用，获得授权的分支机构使用总公司或上级公司的相关证明材料的复印件同等有效。</w:t>
      </w:r>
    </w:p>
    <w:p w14:paraId="6A4AC1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4、单位负责人为同一人或为同一总公司或存在直接控股、管理关系的不同供应商，不得参加同一合同项目下的政府采购活动。【提供加盖投标人公章的“国家企业信用信 息公示系统”中公示的公司信息、股东（或投资人）信息】。</w:t>
      </w:r>
    </w:p>
    <w:p w14:paraId="67D3B1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5、为采购项目提供整体设计、规范编制或者项目管理、监理、检测等服务的供应商，不得再参加该采购项目的其他采购活动。</w:t>
      </w:r>
    </w:p>
    <w:p w14:paraId="709079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三、磋商文件的获取</w:t>
      </w:r>
    </w:p>
    <w:p w14:paraId="6836E2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highlight w:val="none"/>
        </w:rPr>
        <w:t>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16</w:t>
      </w:r>
      <w:r>
        <w:rPr>
          <w:rFonts w:hint="eastAsia" w:ascii="宋体" w:hAnsi="宋体" w:eastAsia="宋体" w:cs="宋体"/>
          <w:color w:val="auto"/>
          <w:sz w:val="24"/>
          <w:szCs w:val="24"/>
          <w:highlight w:val="none"/>
        </w:rPr>
        <w:t>日</w:t>
      </w:r>
      <w:bookmarkStart w:id="8" w:name="_GoBack"/>
      <w:bookmarkEnd w:id="8"/>
      <w:r>
        <w:rPr>
          <w:rFonts w:hint="eastAsia" w:ascii="宋体" w:hAnsi="宋体" w:eastAsia="宋体" w:cs="宋体"/>
          <w:color w:val="auto"/>
          <w:sz w:val="24"/>
          <w:szCs w:val="24"/>
          <w:highlight w:val="none"/>
        </w:rPr>
        <w:t>至 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rPr>
        <w:t>每天上午</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 xml:space="preserve">:00至11:59，下午12:00至23:59（北京时间，法定节假日除外。） </w:t>
      </w:r>
    </w:p>
    <w:p w14:paraId="2DC828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2.地点：即日起至投标截止时间，登录《全国公共资源交易平台（河南省·许昌市）》（http://117.159.53.11:60632/）免费下载。 </w:t>
      </w:r>
    </w:p>
    <w:p w14:paraId="212DDC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3.方式：线上下载 </w:t>
      </w:r>
    </w:p>
    <w:p w14:paraId="0960C4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4.售价：0元 </w:t>
      </w:r>
    </w:p>
    <w:p w14:paraId="0BE63E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四、响应文件提交</w:t>
      </w:r>
    </w:p>
    <w:p w14:paraId="4F6738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1.截止时间</w:t>
      </w:r>
      <w:r>
        <w:rPr>
          <w:rFonts w:hint="eastAsia" w:ascii="宋体" w:hAnsi="宋体" w:eastAsia="宋体" w:cs="宋体"/>
          <w:color w:val="auto"/>
          <w:sz w:val="24"/>
          <w:szCs w:val="24"/>
          <w:highlight w:val="none"/>
        </w:rPr>
        <w:t>：2024年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时00分（北京时间） </w:t>
      </w:r>
    </w:p>
    <w:p w14:paraId="58808A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地点：本项目为全流程电子化交易项目，投标人必须通过许昌公共资源交易系统下载“新点投标文件制作软件（河南省版）”的最新版本制作并上传加密电子响应文件（后缀格式为.XCSTF）。截至投标截止时间，交易系统投标通道将关闭，投标人未完成电子响应文件上传的，投标将被拒绝。</w:t>
      </w:r>
    </w:p>
    <w:p w14:paraId="4A15DC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黑体" w:hAnsi="黑体" w:eastAsia="黑体" w:cs="黑体"/>
          <w:color w:val="auto"/>
          <w:sz w:val="24"/>
          <w:szCs w:val="24"/>
          <w:highlight w:val="none"/>
        </w:rPr>
        <w:t>五、响应文件开启</w:t>
      </w:r>
      <w:r>
        <w:rPr>
          <w:rFonts w:hint="eastAsia" w:ascii="宋体" w:hAnsi="宋体" w:eastAsia="宋体" w:cs="宋体"/>
          <w:color w:val="auto"/>
          <w:sz w:val="24"/>
          <w:szCs w:val="24"/>
          <w:highlight w:val="none"/>
        </w:rPr>
        <w:t xml:space="preserve"> </w:t>
      </w:r>
    </w:p>
    <w:p w14:paraId="449498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1.时间：2024年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 xml:space="preserve">时00分（北京时间） </w:t>
      </w:r>
    </w:p>
    <w:p w14:paraId="783734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2.地点：项目采用远程不见面开标，投标人无须到现场，开标时间前，投标人使用 CA 数字证书登录全国公共资源交易平台（河南省·许昌市）——进入公共资源交易系统</w:t>
      </w:r>
      <w:r>
        <w:rPr>
          <w:rFonts w:hint="eastAsia" w:ascii="宋体" w:hAnsi="宋体" w:eastAsia="宋体" w:cs="宋体"/>
          <w:color w:val="auto"/>
          <w:spacing w:val="-20"/>
          <w:sz w:val="24"/>
          <w:szCs w:val="24"/>
        </w:rPr>
        <w:t>（http://117.159.53.11:60632/）</w:t>
      </w:r>
      <w:r>
        <w:rPr>
          <w:rFonts w:hint="eastAsia" w:ascii="宋体" w:hAnsi="宋体" w:eastAsia="宋体" w:cs="宋体"/>
          <w:color w:val="auto"/>
          <w:sz w:val="24"/>
          <w:szCs w:val="24"/>
        </w:rPr>
        <w:t>——点击“项目信息——项目名称”——在系统操作导航栏点击“</w:t>
      </w:r>
      <w:r>
        <w:rPr>
          <w:rFonts w:hint="eastAsia" w:ascii="宋体" w:hAnsi="宋体" w:eastAsia="宋体" w:cs="宋体"/>
          <w:color w:val="auto"/>
          <w:spacing w:val="-11"/>
          <w:sz w:val="24"/>
          <w:szCs w:val="24"/>
        </w:rPr>
        <w:t>开标——不见面开标大厅（http://117.159.53.11:60632/BidOpening）</w:t>
      </w:r>
      <w:r>
        <w:rPr>
          <w:rFonts w:hint="eastAsia" w:ascii="宋体" w:hAnsi="宋体" w:eastAsia="宋体" w:cs="宋体"/>
          <w:color w:val="auto"/>
          <w:sz w:val="24"/>
          <w:szCs w:val="24"/>
        </w:rPr>
        <w:t xml:space="preserve">”，在规定的开标时间内进行解密开标。 </w:t>
      </w:r>
    </w:p>
    <w:p w14:paraId="4942D6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黑体" w:hAnsi="黑体" w:eastAsia="黑体" w:cs="黑体"/>
          <w:color w:val="auto"/>
          <w:sz w:val="24"/>
          <w:szCs w:val="24"/>
        </w:rPr>
        <w:t>六、发布公告的媒介及招标公告期限</w:t>
      </w:r>
      <w:r>
        <w:rPr>
          <w:rFonts w:hint="eastAsia" w:ascii="宋体" w:hAnsi="宋体" w:eastAsia="宋体" w:cs="宋体"/>
          <w:color w:val="auto"/>
          <w:sz w:val="24"/>
          <w:szCs w:val="24"/>
        </w:rPr>
        <w:t xml:space="preserve"> </w:t>
      </w:r>
    </w:p>
    <w:p w14:paraId="69AAEB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本次招标公告在《河南省政府采购网》、《许昌市政府采购网》、《全国公共资源交易平台（河南省·许昌市）》上发布,</w:t>
      </w:r>
      <w:r>
        <w:rPr>
          <w:rFonts w:hint="eastAsia" w:ascii="宋体" w:hAnsi="宋体" w:eastAsia="宋体" w:cs="宋体"/>
          <w:color w:val="auto"/>
          <w:sz w:val="24"/>
          <w:szCs w:val="24"/>
          <w:highlight w:val="none"/>
        </w:rPr>
        <w:t>招标公告期限为三个工作日</w:t>
      </w:r>
      <w:r>
        <w:rPr>
          <w:rFonts w:hint="eastAsia" w:ascii="宋体" w:hAnsi="宋体" w:eastAsia="宋体" w:cs="宋体"/>
          <w:color w:val="auto"/>
          <w:sz w:val="24"/>
          <w:szCs w:val="24"/>
        </w:rPr>
        <w:t xml:space="preserve">。  </w:t>
      </w:r>
    </w:p>
    <w:p w14:paraId="2DFA47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黑体" w:hAnsi="黑体" w:eastAsia="黑体" w:cs="黑体"/>
          <w:color w:val="auto"/>
          <w:sz w:val="24"/>
          <w:szCs w:val="24"/>
        </w:rPr>
        <w:t>七、其他补充事宜</w:t>
      </w:r>
      <w:r>
        <w:rPr>
          <w:rFonts w:hint="eastAsia" w:ascii="宋体" w:hAnsi="宋体" w:eastAsia="宋体" w:cs="宋体"/>
          <w:color w:val="auto"/>
          <w:sz w:val="24"/>
          <w:szCs w:val="24"/>
        </w:rPr>
        <w:t xml:space="preserve"> </w:t>
      </w:r>
    </w:p>
    <w:p w14:paraId="264BFB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1、本项目为全流程电子化交易项目，投标人须提交电子投标文件。</w:t>
      </w:r>
    </w:p>
    <w:p w14:paraId="2485A0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（1）加密电子投标文件（后缀格式为.XCSTF）须在投标截止时间（开标时间）前通过《全国公共资源交易平台（河南省·许昌市）》公共资源交易系统成功上传。</w:t>
      </w:r>
    </w:p>
    <w:p w14:paraId="75D8AF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（2）开标时间前，投标人使用CA数字证书或移动数字证书登录 《全国公共资源交易平台（河南省·许昌市）》进入公共资源交易系统</w:t>
      </w:r>
      <w:r>
        <w:rPr>
          <w:rFonts w:hint="eastAsia" w:ascii="宋体" w:hAnsi="宋体" w:eastAsia="宋体" w:cs="宋体"/>
          <w:color w:val="auto"/>
          <w:spacing w:val="-11"/>
          <w:sz w:val="24"/>
          <w:szCs w:val="24"/>
        </w:rPr>
        <w:t>（http://117.159.53.11:60632/）</w:t>
      </w:r>
      <w:r>
        <w:rPr>
          <w:rFonts w:hint="eastAsia" w:ascii="宋体" w:hAnsi="宋体" w:eastAsia="宋体" w:cs="宋体"/>
          <w:color w:val="auto"/>
          <w:sz w:val="24"/>
          <w:szCs w:val="24"/>
        </w:rPr>
        <w:t>按照开标时间准时参加线上开标，进行远程解密、在线询问等。</w:t>
      </w:r>
    </w:p>
    <w:p w14:paraId="72B547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2、本项目采用电子系统进行招投标，请在投标前详细阅读《全国公共资源交易平台（河南省·许昌市）》首页“服务指南”栏目的《必看！新交易平台使用手册》及其附件。</w:t>
      </w:r>
    </w:p>
    <w:p w14:paraId="2643A9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3、投标投标人在电子系统使用过程中遇到涉及系统使用的问题，可致电</w:t>
      </w:r>
      <w:r>
        <w:rPr>
          <w:rFonts w:hint="eastAsia" w:ascii="宋体" w:hAnsi="宋体" w:eastAsia="宋体" w:cs="宋体"/>
          <w:color w:val="auto"/>
          <w:sz w:val="24"/>
          <w:szCs w:val="24"/>
          <w:highlight w:val="none"/>
        </w:rPr>
        <w:t>0374-2961598进行咨询。</w:t>
      </w:r>
    </w:p>
    <w:p w14:paraId="387C32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黑体" w:hAnsi="黑体" w:eastAsia="黑体" w:cs="黑体"/>
          <w:color w:val="auto"/>
          <w:sz w:val="24"/>
          <w:szCs w:val="24"/>
          <w:highlight w:val="none"/>
        </w:rPr>
        <w:t>八、凡对本次招标提出询问，请按照以下方式联系</w:t>
      </w:r>
      <w:r>
        <w:rPr>
          <w:rFonts w:hint="eastAsia" w:ascii="宋体" w:hAnsi="宋体" w:eastAsia="宋体" w:cs="宋体"/>
          <w:color w:val="auto"/>
          <w:sz w:val="24"/>
          <w:szCs w:val="24"/>
          <w:highlight w:val="none"/>
        </w:rPr>
        <w:t xml:space="preserve"> </w:t>
      </w:r>
    </w:p>
    <w:p w14:paraId="798320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1.采购人：襄城县发展和改革委员会</w:t>
      </w:r>
    </w:p>
    <w:p w14:paraId="50B57D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襄城县</w:t>
      </w:r>
    </w:p>
    <w:p w14:paraId="5856D9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李先生</w:t>
      </w:r>
    </w:p>
    <w:p w14:paraId="5C40C7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18503748501</w:t>
      </w:r>
    </w:p>
    <w:p w14:paraId="69F29A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2.采购代理机构信息</w:t>
      </w:r>
    </w:p>
    <w:p w14:paraId="7DCB20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 称：襄城县政府采购中心</w:t>
      </w:r>
    </w:p>
    <w:p w14:paraId="6751BA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址：襄城县八七路东段电子产业园12楼1204室</w:t>
      </w:r>
    </w:p>
    <w:p w14:paraId="7A1E70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联系人：襄城县政府采购中心 </w:t>
      </w:r>
    </w:p>
    <w:p w14:paraId="544710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联系电话：0374-3998026</w:t>
      </w:r>
    </w:p>
    <w:p w14:paraId="7F15C5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3.项目联系方式</w:t>
      </w:r>
    </w:p>
    <w:p w14:paraId="2BC770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项目联系人：襄城县政府采购中心</w:t>
      </w:r>
    </w:p>
    <w:p w14:paraId="2A7475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联系电话：0374-3998026</w:t>
      </w:r>
    </w:p>
    <w:p w14:paraId="4E8622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BD5C117">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温馨提示：</w:t>
      </w:r>
    </w:p>
    <w:p w14:paraId="47417DAA">
      <w:pPr>
        <w:pStyle w:val="3"/>
        <w:keepNext w:val="0"/>
        <w:keepLines w:val="0"/>
        <w:pageBreakBefore w:val="0"/>
        <w:kinsoku/>
        <w:wordWrap/>
        <w:overflowPunct/>
        <w:topLinePunct w:val="0"/>
        <w:autoSpaceDE/>
        <w:autoSpaceDN/>
        <w:bidi w:val="0"/>
        <w:adjustRightInd/>
        <w:snapToGrid/>
        <w:spacing w:line="360" w:lineRule="auto"/>
        <w:ind w:firstLine="448"/>
        <w:textAlignment w:val="auto"/>
        <w:rPr>
          <w:rFonts w:hint="eastAsia" w:ascii="宋体" w:hAnsi="宋体" w:eastAsia="宋体" w:cs="宋体"/>
          <w:b/>
          <w:bCs/>
          <w:sz w:val="24"/>
          <w:szCs w:val="24"/>
        </w:rPr>
      </w:pPr>
      <w:r>
        <w:rPr>
          <w:rFonts w:hint="eastAsia" w:ascii="宋体" w:hAnsi="宋体" w:eastAsia="宋体" w:cs="宋体"/>
          <w:b/>
          <w:bCs/>
          <w:sz w:val="24"/>
          <w:szCs w:val="24"/>
        </w:rPr>
        <w:t>本项目为全流程电子化交易项目，请认真阅读磋商文件，并注意以下事项。</w:t>
      </w:r>
    </w:p>
    <w:p w14:paraId="33754EEB">
      <w:pPr>
        <w:pStyle w:val="3"/>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1.供应商参加本项目投标，需提前自行联系CA数字证书</w:t>
      </w:r>
      <w:r>
        <w:rPr>
          <w:rFonts w:hint="eastAsia" w:ascii="宋体" w:hAnsi="宋体" w:eastAsia="宋体" w:cs="宋体"/>
          <w:sz w:val="24"/>
          <w:szCs w:val="24"/>
          <w:shd w:val="clear" w:color="auto" w:fill="FFFFFF"/>
        </w:rPr>
        <w:t>或移动数字证书</w:t>
      </w:r>
      <w:r>
        <w:rPr>
          <w:rFonts w:hint="eastAsia" w:ascii="宋体" w:hAnsi="宋体" w:eastAsia="宋体" w:cs="宋体"/>
          <w:sz w:val="24"/>
          <w:szCs w:val="24"/>
        </w:rPr>
        <w:t>服务机构办理数字认证证书并进行电子签章。</w:t>
      </w:r>
    </w:p>
    <w:p w14:paraId="369AF961">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2.磋商文件下载、响应文件制作、提交、远程不见面开标（电子投标文件的解密）环节，供应商须使用同一个CA数字证书</w:t>
      </w:r>
      <w:r>
        <w:rPr>
          <w:rFonts w:hint="eastAsia" w:ascii="宋体" w:hAnsi="宋体" w:eastAsia="宋体" w:cs="宋体"/>
          <w:sz w:val="24"/>
          <w:szCs w:val="24"/>
          <w:shd w:val="clear" w:color="auto" w:fill="FFFFFF"/>
        </w:rPr>
        <w:t>或移动数字证书</w:t>
      </w:r>
      <w:r>
        <w:rPr>
          <w:rFonts w:hint="eastAsia" w:ascii="宋体" w:hAnsi="宋体" w:eastAsia="宋体" w:cs="宋体"/>
          <w:sz w:val="24"/>
          <w:szCs w:val="24"/>
        </w:rPr>
        <w:t>（证书须在有效期内并可正常使用）。</w:t>
      </w:r>
    </w:p>
    <w:p w14:paraId="6EE0EDC3">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3.电子响应文件的制作</w:t>
      </w:r>
    </w:p>
    <w:p w14:paraId="41E28390">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3.1供应商登录《全国公共资源交易平台（河南省·许昌市）》下载</w:t>
      </w:r>
      <w:r>
        <w:rPr>
          <w:rFonts w:hint="eastAsia" w:ascii="宋体" w:hAnsi="宋体" w:eastAsia="宋体" w:cs="宋体"/>
          <w:sz w:val="24"/>
          <w:szCs w:val="24"/>
          <w:shd w:val="clear" w:color="auto" w:fill="FFFFFF"/>
        </w:rPr>
        <w:t>“新点投标文件制作软件（河南省版）”的最新版本制作电子响应文件</w:t>
      </w:r>
      <w:r>
        <w:rPr>
          <w:rFonts w:hint="eastAsia" w:ascii="宋体" w:hAnsi="宋体" w:eastAsia="宋体" w:cs="宋体"/>
          <w:sz w:val="24"/>
          <w:szCs w:val="24"/>
        </w:rPr>
        <w:t>。</w:t>
      </w:r>
    </w:p>
    <w:p w14:paraId="447313D8">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3.2 供应商对同一项目多个标段进行响应的，应分别下载所投标段的磋商文件，按标段制作响应文件。一个标段对应生成2份电子响应文件（后缀格式为.XCSTF和.nXCSTF）,其中后缀格式为“.XCSTF”的加密电子响应文件用于上传至交易系统中投标。</w:t>
      </w:r>
    </w:p>
    <w:p w14:paraId="428ED047">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4.加密电子响应文件的提交</w:t>
      </w:r>
    </w:p>
    <w:p w14:paraId="05D2A764">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4.1供应商对同一项目多个标段进行响应的，加密电子响应文件应按标段分别提交。</w:t>
      </w:r>
    </w:p>
    <w:p w14:paraId="514D25A1">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4.2加密电子响应文件成功上传至《全国公共资源交易平台（河南省·许昌市）》后，应在上传页面进行模拟解密，以验证是否能够成功解密。</w:t>
      </w:r>
    </w:p>
    <w:p w14:paraId="099AEB11">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5.远程不见面开标（电子响应文件的解密）</w:t>
      </w:r>
    </w:p>
    <w:p w14:paraId="4A6048A0">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5.1本项目采用远程“不见面”开标方式，投标前请详细阅读《全国公共资源交易平台（河南省·许昌市）》的“服务指南”栏目下《必看！新交易平台使用手册》中的相关内容。</w:t>
      </w:r>
    </w:p>
    <w:p w14:paraId="02E86C50">
      <w:pPr>
        <w:keepNext w:val="0"/>
        <w:keepLines w:val="0"/>
        <w:pageBreakBefore w:val="0"/>
        <w:numPr>
          <w:ilvl w:val="0"/>
          <w:numId w:val="1"/>
        </w:numPr>
        <w:tabs>
          <w:tab w:val="left" w:pos="7095"/>
        </w:tabs>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供应商应按新交易平台使用手册提前设置好浏览器，并于开标时间前登录本项目网上开标大厅，按照规定的开标时间准时参加网上开标。</w:t>
      </w:r>
    </w:p>
    <w:p w14:paraId="3294EE14">
      <w:pPr>
        <w:keepNext w:val="0"/>
        <w:keepLines w:val="0"/>
        <w:pageBreakBefore w:val="0"/>
        <w:numPr>
          <w:ilvl w:val="0"/>
          <w:numId w:val="2"/>
        </w:numPr>
        <w:tabs>
          <w:tab w:val="left" w:pos="7095"/>
        </w:tabs>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根据开标大厅界面右侧“公告栏”中的系统提示，供应商应在“标书解密”环节完成解密操作。供应商未解密或因供应商原因解密失败的，其响应文件将被退回。</w:t>
      </w:r>
    </w:p>
    <w:p w14:paraId="7785ABC0">
      <w:pPr>
        <w:keepNext w:val="0"/>
        <w:keepLines w:val="0"/>
        <w:pageBreakBefore w:val="0"/>
        <w:numPr>
          <w:ilvl w:val="0"/>
          <w:numId w:val="3"/>
        </w:numPr>
        <w:tabs>
          <w:tab w:val="left" w:pos="7095"/>
        </w:tabs>
        <w:kinsoku/>
        <w:wordWrap/>
        <w:overflowPunct/>
        <w:topLinePunct w:val="0"/>
        <w:autoSpaceDE/>
        <w:autoSpaceDN/>
        <w:bidi w:val="0"/>
        <w:adjustRightInd/>
        <w:snapToGrid/>
        <w:spacing w:line="360" w:lineRule="auto"/>
        <w:ind w:left="0"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在“唱标”环节，供应商应对唱标信息进行确认，供应商未进行唱标确认操作的，视同认可唱标结果。</w:t>
      </w:r>
    </w:p>
    <w:p w14:paraId="3163EE6C">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5.5 在“开标结束”环节，供应商应在《开标情况记录表》上进行电子签章。供应商未签章的，视同认可开标结果。</w:t>
      </w:r>
    </w:p>
    <w:p w14:paraId="2628EB33">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5.6 供应商对开标过程和开标记录如有异议，可在本项目开标大厅界面右下方“发起异议”中提出提出异议。</w:t>
      </w:r>
    </w:p>
    <w:p w14:paraId="4303EA37">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6.评标依据</w:t>
      </w:r>
    </w:p>
    <w:p w14:paraId="58CCFAC5">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6.1全流程电子化交易（不见面开标）项目，磋商小组以成功上传、解密的电子响应文件为评审依据。</w:t>
      </w:r>
    </w:p>
    <w:p w14:paraId="2EBDE09A">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6.2评审期间，供应商须时刻关注</w:t>
      </w:r>
      <w:r>
        <w:rPr>
          <w:rFonts w:hint="eastAsia" w:ascii="宋体" w:hAnsi="宋体" w:eastAsia="宋体" w:cs="宋体"/>
          <w:bCs/>
          <w:sz w:val="24"/>
          <w:szCs w:val="24"/>
        </w:rPr>
        <w:t>《</w:t>
      </w:r>
      <w:r>
        <w:rPr>
          <w:rFonts w:hint="eastAsia" w:ascii="宋体" w:hAnsi="宋体" w:eastAsia="宋体" w:cs="宋体"/>
          <w:sz w:val="24"/>
          <w:szCs w:val="24"/>
        </w:rPr>
        <w:t>全国公共资源交易平台（河南省·许昌市）》公共资源交易系统。磋商小组如要求供应商作出澄清、说明或者补正等，供应商应在磋商小组要求的评标期间合理的时间内通过电子邮件形式提供。</w:t>
      </w:r>
    </w:p>
    <w:p w14:paraId="77B44E75">
      <w:pPr>
        <w:keepNext w:val="0"/>
        <w:keepLines w:val="0"/>
        <w:pageBreakBefore w:val="0"/>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（1）最后报价（加盖公章，或者由法定代表人（单位负责人）或其授权的代表签字）；</w:t>
      </w:r>
    </w:p>
    <w:p w14:paraId="69AF8B92">
      <w:pPr>
        <w:keepNext w:val="0"/>
        <w:keepLines w:val="0"/>
        <w:pageBreakBefore w:val="0"/>
        <w:kinsoku/>
        <w:wordWrap/>
        <w:overflowPunct/>
        <w:topLinePunct w:val="0"/>
        <w:autoSpaceDE/>
        <w:autoSpaceDN/>
        <w:bidi w:val="0"/>
        <w:adjustRightInd/>
        <w:snapToGrid/>
        <w:spacing w:line="360" w:lineRule="auto"/>
        <w:ind w:right="-512" w:rightChars="-244"/>
        <w:jc w:val="left"/>
        <w:textAlignment w:val="auto"/>
        <w:rPr>
          <w:rFonts w:hint="eastAsia" w:ascii="宋体" w:hAnsi="宋体" w:eastAsia="宋体" w:cs="宋体"/>
          <w:sz w:val="24"/>
          <w:szCs w:val="24"/>
        </w:rPr>
      </w:pPr>
      <w:r>
        <w:rPr>
          <w:rFonts w:hint="eastAsia" w:ascii="宋体" w:hAnsi="宋体" w:eastAsia="宋体" w:cs="宋体"/>
          <w:sz w:val="24"/>
          <w:szCs w:val="24"/>
        </w:rPr>
        <w:t>提交方式：供应商须使用CA数字证书</w:t>
      </w:r>
      <w:r>
        <w:rPr>
          <w:rFonts w:hint="eastAsia" w:ascii="宋体" w:hAnsi="宋体" w:eastAsia="宋体" w:cs="宋体"/>
          <w:sz w:val="24"/>
          <w:szCs w:val="24"/>
          <w:shd w:val="clear" w:color="auto" w:fill="FFFFFF"/>
        </w:rPr>
        <w:t>或移动数字证书</w:t>
      </w:r>
      <w:r>
        <w:rPr>
          <w:rFonts w:hint="eastAsia" w:ascii="宋体" w:hAnsi="宋体" w:eastAsia="宋体" w:cs="宋体"/>
          <w:sz w:val="24"/>
          <w:szCs w:val="24"/>
        </w:rPr>
        <w:t>登录《全国公共资源交易平台（河南省·许昌市）》公共资源交易系统（http://117.159.53.11:60632/）进行最后报价，最后报价应包括：①总报价；②分项报价（提交最后报价的供应商不得少于3家）。</w:t>
      </w:r>
    </w:p>
    <w:p w14:paraId="34F4195A">
      <w:pPr>
        <w:keepNext w:val="0"/>
        <w:keepLines w:val="0"/>
        <w:pageBreakBefore w:val="0"/>
        <w:kinsoku/>
        <w:wordWrap/>
        <w:overflowPunct/>
        <w:topLinePunct w:val="0"/>
        <w:autoSpaceDE/>
        <w:autoSpaceDN/>
        <w:bidi w:val="0"/>
        <w:adjustRightInd/>
        <w:snapToGrid/>
        <w:spacing w:line="360" w:lineRule="auto"/>
        <w:ind w:right="-512" w:rightChars="-244"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注：①磋商小组要求供应商提交最后报价时，</w:t>
      </w:r>
      <w:r>
        <w:rPr>
          <w:rFonts w:hint="eastAsia" w:ascii="宋体" w:hAnsi="宋体" w:eastAsia="宋体" w:cs="宋体"/>
          <w:sz w:val="24"/>
          <w:szCs w:val="24"/>
          <w:lang w:val="zh-CN"/>
        </w:rPr>
        <w:t>在</w:t>
      </w:r>
      <w:r>
        <w:rPr>
          <w:rFonts w:hint="eastAsia" w:ascii="宋体" w:hAnsi="宋体" w:eastAsia="宋体" w:cs="宋体"/>
          <w:sz w:val="24"/>
          <w:szCs w:val="24"/>
        </w:rPr>
        <w:t>磋商</w:t>
      </w:r>
      <w:r>
        <w:rPr>
          <w:rFonts w:hint="eastAsia" w:ascii="宋体" w:hAnsi="宋体" w:eastAsia="宋体" w:cs="宋体"/>
          <w:sz w:val="24"/>
          <w:szCs w:val="24"/>
          <w:lang w:val="zh-CN"/>
        </w:rPr>
        <w:t>小组规定时间内，供应商应提交最后报价（包括总报价及分项报价）。最后报价是供应商响应文件的有效组成部分。</w:t>
      </w:r>
    </w:p>
    <w:p w14:paraId="2E360438">
      <w:pPr>
        <w:keepNext w:val="0"/>
        <w:keepLines w:val="0"/>
        <w:pageBreakBefore w:val="0"/>
        <w:kinsoku/>
        <w:wordWrap/>
        <w:overflowPunct/>
        <w:topLinePunct w:val="0"/>
        <w:autoSpaceDE/>
        <w:autoSpaceDN/>
        <w:bidi w:val="0"/>
        <w:adjustRightInd/>
        <w:snapToGrid/>
        <w:spacing w:line="360" w:lineRule="auto"/>
        <w:ind w:right="-512" w:rightChars="-244" w:firstLine="960" w:firstLineChars="4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②磋商文件第二章“采购需求”中“采购清单”以工程量清单提供的，供应商应以工程量清单方式提交最后报价，提交最后报价的供应商不得少于3家。</w:t>
      </w:r>
    </w:p>
    <w:p w14:paraId="092431E0">
      <w:pPr>
        <w:keepNext w:val="0"/>
        <w:keepLines w:val="0"/>
        <w:pageBreakBefore w:val="0"/>
        <w:kinsoku/>
        <w:wordWrap/>
        <w:overflowPunct/>
        <w:topLinePunct w:val="0"/>
        <w:autoSpaceDE/>
        <w:autoSpaceDN/>
        <w:bidi w:val="0"/>
        <w:adjustRightInd/>
        <w:snapToGrid/>
        <w:spacing w:line="360" w:lineRule="auto"/>
        <w:ind w:firstLine="960" w:firstLineChars="400"/>
        <w:jc w:val="left"/>
        <w:textAlignment w:val="auto"/>
        <w:rPr>
          <w:rFonts w:hint="eastAsia" w:ascii="宋体" w:hAnsi="宋体" w:eastAsia="宋体" w:cs="宋体"/>
        </w:rPr>
      </w:pPr>
      <w:r>
        <w:rPr>
          <w:rFonts w:hint="eastAsia" w:ascii="宋体" w:hAnsi="宋体" w:eastAsia="宋体" w:cs="宋体"/>
          <w:sz w:val="24"/>
          <w:szCs w:val="24"/>
          <w:lang w:val="zh-CN"/>
        </w:rPr>
        <w:t>③请供应商根据项目情况，可提前准备分项报价。</w:t>
      </w:r>
    </w:p>
    <w:p w14:paraId="0D0774E8">
      <w:pPr>
        <w:keepNext w:val="0"/>
        <w:keepLines w:val="0"/>
        <w:pageBreakBefore w:val="0"/>
        <w:kinsoku/>
        <w:wordWrap/>
        <w:overflowPunct/>
        <w:topLinePunct w:val="0"/>
        <w:autoSpaceDE/>
        <w:autoSpaceDN/>
        <w:bidi w:val="0"/>
        <w:adjustRightInd/>
        <w:snapToGrid/>
        <w:spacing w:line="360" w:lineRule="auto"/>
        <w:ind w:right="-512" w:rightChars="-244"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2）磋商小组如要求供应商提供“澄清、说明或者更正”；“按照磋商文件的变动情况和磋商小组的要求重新提交响应文件”；“最终设计方案或解决方案”的，供应商提供的书面材料应加盖公章，或者由法定代表人（单位负责人）或其授权的代表签字后通过电子邮件形式提供。</w:t>
      </w:r>
    </w:p>
    <w:p w14:paraId="15F8976F">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7.相关事项</w:t>
      </w:r>
    </w:p>
    <w:p w14:paraId="4C4B9508">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7.1为使更多供应商能参加投标，本项目招标文件公告期限届满后仍允许下载招标文件参加投标，但为提高采购效率，在公告期限届满之后下载招标文件的，对招标文件的质疑期限从公告期限届满之日起计算；在公告期限届满之前下载招标文件的，对招标文件的质疑期限从下载之日起计算。</w:t>
      </w:r>
    </w:p>
    <w:p w14:paraId="68F5B760">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bCs/>
          <w:sz w:val="24"/>
          <w:szCs w:val="24"/>
        </w:rPr>
        <w:t>《</w:t>
      </w:r>
      <w:r>
        <w:rPr>
          <w:rFonts w:hint="eastAsia" w:ascii="宋体" w:hAnsi="宋体" w:eastAsia="宋体" w:cs="宋体"/>
          <w:sz w:val="24"/>
          <w:szCs w:val="24"/>
        </w:rPr>
        <w:t>全国公共资源交易平台（河南省·许昌市）》采购公告栏提供的招标文件仅供浏览。供应商下载招标文件应使用 CA 数字证书或移动数字证书从</w:t>
      </w:r>
      <w:r>
        <w:rPr>
          <w:rFonts w:hint="eastAsia" w:ascii="宋体" w:hAnsi="宋体" w:eastAsia="宋体" w:cs="宋体"/>
          <w:bCs/>
          <w:sz w:val="24"/>
          <w:szCs w:val="24"/>
        </w:rPr>
        <w:t>《</w:t>
      </w:r>
      <w:r>
        <w:rPr>
          <w:rFonts w:hint="eastAsia" w:ascii="宋体" w:hAnsi="宋体" w:eastAsia="宋体" w:cs="宋体"/>
          <w:sz w:val="24"/>
          <w:szCs w:val="24"/>
        </w:rPr>
        <w:t>全国公共资源交易平台（河南省·许昌市）》的“投标人”登录入口获取本项目招标文件。</w:t>
      </w:r>
    </w:p>
    <w:p w14:paraId="0B04278E">
      <w:pPr>
        <w:keepNext w:val="0"/>
        <w:keepLines w:val="0"/>
        <w:pageBreakBefore w:val="0"/>
        <w:tabs>
          <w:tab w:val="left" w:pos="7095"/>
        </w:tabs>
        <w:kinsoku/>
        <w:wordWrap/>
        <w:overflowPunct/>
        <w:topLinePunct w:val="0"/>
        <w:autoSpaceDE/>
        <w:autoSpaceDN/>
        <w:bidi w:val="0"/>
        <w:adjustRightInd/>
        <w:snapToGrid/>
        <w:spacing w:line="360" w:lineRule="auto"/>
        <w:contextualSpacing/>
        <w:textAlignment w:val="auto"/>
        <w:rPr>
          <w:rFonts w:hint="eastAsia" w:ascii="宋体" w:hAnsi="宋体" w:eastAsia="宋体" w:cs="宋体"/>
          <w:sz w:val="24"/>
          <w:szCs w:val="24"/>
        </w:rPr>
      </w:pPr>
      <w:r>
        <w:rPr>
          <w:rFonts w:hint="eastAsia" w:ascii="宋体" w:hAnsi="宋体" w:eastAsia="宋体" w:cs="宋体"/>
          <w:sz w:val="24"/>
          <w:szCs w:val="24"/>
        </w:rPr>
        <w:t>8、开标注意事项</w:t>
      </w:r>
    </w:p>
    <w:p w14:paraId="4BEA958C">
      <w:pPr>
        <w:keepNext w:val="0"/>
        <w:keepLines w:val="0"/>
        <w:pageBreakBefore w:val="0"/>
        <w:tabs>
          <w:tab w:val="left" w:pos="7095"/>
        </w:tabs>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开标时间前，供应商进入</w:t>
      </w:r>
      <w:r>
        <w:rPr>
          <w:rFonts w:hint="eastAsia" w:ascii="宋体" w:hAnsi="宋体" w:eastAsia="宋体" w:cs="宋体"/>
          <w:bCs/>
          <w:sz w:val="24"/>
          <w:szCs w:val="24"/>
        </w:rPr>
        <w:t>《</w:t>
      </w:r>
      <w:r>
        <w:rPr>
          <w:rFonts w:hint="eastAsia" w:ascii="宋体" w:hAnsi="宋体" w:eastAsia="宋体" w:cs="宋体"/>
          <w:sz w:val="24"/>
          <w:szCs w:val="24"/>
        </w:rPr>
        <w:t>全国公共资源交易平台（河南省·许昌市）》——点击“平台导航”下方左侧的“网上开标大厅”进入不见面大厅登录页面——选择“投标人”身份，使用CA数字证书或移动数字证书登录——在“今日开标项目”中找到已投标的项目——鼠标点击该项目即可进入开标操作界面，在规定的开标时间内进行解密开标。</w:t>
      </w:r>
    </w:p>
    <w:p w14:paraId="5F9BF9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32"/>
          <w:szCs w:val="32"/>
        </w:rPr>
      </w:pPr>
      <w:r>
        <w:rPr>
          <w:rFonts w:hint="eastAsia" w:ascii="宋体" w:hAnsi="宋体" w:eastAsia="宋体" w:cs="宋体"/>
          <w:b/>
          <w:bCs/>
          <w:sz w:val="24"/>
          <w:szCs w:val="24"/>
        </w:rPr>
        <w:t>备注：交易平台技术咨询电话：0374-2961598     清单技术支持：18236016896</w:t>
      </w:r>
    </w:p>
    <w:p w14:paraId="028A09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174535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0653DED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738F00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30C7765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48E2EA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第二章 采购需求</w:t>
      </w:r>
    </w:p>
    <w:p w14:paraId="70ABB2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一、项目概括</w:t>
      </w:r>
    </w:p>
    <w:p w14:paraId="68A8606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依据《豫发改新能源〔2024〕610号文》及《许昌市发展和改革委员会关于组织报送“千乡万村驭风行动”试点项目的通知》等相关文件精神，本项目</w:t>
      </w:r>
      <w:r>
        <w:rPr>
          <w:rFonts w:hint="eastAsia" w:ascii="宋体" w:hAnsi="宋体" w:eastAsia="宋体" w:cs="宋体"/>
          <w:color w:val="auto"/>
          <w:sz w:val="24"/>
          <w:szCs w:val="24"/>
          <w:lang w:eastAsia="zh-CN"/>
        </w:rPr>
        <w:t>通过优选投资主体，</w:t>
      </w:r>
      <w:r>
        <w:rPr>
          <w:rFonts w:hint="eastAsia" w:ascii="宋体" w:hAnsi="宋体" w:eastAsia="宋体" w:cs="宋体"/>
          <w:color w:val="auto"/>
          <w:sz w:val="24"/>
          <w:szCs w:val="24"/>
        </w:rPr>
        <w:t>在襄城县境内选1个行政村（或临近行政村联合）开展试点示范，优先支持开展整村开发类源网荷储一体化项目的行政村纳入“千乡万村驭风行动”试点，每个试点项目建设规模不超过2万千瓦，总投资约1.2亿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由中标企业负责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。由投资主体负责完成本项目选址规划设计工作，保证工程融资、开发建设资金，</w:t>
      </w:r>
      <w:r>
        <w:rPr>
          <w:rFonts w:hint="eastAsia" w:ascii="宋体" w:hAnsi="宋体" w:eastAsia="宋体" w:cs="宋体"/>
          <w:b w:val="0"/>
          <w:bCs w:val="0"/>
          <w:color w:val="auto"/>
          <w:sz w:val="24"/>
          <w:szCs w:val="24"/>
        </w:rPr>
        <w:t>自行承担建设费用和风险</w:t>
      </w:r>
      <w:r>
        <w:rPr>
          <w:rFonts w:hint="eastAsia" w:ascii="宋体" w:hAnsi="宋体" w:eastAsia="宋体" w:cs="宋体"/>
          <w:color w:val="auto"/>
          <w:sz w:val="24"/>
          <w:szCs w:val="24"/>
        </w:rPr>
        <w:t>，负责项目的设计、投资、建设以及工程竣工后的运营、维护等工作，确保工程建设顺利进行并达到国家、地方质量相关标准要求。</w:t>
      </w:r>
    </w:p>
    <w:p w14:paraId="5CBD39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★二、采购需求：</w:t>
      </w:r>
    </w:p>
    <w:p w14:paraId="1CC13E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（1）确定投资主体</w:t>
      </w:r>
      <w:r>
        <w:rPr>
          <w:rFonts w:hint="eastAsia" w:ascii="宋体" w:hAnsi="宋体" w:eastAsia="宋体" w:cs="宋体"/>
          <w:color w:val="auto"/>
          <w:sz w:val="24"/>
          <w:szCs w:val="24"/>
        </w:rPr>
        <w:t>，在襄城县境内选1个行政村（或临近行政村联合）开展试点示范，优先支持开展整村开发类源网荷储一体化项目的行政村纳入“千乡万村驭风行动”试点，每个试点项目建设规模不超过2万千瓦，总投资约1.2亿</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由中标企业负责</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由投资主体负责</w:t>
      </w:r>
      <w:r>
        <w:rPr>
          <w:rFonts w:hint="eastAsia" w:ascii="宋体" w:hAnsi="宋体" w:eastAsia="宋体" w:cs="宋体"/>
          <w:color w:val="auto"/>
          <w:sz w:val="24"/>
          <w:szCs w:val="24"/>
          <w:highlight w:val="none"/>
          <w:lang w:eastAsia="zh-CN"/>
        </w:rPr>
        <w:t>包括但不限于</w:t>
      </w:r>
      <w:r>
        <w:rPr>
          <w:rFonts w:hint="eastAsia" w:ascii="宋体" w:hAnsi="宋体" w:eastAsia="宋体" w:cs="宋体"/>
          <w:color w:val="auto"/>
          <w:sz w:val="24"/>
          <w:szCs w:val="24"/>
          <w:highlight w:val="none"/>
        </w:rPr>
        <w:t>完成项目</w:t>
      </w:r>
      <w:r>
        <w:rPr>
          <w:rFonts w:hint="eastAsia" w:ascii="宋体" w:hAnsi="宋体" w:eastAsia="宋体" w:cs="宋体"/>
          <w:color w:val="auto"/>
          <w:sz w:val="24"/>
          <w:szCs w:val="24"/>
          <w:highlight w:val="none"/>
          <w:lang w:eastAsia="zh-CN"/>
        </w:rPr>
        <w:t>测风、</w:t>
      </w:r>
      <w:r>
        <w:rPr>
          <w:rFonts w:hint="eastAsia" w:ascii="宋体" w:hAnsi="宋体" w:eastAsia="宋体" w:cs="宋体"/>
          <w:color w:val="auto"/>
          <w:sz w:val="24"/>
          <w:szCs w:val="24"/>
          <w:highlight w:val="none"/>
        </w:rPr>
        <w:t>选址</w:t>
      </w:r>
      <w:r>
        <w:rPr>
          <w:rFonts w:hint="eastAsia" w:ascii="宋体" w:hAnsi="宋体" w:eastAsia="宋体" w:cs="宋体"/>
          <w:color w:val="auto"/>
          <w:sz w:val="24"/>
          <w:szCs w:val="24"/>
          <w:highlight w:val="none"/>
          <w:lang w:eastAsia="zh-CN"/>
        </w:rPr>
        <w:t>、用地、融资、道路、环评、可研、地勘、设计、监理等前期工作及项目建设、验收、运维，办理核准（备案）、电网公司接入审批等手续。并</w:t>
      </w:r>
      <w:r>
        <w:rPr>
          <w:rFonts w:hint="eastAsia" w:ascii="宋体" w:hAnsi="宋体" w:eastAsia="宋体" w:cs="宋体"/>
          <w:color w:val="auto"/>
          <w:sz w:val="24"/>
          <w:szCs w:val="24"/>
          <w:highlight w:val="none"/>
        </w:rPr>
        <w:t>自行承担建设费用和风险，确保工程建设顺利进行并达到国家、地方质量相关标准要求。</w:t>
      </w:r>
    </w:p>
    <w:p w14:paraId="65D397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1、合同履行期限：建设期18个月</w:t>
      </w:r>
    </w:p>
    <w:p w14:paraId="765070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2、本项目合作期限：</w:t>
      </w:r>
      <w:r>
        <w:rPr>
          <w:rFonts w:hint="eastAsia" w:ascii="宋体" w:hAnsi="宋体" w:eastAsia="宋体" w:cs="宋体"/>
          <w:color w:val="auto"/>
          <w:sz w:val="24"/>
          <w:szCs w:val="24"/>
          <w:lang w:val="en-US" w:eastAsia="zh-CN"/>
        </w:rPr>
        <w:t>不低于</w:t>
      </w:r>
      <w:r>
        <w:rPr>
          <w:rFonts w:hint="eastAsia" w:ascii="宋体" w:hAnsi="宋体" w:eastAsia="宋体" w:cs="宋体"/>
          <w:color w:val="auto"/>
          <w:sz w:val="24"/>
          <w:szCs w:val="24"/>
        </w:rPr>
        <w:t>20年</w:t>
      </w:r>
      <w:r>
        <w:rPr>
          <w:rFonts w:hint="eastAsia" w:ascii="宋体" w:hAnsi="宋体" w:eastAsia="宋体" w:cs="宋体"/>
          <w:color w:val="auto"/>
          <w:sz w:val="24"/>
          <w:szCs w:val="24"/>
          <w:lang w:eastAsia="zh-CN"/>
        </w:rPr>
        <w:t>（不包含建设期）</w:t>
      </w:r>
    </w:p>
    <w:p w14:paraId="1158809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）项目合同签订后</w:t>
      </w:r>
      <w:r>
        <w:rPr>
          <w:rFonts w:hint="eastAsia" w:ascii="宋体" w:hAnsi="宋体" w:eastAsia="宋体" w:cs="宋体"/>
          <w:color w:val="auto"/>
          <w:sz w:val="24"/>
          <w:szCs w:val="24"/>
        </w:rPr>
        <w:t>，中标单位与村集体指定的公司共同成立合资公司，由合资公司负责建设运营，确定长期稳定的利益共享机制。</w:t>
      </w:r>
    </w:p>
    <w:p w14:paraId="760E006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）以股比分配方式为基本原则</w:t>
      </w:r>
      <w:r>
        <w:rPr>
          <w:rFonts w:hint="eastAsia" w:ascii="宋体" w:hAnsi="宋体" w:eastAsia="宋体" w:cs="宋体"/>
          <w:color w:val="auto"/>
          <w:sz w:val="24"/>
          <w:szCs w:val="24"/>
        </w:rPr>
        <w:t>，合理确定村集体和开发企业的收益分配标准</w:t>
      </w:r>
      <w:r>
        <w:rPr>
          <w:rFonts w:hint="eastAsia" w:ascii="宋体" w:hAnsi="宋体" w:eastAsia="宋体" w:cs="宋体"/>
          <w:color w:val="auto"/>
          <w:sz w:val="24"/>
          <w:szCs w:val="24"/>
          <w:lang w:eastAsia="zh-CN"/>
        </w:rPr>
        <w:t>。</w:t>
      </w:r>
    </w:p>
    <w:p w14:paraId="75204B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1、土地使用权入股收益：村集体以土地使用权入股，中标单位每年给村集体股权收益。</w:t>
      </w:r>
    </w:p>
    <w:p w14:paraId="5AA23A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rPr>
        <w:t>2、赋能乡村振兴：以村企合作为基本原则，以收益共享为目的，</w:t>
      </w:r>
      <w:r>
        <w:rPr>
          <w:rFonts w:hint="eastAsia" w:ascii="宋体" w:hAnsi="宋体" w:eastAsia="宋体" w:cs="宋体"/>
          <w:color w:val="auto"/>
          <w:sz w:val="24"/>
          <w:szCs w:val="24"/>
          <w:highlight w:val="none"/>
        </w:rPr>
        <w:t>由合资公司负责建设运营，合理确定村集体和开发企业的收益分配模式，使风电发展更多惠及农村农民，中标单位应积极支持村集体乡村振兴建设。</w:t>
      </w:r>
    </w:p>
    <w:p w14:paraId="773BC52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（4）中标单位应按照当地电网企业要求</w:t>
      </w:r>
      <w:r>
        <w:rPr>
          <w:rFonts w:hint="eastAsia" w:ascii="宋体" w:hAnsi="宋体" w:eastAsia="宋体" w:cs="宋体"/>
          <w:color w:val="auto"/>
          <w:sz w:val="24"/>
          <w:szCs w:val="24"/>
          <w:highlight w:val="none"/>
          <w:lang w:eastAsia="zh-CN"/>
        </w:rPr>
        <w:t>实施并网</w:t>
      </w:r>
      <w:r>
        <w:rPr>
          <w:rFonts w:hint="eastAsia" w:ascii="宋体" w:hAnsi="宋体" w:eastAsia="宋体" w:cs="宋体"/>
          <w:color w:val="auto"/>
          <w:sz w:val="24"/>
          <w:szCs w:val="24"/>
          <w:highlight w:val="none"/>
        </w:rPr>
        <w:t>，上网电价按照并网当年新能源上网电价政策执行。</w:t>
      </w:r>
    </w:p>
    <w:p w14:paraId="27EA44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（5）包含但不局限于以下内容：</w:t>
      </w:r>
    </w:p>
    <w:p w14:paraId="2D886B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合资公司</w:t>
      </w:r>
      <w:r>
        <w:rPr>
          <w:rFonts w:hint="eastAsia" w:ascii="宋体" w:hAnsi="宋体" w:eastAsia="宋体" w:cs="宋体"/>
          <w:color w:val="auto"/>
          <w:sz w:val="24"/>
          <w:szCs w:val="24"/>
          <w:highlight w:val="none"/>
        </w:rPr>
        <w:t>负责出资完成试点项目建设，</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严格按照“千乡万村驭风</w:t>
      </w:r>
      <w:r>
        <w:rPr>
          <w:rFonts w:hint="eastAsia" w:ascii="宋体" w:hAnsi="宋体" w:eastAsia="宋体" w:cs="宋体"/>
          <w:color w:val="auto"/>
          <w:sz w:val="24"/>
          <w:szCs w:val="24"/>
        </w:rPr>
        <w:t>行动”的相关规定开展工作。</w:t>
      </w:r>
    </w:p>
    <w:p w14:paraId="1112BF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、项目规划设计、施工、监理等工作依据相关规定，确定具备相应专业资质能力的单位承担。</w:t>
      </w:r>
    </w:p>
    <w:p w14:paraId="73FD50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中标人按照有关法律法规要求和合同约定，做好项目实施阶段各项工作以及项目施工现场管理，并负责一切安全责任事故。</w:t>
      </w:r>
    </w:p>
    <w:p w14:paraId="4AB524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、中标人</w:t>
      </w:r>
      <w:r>
        <w:rPr>
          <w:rFonts w:hint="eastAsia" w:ascii="宋体" w:hAnsi="宋体" w:eastAsia="宋体" w:cs="宋体"/>
          <w:b w:val="0"/>
          <w:bCs w:val="0"/>
          <w:color w:val="auto"/>
          <w:sz w:val="24"/>
          <w:szCs w:val="24"/>
          <w:lang w:eastAsia="zh-CN"/>
        </w:rPr>
        <w:t>协助</w:t>
      </w:r>
      <w:r>
        <w:rPr>
          <w:rFonts w:hint="eastAsia" w:ascii="宋体" w:hAnsi="宋体" w:eastAsia="宋体" w:cs="宋体"/>
          <w:b w:val="0"/>
          <w:bCs w:val="0"/>
          <w:color w:val="auto"/>
          <w:sz w:val="24"/>
          <w:szCs w:val="24"/>
        </w:rPr>
        <w:t>办理规划、施</w:t>
      </w:r>
      <w:r>
        <w:rPr>
          <w:rFonts w:hint="eastAsia" w:ascii="宋体" w:hAnsi="宋体" w:eastAsia="宋体" w:cs="宋体"/>
          <w:color w:val="auto"/>
          <w:sz w:val="24"/>
          <w:szCs w:val="24"/>
        </w:rPr>
        <w:t>工、节能、环保</w:t>
      </w:r>
      <w:r>
        <w:rPr>
          <w:rFonts w:hint="eastAsia" w:ascii="宋体" w:hAnsi="宋体" w:eastAsia="宋体" w:cs="宋体"/>
          <w:color w:val="auto"/>
          <w:sz w:val="24"/>
          <w:szCs w:val="24"/>
          <w:lang w:eastAsia="zh-CN"/>
        </w:rPr>
        <w:t>、用地审批等有关</w:t>
      </w:r>
      <w:r>
        <w:rPr>
          <w:rFonts w:hint="eastAsia" w:ascii="宋体" w:hAnsi="宋体" w:eastAsia="宋体" w:cs="宋体"/>
          <w:color w:val="auto"/>
          <w:sz w:val="24"/>
          <w:szCs w:val="24"/>
        </w:rPr>
        <w:t>手续。</w:t>
      </w:r>
    </w:p>
    <w:p w14:paraId="4BC733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、中标人须做好当地村民关系的协调，杜绝信访案件的发生。</w:t>
      </w:r>
    </w:p>
    <w:p w14:paraId="2CA4EF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、保证工程质量符合现行相关国家、省、市标准、规范等要求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最终通过政府主管部门验收。</w:t>
      </w:r>
    </w:p>
    <w:p w14:paraId="1B3F1B4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（6）关注项目对周边生产、生活、生态可能带来的影响</w:t>
      </w:r>
      <w:r>
        <w:rPr>
          <w:rFonts w:hint="eastAsia" w:ascii="宋体" w:hAnsi="宋体" w:eastAsia="宋体" w:cs="宋体"/>
          <w:color w:val="auto"/>
          <w:sz w:val="24"/>
          <w:szCs w:val="24"/>
        </w:rPr>
        <w:t>，采用低噪音风电机组，提高安全防护要求，避让鸟类迁徙通道、集群活动区域和栖息地，做好风电设施退役后固废处理处置工作，积极融入乡村风貌，助力建设宜居宜业和美乡村。</w:t>
      </w:r>
    </w:p>
    <w:p w14:paraId="1F16130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）项目建设内容及规模</w:t>
      </w:r>
      <w:r>
        <w:rPr>
          <w:rFonts w:hint="eastAsia" w:ascii="宋体" w:hAnsi="宋体" w:eastAsia="宋体" w:cs="宋体"/>
          <w:color w:val="auto"/>
          <w:sz w:val="24"/>
          <w:szCs w:val="24"/>
        </w:rPr>
        <w:t>：本项目为襄城县发展和改革委员会襄城县“千乡万村驭风行动”风电试点项目,总装机容量20</w:t>
      </w:r>
      <w:r>
        <w:rPr>
          <w:rFonts w:hint="eastAsia" w:ascii="宋体" w:hAnsi="宋体" w:eastAsia="宋体" w:cs="宋体"/>
          <w:color w:val="auto"/>
          <w:sz w:val="24"/>
          <w:szCs w:val="24"/>
          <w:highlight w:val="none"/>
        </w:rPr>
        <w:t>兆瓦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襄城县发展和改革委员会</w:t>
      </w:r>
      <w:r>
        <w:rPr>
          <w:rFonts w:hint="eastAsia" w:ascii="宋体" w:hAnsi="宋体" w:eastAsia="宋体" w:cs="宋体"/>
          <w:color w:val="auto"/>
          <w:sz w:val="24"/>
          <w:szCs w:val="24"/>
          <w:highlight w:val="none"/>
          <w:lang w:eastAsia="zh-CN"/>
        </w:rPr>
        <w:t>对本项目的实施</w:t>
      </w:r>
      <w:r>
        <w:rPr>
          <w:rFonts w:hint="eastAsia" w:ascii="宋体" w:hAnsi="宋体" w:eastAsia="宋体" w:cs="宋体"/>
          <w:color w:val="auto"/>
          <w:sz w:val="24"/>
          <w:szCs w:val="24"/>
          <w:highlight w:val="none"/>
        </w:rPr>
        <w:t>有重大问题否决权。</w:t>
      </w:r>
    </w:p>
    <w:p w14:paraId="3BA3BDC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）合同体系</w:t>
      </w:r>
    </w:p>
    <w:p w14:paraId="2E6463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在本项目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中，各项目主体之间通过签订一系列合同来确立和调整彼此的权利义务关系，构成本项目的合同体系。本项目的合同体系包括项目合同、股东协议、履约合同、投资合同和保险合同等。</w:t>
      </w:r>
    </w:p>
    <w:p w14:paraId="248E13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）强制保险方案</w:t>
      </w:r>
    </w:p>
    <w:p w14:paraId="7D547B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运营期间可能遇到不可预期或不可控制的风险，项目全资公司应按相关规定办理和维持合理的建设期和运营期保险。运营期应投保险种包括财产一切险、第三者责任险以及其它通常的、合理的或者遵循投资人及适用法律要求所必需的保险。</w:t>
      </w:r>
    </w:p>
    <w:p w14:paraId="7686AD1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）股权转让限制</w:t>
      </w:r>
    </w:p>
    <w:p w14:paraId="6034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在《项目合同》签订后20年内</w:t>
      </w:r>
      <w:r>
        <w:rPr>
          <w:rFonts w:hint="eastAsia" w:ascii="宋体" w:hAnsi="宋体" w:eastAsia="宋体" w:cs="宋体"/>
          <w:color w:val="auto"/>
          <w:sz w:val="24"/>
          <w:szCs w:val="24"/>
          <w:highlight w:val="none"/>
          <w:lang w:eastAsia="zh-CN"/>
        </w:rPr>
        <w:t>中标企业</w:t>
      </w:r>
      <w:r>
        <w:rPr>
          <w:rFonts w:hint="eastAsia" w:ascii="宋体" w:hAnsi="宋体" w:eastAsia="宋体" w:cs="宋体"/>
          <w:color w:val="auto"/>
          <w:sz w:val="24"/>
          <w:szCs w:val="24"/>
          <w:highlight w:val="none"/>
        </w:rPr>
        <w:t>不得转让其</w:t>
      </w:r>
      <w:r>
        <w:rPr>
          <w:rFonts w:hint="eastAsia" w:ascii="宋体" w:hAnsi="宋体" w:eastAsia="宋体" w:cs="宋体"/>
          <w:color w:val="auto"/>
          <w:sz w:val="24"/>
          <w:szCs w:val="24"/>
          <w:highlight w:val="none"/>
          <w:lang w:eastAsia="zh-CN"/>
        </w:rPr>
        <w:t>在合资</w:t>
      </w:r>
      <w:r>
        <w:rPr>
          <w:rFonts w:hint="eastAsia" w:ascii="宋体" w:hAnsi="宋体" w:eastAsia="宋体" w:cs="宋体"/>
          <w:color w:val="auto"/>
          <w:sz w:val="24"/>
          <w:szCs w:val="24"/>
          <w:highlight w:val="none"/>
        </w:rPr>
        <w:t>公司的股权。</w:t>
      </w:r>
    </w:p>
    <w:p w14:paraId="4AD79BD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）完成时限</w:t>
      </w:r>
    </w:p>
    <w:p w14:paraId="65AA08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项目中标签订服务协议后，中标企业必须2026年6月底前并网发电。</w:t>
      </w:r>
    </w:p>
    <w:p w14:paraId="663F4F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注：</w:t>
      </w:r>
      <w:r>
        <w:rPr>
          <w:rFonts w:hint="eastAsia" w:ascii="宋体" w:hAnsi="宋体" w:eastAsia="宋体" w:cs="宋体"/>
          <w:b/>
          <w:bCs/>
          <w:color w:val="auto"/>
          <w:sz w:val="24"/>
          <w:szCs w:val="24"/>
        </w:rPr>
        <w:t>投标人应认真了解本次项目的具体工作要求、工作范围以及职责，了解一切可能影响投标响应的资料。一经中标，不得以不完全了解项目要求、项目情况等为借口而提出额外补偿或拒绝履行等要求，否则，采购人有权取消中标人资格，并顺延中标人。投标人应对此项和采购需求全部内容做出实质性响应承诺，否则为无效投标。</w:t>
      </w:r>
    </w:p>
    <w:p w14:paraId="637BD5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三、采购标的执行标准</w:t>
      </w:r>
    </w:p>
    <w:p w14:paraId="7253B0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执行按照国家相关标准、行业标准、地方标准或者其他标准、规范。</w:t>
      </w:r>
    </w:p>
    <w:p w14:paraId="132802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四、本项目预算金额及最高限价：</w:t>
      </w:r>
    </w:p>
    <w:p w14:paraId="594812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red"/>
        </w:rPr>
      </w:pPr>
      <w:r>
        <w:rPr>
          <w:rFonts w:hint="eastAsia" w:ascii="宋体" w:hAnsi="宋体" w:eastAsia="宋体" w:cs="宋体"/>
          <w:b/>
          <w:bCs/>
          <w:color w:val="auto"/>
          <w:sz w:val="24"/>
          <w:szCs w:val="24"/>
          <w:highlight w:val="none"/>
        </w:rPr>
        <w:t>本项目最高限价</w:t>
      </w:r>
      <w:r>
        <w:rPr>
          <w:rFonts w:hint="eastAsia" w:ascii="宋体" w:hAnsi="宋体" w:eastAsia="宋体" w:cs="宋体"/>
          <w:b/>
          <w:bCs/>
          <w:color w:val="auto"/>
          <w:sz w:val="24"/>
          <w:szCs w:val="24"/>
          <w:highlight w:val="none"/>
          <w:lang w:val="en-US" w:eastAsia="zh-CN"/>
        </w:rPr>
        <w:t>300000.00元（最高限价不作为竞争价，且不参与报价计算）</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rPr>
        <w:t>投标人应根据自身情况</w:t>
      </w:r>
      <w:r>
        <w:rPr>
          <w:rFonts w:hint="eastAsia" w:ascii="宋体" w:hAnsi="宋体" w:eastAsia="宋体" w:cs="宋体"/>
          <w:b/>
          <w:bCs/>
          <w:color w:val="auto"/>
          <w:sz w:val="24"/>
          <w:szCs w:val="24"/>
          <w:lang w:eastAsia="zh-CN"/>
        </w:rPr>
        <w:t>对</w:t>
      </w:r>
      <w:r>
        <w:rPr>
          <w:rFonts w:hint="eastAsia" w:ascii="宋体" w:hAnsi="宋体" w:eastAsia="宋体" w:cs="宋体"/>
          <w:b/>
          <w:bCs/>
          <w:color w:val="auto"/>
          <w:sz w:val="24"/>
          <w:szCs w:val="24"/>
        </w:rPr>
        <w:t>土地使用权入股</w:t>
      </w:r>
      <w:r>
        <w:rPr>
          <w:rFonts w:hint="eastAsia" w:ascii="宋体" w:hAnsi="宋体" w:eastAsia="宋体" w:cs="宋体"/>
          <w:b/>
          <w:bCs/>
          <w:color w:val="auto"/>
          <w:sz w:val="24"/>
          <w:szCs w:val="24"/>
          <w:lang w:eastAsia="zh-CN"/>
        </w:rPr>
        <w:t>的村集体保底年</w:t>
      </w:r>
      <w:r>
        <w:rPr>
          <w:rFonts w:hint="eastAsia" w:ascii="宋体" w:hAnsi="宋体" w:eastAsia="宋体" w:cs="宋体"/>
          <w:b/>
          <w:bCs/>
          <w:color w:val="auto"/>
          <w:sz w:val="24"/>
          <w:szCs w:val="24"/>
        </w:rPr>
        <w:t>收益进行报价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以</w:t>
      </w:r>
      <w:r>
        <w:rPr>
          <w:rFonts w:hint="eastAsia" w:ascii="宋体" w:hAnsi="宋体" w:eastAsia="宋体" w:cs="宋体"/>
          <w:b/>
          <w:bCs/>
          <w:color w:val="auto"/>
          <w:sz w:val="24"/>
          <w:szCs w:val="24"/>
        </w:rPr>
        <w:t>土地使用权入股</w:t>
      </w:r>
      <w:r>
        <w:rPr>
          <w:rFonts w:hint="eastAsia" w:ascii="宋体" w:hAnsi="宋体" w:eastAsia="宋体" w:cs="宋体"/>
          <w:b/>
          <w:bCs/>
          <w:color w:val="auto"/>
          <w:sz w:val="24"/>
          <w:szCs w:val="24"/>
          <w:lang w:eastAsia="zh-CN"/>
        </w:rPr>
        <w:t>的村集体保底年</w:t>
      </w:r>
      <w:r>
        <w:rPr>
          <w:rFonts w:hint="eastAsia" w:ascii="宋体" w:hAnsi="宋体" w:eastAsia="宋体" w:cs="宋体"/>
          <w:b/>
          <w:bCs/>
          <w:color w:val="auto"/>
          <w:sz w:val="24"/>
          <w:szCs w:val="24"/>
        </w:rPr>
        <w:t>收益</w:t>
      </w:r>
      <w:r>
        <w:rPr>
          <w:rFonts w:hint="eastAsia" w:ascii="宋体" w:hAnsi="宋体" w:eastAsia="宋体" w:cs="宋体"/>
          <w:b/>
          <w:bCs/>
          <w:color w:val="auto"/>
          <w:sz w:val="24"/>
          <w:szCs w:val="24"/>
          <w:lang w:val="en-US" w:eastAsia="zh-CN"/>
        </w:rPr>
        <w:t>报价作为竞价依据</w:t>
      </w:r>
      <w:r>
        <w:rPr>
          <w:rFonts w:hint="eastAsia" w:ascii="宋体" w:hAnsi="宋体" w:eastAsia="宋体" w:cs="宋体"/>
          <w:b/>
          <w:bCs/>
          <w:color w:val="auto"/>
          <w:sz w:val="24"/>
          <w:szCs w:val="24"/>
        </w:rPr>
        <w:t>。</w:t>
      </w:r>
    </w:p>
    <w:p w14:paraId="20D7595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注：基于现行网上电子交易系统对于县级政府采购项目金额限制的固有属性、不易更改性，本次采购预算金额设定为“30万元”，此预算金额不做为报价依据。</w:t>
      </w:r>
    </w:p>
    <w:p w14:paraId="4AE98E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2C70E6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096B8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280D7D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6C182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5031D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431258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1E4AB9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0CDF0BF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137EB3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第三章 供应商须知前附表</w:t>
      </w:r>
    </w:p>
    <w:p w14:paraId="65872A6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磋商文件中凡标有★条款均为实质性要求条款，响应文件须完全响应，未实质响应的，按照无效响应处理。</w:t>
      </w:r>
    </w:p>
    <w:tbl>
      <w:tblPr>
        <w:tblStyle w:val="10"/>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01"/>
        <w:gridCol w:w="6499"/>
      </w:tblGrid>
      <w:tr w14:paraId="2978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E2579A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1"/>
                <w:szCs w:val="21"/>
              </w:rPr>
              <w:t>序号</w:t>
            </w:r>
          </w:p>
        </w:tc>
        <w:tc>
          <w:tcPr>
            <w:tcW w:w="1801" w:type="dxa"/>
            <w:tcBorders>
              <w:top w:val="single" w:color="auto" w:sz="4" w:space="0"/>
              <w:left w:val="nil"/>
              <w:bottom w:val="single" w:color="auto" w:sz="4" w:space="0"/>
              <w:right w:val="single" w:color="auto" w:sz="4" w:space="0"/>
            </w:tcBorders>
            <w:vAlign w:val="center"/>
          </w:tcPr>
          <w:p w14:paraId="52223D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条款名称</w:t>
            </w:r>
          </w:p>
        </w:tc>
        <w:tc>
          <w:tcPr>
            <w:tcW w:w="6499" w:type="dxa"/>
            <w:tcBorders>
              <w:top w:val="single" w:color="auto" w:sz="4" w:space="0"/>
              <w:left w:val="nil"/>
              <w:bottom w:val="single" w:color="auto" w:sz="4" w:space="0"/>
              <w:right w:val="single" w:color="auto" w:sz="4" w:space="0"/>
            </w:tcBorders>
            <w:vAlign w:val="center"/>
          </w:tcPr>
          <w:p w14:paraId="30A74C5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说明和要求</w:t>
            </w:r>
          </w:p>
        </w:tc>
      </w:tr>
      <w:tr w14:paraId="1CE2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342D5A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01" w:type="dxa"/>
            <w:tcBorders>
              <w:top w:val="single" w:color="auto" w:sz="4" w:space="0"/>
              <w:left w:val="nil"/>
              <w:bottom w:val="single" w:color="auto" w:sz="4" w:space="0"/>
              <w:right w:val="single" w:color="auto" w:sz="4" w:space="0"/>
            </w:tcBorders>
            <w:vAlign w:val="center"/>
          </w:tcPr>
          <w:p w14:paraId="15871A5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采购项目</w:t>
            </w:r>
          </w:p>
        </w:tc>
        <w:tc>
          <w:tcPr>
            <w:tcW w:w="6499" w:type="dxa"/>
            <w:tcBorders>
              <w:top w:val="single" w:color="auto" w:sz="4" w:space="0"/>
              <w:left w:val="nil"/>
              <w:bottom w:val="single" w:color="auto" w:sz="4" w:space="0"/>
              <w:right w:val="single" w:color="auto" w:sz="4" w:space="0"/>
            </w:tcBorders>
            <w:vAlign w:val="center"/>
          </w:tcPr>
          <w:p w14:paraId="67C5B10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val="en-US" w:eastAsia="zh-CN"/>
              </w:rPr>
              <w:t>襄城县发展和改革委员会襄城县“千乡万村驭风行动”风电试点项目</w:t>
            </w:r>
          </w:p>
          <w:p w14:paraId="5A77C8D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项目编号：襄财磋商采购-202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51</w:t>
            </w:r>
          </w:p>
        </w:tc>
      </w:tr>
      <w:tr w14:paraId="36D9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37C13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01" w:type="dxa"/>
            <w:tcBorders>
              <w:top w:val="single" w:color="auto" w:sz="4" w:space="0"/>
              <w:left w:val="nil"/>
              <w:bottom w:val="single" w:color="auto" w:sz="4" w:space="0"/>
              <w:right w:val="single" w:color="auto" w:sz="4" w:space="0"/>
            </w:tcBorders>
            <w:vAlign w:val="center"/>
          </w:tcPr>
          <w:p w14:paraId="41A8277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499" w:type="dxa"/>
            <w:tcBorders>
              <w:top w:val="single" w:color="auto" w:sz="4" w:space="0"/>
              <w:left w:val="nil"/>
              <w:bottom w:val="single" w:color="auto" w:sz="4" w:space="0"/>
              <w:right w:val="single" w:color="auto" w:sz="4" w:space="0"/>
            </w:tcBorders>
            <w:vAlign w:val="center"/>
          </w:tcPr>
          <w:p w14:paraId="7B96A63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采购人：襄城县发展和改革委员会</w:t>
            </w:r>
          </w:p>
          <w:p w14:paraId="3615C1D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地 址：</w:t>
            </w:r>
            <w:r>
              <w:rPr>
                <w:rFonts w:hint="eastAsia" w:ascii="宋体" w:hAnsi="宋体" w:eastAsia="宋体" w:cs="宋体"/>
                <w:color w:val="auto"/>
                <w:sz w:val="24"/>
                <w:szCs w:val="24"/>
                <w:highlight w:val="none"/>
                <w:lang w:val="en-US" w:eastAsia="zh-CN"/>
              </w:rPr>
              <w:t>襄城县</w:t>
            </w:r>
          </w:p>
          <w:p w14:paraId="65C6FF1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rPr>
              <w:t>联系人：</w:t>
            </w:r>
            <w:r>
              <w:rPr>
                <w:rFonts w:hint="eastAsia" w:ascii="宋体" w:hAnsi="宋体" w:eastAsia="宋体" w:cs="宋体"/>
                <w:color w:val="auto"/>
                <w:sz w:val="24"/>
                <w:szCs w:val="24"/>
                <w:highlight w:val="none"/>
                <w:lang w:val="en-US" w:eastAsia="zh-CN"/>
              </w:rPr>
              <w:t>李先生</w:t>
            </w:r>
          </w:p>
          <w:p w14:paraId="43C954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highlight w:val="none"/>
                <w:lang w:val="en-US"/>
              </w:rPr>
            </w:pPr>
            <w:r>
              <w:rPr>
                <w:rFonts w:hint="default" w:ascii="宋体" w:hAnsi="宋体" w:eastAsia="宋体" w:cs="宋体"/>
                <w:color w:val="auto"/>
                <w:sz w:val="24"/>
                <w:szCs w:val="24"/>
                <w:highlight w:val="none"/>
                <w:lang w:val="en-US"/>
              </w:rPr>
              <w:t>电  话：</w:t>
            </w:r>
            <w:r>
              <w:rPr>
                <w:rFonts w:hint="eastAsia" w:ascii="宋体" w:hAnsi="宋体" w:eastAsia="宋体" w:cs="宋体"/>
                <w:color w:val="auto"/>
                <w:sz w:val="24"/>
                <w:szCs w:val="24"/>
                <w:highlight w:val="none"/>
                <w:lang w:val="en-US" w:eastAsia="zh-CN"/>
              </w:rPr>
              <w:t>18503748501</w:t>
            </w:r>
          </w:p>
        </w:tc>
      </w:tr>
      <w:tr w14:paraId="4761F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D5AA09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01" w:type="dxa"/>
            <w:tcBorders>
              <w:top w:val="single" w:color="auto" w:sz="4" w:space="0"/>
              <w:left w:val="nil"/>
              <w:bottom w:val="single" w:color="auto" w:sz="4" w:space="0"/>
              <w:right w:val="single" w:color="auto" w:sz="4" w:space="0"/>
            </w:tcBorders>
            <w:vAlign w:val="center"/>
          </w:tcPr>
          <w:p w14:paraId="15B57DF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代理机构</w:t>
            </w:r>
          </w:p>
        </w:tc>
        <w:tc>
          <w:tcPr>
            <w:tcW w:w="6499" w:type="dxa"/>
            <w:tcBorders>
              <w:top w:val="single" w:color="auto" w:sz="4" w:space="0"/>
              <w:left w:val="nil"/>
              <w:bottom w:val="single" w:color="auto" w:sz="4" w:space="0"/>
              <w:right w:val="single" w:color="auto" w:sz="4" w:space="0"/>
            </w:tcBorders>
            <w:vAlign w:val="center"/>
          </w:tcPr>
          <w:p w14:paraId="5E8F5F6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称：襄城县政府采购中心</w:t>
            </w:r>
          </w:p>
          <w:p w14:paraId="43697F6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址：襄城县八七路东段电子产业园12楼1204室</w:t>
            </w:r>
          </w:p>
          <w:p w14:paraId="01ED4EF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联系人：襄城县政府采购中心 </w:t>
            </w:r>
          </w:p>
          <w:p w14:paraId="6BFCE6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联系电话：0374-3998026</w:t>
            </w:r>
          </w:p>
        </w:tc>
      </w:tr>
      <w:tr w14:paraId="0169E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vMerge w:val="restart"/>
            <w:tcBorders>
              <w:top w:val="single" w:color="auto" w:sz="4" w:space="0"/>
              <w:left w:val="single" w:color="auto" w:sz="4" w:space="0"/>
              <w:right w:val="single" w:color="auto" w:sz="4" w:space="0"/>
            </w:tcBorders>
            <w:vAlign w:val="center"/>
          </w:tcPr>
          <w:p w14:paraId="2D5AD3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801" w:type="dxa"/>
            <w:vMerge w:val="restart"/>
            <w:tcBorders>
              <w:top w:val="single" w:color="auto" w:sz="4" w:space="0"/>
              <w:left w:val="nil"/>
              <w:right w:val="single" w:color="auto" w:sz="4" w:space="0"/>
            </w:tcBorders>
            <w:vAlign w:val="center"/>
          </w:tcPr>
          <w:p w14:paraId="5F9BB81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★供应商资格</w:t>
            </w:r>
          </w:p>
        </w:tc>
        <w:tc>
          <w:tcPr>
            <w:tcW w:w="6499" w:type="dxa"/>
            <w:tcBorders>
              <w:top w:val="single" w:color="auto" w:sz="4" w:space="0"/>
              <w:left w:val="nil"/>
              <w:bottom w:val="single" w:color="auto" w:sz="4" w:space="0"/>
              <w:right w:val="single" w:color="auto" w:sz="4" w:space="0"/>
            </w:tcBorders>
            <w:shd w:val="clear" w:color="auto" w:fill="auto"/>
            <w:vAlign w:val="center"/>
          </w:tcPr>
          <w:p w14:paraId="4621F38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符合《政府采购法》第二十二条规定</w:t>
            </w:r>
          </w:p>
          <w:p w14:paraId="0EAEDD8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1．具有独立承担民事责任的能力；</w:t>
            </w:r>
          </w:p>
          <w:p w14:paraId="694DD1B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14:paraId="1D5AD61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3．具有履行合同所必需的设备和专业技术能力；</w:t>
            </w:r>
          </w:p>
          <w:p w14:paraId="46619C4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14:paraId="0DCA16E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5．参加政府采购活动前三年内，在经营活动中没有重大违法记录；</w:t>
            </w:r>
          </w:p>
        </w:tc>
      </w:tr>
      <w:tr w14:paraId="6B905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vMerge w:val="continue"/>
            <w:tcBorders>
              <w:left w:val="single" w:color="auto" w:sz="4" w:space="0"/>
              <w:bottom w:val="single" w:color="auto" w:sz="4" w:space="0"/>
              <w:right w:val="single" w:color="auto" w:sz="4" w:space="0"/>
            </w:tcBorders>
            <w:vAlign w:val="center"/>
          </w:tcPr>
          <w:p w14:paraId="02B49A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lang w:val="en-US" w:eastAsia="zh-CN"/>
              </w:rPr>
            </w:pPr>
          </w:p>
        </w:tc>
        <w:tc>
          <w:tcPr>
            <w:tcW w:w="1801" w:type="dxa"/>
            <w:vMerge w:val="continue"/>
            <w:tcBorders>
              <w:left w:val="nil"/>
              <w:bottom w:val="single" w:color="auto" w:sz="4" w:space="0"/>
              <w:right w:val="single" w:color="auto" w:sz="4" w:space="0"/>
            </w:tcBorders>
            <w:vAlign w:val="center"/>
          </w:tcPr>
          <w:p w14:paraId="6A64EBB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rPr>
            </w:pPr>
          </w:p>
        </w:tc>
        <w:tc>
          <w:tcPr>
            <w:tcW w:w="6499" w:type="dxa"/>
            <w:tcBorders>
              <w:top w:val="single" w:color="auto" w:sz="4" w:space="0"/>
              <w:left w:val="nil"/>
              <w:bottom w:val="single" w:color="auto" w:sz="4" w:space="0"/>
              <w:right w:val="single" w:color="auto" w:sz="4" w:space="0"/>
            </w:tcBorders>
            <w:shd w:val="clear" w:color="auto" w:fill="auto"/>
            <w:vAlign w:val="center"/>
          </w:tcPr>
          <w:p w14:paraId="4994A24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14:paraId="4521C80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1、供应商在投标时，提供《襄城县政府采购供应商信用承诺函》（详见招标文件第八章</w:t>
            </w:r>
            <w:r>
              <w:rPr>
                <w:rFonts w:hint="eastAsia" w:ascii="宋体" w:hAnsi="宋体" w:eastAsia="宋体" w:cs="宋体"/>
                <w:color w:val="auto"/>
                <w:sz w:val="24"/>
                <w:szCs w:val="24"/>
                <w:lang w:val="en-US" w:eastAsia="zh-CN"/>
              </w:rPr>
              <w:t>4.8</w:t>
            </w:r>
            <w:r>
              <w:rPr>
                <w:rFonts w:hint="eastAsia" w:ascii="宋体" w:hAnsi="宋体" w:eastAsia="宋体" w:cs="宋体"/>
                <w:color w:val="auto"/>
                <w:sz w:val="24"/>
                <w:szCs w:val="24"/>
              </w:rPr>
              <w:t>格式），无需再提交上述证明材料。</w:t>
            </w:r>
          </w:p>
          <w:p w14:paraId="1A9AACD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2、采购人有权在签订合同前要求中标供应商提供相关证明材料以核实中标供应商承诺事项的真实性。</w:t>
            </w:r>
          </w:p>
          <w:p w14:paraId="4213A9B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3、供应商对信用承诺内容的真实性、合法性、有效性负责。如作出虚假信用承诺，视同为“提供虚假材料谋取中标”的违法行为。</w:t>
            </w:r>
          </w:p>
          <w:p w14:paraId="3C762F9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本项目的特定资格要求：（详见第六章 资格审查与评标）。需提供以上证件原件扫描件（或彩色图片）</w:t>
            </w:r>
          </w:p>
        </w:tc>
      </w:tr>
      <w:tr w14:paraId="6C378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55CA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01" w:type="dxa"/>
            <w:tcBorders>
              <w:top w:val="single" w:color="auto" w:sz="4" w:space="0"/>
              <w:left w:val="nil"/>
              <w:bottom w:val="single" w:color="auto" w:sz="4" w:space="0"/>
              <w:right w:val="single" w:color="auto" w:sz="4" w:space="0"/>
            </w:tcBorders>
            <w:vAlign w:val="center"/>
          </w:tcPr>
          <w:p w14:paraId="7A62A08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★联合体投标</w:t>
            </w:r>
          </w:p>
        </w:tc>
        <w:tc>
          <w:tcPr>
            <w:tcW w:w="6499" w:type="dxa"/>
            <w:tcBorders>
              <w:top w:val="single" w:color="auto" w:sz="4" w:space="0"/>
              <w:left w:val="nil"/>
              <w:bottom w:val="single" w:color="auto" w:sz="4" w:space="0"/>
              <w:right w:val="single" w:color="auto" w:sz="4" w:space="0"/>
            </w:tcBorders>
            <w:vAlign w:val="center"/>
          </w:tcPr>
          <w:p w14:paraId="7CE97BA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本项目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lang w:eastAsia="zh-CN"/>
              </w:rPr>
              <w:instrText xml:space="preserve">,√</w:instrText>
            </w:r>
            <w:r>
              <w:rPr>
                <w:rFonts w:hint="eastAsia" w:ascii="宋体" w:hAnsi="宋体" w:eastAsia="宋体" w:cs="宋体"/>
                <w:color w:val="auto"/>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不接受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接受联合体投标</w:t>
            </w:r>
          </w:p>
        </w:tc>
      </w:tr>
      <w:tr w14:paraId="05423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E114D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01" w:type="dxa"/>
            <w:tcBorders>
              <w:top w:val="single" w:color="auto" w:sz="4" w:space="0"/>
              <w:left w:val="nil"/>
              <w:bottom w:val="single" w:color="auto" w:sz="4" w:space="0"/>
              <w:right w:val="single" w:color="auto" w:sz="4" w:space="0"/>
            </w:tcBorders>
            <w:vAlign w:val="center"/>
          </w:tcPr>
          <w:p w14:paraId="393CD5C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★最高限价</w:t>
            </w:r>
          </w:p>
        </w:tc>
        <w:tc>
          <w:tcPr>
            <w:tcW w:w="6499" w:type="dxa"/>
            <w:tcBorders>
              <w:top w:val="single" w:color="auto" w:sz="4" w:space="0"/>
              <w:left w:val="nil"/>
              <w:bottom w:val="single" w:color="auto" w:sz="4" w:space="0"/>
              <w:right w:val="single" w:color="auto" w:sz="4" w:space="0"/>
            </w:tcBorders>
            <w:vAlign w:val="center"/>
          </w:tcPr>
          <w:p w14:paraId="0392777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red"/>
              </w:rPr>
            </w:pPr>
            <w:r>
              <w:rPr>
                <w:rFonts w:hint="eastAsia" w:ascii="宋体" w:hAnsi="宋体" w:eastAsia="宋体" w:cs="宋体"/>
                <w:b/>
                <w:bCs/>
                <w:color w:val="auto"/>
                <w:sz w:val="24"/>
                <w:szCs w:val="24"/>
                <w:highlight w:val="none"/>
              </w:rPr>
              <w:t>本项目最高限价</w:t>
            </w:r>
            <w:r>
              <w:rPr>
                <w:rFonts w:hint="eastAsia" w:ascii="宋体" w:hAnsi="宋体" w:eastAsia="宋体" w:cs="宋体"/>
                <w:b/>
                <w:bCs/>
                <w:color w:val="auto"/>
                <w:sz w:val="24"/>
                <w:szCs w:val="24"/>
                <w:highlight w:val="none"/>
                <w:lang w:val="en-US" w:eastAsia="zh-CN"/>
              </w:rPr>
              <w:t>300000.00元（最高限价不作为竞争价，且不参与报价计算）</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rPr>
              <w:t>投标人应根据自身情况</w:t>
            </w:r>
            <w:r>
              <w:rPr>
                <w:rFonts w:hint="eastAsia" w:ascii="宋体" w:hAnsi="宋体" w:eastAsia="宋体" w:cs="宋体"/>
                <w:b/>
                <w:bCs/>
                <w:color w:val="auto"/>
                <w:sz w:val="24"/>
                <w:szCs w:val="24"/>
                <w:lang w:eastAsia="zh-CN"/>
              </w:rPr>
              <w:t>对</w:t>
            </w:r>
            <w:r>
              <w:rPr>
                <w:rFonts w:hint="eastAsia" w:ascii="宋体" w:hAnsi="宋体" w:eastAsia="宋体" w:cs="宋体"/>
                <w:b/>
                <w:bCs/>
                <w:color w:val="auto"/>
                <w:sz w:val="24"/>
                <w:szCs w:val="24"/>
              </w:rPr>
              <w:t>土地使用权入股</w:t>
            </w:r>
            <w:r>
              <w:rPr>
                <w:rFonts w:hint="eastAsia" w:ascii="宋体" w:hAnsi="宋体" w:eastAsia="宋体" w:cs="宋体"/>
                <w:b/>
                <w:bCs/>
                <w:color w:val="auto"/>
                <w:sz w:val="24"/>
                <w:szCs w:val="24"/>
                <w:lang w:eastAsia="zh-CN"/>
              </w:rPr>
              <w:t>的村集体保底年</w:t>
            </w:r>
            <w:r>
              <w:rPr>
                <w:rFonts w:hint="eastAsia" w:ascii="宋体" w:hAnsi="宋体" w:eastAsia="宋体" w:cs="宋体"/>
                <w:b/>
                <w:bCs/>
                <w:color w:val="auto"/>
                <w:sz w:val="24"/>
                <w:szCs w:val="24"/>
              </w:rPr>
              <w:t>收益进行报价</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以</w:t>
            </w:r>
            <w:r>
              <w:rPr>
                <w:rFonts w:hint="eastAsia" w:ascii="宋体" w:hAnsi="宋体" w:eastAsia="宋体" w:cs="宋体"/>
                <w:b/>
                <w:bCs/>
                <w:color w:val="auto"/>
                <w:sz w:val="24"/>
                <w:szCs w:val="24"/>
              </w:rPr>
              <w:t>土地使用权入股</w:t>
            </w:r>
            <w:r>
              <w:rPr>
                <w:rFonts w:hint="eastAsia" w:ascii="宋体" w:hAnsi="宋体" w:eastAsia="宋体" w:cs="宋体"/>
                <w:b/>
                <w:bCs/>
                <w:color w:val="auto"/>
                <w:sz w:val="24"/>
                <w:szCs w:val="24"/>
                <w:lang w:eastAsia="zh-CN"/>
              </w:rPr>
              <w:t>的村集体保底年</w:t>
            </w:r>
            <w:r>
              <w:rPr>
                <w:rFonts w:hint="eastAsia" w:ascii="宋体" w:hAnsi="宋体" w:eastAsia="宋体" w:cs="宋体"/>
                <w:b/>
                <w:bCs/>
                <w:color w:val="auto"/>
                <w:sz w:val="24"/>
                <w:szCs w:val="24"/>
              </w:rPr>
              <w:t>收益</w:t>
            </w:r>
            <w:r>
              <w:rPr>
                <w:rFonts w:hint="eastAsia" w:ascii="宋体" w:hAnsi="宋体" w:eastAsia="宋体" w:cs="宋体"/>
                <w:b/>
                <w:bCs/>
                <w:color w:val="auto"/>
                <w:sz w:val="24"/>
                <w:szCs w:val="24"/>
                <w:lang w:val="en-US" w:eastAsia="zh-CN"/>
              </w:rPr>
              <w:t>报价作为竞价依据</w:t>
            </w:r>
            <w:r>
              <w:rPr>
                <w:rFonts w:hint="eastAsia" w:ascii="宋体" w:hAnsi="宋体" w:eastAsia="宋体" w:cs="宋体"/>
                <w:b/>
                <w:bCs/>
                <w:color w:val="auto"/>
                <w:sz w:val="24"/>
                <w:szCs w:val="24"/>
              </w:rPr>
              <w:t>。</w:t>
            </w:r>
          </w:p>
          <w:p w14:paraId="49CF3B57">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highlight w:val="none"/>
                <w:lang w:val="en-US" w:eastAsia="zh-CN"/>
              </w:rPr>
              <w:t>注：基于现行网上电子交易系统对于县级政府采购项目金额限制的固有属性、不易更改性，本次采购预算金额设定为“30万元”，此预算金额不做为报价依据。</w:t>
            </w:r>
          </w:p>
        </w:tc>
      </w:tr>
      <w:tr w14:paraId="6092D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48AF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01" w:type="dxa"/>
            <w:tcBorders>
              <w:top w:val="single" w:color="auto" w:sz="4" w:space="0"/>
              <w:left w:val="nil"/>
              <w:bottom w:val="single" w:color="auto" w:sz="4" w:space="0"/>
              <w:right w:val="single" w:color="auto" w:sz="4" w:space="0"/>
            </w:tcBorders>
            <w:vAlign w:val="center"/>
          </w:tcPr>
          <w:p w14:paraId="50F8F70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现场考察</w:t>
            </w:r>
          </w:p>
        </w:tc>
        <w:tc>
          <w:tcPr>
            <w:tcW w:w="6499" w:type="dxa"/>
            <w:tcBorders>
              <w:top w:val="single" w:color="auto" w:sz="4" w:space="0"/>
              <w:left w:val="nil"/>
              <w:bottom w:val="single" w:color="auto" w:sz="4" w:space="0"/>
              <w:right w:val="single" w:color="auto" w:sz="4" w:space="0"/>
            </w:tcBorders>
            <w:vAlign w:val="center"/>
          </w:tcPr>
          <w:p w14:paraId="44C2661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lang w:eastAsia="zh-CN"/>
              </w:rPr>
              <w:instrText xml:space="preserve">,</w:instrText>
            </w:r>
            <w:r>
              <w:rPr>
                <w:rFonts w:hint="eastAsia" w:ascii="宋体" w:hAnsi="宋体" w:eastAsia="宋体" w:cs="宋体"/>
                <w:color w:val="auto"/>
                <w:position w:val="2"/>
                <w:sz w:val="16"/>
                <w:szCs w:val="24"/>
                <w:lang w:eastAsia="zh-CN"/>
              </w:rPr>
              <w:instrText xml:space="preserve">√</w:instrText>
            </w:r>
            <w:r>
              <w:rPr>
                <w:rFonts w:hint="eastAsia" w:ascii="宋体" w:hAnsi="宋体" w:eastAsia="宋体" w:cs="宋体"/>
                <w:color w:val="auto"/>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不组织</w:t>
            </w:r>
          </w:p>
        </w:tc>
      </w:tr>
      <w:tr w14:paraId="6B06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51491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01" w:type="dxa"/>
            <w:tcBorders>
              <w:top w:val="single" w:color="auto" w:sz="4" w:space="0"/>
              <w:left w:val="nil"/>
              <w:bottom w:val="single" w:color="auto" w:sz="4" w:space="0"/>
              <w:right w:val="single" w:color="auto" w:sz="4" w:space="0"/>
            </w:tcBorders>
            <w:vAlign w:val="center"/>
          </w:tcPr>
          <w:p w14:paraId="1635146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磋商前答疑会</w:t>
            </w:r>
          </w:p>
        </w:tc>
        <w:tc>
          <w:tcPr>
            <w:tcW w:w="6499" w:type="dxa"/>
            <w:tcBorders>
              <w:top w:val="single" w:color="auto" w:sz="4" w:space="0"/>
              <w:left w:val="nil"/>
              <w:bottom w:val="single" w:color="auto" w:sz="4" w:space="0"/>
              <w:right w:val="single" w:color="auto" w:sz="4" w:space="0"/>
            </w:tcBorders>
            <w:vAlign w:val="center"/>
          </w:tcPr>
          <w:p w14:paraId="321EB2A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lang w:eastAsia="zh-CN"/>
              </w:rPr>
              <w:instrText xml:space="preserve">,</w:instrText>
            </w:r>
            <w:r>
              <w:rPr>
                <w:rFonts w:hint="eastAsia" w:ascii="宋体" w:hAnsi="宋体" w:eastAsia="宋体" w:cs="宋体"/>
                <w:color w:val="auto"/>
                <w:position w:val="2"/>
                <w:sz w:val="16"/>
                <w:szCs w:val="24"/>
                <w:lang w:eastAsia="zh-CN"/>
              </w:rPr>
              <w:instrText xml:space="preserve">√</w:instrText>
            </w:r>
            <w:r>
              <w:rPr>
                <w:rFonts w:hint="eastAsia" w:ascii="宋体" w:hAnsi="宋体" w:eastAsia="宋体" w:cs="宋体"/>
                <w:color w:val="auto"/>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不召开</w:t>
            </w:r>
          </w:p>
        </w:tc>
      </w:tr>
      <w:tr w14:paraId="4F05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A7A38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01" w:type="dxa"/>
            <w:tcBorders>
              <w:top w:val="single" w:color="auto" w:sz="4" w:space="0"/>
              <w:left w:val="nil"/>
              <w:bottom w:val="single" w:color="auto" w:sz="4" w:space="0"/>
              <w:right w:val="single" w:color="auto" w:sz="4" w:space="0"/>
            </w:tcBorders>
            <w:vAlign w:val="center"/>
          </w:tcPr>
          <w:p w14:paraId="34517FB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进口产品参与</w:t>
            </w:r>
          </w:p>
        </w:tc>
        <w:tc>
          <w:tcPr>
            <w:tcW w:w="6499" w:type="dxa"/>
            <w:tcBorders>
              <w:top w:val="single" w:color="auto" w:sz="4" w:space="0"/>
              <w:left w:val="nil"/>
              <w:bottom w:val="single" w:color="auto" w:sz="4" w:space="0"/>
              <w:right w:val="single" w:color="auto" w:sz="4" w:space="0"/>
            </w:tcBorders>
            <w:vAlign w:val="center"/>
          </w:tcPr>
          <w:p w14:paraId="561EC7F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不允许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允许</w:t>
            </w:r>
          </w:p>
        </w:tc>
      </w:tr>
      <w:tr w14:paraId="643D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5BF15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01" w:type="dxa"/>
            <w:tcBorders>
              <w:top w:val="single" w:color="auto" w:sz="4" w:space="0"/>
              <w:left w:val="nil"/>
              <w:bottom w:val="single" w:color="auto" w:sz="4" w:space="0"/>
              <w:right w:val="single" w:color="auto" w:sz="4" w:space="0"/>
            </w:tcBorders>
            <w:vAlign w:val="center"/>
          </w:tcPr>
          <w:p w14:paraId="3F4892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★磋商有效期</w:t>
            </w:r>
          </w:p>
        </w:tc>
        <w:tc>
          <w:tcPr>
            <w:tcW w:w="6499" w:type="dxa"/>
            <w:tcBorders>
              <w:top w:val="single" w:color="auto" w:sz="4" w:space="0"/>
              <w:left w:val="nil"/>
              <w:bottom w:val="single" w:color="auto" w:sz="4" w:space="0"/>
              <w:right w:val="single" w:color="auto" w:sz="4" w:space="0"/>
            </w:tcBorders>
            <w:vAlign w:val="center"/>
          </w:tcPr>
          <w:p w14:paraId="20AFC55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天（自提交响应文件的截止之日起算）</w:t>
            </w:r>
          </w:p>
          <w:p w14:paraId="17E0C3B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成交供应商有效期延至合同验收之日，成交供应商全部合同义务履行完毕为止。</w:t>
            </w:r>
          </w:p>
        </w:tc>
      </w:tr>
      <w:tr w14:paraId="09FE4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FCD38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01" w:type="dxa"/>
            <w:tcBorders>
              <w:top w:val="single" w:color="auto" w:sz="4" w:space="0"/>
              <w:left w:val="nil"/>
              <w:bottom w:val="single" w:color="auto" w:sz="4" w:space="0"/>
              <w:right w:val="single" w:color="auto" w:sz="4" w:space="0"/>
            </w:tcBorders>
            <w:vAlign w:val="center"/>
          </w:tcPr>
          <w:p w14:paraId="2E2072F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成交供应商将本项目非主体、非关键性工作分包</w:t>
            </w:r>
          </w:p>
        </w:tc>
        <w:tc>
          <w:tcPr>
            <w:tcW w:w="6499" w:type="dxa"/>
            <w:tcBorders>
              <w:top w:val="single" w:color="auto" w:sz="4" w:space="0"/>
              <w:left w:val="nil"/>
              <w:bottom w:val="single" w:color="auto" w:sz="4" w:space="0"/>
              <w:right w:val="single" w:color="auto" w:sz="4" w:space="0"/>
            </w:tcBorders>
            <w:vAlign w:val="center"/>
          </w:tcPr>
          <w:p w14:paraId="2699C9F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lang w:eastAsia="zh-CN"/>
              </w:rPr>
              <w:instrText xml:space="preserve">,</w:instrText>
            </w:r>
            <w:r>
              <w:rPr>
                <w:rFonts w:hint="eastAsia" w:ascii="宋体" w:hAnsi="宋体" w:eastAsia="宋体" w:cs="宋体"/>
                <w:color w:val="auto"/>
                <w:position w:val="2"/>
                <w:sz w:val="16"/>
                <w:szCs w:val="24"/>
                <w:lang w:eastAsia="zh-CN"/>
              </w:rPr>
              <w:instrText xml:space="preserve">√</w:instrText>
            </w:r>
            <w:r>
              <w:rPr>
                <w:rFonts w:hint="eastAsia" w:ascii="宋体" w:hAnsi="宋体" w:eastAsia="宋体" w:cs="宋体"/>
                <w:color w:val="auto"/>
                <w:sz w:val="24"/>
                <w:szCs w:val="24"/>
              </w:rPr>
              <w:instrText xml:space="preserve">)</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不允许   </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允许</w:t>
            </w:r>
          </w:p>
        </w:tc>
      </w:tr>
      <w:tr w14:paraId="64CF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33B97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01" w:type="dxa"/>
            <w:tcBorders>
              <w:top w:val="single" w:color="auto" w:sz="4" w:space="0"/>
              <w:left w:val="nil"/>
              <w:bottom w:val="single" w:color="auto" w:sz="4" w:space="0"/>
              <w:right w:val="single" w:color="auto" w:sz="4" w:space="0"/>
            </w:tcBorders>
            <w:vAlign w:val="center"/>
          </w:tcPr>
          <w:p w14:paraId="2DD7A2D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响应文件提交截止、磋商响应截止及磋商时间</w:t>
            </w:r>
          </w:p>
        </w:tc>
        <w:tc>
          <w:tcPr>
            <w:tcW w:w="6499" w:type="dxa"/>
            <w:tcBorders>
              <w:top w:val="single" w:color="auto" w:sz="4" w:space="0"/>
              <w:left w:val="nil"/>
              <w:bottom w:val="single" w:color="auto" w:sz="4" w:space="0"/>
              <w:right w:val="single" w:color="auto" w:sz="4" w:space="0"/>
            </w:tcBorders>
            <w:vAlign w:val="center"/>
          </w:tcPr>
          <w:p w14:paraId="0F632DB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详见公告</w:t>
            </w:r>
          </w:p>
        </w:tc>
      </w:tr>
      <w:tr w14:paraId="2CAF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1703D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01" w:type="dxa"/>
            <w:tcBorders>
              <w:top w:val="single" w:color="auto" w:sz="4" w:space="0"/>
              <w:left w:val="nil"/>
              <w:bottom w:val="single" w:color="auto" w:sz="4" w:space="0"/>
              <w:right w:val="single" w:color="auto" w:sz="4" w:space="0"/>
            </w:tcBorders>
            <w:vAlign w:val="center"/>
          </w:tcPr>
          <w:p w14:paraId="13E84B8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响应文件及磋商地点</w:t>
            </w:r>
          </w:p>
        </w:tc>
        <w:tc>
          <w:tcPr>
            <w:tcW w:w="6499" w:type="dxa"/>
            <w:tcBorders>
              <w:top w:val="single" w:color="auto" w:sz="4" w:space="0"/>
              <w:left w:val="nil"/>
              <w:bottom w:val="single" w:color="auto" w:sz="4" w:space="0"/>
              <w:right w:val="single" w:color="auto" w:sz="4" w:space="0"/>
            </w:tcBorders>
            <w:vAlign w:val="center"/>
          </w:tcPr>
          <w:p w14:paraId="7B718BF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开标地点：襄城县公共资源交易中心（八七路东段电子商务产业园）</w:t>
            </w:r>
            <w:r>
              <w:rPr>
                <w:rFonts w:hint="eastAsia" w:ascii="宋体" w:hAnsi="宋体" w:eastAsia="宋体" w:cs="宋体"/>
                <w:color w:val="0000FF"/>
                <w:sz w:val="24"/>
                <w:szCs w:val="24"/>
                <w:highlight w:val="none"/>
              </w:rPr>
              <w:t>12楼开标</w:t>
            </w:r>
            <w:r>
              <w:rPr>
                <w:rFonts w:hint="eastAsia" w:ascii="宋体" w:hAnsi="宋体" w:eastAsia="宋体" w:cs="宋体"/>
                <w:color w:val="0000FF"/>
                <w:sz w:val="24"/>
                <w:szCs w:val="24"/>
                <w:highlight w:val="none"/>
                <w:lang w:eastAsia="zh-CN"/>
              </w:rPr>
              <w:t>一</w:t>
            </w:r>
            <w:r>
              <w:rPr>
                <w:rFonts w:hint="eastAsia" w:ascii="宋体" w:hAnsi="宋体" w:eastAsia="宋体" w:cs="宋体"/>
                <w:color w:val="0000FF"/>
                <w:sz w:val="24"/>
                <w:szCs w:val="24"/>
                <w:highlight w:val="none"/>
              </w:rPr>
              <w:t>室（</w:t>
            </w:r>
            <w:r>
              <w:rPr>
                <w:rFonts w:hint="eastAsia" w:ascii="宋体" w:hAnsi="宋体" w:eastAsia="宋体" w:cs="宋体"/>
                <w:color w:val="auto"/>
                <w:sz w:val="24"/>
                <w:szCs w:val="24"/>
              </w:rPr>
              <w:t>本项目采用远程不见面开标，投标人无须到交易中心现场）。</w:t>
            </w:r>
          </w:p>
        </w:tc>
      </w:tr>
      <w:tr w14:paraId="09D9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D0C94D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01" w:type="dxa"/>
            <w:tcBorders>
              <w:top w:val="single" w:color="auto" w:sz="4" w:space="0"/>
              <w:left w:val="nil"/>
              <w:bottom w:val="single" w:color="auto" w:sz="4" w:space="0"/>
              <w:right w:val="single" w:color="auto" w:sz="4" w:space="0"/>
            </w:tcBorders>
            <w:vAlign w:val="center"/>
          </w:tcPr>
          <w:p w14:paraId="504828B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磋商保证金</w:t>
            </w:r>
          </w:p>
        </w:tc>
        <w:tc>
          <w:tcPr>
            <w:tcW w:w="6499" w:type="dxa"/>
            <w:tcBorders>
              <w:top w:val="single" w:color="auto" w:sz="4" w:space="0"/>
              <w:left w:val="nil"/>
              <w:bottom w:val="single" w:color="auto" w:sz="4" w:space="0"/>
              <w:right w:val="single" w:color="auto" w:sz="4" w:space="0"/>
            </w:tcBorders>
            <w:vAlign w:val="center"/>
          </w:tcPr>
          <w:p w14:paraId="7511BD9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本项目不收取。</w:t>
            </w:r>
          </w:p>
          <w:p w14:paraId="21E8685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highlight w:val="none"/>
                <w:lang w:val="zh-CN"/>
              </w:rPr>
              <w:t>投标人应提供磋商承诺函。</w:t>
            </w:r>
          </w:p>
        </w:tc>
      </w:tr>
      <w:tr w14:paraId="746C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144B1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01" w:type="dxa"/>
            <w:tcBorders>
              <w:top w:val="single" w:color="auto" w:sz="4" w:space="0"/>
              <w:left w:val="nil"/>
              <w:bottom w:val="single" w:color="auto" w:sz="4" w:space="0"/>
              <w:right w:val="single" w:color="auto" w:sz="4" w:space="0"/>
            </w:tcBorders>
            <w:vAlign w:val="center"/>
          </w:tcPr>
          <w:p w14:paraId="269B3E2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公告发布</w:t>
            </w:r>
          </w:p>
        </w:tc>
        <w:tc>
          <w:tcPr>
            <w:tcW w:w="6499" w:type="dxa"/>
            <w:tcBorders>
              <w:top w:val="single" w:color="auto" w:sz="4" w:space="0"/>
              <w:left w:val="nil"/>
              <w:bottom w:val="single" w:color="auto" w:sz="4" w:space="0"/>
              <w:right w:val="single" w:color="auto" w:sz="4" w:space="0"/>
            </w:tcBorders>
            <w:vAlign w:val="center"/>
          </w:tcPr>
          <w:p w14:paraId="239052A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磋商公告、成交公告、变更（更正）公告、现场勘察答复等相关信息同时在以下网站发布：《河南省政府采购网》、《全国公共资源交易平台（河南省·许昌市）》</w:t>
            </w:r>
          </w:p>
        </w:tc>
      </w:tr>
      <w:tr w14:paraId="5435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92A2E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01" w:type="dxa"/>
            <w:tcBorders>
              <w:top w:val="single" w:color="auto" w:sz="4" w:space="0"/>
              <w:left w:val="nil"/>
              <w:bottom w:val="single" w:color="auto" w:sz="4" w:space="0"/>
              <w:right w:val="single" w:color="auto" w:sz="4" w:space="0"/>
            </w:tcBorders>
            <w:vAlign w:val="center"/>
          </w:tcPr>
          <w:p w14:paraId="6C8DBCB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采购人澄清或修改磋商文件时间</w:t>
            </w:r>
          </w:p>
          <w:p w14:paraId="28D842F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p>
        </w:tc>
        <w:tc>
          <w:tcPr>
            <w:tcW w:w="6499" w:type="dxa"/>
            <w:tcBorders>
              <w:top w:val="single" w:color="auto" w:sz="4" w:space="0"/>
              <w:left w:val="nil"/>
              <w:bottom w:val="single" w:color="auto" w:sz="4" w:space="0"/>
              <w:right w:val="single" w:color="auto" w:sz="4" w:space="0"/>
            </w:tcBorders>
            <w:vAlign w:val="center"/>
          </w:tcPr>
          <w:p w14:paraId="52DD533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磋商响应截止时间5日前（澄清内容可能影响响应文件编制的）</w:t>
            </w:r>
          </w:p>
        </w:tc>
      </w:tr>
      <w:tr w14:paraId="362F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80F865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01" w:type="dxa"/>
            <w:tcBorders>
              <w:top w:val="single" w:color="auto" w:sz="4" w:space="0"/>
              <w:left w:val="nil"/>
              <w:bottom w:val="single" w:color="auto" w:sz="4" w:space="0"/>
              <w:right w:val="single" w:color="auto" w:sz="4" w:space="0"/>
            </w:tcBorders>
            <w:vAlign w:val="center"/>
          </w:tcPr>
          <w:p w14:paraId="45601C2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供应商对磋商文件质疑截止时间</w:t>
            </w:r>
          </w:p>
        </w:tc>
        <w:tc>
          <w:tcPr>
            <w:tcW w:w="6499" w:type="dxa"/>
            <w:tcBorders>
              <w:top w:val="single" w:color="auto" w:sz="4" w:space="0"/>
              <w:left w:val="nil"/>
              <w:bottom w:val="single" w:color="auto" w:sz="4" w:space="0"/>
              <w:right w:val="single" w:color="auto" w:sz="4" w:space="0"/>
            </w:tcBorders>
            <w:vAlign w:val="center"/>
          </w:tcPr>
          <w:p w14:paraId="2C3F686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磋商公告截止之日起七个工作日</w:t>
            </w:r>
          </w:p>
        </w:tc>
      </w:tr>
      <w:tr w14:paraId="7138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1A964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801" w:type="dxa"/>
            <w:tcBorders>
              <w:top w:val="single" w:color="auto" w:sz="4" w:space="0"/>
              <w:left w:val="nil"/>
              <w:bottom w:val="single" w:color="auto" w:sz="4" w:space="0"/>
              <w:right w:val="single" w:color="auto" w:sz="4" w:space="0"/>
            </w:tcBorders>
            <w:vAlign w:val="center"/>
          </w:tcPr>
          <w:p w14:paraId="34D027D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6499" w:type="dxa"/>
            <w:tcBorders>
              <w:top w:val="single" w:color="auto" w:sz="4" w:space="0"/>
              <w:left w:val="nil"/>
              <w:bottom w:val="single" w:color="auto" w:sz="4" w:space="0"/>
              <w:right w:val="single" w:color="auto" w:sz="4" w:space="0"/>
            </w:tcBorders>
            <w:vAlign w:val="center"/>
          </w:tcPr>
          <w:p w14:paraId="7B2DE40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电子响应文件：电子响应文件：成功上传至《全国公共资源交易平台（河南省·许昌市）》公共资源交易系统加密电子响应文件1份（后缀格式为.XCSTF）。</w:t>
            </w:r>
          </w:p>
          <w:p w14:paraId="7308C24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注：投标人登录《全国公共资源交易平台（河南省·许昌市）》下载“新点投标文件制作软件（河南省版）”的最新版本制作电子响应文件。</w:t>
            </w:r>
          </w:p>
        </w:tc>
      </w:tr>
      <w:tr w14:paraId="3B1FB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F7A1C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1801" w:type="dxa"/>
            <w:tcBorders>
              <w:top w:val="single" w:color="auto" w:sz="4" w:space="0"/>
              <w:left w:val="nil"/>
              <w:bottom w:val="single" w:color="auto" w:sz="4" w:space="0"/>
              <w:right w:val="single" w:color="auto" w:sz="4" w:space="0"/>
            </w:tcBorders>
            <w:vAlign w:val="center"/>
          </w:tcPr>
          <w:p w14:paraId="1E1B352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响应文件的签署盖章</w:t>
            </w:r>
          </w:p>
        </w:tc>
        <w:tc>
          <w:tcPr>
            <w:tcW w:w="6499" w:type="dxa"/>
            <w:tcBorders>
              <w:top w:val="single" w:color="auto" w:sz="4" w:space="0"/>
              <w:left w:val="nil"/>
              <w:bottom w:val="single" w:color="auto" w:sz="4" w:space="0"/>
              <w:right w:val="single" w:color="auto" w:sz="4" w:space="0"/>
            </w:tcBorders>
            <w:vAlign w:val="center"/>
          </w:tcPr>
          <w:p w14:paraId="20F6D17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电子响应文件：按磋商文件要求加盖供应商电子印章和法人电子印章。</w:t>
            </w:r>
          </w:p>
        </w:tc>
      </w:tr>
      <w:tr w14:paraId="5F8E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FC06B3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p>
        </w:tc>
        <w:tc>
          <w:tcPr>
            <w:tcW w:w="1801" w:type="dxa"/>
            <w:tcBorders>
              <w:top w:val="single" w:color="auto" w:sz="4" w:space="0"/>
              <w:left w:val="nil"/>
              <w:bottom w:val="single" w:color="auto" w:sz="4" w:space="0"/>
              <w:right w:val="single" w:color="auto" w:sz="4" w:space="0"/>
            </w:tcBorders>
            <w:vAlign w:val="center"/>
          </w:tcPr>
          <w:p w14:paraId="6F22E2C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磋商小组组建</w:t>
            </w:r>
          </w:p>
        </w:tc>
        <w:tc>
          <w:tcPr>
            <w:tcW w:w="6499" w:type="dxa"/>
            <w:tcBorders>
              <w:top w:val="single" w:color="auto" w:sz="4" w:space="0"/>
              <w:left w:val="nil"/>
              <w:bottom w:val="single" w:color="auto" w:sz="4" w:space="0"/>
              <w:right w:val="single" w:color="auto" w:sz="4" w:space="0"/>
            </w:tcBorders>
            <w:vAlign w:val="center"/>
          </w:tcPr>
          <w:p w14:paraId="35779F3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b w:val="0"/>
                <w:bCs w:val="0"/>
                <w:color w:val="auto"/>
                <w:sz w:val="24"/>
                <w:szCs w:val="24"/>
                <w:highlight w:val="none"/>
                <w:lang w:val="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eq \o\ac(□,√)</w:instrText>
            </w:r>
            <w:r>
              <w:rPr>
                <w:rFonts w:hint="eastAsia" w:ascii="宋体" w:hAnsi="宋体" w:eastAsia="宋体" w:cs="宋体"/>
                <w:color w:val="auto"/>
                <w:sz w:val="24"/>
                <w:szCs w:val="24"/>
              </w:rPr>
              <w:fldChar w:fldCharType="end"/>
            </w:r>
            <w:r>
              <w:rPr>
                <w:rFonts w:hint="eastAsia" w:ascii="宋体" w:hAnsi="宋体" w:eastAsia="宋体" w:cs="宋体"/>
                <w:b w:val="0"/>
                <w:bCs w:val="0"/>
                <w:color w:val="auto"/>
                <w:sz w:val="24"/>
                <w:szCs w:val="24"/>
                <w:highlight w:val="none"/>
                <w:lang w:val="zh-CN"/>
              </w:rPr>
              <w:t>由采购人代表1人和评审专家</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zh-CN"/>
              </w:rPr>
              <w:t>人组成，其中评审专家的人数不少于磋商小组成员总数的三分之二。评审专家从政府采购评审专家库中随机抽取。</w:t>
            </w:r>
          </w:p>
          <w:p w14:paraId="623E2E2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eq \o\ac(□)</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lang w:val="zh-CN"/>
              </w:rPr>
              <w:t>由评审专家组成。评审专家从政府采购评审专家库中随机抽取。</w:t>
            </w:r>
          </w:p>
        </w:tc>
      </w:tr>
      <w:tr w14:paraId="0A2D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F390F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w:t>
            </w:r>
          </w:p>
        </w:tc>
        <w:tc>
          <w:tcPr>
            <w:tcW w:w="1801" w:type="dxa"/>
            <w:tcBorders>
              <w:top w:val="single" w:color="auto" w:sz="4" w:space="0"/>
              <w:left w:val="nil"/>
              <w:bottom w:val="single" w:color="auto" w:sz="4" w:space="0"/>
              <w:right w:val="single" w:color="auto" w:sz="4" w:space="0"/>
            </w:tcBorders>
            <w:vAlign w:val="center"/>
          </w:tcPr>
          <w:p w14:paraId="224D4EA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评审方法</w:t>
            </w:r>
          </w:p>
        </w:tc>
        <w:tc>
          <w:tcPr>
            <w:tcW w:w="6499" w:type="dxa"/>
            <w:tcBorders>
              <w:top w:val="single" w:color="auto" w:sz="4" w:space="0"/>
              <w:left w:val="nil"/>
              <w:bottom w:val="single" w:color="auto" w:sz="4" w:space="0"/>
              <w:right w:val="single" w:color="auto" w:sz="4" w:space="0"/>
            </w:tcBorders>
            <w:vAlign w:val="center"/>
          </w:tcPr>
          <w:p w14:paraId="0A625EB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zh-CN"/>
              </w:rPr>
              <w:fldChar w:fldCharType="begin"/>
            </w:r>
            <w:r>
              <w:rPr>
                <w:rFonts w:hint="eastAsia" w:ascii="宋体" w:hAnsi="宋体" w:eastAsia="宋体" w:cs="宋体"/>
                <w:color w:val="auto"/>
                <w:sz w:val="24"/>
                <w:szCs w:val="24"/>
                <w:lang w:val="zh-CN"/>
              </w:rPr>
              <w:instrText xml:space="preserve"> eq \o\ac(□,</w:instrText>
            </w:r>
            <w:r>
              <w:rPr>
                <w:rFonts w:hint="eastAsia" w:ascii="宋体" w:hAnsi="宋体" w:eastAsia="宋体" w:cs="宋体"/>
                <w:color w:val="auto"/>
                <w:position w:val="2"/>
                <w:sz w:val="24"/>
                <w:szCs w:val="24"/>
                <w:lang w:val="zh-CN"/>
              </w:rPr>
              <w:instrText xml:space="preserve">√</w:instrText>
            </w:r>
            <w:r>
              <w:rPr>
                <w:rFonts w:hint="eastAsia" w:ascii="宋体" w:hAnsi="宋体" w:eastAsia="宋体" w:cs="宋体"/>
                <w:color w:val="auto"/>
                <w:sz w:val="24"/>
                <w:szCs w:val="24"/>
                <w:lang w:val="zh-CN"/>
              </w:rPr>
              <w:instrText xml:space="preserve">)</w:instrText>
            </w:r>
            <w:r>
              <w:rPr>
                <w:rFonts w:hint="eastAsia" w:ascii="宋体" w:hAnsi="宋体" w:eastAsia="宋体" w:cs="宋体"/>
                <w:color w:val="auto"/>
                <w:sz w:val="24"/>
                <w:szCs w:val="24"/>
                <w:lang w:val="zh-CN"/>
              </w:rPr>
              <w:fldChar w:fldCharType="end"/>
            </w:r>
            <w:r>
              <w:rPr>
                <w:rFonts w:hint="eastAsia" w:ascii="宋体" w:hAnsi="宋体" w:eastAsia="宋体" w:cs="宋体"/>
                <w:color w:val="auto"/>
                <w:sz w:val="24"/>
                <w:szCs w:val="24"/>
              </w:rPr>
              <w:t>综合评分法□最低评标价法</w:t>
            </w:r>
          </w:p>
        </w:tc>
      </w:tr>
      <w:tr w14:paraId="5851B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43B46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22</w:t>
            </w:r>
          </w:p>
        </w:tc>
        <w:tc>
          <w:tcPr>
            <w:tcW w:w="1801" w:type="dxa"/>
            <w:tcBorders>
              <w:top w:val="single" w:color="auto" w:sz="4" w:space="0"/>
              <w:left w:val="nil"/>
              <w:bottom w:val="single" w:color="auto" w:sz="4" w:space="0"/>
              <w:right w:val="single" w:color="auto" w:sz="4" w:space="0"/>
            </w:tcBorders>
            <w:vAlign w:val="center"/>
          </w:tcPr>
          <w:p w14:paraId="3123943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中小企业有关政策</w:t>
            </w:r>
          </w:p>
        </w:tc>
        <w:tc>
          <w:tcPr>
            <w:tcW w:w="6499" w:type="dxa"/>
            <w:tcBorders>
              <w:top w:val="single" w:color="auto" w:sz="4" w:space="0"/>
              <w:left w:val="nil"/>
              <w:bottom w:val="single" w:color="auto" w:sz="4" w:space="0"/>
              <w:right w:val="single" w:color="auto" w:sz="4" w:space="0"/>
            </w:tcBorders>
            <w:vAlign w:val="center"/>
          </w:tcPr>
          <w:p w14:paraId="3976240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根据工信部等部委发布的《关于印发中小企业划型标准规定的通知》（工信部联企业〔2011〕300号），按照本次采购标的所属行业的划型标准，符合条件的中小企业应按照磋商文件格式要求提供《中小企业声明函》，否则不得享受相关中小企业扶持政策。</w:t>
            </w:r>
          </w:p>
          <w:p w14:paraId="026872B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24"/>
                <w:szCs w:val="24"/>
                <w:u w:val="single"/>
                <w:lang w:val="en-US" w:eastAsia="zh-CN"/>
              </w:rPr>
            </w:pPr>
            <w:r>
              <w:rPr>
                <w:rFonts w:hint="eastAsia" w:ascii="宋体" w:hAnsi="宋体" w:eastAsia="宋体" w:cs="宋体"/>
                <w:color w:val="auto"/>
                <w:sz w:val="24"/>
                <w:szCs w:val="24"/>
              </w:rPr>
              <w:t>2、本次采购标的对应的中小企业划分标准所属行业：</w:t>
            </w:r>
            <w:r>
              <w:rPr>
                <w:rFonts w:hint="eastAsia" w:ascii="宋体" w:hAnsi="宋体" w:eastAsia="宋体" w:cs="宋体"/>
                <w:b/>
                <w:bCs/>
                <w:color w:val="auto"/>
                <w:sz w:val="24"/>
                <w:szCs w:val="24"/>
                <w:u w:val="single"/>
                <w:lang w:val="en-US" w:eastAsia="zh-CN"/>
              </w:rPr>
              <w:t>其他未列明行业。</w:t>
            </w:r>
          </w:p>
          <w:p w14:paraId="50518C2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14:paraId="40BBBD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4、提供由省级以上监狱管理局、戒毒管理局（含新疆生产建设兵团）出具的属于监狱企业证明文件的， 视同为小型和微型企业。</w:t>
            </w:r>
          </w:p>
          <w:p w14:paraId="5651F73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5、符合享受政府采购支持政策的残疾人福利性单位条件且提供《残疾人福利性单位声明函》的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视同为小型和微型企业。</w:t>
            </w:r>
          </w:p>
        </w:tc>
      </w:tr>
      <w:tr w14:paraId="6217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EA03C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p>
        </w:tc>
        <w:tc>
          <w:tcPr>
            <w:tcW w:w="1801" w:type="dxa"/>
            <w:tcBorders>
              <w:top w:val="single" w:color="auto" w:sz="4" w:space="0"/>
              <w:left w:val="nil"/>
              <w:bottom w:val="single" w:color="auto" w:sz="4" w:space="0"/>
              <w:right w:val="single" w:color="auto" w:sz="4" w:space="0"/>
            </w:tcBorders>
            <w:vAlign w:val="center"/>
          </w:tcPr>
          <w:p w14:paraId="7AAAA21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节能环保要求</w:t>
            </w:r>
          </w:p>
        </w:tc>
        <w:tc>
          <w:tcPr>
            <w:tcW w:w="6499" w:type="dxa"/>
            <w:tcBorders>
              <w:top w:val="single" w:color="auto" w:sz="4" w:space="0"/>
              <w:left w:val="nil"/>
              <w:bottom w:val="single" w:color="auto" w:sz="4" w:space="0"/>
              <w:right w:val="single" w:color="auto" w:sz="4" w:space="0"/>
            </w:tcBorders>
            <w:vAlign w:val="center"/>
          </w:tcPr>
          <w:p w14:paraId="2079DF6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1、本项目强制采购的节能产品：</w:t>
            </w:r>
            <w:r>
              <w:rPr>
                <w:rFonts w:hint="eastAsia" w:ascii="宋体" w:hAnsi="宋体" w:eastAsia="宋体" w:cs="宋体"/>
                <w:b/>
                <w:bCs/>
                <w:color w:val="auto"/>
                <w:sz w:val="24"/>
                <w:szCs w:val="24"/>
              </w:rPr>
              <w:t>（无）</w:t>
            </w:r>
          </w:p>
          <w:p w14:paraId="1FC6888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 监管总局关于发布参与实施政府采购节能产品、环境标志产品认证机构 名录的公告（2019年第16号），本次投标产品属于政府强制采购产品的，须提供国家确定的认证机构出具的、处于有效期之内的节能产品认证证 书，否则投标无效；属于政府优先采购产品的，须提供国家确定的认证 机构出具的、处于有效期之内的节能产品、环境标志产品认证证书，否则不予认定。</w:t>
            </w:r>
          </w:p>
        </w:tc>
      </w:tr>
      <w:tr w14:paraId="38B8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0A2952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801" w:type="dxa"/>
            <w:tcBorders>
              <w:top w:val="single" w:color="auto" w:sz="4" w:space="0"/>
              <w:left w:val="nil"/>
              <w:bottom w:val="single" w:color="auto" w:sz="4" w:space="0"/>
              <w:right w:val="single" w:color="auto" w:sz="4" w:space="0"/>
            </w:tcBorders>
            <w:vAlign w:val="center"/>
          </w:tcPr>
          <w:p w14:paraId="331E9BE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网络关键设备、网络安全专用产品要求</w:t>
            </w:r>
          </w:p>
        </w:tc>
        <w:tc>
          <w:tcPr>
            <w:tcW w:w="6499" w:type="dxa"/>
            <w:tcBorders>
              <w:top w:val="single" w:color="auto" w:sz="4" w:space="0"/>
              <w:left w:val="nil"/>
              <w:bottom w:val="single" w:color="auto" w:sz="4" w:space="0"/>
              <w:right w:val="single" w:color="auto" w:sz="4" w:space="0"/>
            </w:tcBorders>
            <w:vAlign w:val="center"/>
          </w:tcPr>
          <w:p w14:paraId="2047F9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1、本项目网络关键设备：（无）；网络安全专用产品：（无）</w:t>
            </w:r>
          </w:p>
          <w:p w14:paraId="6D914DE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2、本项目中涉及网络关键设备或网络安全专用产品的， 执行国家互联网 信息办公室、工业和信息化部、公安部和国家认证认可监督管理委员会 2023年第2号《关于调整&lt;网络关键设备和网络安全专用产品目录&gt;的公告》及国家互联网信息办公室、工业和信息化部、公安部、财政部和国家认证认可监督管理委员会2023年第1号《关于调整网络安全专用产品安全管理有关事项的公告》等相关文件要求，本次投标（响应）设备或产品至少符合以下条件之一：一是已由具备资格的机构安全认证合 格或安全检测符合要求；二是已获得《计算机信息系统安全专用产品销售许可证》，且在有效期内。</w:t>
            </w:r>
          </w:p>
          <w:p w14:paraId="712F92F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3、提供资料（下列资料任意一项）</w:t>
            </w:r>
          </w:p>
          <w:p w14:paraId="751914E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①网络关键设备和网络安全专用产品安全认证证书；</w:t>
            </w:r>
          </w:p>
          <w:p w14:paraId="78330AD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②网络关键设备安全检测证书、网络安全专用产品安全检测证书；</w:t>
            </w:r>
          </w:p>
          <w:p w14:paraId="422887E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③计算机信息系统安全专用产品销售许可证；</w:t>
            </w:r>
          </w:p>
          <w:p w14:paraId="2DF8647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④中国网信网或工业和信息化部网站或公安部网站或国家认证认可监督 管理委员会网站公布的认证、检测结果（提供公布安全认证、安全检测结果页面网址和安全认证、检测结果截图）。</w:t>
            </w:r>
          </w:p>
        </w:tc>
      </w:tr>
      <w:tr w14:paraId="5381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7F9904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p>
        </w:tc>
        <w:tc>
          <w:tcPr>
            <w:tcW w:w="1801" w:type="dxa"/>
            <w:tcBorders>
              <w:top w:val="single" w:color="auto" w:sz="4" w:space="0"/>
              <w:left w:val="nil"/>
              <w:bottom w:val="single" w:color="auto" w:sz="4" w:space="0"/>
              <w:right w:val="single" w:color="auto" w:sz="4" w:space="0"/>
            </w:tcBorders>
            <w:vAlign w:val="center"/>
          </w:tcPr>
          <w:p w14:paraId="04EB5B5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zh-CN" w:eastAsia="zh-CN"/>
              </w:rPr>
              <w:t>履约担保</w:t>
            </w:r>
          </w:p>
        </w:tc>
        <w:tc>
          <w:tcPr>
            <w:tcW w:w="6499" w:type="dxa"/>
            <w:tcBorders>
              <w:top w:val="single" w:color="auto" w:sz="4" w:space="0"/>
              <w:left w:val="nil"/>
              <w:bottom w:val="single" w:color="auto" w:sz="4" w:space="0"/>
              <w:right w:val="single" w:color="auto" w:sz="4" w:space="0"/>
            </w:tcBorders>
            <w:vAlign w:val="center"/>
          </w:tcPr>
          <w:p w14:paraId="7D25689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4"/>
                <w:szCs w:val="24"/>
                <w:lang w:val="en-US" w:eastAsia="en-US"/>
              </w:rPr>
            </w:pPr>
            <w:r>
              <w:rPr>
                <w:rFonts w:hint="eastAsia" w:ascii="宋体" w:hAnsi="宋体" w:eastAsia="宋体" w:cs="宋体"/>
                <w:color w:val="auto"/>
                <w:sz w:val="24"/>
                <w:szCs w:val="24"/>
                <w:lang w:val="zh-CN" w:eastAsia="zh-CN"/>
              </w:rPr>
              <w:fldChar w:fldCharType="begin"/>
            </w:r>
            <w:r>
              <w:rPr>
                <w:rFonts w:hint="eastAsia" w:ascii="宋体" w:hAnsi="宋体" w:eastAsia="宋体" w:cs="宋体"/>
                <w:color w:val="auto"/>
                <w:sz w:val="24"/>
                <w:szCs w:val="24"/>
                <w:lang w:val="zh-CN" w:eastAsia="zh-CN"/>
              </w:rPr>
              <w:instrText xml:space="preserve"> eq \o\ac(□,√)</w:instrText>
            </w:r>
            <w:r>
              <w:rPr>
                <w:rFonts w:hint="eastAsia" w:ascii="宋体" w:hAnsi="宋体" w:eastAsia="宋体" w:cs="宋体"/>
                <w:color w:val="auto"/>
                <w:sz w:val="24"/>
                <w:szCs w:val="24"/>
                <w:lang w:val="zh-CN" w:eastAsia="zh-CN"/>
              </w:rPr>
              <w:fldChar w:fldCharType="end"/>
            </w:r>
            <w:r>
              <w:rPr>
                <w:rFonts w:hint="eastAsia" w:ascii="宋体" w:hAnsi="宋体" w:eastAsia="宋体" w:cs="宋体"/>
                <w:color w:val="auto"/>
                <w:sz w:val="24"/>
                <w:szCs w:val="24"/>
                <w:lang w:val="en-US" w:eastAsia="zh-CN"/>
              </w:rPr>
              <w:t>无要求。按照《许昌市财政局关于加大政府采购支持中小企业力度有关事项的通知》(许财购【2022】5号）文的要求，不收取履约保证金。</w:t>
            </w:r>
          </w:p>
        </w:tc>
      </w:tr>
      <w:tr w14:paraId="62B4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E081AB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1801" w:type="dxa"/>
            <w:tcBorders>
              <w:top w:val="single" w:color="auto" w:sz="4" w:space="0"/>
              <w:left w:val="nil"/>
              <w:bottom w:val="single" w:color="auto" w:sz="4" w:space="0"/>
              <w:right w:val="single" w:color="auto" w:sz="4" w:space="0"/>
            </w:tcBorders>
            <w:vAlign w:val="center"/>
          </w:tcPr>
          <w:p w14:paraId="67D820B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代理服务费</w:t>
            </w:r>
          </w:p>
        </w:tc>
        <w:tc>
          <w:tcPr>
            <w:tcW w:w="6499" w:type="dxa"/>
            <w:tcBorders>
              <w:top w:val="single" w:color="auto" w:sz="4" w:space="0"/>
              <w:left w:val="nil"/>
              <w:bottom w:val="single" w:color="auto" w:sz="4" w:space="0"/>
              <w:right w:val="single" w:color="auto" w:sz="4" w:space="0"/>
            </w:tcBorders>
            <w:vAlign w:val="center"/>
          </w:tcPr>
          <w:p w14:paraId="299EAD5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不收取</w:t>
            </w:r>
          </w:p>
        </w:tc>
      </w:tr>
      <w:tr w14:paraId="6641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610552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1801" w:type="dxa"/>
            <w:tcBorders>
              <w:top w:val="single" w:color="auto" w:sz="4" w:space="0"/>
              <w:left w:val="nil"/>
              <w:bottom w:val="single" w:color="auto" w:sz="4" w:space="0"/>
              <w:right w:val="single" w:color="auto" w:sz="4" w:space="0"/>
            </w:tcBorders>
            <w:vAlign w:val="center"/>
          </w:tcPr>
          <w:p w14:paraId="11C72B5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授权函</w:t>
            </w:r>
          </w:p>
        </w:tc>
        <w:tc>
          <w:tcPr>
            <w:tcW w:w="6499" w:type="dxa"/>
            <w:tcBorders>
              <w:top w:val="single" w:color="auto" w:sz="4" w:space="0"/>
              <w:left w:val="nil"/>
              <w:bottom w:val="single" w:color="auto" w:sz="4" w:space="0"/>
              <w:right w:val="single" w:color="auto" w:sz="4" w:space="0"/>
            </w:tcBorders>
            <w:vAlign w:val="center"/>
          </w:tcPr>
          <w:p w14:paraId="7D02462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采购单位委派代表参加资格审查、评审委员会的，须向采购代理机构出具授权函。除授权代表外，采购单位委派纪检监察人员对评标过程实施监督的须进入襄城县公共资源交易中心13楼（1306）电子监督室，并向采购代理机构出具授权函，且不得超过2人。</w:t>
            </w:r>
          </w:p>
        </w:tc>
      </w:tr>
      <w:tr w14:paraId="19E5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52F7E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28</w:t>
            </w:r>
          </w:p>
        </w:tc>
        <w:tc>
          <w:tcPr>
            <w:tcW w:w="1801" w:type="dxa"/>
            <w:tcBorders>
              <w:top w:val="single" w:color="auto" w:sz="4" w:space="0"/>
              <w:left w:val="nil"/>
              <w:bottom w:val="single" w:color="auto" w:sz="4" w:space="0"/>
              <w:right w:val="single" w:color="auto" w:sz="4" w:space="0"/>
            </w:tcBorders>
            <w:vAlign w:val="center"/>
          </w:tcPr>
          <w:p w14:paraId="7FFBDFE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电子化采购模式</w:t>
            </w:r>
          </w:p>
        </w:tc>
        <w:tc>
          <w:tcPr>
            <w:tcW w:w="6499" w:type="dxa"/>
            <w:tcBorders>
              <w:top w:val="single" w:color="auto" w:sz="4" w:space="0"/>
              <w:left w:val="nil"/>
              <w:bottom w:val="single" w:color="auto" w:sz="4" w:space="0"/>
              <w:right w:val="single" w:color="auto" w:sz="4" w:space="0"/>
            </w:tcBorders>
            <w:vAlign w:val="center"/>
          </w:tcPr>
          <w:p w14:paraId="4737E93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供应商投标时须成功上传、解密电子响应文件。供应商资质、业 绩、荣誉及相关人员证明材料等资料原件不再提交（本磋商文件第六章另有要求提供原件的除外）。</w:t>
            </w:r>
          </w:p>
        </w:tc>
      </w:tr>
      <w:tr w14:paraId="731C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D7AC0F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801" w:type="dxa"/>
            <w:tcBorders>
              <w:top w:val="single" w:color="auto" w:sz="4" w:space="0"/>
              <w:left w:val="nil"/>
              <w:bottom w:val="single" w:color="auto" w:sz="4" w:space="0"/>
              <w:right w:val="single" w:color="auto" w:sz="4" w:space="0"/>
            </w:tcBorders>
            <w:shd w:val="clear" w:color="auto" w:fill="auto"/>
            <w:vAlign w:val="center"/>
          </w:tcPr>
          <w:p w14:paraId="1443603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成交供应商需提交的资料</w:t>
            </w:r>
          </w:p>
        </w:tc>
        <w:tc>
          <w:tcPr>
            <w:tcW w:w="6499" w:type="dxa"/>
            <w:tcBorders>
              <w:top w:val="single" w:color="auto" w:sz="4" w:space="0"/>
              <w:left w:val="nil"/>
              <w:bottom w:val="single" w:color="auto" w:sz="4" w:space="0"/>
              <w:right w:val="single" w:color="auto" w:sz="4" w:space="0"/>
            </w:tcBorders>
            <w:shd w:val="clear" w:color="auto" w:fill="auto"/>
            <w:vAlign w:val="center"/>
          </w:tcPr>
          <w:p w14:paraId="0CD7589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交供应商须在评标结束之时24小时内，向襄城县公共资源交易中心交易见证股发送响应报价及分项报价一览表（包含主要成交标的的名称、规格型号、数量、单价、服务要求等）电子文档，并同时电话告知工作人员。</w:t>
            </w:r>
          </w:p>
          <w:p w14:paraId="25A9D9D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联系电话：0374-3998039；        </w:t>
            </w:r>
          </w:p>
          <w:p w14:paraId="2A353BD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邮箱：Jianzhenggu2024@123.com</w:t>
            </w:r>
          </w:p>
        </w:tc>
      </w:tr>
      <w:tr w14:paraId="776B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12B221E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801" w:type="dxa"/>
            <w:tcBorders>
              <w:top w:val="single" w:color="auto" w:sz="4" w:space="0"/>
              <w:left w:val="nil"/>
              <w:bottom w:val="single" w:color="auto" w:sz="4" w:space="0"/>
              <w:right w:val="single" w:color="auto" w:sz="4" w:space="0"/>
            </w:tcBorders>
            <w:shd w:val="clear" w:color="auto" w:fill="auto"/>
            <w:vAlign w:val="center"/>
          </w:tcPr>
          <w:p w14:paraId="4D80A66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特别提示</w:t>
            </w:r>
          </w:p>
        </w:tc>
        <w:tc>
          <w:tcPr>
            <w:tcW w:w="6499" w:type="dxa"/>
            <w:tcBorders>
              <w:top w:val="single" w:color="auto" w:sz="4" w:space="0"/>
              <w:left w:val="nil"/>
              <w:bottom w:val="single" w:color="auto" w:sz="4" w:space="0"/>
              <w:right w:val="single" w:color="auto" w:sz="4" w:space="0"/>
            </w:tcBorders>
            <w:shd w:val="clear" w:color="auto" w:fill="auto"/>
            <w:vAlign w:val="center"/>
          </w:tcPr>
          <w:p w14:paraId="70B65DB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1、不同供应商电子投标文件制作硬件特征码（网卡MAC地址、CPU序号、硬盘序列号等）均一致时，视为‘不同投标人的投标文件由同一单位或者个人编制’或‘不同投标人委托同一单位或者个人办理响应事宜’，其投标无效。</w:t>
            </w:r>
          </w:p>
          <w:p w14:paraId="18217CC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评审专家应严格按照要求查看“硬件特征码”相关信息并进行评审，在评审报告中显示“不同投标人电子投标文件制作硬件特征码”是否雷同的分析及判定结果。</w:t>
            </w:r>
          </w:p>
          <w:p w14:paraId="7B23237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14:paraId="40D2A28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3、投标人需提前熟悉招标文件相关事项及《许昌市不见面开标操作手册》，并设置不见面开标浏览器（设置流程详见《许昌市不见面开标操作手册》）。</w:t>
            </w:r>
          </w:p>
          <w:p w14:paraId="43E48F7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4、投标人上传、解密投标文件需使用同一个CA数字证书，需确保用于解密的CA数字证书在有效期内、可正常使用，并在规定时间内完成电子投标文件解密。评标时仅以成功上传、解密的投标文件为准。</w:t>
            </w:r>
          </w:p>
          <w:p w14:paraId="72D56CE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5、对开标过程有关内容有异议（质疑）的，投标人可在本项目的不见面开标大厅通过“文字互动”功能或“新增质疑”处提出异议（质疑），招标人（代理机构）及时进行线上答复。</w:t>
            </w:r>
          </w:p>
          <w:p w14:paraId="211C92A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不见面开标活动结束时，投标人应在《开标记录表》上进行电子签章，未进行电子签章的视为对开标结果无异议。</w:t>
            </w:r>
          </w:p>
          <w:p w14:paraId="11B0E58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6、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14:paraId="5ED13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3D3EFB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p>
        </w:tc>
        <w:tc>
          <w:tcPr>
            <w:tcW w:w="1801" w:type="dxa"/>
            <w:tcBorders>
              <w:top w:val="single" w:color="auto" w:sz="4" w:space="0"/>
              <w:left w:val="nil"/>
              <w:bottom w:val="single" w:color="auto" w:sz="4" w:space="0"/>
              <w:right w:val="single" w:color="auto" w:sz="4" w:space="0"/>
            </w:tcBorders>
            <w:shd w:val="clear" w:color="auto" w:fill="auto"/>
            <w:vAlign w:val="center"/>
          </w:tcPr>
          <w:p w14:paraId="39A00E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知识产权</w:t>
            </w:r>
          </w:p>
        </w:tc>
        <w:tc>
          <w:tcPr>
            <w:tcW w:w="6499" w:type="dxa"/>
            <w:tcBorders>
              <w:top w:val="single" w:color="auto" w:sz="4" w:space="0"/>
              <w:left w:val="nil"/>
              <w:bottom w:val="single" w:color="auto" w:sz="4" w:space="0"/>
              <w:right w:val="single" w:color="auto" w:sz="4" w:space="0"/>
            </w:tcBorders>
            <w:shd w:val="clear" w:color="auto" w:fill="auto"/>
            <w:vAlign w:val="center"/>
          </w:tcPr>
          <w:p w14:paraId="3F0DF53C">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p>
        </w:tc>
      </w:tr>
      <w:tr w14:paraId="1782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89D5C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w:t>
            </w:r>
          </w:p>
        </w:tc>
        <w:tc>
          <w:tcPr>
            <w:tcW w:w="1801" w:type="dxa"/>
            <w:tcBorders>
              <w:top w:val="single" w:color="auto" w:sz="4" w:space="0"/>
              <w:left w:val="nil"/>
              <w:bottom w:val="single" w:color="auto" w:sz="4" w:space="0"/>
              <w:right w:val="single" w:color="auto" w:sz="4" w:space="0"/>
            </w:tcBorders>
            <w:shd w:val="clear" w:color="auto" w:fill="auto"/>
            <w:vAlign w:val="center"/>
          </w:tcPr>
          <w:p w14:paraId="37588EF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投标费用</w:t>
            </w:r>
          </w:p>
        </w:tc>
        <w:tc>
          <w:tcPr>
            <w:tcW w:w="6499" w:type="dxa"/>
            <w:tcBorders>
              <w:top w:val="single" w:color="auto" w:sz="4" w:space="0"/>
              <w:left w:val="nil"/>
              <w:bottom w:val="single" w:color="auto" w:sz="4" w:space="0"/>
              <w:right w:val="single" w:color="auto" w:sz="4" w:space="0"/>
            </w:tcBorders>
            <w:shd w:val="clear" w:color="auto" w:fill="auto"/>
            <w:vAlign w:val="center"/>
          </w:tcPr>
          <w:p w14:paraId="56CFF59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供应商应自行承担参加投标活动有关的全部费用，招标人和招招标代理机构在任何情况下均无义务和责任承担上述费用。</w:t>
            </w:r>
          </w:p>
        </w:tc>
      </w:tr>
      <w:tr w14:paraId="2C2A6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58078A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w:t>
            </w:r>
          </w:p>
        </w:tc>
        <w:tc>
          <w:tcPr>
            <w:tcW w:w="1801" w:type="dxa"/>
            <w:tcBorders>
              <w:top w:val="single" w:color="auto" w:sz="4" w:space="0"/>
              <w:left w:val="nil"/>
              <w:bottom w:val="single" w:color="auto" w:sz="4" w:space="0"/>
              <w:right w:val="single" w:color="auto" w:sz="4" w:space="0"/>
            </w:tcBorders>
            <w:shd w:val="clear" w:color="auto" w:fill="auto"/>
            <w:vAlign w:val="center"/>
          </w:tcPr>
          <w:p w14:paraId="3D13166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纪律和监督</w:t>
            </w:r>
          </w:p>
        </w:tc>
        <w:tc>
          <w:tcPr>
            <w:tcW w:w="6499" w:type="dxa"/>
            <w:tcBorders>
              <w:top w:val="single" w:color="auto" w:sz="4" w:space="0"/>
              <w:left w:val="nil"/>
              <w:bottom w:val="single" w:color="auto" w:sz="4" w:space="0"/>
              <w:right w:val="single" w:color="auto" w:sz="4" w:space="0"/>
            </w:tcBorders>
            <w:shd w:val="clear" w:color="auto" w:fill="auto"/>
            <w:vAlign w:val="center"/>
          </w:tcPr>
          <w:p w14:paraId="58EF3DA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采购人不得泄漏招标投标活动中应当保密的情况和资料，不得与供应商串通损害国家利益、社会公共利益或者他人合法权益。</w:t>
            </w:r>
          </w:p>
        </w:tc>
      </w:tr>
      <w:tr w14:paraId="6B59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D64B1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34</w:t>
            </w:r>
          </w:p>
        </w:tc>
        <w:tc>
          <w:tcPr>
            <w:tcW w:w="1801" w:type="dxa"/>
            <w:tcBorders>
              <w:top w:val="single" w:color="auto" w:sz="4" w:space="0"/>
              <w:left w:val="nil"/>
              <w:bottom w:val="single" w:color="auto" w:sz="4" w:space="0"/>
              <w:right w:val="single" w:color="auto" w:sz="4" w:space="0"/>
            </w:tcBorders>
            <w:vAlign w:val="center"/>
          </w:tcPr>
          <w:p w14:paraId="01E3714F">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最后报价</w:t>
            </w:r>
          </w:p>
        </w:tc>
        <w:tc>
          <w:tcPr>
            <w:tcW w:w="6499" w:type="dxa"/>
            <w:tcBorders>
              <w:top w:val="single" w:color="auto" w:sz="4" w:space="0"/>
              <w:left w:val="nil"/>
              <w:bottom w:val="single" w:color="auto" w:sz="4" w:space="0"/>
              <w:right w:val="single" w:color="auto" w:sz="4" w:space="0"/>
            </w:tcBorders>
            <w:vAlign w:val="center"/>
          </w:tcPr>
          <w:p w14:paraId="0173146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根据磋商小组要求，供应商须使用CA数字证书登录《全国公共资源交易平台(河南省▪许昌市)》公共资源交易系统进行最后报价，最后报价应包括：</w:t>
            </w:r>
          </w:p>
          <w:p w14:paraId="073C110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①总报价②分项报价。</w:t>
            </w:r>
          </w:p>
          <w:p w14:paraId="43751A92">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w:t>
            </w:r>
          </w:p>
          <w:p w14:paraId="379BCE4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①磋商小组要求供应商提交最后报价时，在磋商小组规定时间内，供应商应提交最后报价（包括总报价及分项报价）。最后报价是供应商响应文件的有效组成部分。</w:t>
            </w:r>
          </w:p>
          <w:p w14:paraId="7E9FAD4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②磋商文件第二章“采购需求”中“采购清单”以工程量清单提供的，供应商应以已标价工程量清单方式提交最后报价。</w:t>
            </w:r>
          </w:p>
          <w:p w14:paraId="27EE0F3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③请供应商根据项目情况，可提前准备分项报价（已标价工程量清单）。</w:t>
            </w:r>
          </w:p>
          <w:p w14:paraId="1E2F034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注：磋商小组要求供应商提交最后报价时，在磋商小组规定时间内，供应商未提交最后报价则以其初次提交响应文件报价为最后报价。</w:t>
            </w:r>
          </w:p>
        </w:tc>
      </w:tr>
      <w:tr w14:paraId="324D0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983A4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35</w:t>
            </w:r>
          </w:p>
        </w:tc>
        <w:tc>
          <w:tcPr>
            <w:tcW w:w="1801" w:type="dxa"/>
            <w:tcBorders>
              <w:top w:val="single" w:color="auto" w:sz="4" w:space="0"/>
              <w:left w:val="nil"/>
              <w:bottom w:val="single" w:color="auto" w:sz="4" w:space="0"/>
              <w:right w:val="single" w:color="auto" w:sz="4" w:space="0"/>
            </w:tcBorders>
            <w:vAlign w:val="center"/>
          </w:tcPr>
          <w:p w14:paraId="09616ED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解释权</w:t>
            </w:r>
          </w:p>
        </w:tc>
        <w:tc>
          <w:tcPr>
            <w:tcW w:w="6499" w:type="dxa"/>
            <w:tcBorders>
              <w:top w:val="single" w:color="auto" w:sz="4" w:space="0"/>
              <w:left w:val="nil"/>
              <w:bottom w:val="single" w:color="auto" w:sz="4" w:space="0"/>
              <w:right w:val="single" w:color="auto" w:sz="4" w:space="0"/>
            </w:tcBorders>
            <w:vAlign w:val="center"/>
          </w:tcPr>
          <w:p w14:paraId="529C3E8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构成本招标文件的各个组成文件应互为解释，互为说明；如有不明确或不一致，构成合同文件组成内容的，以合同文件约定内容为准，且以专用合同条款约定的合同文件优先顺序解释；除</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lang w:val="zh-CN" w:eastAsia="zh-CN"/>
              </w:rPr>
              <w:t>文件中有特别规定外，仅适用于招标投标阶段的规定，按招标公告（磋商邀请）、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0326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4705FA0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36</w:t>
            </w:r>
          </w:p>
        </w:tc>
        <w:tc>
          <w:tcPr>
            <w:tcW w:w="1801" w:type="dxa"/>
            <w:tcBorders>
              <w:top w:val="single" w:color="auto" w:sz="4" w:space="0"/>
              <w:left w:val="nil"/>
              <w:bottom w:val="single" w:color="auto" w:sz="4" w:space="0"/>
              <w:right w:val="single" w:color="auto" w:sz="4" w:space="0"/>
            </w:tcBorders>
            <w:vAlign w:val="center"/>
          </w:tcPr>
          <w:p w14:paraId="0F9CB69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注意事项</w:t>
            </w:r>
          </w:p>
        </w:tc>
        <w:tc>
          <w:tcPr>
            <w:tcW w:w="6499" w:type="dxa"/>
            <w:tcBorders>
              <w:top w:val="single" w:color="auto" w:sz="4" w:space="0"/>
              <w:left w:val="nil"/>
              <w:bottom w:val="single" w:color="auto" w:sz="4" w:space="0"/>
              <w:right w:val="single" w:color="auto" w:sz="4" w:space="0"/>
            </w:tcBorders>
            <w:vAlign w:val="center"/>
          </w:tcPr>
          <w:p w14:paraId="0C8A578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1.采购人在投标须知前附表规定的投标截止时间（开标时间）和地点开标，投标人的授权委托代理人必须准时参加开标会议。</w:t>
            </w:r>
          </w:p>
          <w:p w14:paraId="1889089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2.被委托代理人必须为本单位正式员工，须提供社保缴纳证明。</w:t>
            </w:r>
          </w:p>
          <w:p w14:paraId="621F21E3">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3.采购人有权对投标人所附其它相关材料进行核实查证，如发现中标企业存在弄虚作假情况的将取消其中标候选人资格。</w:t>
            </w:r>
          </w:p>
        </w:tc>
      </w:tr>
      <w:tr w14:paraId="217D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C6A5C3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37</w:t>
            </w:r>
          </w:p>
        </w:tc>
        <w:tc>
          <w:tcPr>
            <w:tcW w:w="1801" w:type="dxa"/>
            <w:tcBorders>
              <w:top w:val="single" w:color="auto" w:sz="4" w:space="0"/>
              <w:left w:val="nil"/>
              <w:bottom w:val="single" w:color="auto" w:sz="4" w:space="0"/>
              <w:right w:val="single" w:color="auto" w:sz="4" w:space="0"/>
            </w:tcBorders>
            <w:vAlign w:val="center"/>
          </w:tcPr>
          <w:p w14:paraId="0ED09A0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投标人不能存在的情形</w:t>
            </w:r>
          </w:p>
        </w:tc>
        <w:tc>
          <w:tcPr>
            <w:tcW w:w="6499" w:type="dxa"/>
            <w:tcBorders>
              <w:top w:val="single" w:color="auto" w:sz="4" w:space="0"/>
              <w:left w:val="nil"/>
              <w:bottom w:val="single" w:color="auto" w:sz="4" w:space="0"/>
              <w:right w:val="single" w:color="auto" w:sz="4" w:space="0"/>
            </w:tcBorders>
            <w:vAlign w:val="top"/>
          </w:tcPr>
          <w:p w14:paraId="016FA93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如对招标文件有异议，已经在投标截止时间届满前依法进行维权救济，不存在对招标文件及招标程序有异议的同时又参加投标以求侥幸中标或者为实现其他非法目的的行为。</w:t>
            </w:r>
          </w:p>
        </w:tc>
      </w:tr>
      <w:tr w14:paraId="2AE8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BC5D2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38</w:t>
            </w:r>
          </w:p>
        </w:tc>
        <w:tc>
          <w:tcPr>
            <w:tcW w:w="1801" w:type="dxa"/>
            <w:tcBorders>
              <w:top w:val="single" w:color="auto" w:sz="4" w:space="0"/>
              <w:left w:val="nil"/>
              <w:bottom w:val="single" w:color="auto" w:sz="4" w:space="0"/>
              <w:right w:val="single" w:color="auto" w:sz="4" w:space="0"/>
            </w:tcBorders>
            <w:vAlign w:val="center"/>
          </w:tcPr>
          <w:p w14:paraId="10CD336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成交供应商资格核验</w:t>
            </w:r>
          </w:p>
        </w:tc>
        <w:tc>
          <w:tcPr>
            <w:tcW w:w="6499" w:type="dxa"/>
            <w:tcBorders>
              <w:top w:val="single" w:color="auto" w:sz="4" w:space="0"/>
              <w:left w:val="nil"/>
              <w:bottom w:val="single" w:color="auto" w:sz="4" w:space="0"/>
              <w:right w:val="single" w:color="auto" w:sz="4" w:space="0"/>
            </w:tcBorders>
            <w:vAlign w:val="center"/>
          </w:tcPr>
          <w:p w14:paraId="14131D4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供应商在成交后，应将由《襄城县政府采购供应商信用承诺函》替代的证明材料提交采购人核验。</w:t>
            </w:r>
          </w:p>
          <w:p w14:paraId="4EDE1727">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一、法人或者其他组织的营业执照等证明文件，自然人的身份证明</w:t>
            </w:r>
          </w:p>
          <w:p w14:paraId="4E748B4C">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1、企业法人营业执照或营业执照。（企业提供）</w:t>
            </w:r>
          </w:p>
          <w:p w14:paraId="6FA2B90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2、事业单位法人证书。（事业单位提供）</w:t>
            </w:r>
          </w:p>
          <w:p w14:paraId="1497C91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3、执业许可证。（非企业专业服务机构提供）</w:t>
            </w:r>
          </w:p>
          <w:p w14:paraId="6E13C0C7">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4、个体工商户营业执照。（个体工商户提供）</w:t>
            </w:r>
          </w:p>
          <w:p w14:paraId="7EF6078A">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5、自然人身份证明。（自然人提供）</w:t>
            </w:r>
          </w:p>
          <w:p w14:paraId="30931B5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6、民办非企业单位登记证书。（民办非企业单位提供）</w:t>
            </w:r>
          </w:p>
          <w:p w14:paraId="0D006E65">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二、财务状况报告相关材料</w:t>
            </w:r>
          </w:p>
          <w:p w14:paraId="1A7BDA3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（1）供应商是法人（法人包括企业法人、机关法人、事业单位法人和社会团体法人），提供本单位：</w:t>
            </w:r>
          </w:p>
          <w:p w14:paraId="20C9AE5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①2023年度经审计的财务报告， 包括资产负债表、利润表、现金流量表、所有者权益变动表及其附注；</w:t>
            </w:r>
          </w:p>
          <w:p w14:paraId="2623BB88">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②基本开户银行出具的资信证明；</w:t>
            </w:r>
          </w:p>
          <w:p w14:paraId="797FCE14">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③财政部门认可的政府采购专业担保机构的证明文件和担保机构出具的投标担保函。</w:t>
            </w:r>
          </w:p>
          <w:p w14:paraId="25D7DFA5">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注：仅需提供序号①-③其中之一即可。</w:t>
            </w:r>
          </w:p>
          <w:p w14:paraId="7B1BD10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（2）供应商（其他组织和自然人）提供本单位：</w:t>
            </w:r>
          </w:p>
          <w:p w14:paraId="069C445D">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①2023年度经审计的财务报告，包括资产负债表、利润表、现金流量表、所有者权益变动表及其附注；</w:t>
            </w:r>
          </w:p>
          <w:p w14:paraId="60323A5F">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②银行出具的资信证明；</w:t>
            </w:r>
          </w:p>
          <w:p w14:paraId="0218A0B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③财政部门认可的政府采购专业担保机构的证明文件和担保机构出具的投标担保函。</w:t>
            </w:r>
          </w:p>
          <w:p w14:paraId="2966145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注：仅需提供序号①-③其中之一即可。</w:t>
            </w:r>
          </w:p>
          <w:p w14:paraId="4F965002">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三、依法缴纳税收相关材料</w:t>
            </w:r>
          </w:p>
          <w:p w14:paraId="2BBB303E">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参加本次政府采购项目磋商响应截止时间前一年内任意一个月缴纳税收凭据。（依法免税的供应商，应提供相应文件证明依法免税）</w:t>
            </w:r>
          </w:p>
          <w:p w14:paraId="3298BF8B">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四、依法缴纳社会保障资金的证明材料</w:t>
            </w:r>
          </w:p>
          <w:p w14:paraId="2C283ADB">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参加本次政府采购项目磋商响应截止时间前一年内任意一个月缴纳社会 保险凭据。（依法不需要缴纳社会保障资金的供应商，应提供相应文件证明依法不需要缴纳社会保障资金）</w:t>
            </w:r>
          </w:p>
          <w:p w14:paraId="58A295A2">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五、履行合同所必须的设备和专业技术能力的证明材料</w:t>
            </w:r>
          </w:p>
          <w:p w14:paraId="081DF826">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①相关设备的购置发票、专业技术人员职称证书、用工合同等；</w:t>
            </w:r>
          </w:p>
          <w:p w14:paraId="46D5DBC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②供应商具备履行合同所必须的设备和专业技术能力承诺函或声明（承诺函或声明格式自拟）。</w:t>
            </w:r>
          </w:p>
          <w:p w14:paraId="0B574E3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注：仅需提供序号①-②其中之一即可。</w:t>
            </w:r>
          </w:p>
          <w:p w14:paraId="14DC2C0D">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六、 参加政府采购活动前3年内在经营活动中</w:t>
            </w:r>
            <w:r>
              <w:rPr>
                <w:rFonts w:hint="eastAsia" w:ascii="宋体" w:hAnsi="宋体" w:eastAsia="宋体" w:cs="宋体"/>
                <w:color w:val="auto"/>
                <w:sz w:val="24"/>
                <w:szCs w:val="24"/>
                <w:lang w:val="en-US" w:eastAsia="zh-CN"/>
              </w:rPr>
              <w:t>没有重大违法记录的声明供应商“参加政府采购活动前3年内在经营活动中没有重大违法记录的书面声明”。重大违法记录，是指供应商因违法经营受到刑事处罚或者责令停产停业、吊销许可证或者执照、较大数额罚款等行政处罚。</w:t>
            </w:r>
          </w:p>
          <w:p w14:paraId="416FFF18">
            <w:pPr>
              <w:keepNext w:val="0"/>
              <w:keepLines w:val="0"/>
              <w:pageBreakBefore w:val="0"/>
              <w:widowControl w:val="0"/>
              <w:kinsoku/>
              <w:wordWrap/>
              <w:overflowPunct/>
              <w:topLinePunct w:val="0"/>
              <w:autoSpaceDE/>
              <w:autoSpaceDN/>
              <w:bidi w:val="0"/>
              <w:adjustRightInd/>
              <w:snapToGrid/>
              <w:spacing w:line="288" w:lineRule="auto"/>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七、 未被列入“信用中国 ”网站</w:t>
            </w:r>
            <w:r>
              <w:rPr>
                <w:rFonts w:hint="eastAsia" w:ascii="宋体" w:hAnsi="宋体" w:eastAsia="宋体" w:cs="宋体"/>
                <w:color w:val="auto"/>
                <w:sz w:val="21"/>
                <w:szCs w:val="21"/>
                <w:lang w:val="en-US" w:eastAsia="zh-CN"/>
              </w:rPr>
              <w:t>(www.creditchina.gov.cn)</w:t>
            </w:r>
            <w:r>
              <w:rPr>
                <w:rFonts w:hint="eastAsia" w:ascii="宋体" w:hAnsi="宋体" w:eastAsia="宋体" w:cs="宋体"/>
                <w:color w:val="auto"/>
                <w:sz w:val="24"/>
                <w:szCs w:val="24"/>
                <w:lang w:val="en-US" w:eastAsia="zh-CN"/>
              </w:rPr>
              <w:t>失信被执行人、税收违法黑名单的供应商；“中国政府采购网 ” (www.ccgp.gov.cn) 政府采购严重违法失信行为记录名单的供应商；“中国社会组织政务服务平台”网站（https://chinanpo.mca.gov.cn)严重违法失信社会组织 名单的供应商（联合体形式投标的，联合体成员存在不良信用记录，视同联合体存在不良信用记录）。</w:t>
            </w:r>
          </w:p>
          <w:p w14:paraId="624EB63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1、查询渠道：</w:t>
            </w:r>
          </w:p>
          <w:p w14:paraId="5E670B2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①“信用中国”网站(www.creditchina.gov.cn)</w:t>
            </w:r>
          </w:p>
          <w:p w14:paraId="198293B9">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②“中国政府采购网”（www.ccgp.gov.cn）</w:t>
            </w:r>
          </w:p>
          <w:p w14:paraId="6336985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③“中国社会组织政务服务平台”网站(https://chinanpo.mca.gov.cn)（仅查询社会组织）；</w:t>
            </w:r>
          </w:p>
          <w:p w14:paraId="6DC9A55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2、截止时间： 同投标截止时间；</w:t>
            </w:r>
          </w:p>
          <w:p w14:paraId="212BBBB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3、信用信息的使用原则：经采购人认定的被列入失信被执行人、税收违 法黑名单、政府采购严重违法失信行为记录名单的投标人、严重违法失信社会组织，将拒绝其参与本次政府采购活动。</w:t>
            </w:r>
          </w:p>
        </w:tc>
      </w:tr>
      <w:tr w14:paraId="2811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990" w:type="dxa"/>
            <w:gridSpan w:val="3"/>
            <w:tcBorders>
              <w:top w:val="single" w:color="auto" w:sz="4" w:space="0"/>
              <w:left w:val="single" w:color="auto" w:sz="4" w:space="0"/>
              <w:bottom w:val="single" w:color="auto" w:sz="4" w:space="0"/>
              <w:right w:val="single" w:color="auto" w:sz="4" w:space="0"/>
            </w:tcBorders>
            <w:vAlign w:val="center"/>
          </w:tcPr>
          <w:p w14:paraId="39FC58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未尽事宜，按国家有关规定执行。</w:t>
            </w:r>
          </w:p>
        </w:tc>
      </w:tr>
    </w:tbl>
    <w:p w14:paraId="7AB34E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8CAB9D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0CA5B1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93F10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0475D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709C3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第四章 供应商须知</w:t>
      </w:r>
    </w:p>
    <w:p w14:paraId="1FC274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一、概念释义</w:t>
      </w:r>
    </w:p>
    <w:p w14:paraId="407482F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1、适用范围</w:t>
      </w:r>
      <w:r>
        <w:rPr>
          <w:rFonts w:hint="eastAsia" w:ascii="宋体" w:hAnsi="宋体" w:eastAsia="宋体" w:cs="宋体"/>
          <w:color w:val="auto"/>
          <w:sz w:val="24"/>
          <w:szCs w:val="24"/>
        </w:rPr>
        <w:t xml:space="preserve"> </w:t>
      </w:r>
    </w:p>
    <w:p w14:paraId="37C638A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1.1本磋商文件仅适用于本次“磋商邀请”中所述采购项目。 </w:t>
      </w:r>
    </w:p>
    <w:p w14:paraId="6CF6D3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1.2本磋商文件解释权属于“磋商邀请”所述的采购人。 </w:t>
      </w:r>
    </w:p>
    <w:p w14:paraId="42A641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2、定义</w:t>
      </w:r>
      <w:r>
        <w:rPr>
          <w:rFonts w:hint="eastAsia" w:ascii="宋体" w:hAnsi="宋体" w:eastAsia="宋体" w:cs="宋体"/>
          <w:color w:val="auto"/>
          <w:sz w:val="24"/>
          <w:szCs w:val="24"/>
        </w:rPr>
        <w:t xml:space="preserve"> </w:t>
      </w:r>
    </w:p>
    <w:p w14:paraId="4BD56D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2.1“采购项目”：“供应商须知前附表”中所述的采购项目。 </w:t>
      </w:r>
    </w:p>
    <w:p w14:paraId="23B7BD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2.2“招标人”：“供应商须知前附表”中所述的组织本次招标的采购人和代理机构。 </w:t>
      </w:r>
    </w:p>
    <w:p w14:paraId="13D076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2.3“采购人”：是指依法进行政府采购的国家机关、事业单位、团体组织。采购人名称、地址、电话、联系人见“供应商须知前附表”。 </w:t>
      </w:r>
    </w:p>
    <w:p w14:paraId="296DF7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2.4“代理机构”：接受采购人委托，代理采购项目的采购代理机构。代理机构名称、地址、电话、联系人见“供应商须知前附表”。 </w:t>
      </w:r>
    </w:p>
    <w:p w14:paraId="483A11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采购代理机构及其分支机构不得在所代理的采购项目中投标或者代理投标，不得为所代理的采购项目的供应商参加本项目提供投标咨询。 </w:t>
      </w:r>
    </w:p>
    <w:p w14:paraId="525EDC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2.5“潜在供应商”指符合《中华人民共和国政府采购法》及相关法律法规和本磋商磋商文件的各项规定，且按照本项目磋商公告及磋商文件规定的方式获取磋商文件的法人、其他组织或者自然人。 </w:t>
      </w:r>
    </w:p>
    <w:p w14:paraId="70DB7B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2.6“供应商”：是指符合《中华人民共和国政府采购法》及相关法律法规和本磋商磋商文件的各项规定，响应招标、参加投标竞争，从采购人处按规定获取磋商文件， 并按照磋商文件要求向采购人提交响应文件的法人、其他组织或者自然人。 </w:t>
      </w:r>
    </w:p>
    <w:p w14:paraId="59EA45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号）。 </w:t>
      </w:r>
    </w:p>
    <w:p w14:paraId="1D361B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2.7.1磋商文件列明不允许或未列明允许进口产品参加投标的，均视为拒绝进口产品参加投标。 </w:t>
      </w:r>
    </w:p>
    <w:p w14:paraId="603ECD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2.7.2如磋商文件中已说明，经财政部门审核同意，允许部分或全部产品采购进口产品，供应商既可提供本国产品，也可以提供进口产品。 </w:t>
      </w:r>
    </w:p>
    <w:p w14:paraId="0F7C39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2.8磋商文件中凡标有“★”的条款均系实质性要求条款。</w:t>
      </w:r>
    </w:p>
    <w:p w14:paraId="0C2535A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合格的供应商</w:t>
      </w:r>
    </w:p>
    <w:p w14:paraId="1831BD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3.1在中华人民共和国境内注册，具有本项目生产、制造、供应或实施能力，符合、承认并承诺履行本磋商文件各项规定的法人、其他组织或者自然人。 </w:t>
      </w:r>
    </w:p>
    <w:p w14:paraId="6FD58C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3.2符合本项目“投标邀请”和“供应商须知前附表”中规定的合格供应商所必须具备的条件。 </w:t>
      </w:r>
    </w:p>
    <w:p w14:paraId="6E2086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社会组织名单（联合体形式投标的，联合体成员存在不良信用记录，视同联合体存在不良信用记录）。 </w:t>
      </w:r>
    </w:p>
    <w:p w14:paraId="4D49F5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3.3.1查询渠道：“信用中国”网站（www.creditchina.gov.cn/）、“中国政府采购网”（www.ccgp.gov.cn/）和“中国社会组织政务服务平台”网站（https://chinanpo.mca.gov.cn/）（仅查询社会组织）</w:t>
      </w:r>
      <w:r>
        <w:rPr>
          <w:rFonts w:hint="eastAsia" w:ascii="宋体" w:hAnsi="宋体" w:eastAsia="宋体" w:cs="宋体"/>
          <w:color w:val="auto"/>
          <w:sz w:val="24"/>
          <w:szCs w:val="24"/>
          <w:lang w:eastAsia="zh-CN"/>
        </w:rPr>
        <w:t>。</w:t>
      </w:r>
    </w:p>
    <w:p w14:paraId="13928F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3.3.2截止时间：同投标截止时间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14:paraId="19D6A8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3.3.3信用信息查询记录和证据留存具体方式：经磋商小组确认的查询结果网页截图作为查询记录和证据，与其他磋商文件一并保存</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w:t>
      </w:r>
    </w:p>
    <w:p w14:paraId="47121A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3.3.4信用信息的使用原则：经磋商小组认定的被列入失信被执行人、重大税收违法失信主体、政府采购严重违法失信行为记录名单、严重违法失信社会组织名单的供应商，将拒绝其参与本次政府采购活动。 </w:t>
      </w:r>
    </w:p>
    <w:p w14:paraId="1E0772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3.3.5供应商无须提供信用记录查询结果网页截屏。供应商不良信用记录以磋商小组查询结果为准，磋商小组查询之后，网站信息发生的任何变更不再作为评审依据，供应商自行提供的与网站信息不一致的其他证明材料亦不作为评审依据。 </w:t>
      </w:r>
    </w:p>
    <w:p w14:paraId="0D3F5A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3.4单位负责人为同一人或者存在直接控股、管理关系的不同供应商，不得同时参加本项目响应。违反规定的，相关响应均无效。 </w:t>
      </w:r>
    </w:p>
    <w:p w14:paraId="57E89F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3.5为采购项目提供整体设计、规范编制或者项目管理、监理、检测等服务的供应商，不得再参加该采购项目的其他采购活动。 </w:t>
      </w:r>
    </w:p>
    <w:p w14:paraId="088A7B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3.6“投标邀请”和“供应商须知前附表”规定接受联合体投标的，除应符合本章第3.1项和3.2项要求外，还应遵守以下规定： </w:t>
      </w:r>
    </w:p>
    <w:p w14:paraId="14BC45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20"/>
          <w:sz w:val="24"/>
          <w:szCs w:val="24"/>
        </w:rPr>
      </w:pPr>
      <w:r>
        <w:rPr>
          <w:rFonts w:hint="eastAsia" w:ascii="宋体" w:hAnsi="宋体" w:eastAsia="宋体" w:cs="宋体"/>
          <w:color w:val="auto"/>
          <w:sz w:val="24"/>
          <w:szCs w:val="24"/>
        </w:rPr>
        <w:t>3.6.1在响应文件中向采购人提交联合体协议书，明确联合体各方</w:t>
      </w:r>
      <w:r>
        <w:rPr>
          <w:rFonts w:hint="eastAsia" w:ascii="宋体" w:hAnsi="宋体" w:eastAsia="宋体" w:cs="宋体"/>
          <w:color w:val="auto"/>
          <w:spacing w:val="-20"/>
          <w:sz w:val="24"/>
          <w:szCs w:val="24"/>
        </w:rPr>
        <w:t xml:space="preserve">承担的工作和义务； </w:t>
      </w:r>
    </w:p>
    <w:p w14:paraId="0905AB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3.6.2联合体中有同类资质的供应商按联合体分工承担相同工作的，应当按照资质等级较低的供应商确定资质等级；</w:t>
      </w:r>
    </w:p>
    <w:p w14:paraId="63D970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3.6.3采购人根据采购项目的特殊要求规定供应商特定条件的，联合体各方中至少应当有一方符合采购规定的特定条件； </w:t>
      </w:r>
    </w:p>
    <w:p w14:paraId="42F9E2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3.6.4联合体各方不得再单独参加或者与其他供应商另外组成联合体参加同一合同项下的政府采购活动； </w:t>
      </w:r>
    </w:p>
    <w:p w14:paraId="2FED45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3.6.5联合体各方应当共同与采购人签订采购合同，就采购合同约定的事项对采购人承担连带责任。 </w:t>
      </w:r>
    </w:p>
    <w:p w14:paraId="60860D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3.7法律、行政法规规定的其他条件。</w:t>
      </w:r>
    </w:p>
    <w:p w14:paraId="21A9CEA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合格的货物和服务</w:t>
      </w:r>
    </w:p>
    <w:p w14:paraId="17C36D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供应商提供的货物应当符合磋商文件的要求，并且其质量完全符合国家标准、行业标准或地方标准，均有标准的以高（严格）者为准。没有国家标准、行业标准和企业标准的，按照通常标准或者符合采购目的的特定标准确定。</w:t>
      </w:r>
    </w:p>
    <w:p w14:paraId="32BD57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20"/>
          <w:sz w:val="24"/>
          <w:szCs w:val="24"/>
        </w:rPr>
      </w:pPr>
      <w:r>
        <w:rPr>
          <w:rFonts w:hint="eastAsia" w:ascii="宋体" w:hAnsi="宋体" w:eastAsia="宋体" w:cs="宋体"/>
          <w:color w:val="auto"/>
          <w:sz w:val="24"/>
          <w:szCs w:val="24"/>
        </w:rPr>
        <w:t>4.2供应商所提供的服务应当没有侵犯任何第三方的知识产权、</w:t>
      </w:r>
      <w:r>
        <w:rPr>
          <w:rFonts w:hint="eastAsia" w:ascii="宋体" w:hAnsi="宋体" w:eastAsia="宋体" w:cs="宋体"/>
          <w:color w:val="auto"/>
          <w:spacing w:val="-20"/>
          <w:sz w:val="24"/>
          <w:szCs w:val="24"/>
        </w:rPr>
        <w:t>技术秘密等合法权利。</w:t>
      </w:r>
    </w:p>
    <w:p w14:paraId="09CBAC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4F51ED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4.4根据国家互联网信息办公室、工业和信息化部、公安部和国家认证认可监督管理委员会2023年第2号《关于调整〈网络关键设备和网络安全专用产品目录〉的公告》及国家互联网信息办公室、工业和信息化部、公安部、财政部和国家认证认可监督管理委员会2023年第1号《关于调整网络安全专用产品安全管理有关事项的公告》等相关文件要求，项目中涉及网络关键设备或网络安全专用产品的，至少符合以下条件之一：一是已具备资格的机构安全认证合格或安全检测符合要求；二是已获得《计算机信息系统安全专用产品销售许可证》，且在有效期内。</w:t>
      </w:r>
    </w:p>
    <w:p w14:paraId="2494C667">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磋商费用</w:t>
      </w:r>
    </w:p>
    <w:p w14:paraId="08497C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不论磋商的结果如何，供应商均应自行承担所有与磋商有关的全部费用，采购人在任何情况下均无义务和责任承担这些费用。</w:t>
      </w:r>
    </w:p>
    <w:p w14:paraId="6416BB8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信息发布</w:t>
      </w:r>
    </w:p>
    <w:p w14:paraId="2543A0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本采购项目需要公开的有关信息，包括磋商公告、磋商文件澄清或修改公告、成交公告以及延长响应文件提交截止时间等与采购活动有关的通知，采购人均将通过在《中国政府采购网》《河南省政府采购网》《许昌市政府采购网》《全国公共资源交易平台（河南省·许昌市）》公开发布。供应商在参与本采购项目招投标活动期间，请及时关注以上媒体上的相关信息，供应商因没有及时关注而未能</w:t>
      </w:r>
      <w:r>
        <w:rPr>
          <w:rFonts w:hint="eastAsia" w:ascii="宋体" w:hAnsi="宋体" w:eastAsia="宋体" w:cs="宋体"/>
          <w:color w:val="auto"/>
          <w:sz w:val="24"/>
          <w:szCs w:val="24"/>
        </w:rPr>
        <w:t>如期获取相关信息，及因此所产生的一切后果和责任，由供应商自行承担，采购人、采购代理公司在任何情况下均不对此承担任何责任。</w:t>
      </w:r>
    </w:p>
    <w:p w14:paraId="1B1B40E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采购代理机构代理费用收取标准和方式</w:t>
      </w:r>
    </w:p>
    <w:p w14:paraId="4933B73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收取代理费用。</w:t>
      </w:r>
    </w:p>
    <w:p w14:paraId="1F6718F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其他</w:t>
      </w:r>
    </w:p>
    <w:p w14:paraId="4DB209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本“供应商须知”的条款如与“采购邀请”“采购需求”“供应商须知前附表”和“对响应文件审查与评审”就同一内容的表述不一致的，以“采购邀请”“ 采购需求”、</w:t>
      </w:r>
    </w:p>
    <w:p w14:paraId="1D0980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“供应商须知前附表”和“对响应文件审查与评审”中规定的内容为准。</w:t>
      </w:r>
    </w:p>
    <w:p w14:paraId="79C54ED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二、磋商文件说明</w:t>
      </w:r>
    </w:p>
    <w:p w14:paraId="4D09F7D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9.磋商文件构成</w:t>
      </w:r>
    </w:p>
    <w:p w14:paraId="021579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9.1磋商文件由以下部分组成：</w:t>
      </w:r>
    </w:p>
    <w:p w14:paraId="108326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（1）磋商邀请（磋商公告）</w:t>
      </w:r>
    </w:p>
    <w:p w14:paraId="222870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（2）采购需求</w:t>
      </w:r>
    </w:p>
    <w:p w14:paraId="342C49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（3）供应商须知前附表 </w:t>
      </w:r>
    </w:p>
    <w:p w14:paraId="474769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（4）供应商须知 </w:t>
      </w:r>
    </w:p>
    <w:p w14:paraId="0A62C0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（5）政府采购政策功能 </w:t>
      </w:r>
    </w:p>
    <w:p w14:paraId="580EE9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（6）对响应文件审查与评审 </w:t>
      </w:r>
    </w:p>
    <w:p w14:paraId="3DB6F0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（7）拟签订的合同文本 </w:t>
      </w:r>
    </w:p>
    <w:p w14:paraId="7D749BF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（8）响应文件有关格式 </w:t>
      </w:r>
    </w:p>
    <w:p w14:paraId="6FF953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（9）本项目磋商文件的澄清、答复、修改、补充内容（如有的话）</w:t>
      </w:r>
    </w:p>
    <w:p w14:paraId="724C16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供应商应认真阅读、并充分理解磋商文件的全部内容（包括所有的补充、修改内容、重要事项、格式、条款和技术规范、参数及要求等），按磋商文件要求和规定编制响应文件，并保证所提供的全部资料的真实性，否则有可能导致投标被拒绝，其风险由供应商自行承担。</w:t>
      </w:r>
    </w:p>
    <w:p w14:paraId="14109C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供应商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14:paraId="04D430C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10.现场考察、磋商前答疑会（如有）</w:t>
      </w:r>
    </w:p>
    <w:p w14:paraId="0A7F37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10.1采购人根据采购项目的具体情况，可以在磋商文件公告期满后，组织已获取磋商文件的供应商现场考察或者召开磋商前答疑会。 </w:t>
      </w:r>
    </w:p>
    <w:p w14:paraId="7C0276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10.2采购人组织现场考察或者召开磋商前答疑会的，所有供应商应按“供应商须知前附表”规定的时间、地点前往参加现场考察或者磋商前答疑会。供应商如不参加，其风险由供应商自行承担，采购人不承担任何责任。 </w:t>
      </w:r>
    </w:p>
    <w:p w14:paraId="5E2B8C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10.3采购人组织现场考察或者召开答疑会的，应当在磋商文件中载明，或者在磋商文件公告期满后在财政部门指定的政府采购信息发布媒体和《全国公共资源交易平台（河南省·许昌市）》发布更正公告。 </w:t>
      </w:r>
    </w:p>
    <w:p w14:paraId="44B526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10.4采购人在考察现场和磋商前答疑会口头介绍的情况，除采购人事后形成书面记录、并以澄清或修改公告的形式发布、构成磋商文件的组成部分以外，其他内容仅供供应商在编制响应文件时参考，采购人不对供应商据此作出的判断和决策负责。 </w:t>
      </w:r>
    </w:p>
    <w:p w14:paraId="4835C2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10.5现场考察及参加磋商前答疑会所发生的费用及一切责任由供应商自行承担。</w:t>
      </w:r>
    </w:p>
    <w:p w14:paraId="58C4C34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11.磋商文件的澄清或修改</w:t>
      </w:r>
    </w:p>
    <w:p w14:paraId="613187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11.1在磋商响应截止期前，无论出于何种原因，采购人可主动地或在解答供应商提出的澄清问题时对磋商文件进行修改。 </w:t>
      </w:r>
    </w:p>
    <w:p w14:paraId="52CF4B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11.2采购人可以对已发出的磋商文件进行必要的澄清或者修改。澄清或者修改的内容可能影响响应文件编制的，采购人将在响应文件提交截止之日5日前，在财政部门指定的政府采购信息发布媒体和《全国公共资源交易平台（河南省·许昌市）》发布更正公告。 </w:t>
      </w:r>
    </w:p>
    <w:p w14:paraId="2135F1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11.3澄清或修改公告的内容为磋商文件的组成部分，并对供应商具有约束力。当磋商文件与澄清或修改公告就同一内容的表述不一致时，以最后发出的文件内容为准。 </w:t>
      </w:r>
    </w:p>
    <w:p w14:paraId="02F233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11.4如果澄清或者修改发出的时间距规定的磋商响应截止时间不足5日的，采购人将顺延提交响应文件的截止时间。</w:t>
      </w:r>
    </w:p>
    <w:p w14:paraId="775114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三、响应文件的编制</w:t>
      </w:r>
    </w:p>
    <w:p w14:paraId="36A374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12.响应的语言及计量单位</w:t>
      </w:r>
      <w:r>
        <w:rPr>
          <w:rFonts w:hint="eastAsia" w:ascii="宋体" w:hAnsi="宋体" w:eastAsia="宋体" w:cs="宋体"/>
          <w:color w:val="auto"/>
          <w:sz w:val="24"/>
          <w:szCs w:val="24"/>
        </w:rPr>
        <w:t xml:space="preserve"> </w:t>
      </w:r>
    </w:p>
    <w:p w14:paraId="5BA6F0D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12.1供应商提交的响应文件以及供应商与采购人就有关采购事宜的所有来往书面文件均应使用中文。除签名、盖章、专用名称等特殊情形外，以中文以外的文字表述的响应文件视同未提供。 </w:t>
      </w:r>
    </w:p>
    <w:p w14:paraId="7B25CD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12.2响应文件计量单位，磋商文件已有明确规定的，使用磋商文件规定的计量单位；磋商文件没有规定的，一律采用中华人民共和国法定计量单位。</w:t>
      </w:r>
    </w:p>
    <w:p w14:paraId="52FE4B1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13.报价 </w:t>
      </w:r>
    </w:p>
    <w:p w14:paraId="2F7AF37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13.1本次磋商项目的报价均以人民币为计算单位。 </w:t>
      </w:r>
    </w:p>
    <w:p w14:paraId="03F17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13.2采购人不得向供应商索要或者接受其给予的赠品、回扣或者与采购无关的其他商品、服务。 </w:t>
      </w:r>
    </w:p>
    <w:p w14:paraId="1C6F768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13.3供应商应对项目要求的全部内容进行报价，少报漏报将导致其投标为非实质性响应予以拒绝。 </w:t>
      </w:r>
    </w:p>
    <w:p w14:paraId="3F0A8F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 </w:t>
      </w:r>
    </w:p>
    <w:p w14:paraId="41AFA7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13.5本项目所涉及的运输、施工、安装、集成、调试、验收、备品和工具等费用均包含在响应报价中。 </w:t>
      </w:r>
    </w:p>
    <w:p w14:paraId="4489B9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13.6本次招标不接受可选择或可调整的投标方案和报价，任何有选择的或可调整的投标方案和报价将被视为非实质性响应投标而作无效投标处理。 </w:t>
      </w:r>
    </w:p>
    <w:p w14:paraId="06FB58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13.7报价不得高于本项目最高限价，且不低于成本价。本次招标实行“最高限价（项目控制金额上限）”，供应商的投标报价高于最高限价（项目控制金额上限）的，该供应商的响应文件将被视为非实质性响应予以拒绝。 </w:t>
      </w:r>
    </w:p>
    <w:p w14:paraId="2DAD21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13.8最低报价不能作为成交的保证。</w:t>
      </w:r>
    </w:p>
    <w:p w14:paraId="5AD407D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14.响应有效期 </w:t>
      </w:r>
    </w:p>
    <w:p w14:paraId="1089EC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14.1响应有效期从提交响应文件的截止之日起算。本项目投标有效期详见供应商须知前附表。响应文件中承诺的响应有效期应当不少于“供应商须知前附表”载明的响应有效期。响应有效期比磋商文件规定短的属于非实质性响应，将被认定为无效投标。 </w:t>
      </w:r>
    </w:p>
    <w:p w14:paraId="6092D6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20"/>
          <w:sz w:val="24"/>
          <w:szCs w:val="24"/>
        </w:rPr>
      </w:pPr>
      <w:r>
        <w:rPr>
          <w:rFonts w:hint="eastAsia" w:ascii="宋体" w:hAnsi="宋体" w:eastAsia="宋体" w:cs="宋体"/>
          <w:color w:val="auto"/>
          <w:sz w:val="24"/>
          <w:szCs w:val="24"/>
        </w:rPr>
        <w:t>14.2响应有效期内供应商撤销响应文件的，供应商将承担违背投标</w:t>
      </w:r>
      <w:r>
        <w:rPr>
          <w:rFonts w:hint="eastAsia" w:ascii="宋体" w:hAnsi="宋体" w:eastAsia="宋体" w:cs="宋体"/>
          <w:color w:val="auto"/>
          <w:spacing w:val="-20"/>
          <w:sz w:val="24"/>
          <w:szCs w:val="24"/>
        </w:rPr>
        <w:t xml:space="preserve">承诺函的责任追究。 </w:t>
      </w:r>
    </w:p>
    <w:p w14:paraId="3B08FD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14.3特殊情况下，在原投标有效期截止之前，采购人可要求供应商延长响应有效期。这种要求与答复均应以书面形式提交。供应商可拒绝采购人的这种要求，但其投标在原运行有效期期满后将不再有效。同意延长响应有效期的供应商将不会被要求和允许修正其投标，而只会被要求相应地延长其投标承诺函的有效期。在这种情况下， 有关供应商违背投标承诺的责任追究措施将在延长的有效期内继续有效。同意延期的供应商在原投标有效期内应享之权利及应负之责任也相应延续。 </w:t>
      </w:r>
    </w:p>
    <w:p w14:paraId="75FCAF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14.4成交供应商的响应文件作为项目合同的附件，其有效期至成交供应商全部合同义务履行完毕为止。</w:t>
      </w:r>
    </w:p>
    <w:p w14:paraId="39D9089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15.响应文件构成 </w:t>
      </w:r>
    </w:p>
    <w:p w14:paraId="0878BB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15.1响应文件的构成应符合法律法规及磋商文件的要求。 </w:t>
      </w:r>
    </w:p>
    <w:p w14:paraId="5954B0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15.2供应商应当按照磋商文件的要求编制响应文件。响应文件应当对磋商文件提出的要求和条件作出明确响应。 </w:t>
      </w:r>
    </w:p>
    <w:p w14:paraId="27DA1A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15.3响应文件由资格证明材料、符合性证明材料、其它材料等组成。 </w:t>
      </w:r>
    </w:p>
    <w:p w14:paraId="57618F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15.4供应商根据磋商文件的规定和采购项目的实际情况，拟在成交后将成交项目的非主体、非关键性工作分包的，应当在响应文件中载明分包承担主体，分包承担主体应当具备相应资质条件且不得再次分包。 </w:t>
      </w:r>
    </w:p>
    <w:p w14:paraId="1531F4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1DCF77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15.6电子响应文件制作技术咨询：0374-2961598。</w:t>
      </w:r>
    </w:p>
    <w:p w14:paraId="6DD7B36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16.响应文件格式 </w:t>
      </w:r>
    </w:p>
    <w:p w14:paraId="362057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16.1供应商编制的响应文件应当满足磋商文件规定的基本格式要求。</w:t>
      </w:r>
    </w:p>
    <w:p w14:paraId="0971E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16.2供应商应按磋商文件提供的格式编写响应文件。磋商文件未提供标准格式的供应商可自行拟定。</w:t>
      </w:r>
    </w:p>
    <w:p w14:paraId="60D688A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17.磋商保证金</w:t>
      </w:r>
    </w:p>
    <w:p w14:paraId="294F4E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17.1按照河南省《关于优化政府采购营商环境有关问题的通知》（豫财购（2019）4号文）的要求，本项目不予收取投标保证金，供应商应提供</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承诺函。</w:t>
      </w:r>
    </w:p>
    <w:p w14:paraId="47B793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17.2供应商应按照磋商文件要求，在响应文件中提供</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承诺函，明确所应当履行的责任和义务，诚信履约，并自觉接受行政监管部门的监督管理。</w:t>
      </w:r>
    </w:p>
    <w:p w14:paraId="435E01E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18.磋商文件的数量和签署盖章 </w:t>
      </w:r>
    </w:p>
    <w:p w14:paraId="6C96D5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18.1供应商应提交响应文件份数见“供应商须知前附表”。 </w:t>
      </w:r>
    </w:p>
    <w:p w14:paraId="66FA03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18.2在磋商文件中已明示需盖章及签名之处，电子响应文件应按磋商文件要求加盖供应商电子印章和法人电子印章或授权代表电子印章。</w:t>
      </w:r>
    </w:p>
    <w:p w14:paraId="45E3F85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四、响应文件的递交</w:t>
      </w:r>
    </w:p>
    <w:p w14:paraId="1CEA27E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19.磋商响应截止时间</w:t>
      </w:r>
    </w:p>
    <w:p w14:paraId="33F3B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19.1供应商必须在“采购邀请”和“供应商须知前附表”中规定的响应截止时间前，将加密电子响应文件（后缀格式为.XCSTF）通过“全国公共资源交易平台（河南省·许昌市）”公共资源交易系统成功上传。</w:t>
      </w:r>
    </w:p>
    <w:p w14:paraId="21836F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采购人可以按本须知第11条规定，通过修改磋商文件自行决定酌情延长磋商响应截止期。在此情况下，采购人和供应商受投标截止期制约的所有权利和义务均应延长至新的截止日期和时间。供应商按采购人修改通知规定的时间提交响应文件。</w:t>
      </w:r>
    </w:p>
    <w:p w14:paraId="2B6FEE5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20.迟交的响应文件</w:t>
      </w:r>
    </w:p>
    <w:p w14:paraId="5A7A1E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磋商响应文件截止时间之后上传的响应文件，采购人将拒绝接收。</w:t>
      </w:r>
    </w:p>
    <w:p w14:paraId="3917663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21.响应文件的修改和撤回</w:t>
      </w:r>
    </w:p>
    <w:p w14:paraId="50065BA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供应商在磋商响应截止时间前，可以对所递交的响应文件进行补充、修改或者撤回。供应商应当在磋商响应截止时间前完成电子响应文件的提交，磋商响应截止时间前未完成电子响应文件提交、取得“响应文件提交回执单”的，视为撤回响应文件。</w:t>
      </w:r>
    </w:p>
    <w:p w14:paraId="58EBD6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21.2供应商补充、修改的内容并作为响应文件的组成部分。补充或修改应当按磋商文件要求签署、盖章、递交，并应注明“修改”或“补充”字样。</w:t>
      </w:r>
    </w:p>
    <w:p w14:paraId="0D0A13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21.3供应商不得在投标有效期内撤销响应文件，否则将依法自行承担不利后果。</w:t>
      </w:r>
    </w:p>
    <w:p w14:paraId="3D8A52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22.除供应商须知前附表另有规定外，供应商所提交的电子响应文件不予退还。</w:t>
      </w:r>
    </w:p>
    <w:p w14:paraId="3B50E9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五、响应文件开启和磋商</w:t>
      </w:r>
    </w:p>
    <w:p w14:paraId="267F8CA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23.响应文件开启</w:t>
      </w:r>
    </w:p>
    <w:p w14:paraId="24B1DB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23.1采购人将按磋商文件规定的磋商响应截止时间和地点解密电子响应文件。由代理机构主持，供应商无须到现场。磋商小组成员不得参加开标活动。</w:t>
      </w:r>
    </w:p>
    <w:p w14:paraId="44BA21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23.2招标人应当对开标、评标现场活动进行全程录音录像。录音录像应当清晰可辨，音像资料作为采购文件一并存档。</w:t>
      </w:r>
    </w:p>
    <w:p w14:paraId="657A67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磋商响应截止时间，由代理机构进行公布投标人、开始投标解密、标书导入、唱标等操作，并开启群聊功能；供应商进行电子响应文件的解密。待标书导入后，供应商点击页面上方进度条的“唱标”可查看开标结果。</w:t>
      </w:r>
    </w:p>
    <w:p w14:paraId="004450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23.4电子响应文件的解密：全流程电子化交易项目电子响应文件采用投标人一层加密。解密时由投标人进行一次解密即可。</w:t>
      </w:r>
    </w:p>
    <w:p w14:paraId="3A6631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23.5供应商解密：供应商使用本单位CA数字证书或移动数字证书进行远程解密。</w:t>
      </w:r>
    </w:p>
    <w:p w14:paraId="12AE29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23.6因供应商原因电子响应文件解密失败的，其响应文件将被退回。</w:t>
      </w:r>
    </w:p>
    <w:p w14:paraId="4B9430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23.7供应商不足3家的，本项目磋商活动终止。</w:t>
      </w:r>
    </w:p>
    <w:p w14:paraId="37EC97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23.8开标过程由采购代理机构负责记录，《开标情况记录表》经供应商进行电子签章、由参加开标相关工作人员签字确认后随采购文件一并存档。供应商未电子签章的，视同认可开标结果。</w:t>
      </w:r>
    </w:p>
    <w:p w14:paraId="3275EC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23.9供应商对解密过程和记录有疑义，以及认为采购人、代理机构相关工作人员有需要回避的情形的，应当场提出询问或者回避申请。采购人、采购代理机构对供应商提出的询问或者回避申请应当及时处理。</w:t>
      </w:r>
    </w:p>
    <w:p w14:paraId="7C3783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23.10响应文件解密活动结束时，供应商应在《开标情况记录表》上进行电子签章。供应商未签章的，视同认可开标结果。</w:t>
      </w:r>
    </w:p>
    <w:p w14:paraId="563658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24.资格审查</w:t>
      </w:r>
    </w:p>
    <w:p w14:paraId="3DE770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开标结束后，磋商小组依法对供应商的资格进行审查。合格供应商不足3家的，不得磋商。本项目具体资格审查详见（第六章 对响应文件审查与评审）。</w:t>
      </w:r>
    </w:p>
    <w:p w14:paraId="596B393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25.磋商小组的组成 </w:t>
      </w:r>
    </w:p>
    <w:p w14:paraId="7D44E1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25.1采购人将依法组建磋商小组，磋商小组由采购人代表和评审专家共</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人以上单数组成，其中评审专家人数不得少于竞争性磋商小组成员总数的三分之二。评审专家依法从政府采购评审专家库中随机抽取。</w:t>
      </w:r>
    </w:p>
    <w:p w14:paraId="6D231B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25.1.1采购人将依法组建磋商小组，磋商小组由评</w:t>
      </w:r>
      <w:r>
        <w:rPr>
          <w:rFonts w:hint="eastAsia" w:ascii="宋体" w:hAnsi="宋体" w:eastAsia="宋体" w:cs="宋体"/>
          <w:color w:val="auto"/>
          <w:sz w:val="24"/>
          <w:szCs w:val="24"/>
        </w:rPr>
        <w:t>审专家组成，成员人数应当为3人以上单数组成。评审专家依法从政府采购评审专家库中随机抽取。</w:t>
      </w:r>
    </w:p>
    <w:p w14:paraId="697CD99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25.2评审专家对本单位的采购项目只能作为采购人代表参与评标。采购代理机构工作人员不得参加由本机构代理的政府采购项目的评标。</w:t>
      </w:r>
    </w:p>
    <w:p w14:paraId="57A637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25.3磋商小组成员与供应商存在下列利害关系之一的，应当回避：</w:t>
      </w:r>
    </w:p>
    <w:p w14:paraId="402B683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25.3.1参加采购活动前三年内，与供应商存在劳动关系，或者担任过供应商的董事、监事，或者是供应商的控股股东或实际控制人；</w:t>
      </w:r>
    </w:p>
    <w:p w14:paraId="3E0840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25.3.2与供应商的法定代表人或者负责人有夫妻、直系血亲、三代以内旁系血亲或者近姻亲关系；</w:t>
      </w:r>
    </w:p>
    <w:p w14:paraId="78EE7A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25.3.3与供应商有其他可能影响政府采购活动公平、公正进行的关系。</w:t>
      </w:r>
    </w:p>
    <w:p w14:paraId="2B7111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25.4评审专家发现本人与参加采购活动的供应商有利害关系的，应当主动提出回避。采购人或者代理机构发现评审专家与参加采购活动的供应商有利害关系的，应当要求其回避。</w:t>
      </w:r>
    </w:p>
    <w:p w14:paraId="6A9A95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25.5采购人不得担任磋商小组组长。</w:t>
      </w:r>
    </w:p>
    <w:p w14:paraId="1951B4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25.6磋商小组成员名单在成交结果公告前应当保密。</w:t>
      </w:r>
    </w:p>
    <w:p w14:paraId="27B4F98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26.符合性审查</w:t>
      </w:r>
    </w:p>
    <w:p w14:paraId="1898C2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26.1磋商小组依据有关法律法规和磋商文件的规定，对符合资格的供应商的响应文件进行符合性审查，以确定其是否满足磋商文件的实质性要求。</w:t>
      </w:r>
    </w:p>
    <w:p w14:paraId="79D2AA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26.2审查、评价磋商文件是否符合磋商文件的商务、技术等实质性要求。</w:t>
      </w:r>
    </w:p>
    <w:p w14:paraId="7B66AD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26.3可要求供应商对响应文件有关事项作出澄清或者说明。</w:t>
      </w:r>
    </w:p>
    <w:p w14:paraId="472BE00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27.响应文件的澄清</w:t>
      </w:r>
    </w:p>
    <w:p w14:paraId="57D6CF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27.1对于响应文件中含义不明确、同类问题表述不一致或者有明显文字和计算错误的内容，磋商小组应当以书面形式要求供应商作出必要的澄清、说明或者补正。</w:t>
      </w:r>
    </w:p>
    <w:p w14:paraId="07965C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27.2供应商的澄清、说明或者补正应当采用书面形式，并加盖公章，或者由法定代表人或其授权的代表签字。供应商的澄清、说明或者补正不得超出响应文件的范围或者改变响应文件的实质性内容。</w:t>
      </w:r>
    </w:p>
    <w:p w14:paraId="566962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27.3供应商的澄清文件是其响应文件的组成部分。</w:t>
      </w:r>
    </w:p>
    <w:p w14:paraId="1FA1E19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28.响应文件报价出现前后不一致的修正</w:t>
      </w:r>
    </w:p>
    <w:p w14:paraId="0D8704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28.1磋商文件中开标一览表（报价表）内容与响应文件中相应内容不一致的， 以开标一览表（报价表）为准；</w:t>
      </w:r>
    </w:p>
    <w:p w14:paraId="4AE1B5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28.2大写金额和小写金额不一致的，以大写金额为准；</w:t>
      </w:r>
    </w:p>
    <w:p w14:paraId="0AA373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28.3单价金额小数点或者百分比有明显错位的，以开标一览表的总价为准，并修改单价；</w:t>
      </w:r>
    </w:p>
    <w:p w14:paraId="481FA2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28.4总价金额与按单价汇总金额不一致的，以单价金额计算结果为准。同时出现两种以上不一致的，按照前款规定的顺序修正。修正后的报价按照“供应商须知”27.2规定经供应商确认后产生约束力，供应商不确认的，其投标无效。</w:t>
      </w:r>
    </w:p>
    <w:p w14:paraId="2C50174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29.投标无效情形</w:t>
      </w:r>
    </w:p>
    <w:p w14:paraId="276624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29.1响应文件属下列情况之一的，按照无效投标处理：</w:t>
      </w:r>
    </w:p>
    <w:p w14:paraId="5E33EC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29.1.1未按照磋商文件的规定提交《襄城县政府采购供应商信用承诺函》的； </w:t>
      </w:r>
    </w:p>
    <w:p w14:paraId="0EC1C6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29.1.2未按照磋商文件的规定提交磋商承诺函的； </w:t>
      </w:r>
    </w:p>
    <w:p w14:paraId="411E31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29.1.3响应文件未按磋商文件要求签署、盖章的； </w:t>
      </w:r>
    </w:p>
    <w:p w14:paraId="0C51FD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29.1.4资格证明文件不全或没有满足磋商文件规定的供应商资格要求的； </w:t>
      </w:r>
    </w:p>
    <w:p w14:paraId="0ACD7B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29.1.5报价超过磋商文件中规定的预算金额的； </w:t>
      </w:r>
    </w:p>
    <w:p w14:paraId="1310E22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29.1.6响应文件内容模糊不清，无法辨认的； </w:t>
      </w:r>
    </w:p>
    <w:p w14:paraId="18C054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29.1.7响应文件含有采购人不能接受的附加条件的； </w:t>
      </w:r>
    </w:p>
    <w:p w14:paraId="067FBD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29.1.8不按磋商小组要求澄清、说明或补正的； </w:t>
      </w:r>
    </w:p>
    <w:p w14:paraId="2EB57F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29.1.9响应文件没有法定代表人签字或签字人没有法定代表人有效委托书的； </w:t>
      </w:r>
    </w:p>
    <w:p w14:paraId="0480E0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29.1.10响应文件中载明的标准和方法等不符合磋商文件要求的； </w:t>
      </w:r>
    </w:p>
    <w:p w14:paraId="3BB55E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29.1.11不符合项目质量要求的； </w:t>
      </w:r>
    </w:p>
    <w:p w14:paraId="17C69F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29.2 有下列情形之一的，视为供应商串通投标，其响应无效： </w:t>
      </w:r>
    </w:p>
    <w:p w14:paraId="5565A5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29.2.1不同供应商的响应文件由同一单位或者个人编制； </w:t>
      </w:r>
    </w:p>
    <w:p w14:paraId="276AC6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29.2.3不同供应商委托同一单位或者个人办理响应事宜； </w:t>
      </w:r>
    </w:p>
    <w:p w14:paraId="396B17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29.2.4不同供应商的响应文件载明的项目管理成员或者联系人员为同一人； </w:t>
      </w:r>
    </w:p>
    <w:p w14:paraId="376E81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29.2.5不同供应商的响应文件异常一致或者投标报价呈规律性差异； </w:t>
      </w:r>
    </w:p>
    <w:p w14:paraId="13DDF5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29.2.6不同供应商的响应文件相互混装。</w:t>
      </w:r>
    </w:p>
    <w:p w14:paraId="77CCF7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29.3供应商应当遵循公平竞争的原则，不得恶意串通，不得妨碍其他供应商的竞争行为，不得损害采购人或者其他供应商的合法权益。在评标过程中发现供应商有上述情形的，磋商小组应当认定其投标无效，并书面报告本级财政部门。</w:t>
      </w:r>
    </w:p>
    <w:p w14:paraId="57CFAE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29.4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28C3CF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29.5按照《关于推进全流程电子化交易和在线监管工作有关问题的通知》（许公管办〔2019〕3号）规定，不同供应商电子响应文件制作硬件特征码（网卡MAC地址、CPU序号、硬盘序列号）均一致时，视为‘不同供应商的响应文件由同一单位或者个人编制’或‘不同供应商委托同一单位或者个人办理响应事宜’，其磋商响应无效。</w:t>
      </w:r>
    </w:p>
    <w:p w14:paraId="3D1A71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29.6对响应文件进行一致性分析，分析响应文件是否有雷同现象，判定供应商是否有串通投标行为。</w:t>
      </w:r>
    </w:p>
    <w:p w14:paraId="4E27E0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29.7法律、法规和磋商文件规定的其他无效情形。</w:t>
      </w:r>
    </w:p>
    <w:p w14:paraId="28974BA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30.相同品牌供应商的认定（服务类项目不适用本条款规定）</w:t>
      </w:r>
    </w:p>
    <w:p w14:paraId="0CD6A00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30.1采用最低评标价法的，提供相同品牌产品的不同供应商参加同一合同项下投标的，以其中通过资格审查、符合性审查且报价最低的参加评标；报价相同的，由采购人或者采购人委托磋商小组采取随机抽取方式确定一个参加评标的供应商，其他投标无效。</w:t>
      </w:r>
    </w:p>
    <w:p w14:paraId="433D32B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30.2采用综合评分法的，提供相同品牌产品（非单一产品采购项目，多家供应商提供的核心产品品牌相同）且通过资格审查、符合性审查的不同供应商参加同一合同项下投标的，按一家供应商计算，评审后得分最高的同品牌供应商作为中标候选人推荐；评审得分相同的，由采购人或者采购人委托磋商小组采取随机抽取方式确定一个供应商获得中标人推荐资格，其他同品牌供应商不作为中标候选人。</w:t>
      </w:r>
    </w:p>
    <w:p w14:paraId="36E928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31.响应文件的比较与评价</w:t>
      </w:r>
    </w:p>
    <w:p w14:paraId="31FBC2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磋商小组按照磋商文件中规定的评标方法和标准，对符合性审查合格的响应文件进行商务和技术评估，综合比较与评价。</w:t>
      </w:r>
    </w:p>
    <w:p w14:paraId="642BB01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32.评标方法、评标标准</w:t>
      </w:r>
    </w:p>
    <w:p w14:paraId="1614DA7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32.1评标方法为综合评分法。 </w:t>
      </w:r>
    </w:p>
    <w:p w14:paraId="526D65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32.1.1综合评分法，是指响应文件满足磋商文件全部实质性要求，且按照评审因素的量化指标评审得分最高的供应商为成交候选人的评标方法。 </w:t>
      </w:r>
    </w:p>
    <w:p w14:paraId="7975B3D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32.2价格分 </w:t>
      </w:r>
    </w:p>
    <w:p w14:paraId="52EC33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32.2.1价格分采用</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价优先法计算，即满足磋商文件要求且最后报价最</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 xml:space="preserve">的供应商的价格为磋商基准价，其价格分为满分。其他供应商的价格分统一按照下列公式计算： </w:t>
      </w:r>
    </w:p>
    <w:p w14:paraId="0785A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0000FF"/>
          <w:sz w:val="24"/>
          <w:szCs w:val="24"/>
        </w:rPr>
        <w:t>磋商报价得分=(最后磋商报价/磋商基准价)×</w:t>
      </w:r>
      <w:r>
        <w:rPr>
          <w:rFonts w:hint="eastAsia" w:ascii="宋体" w:hAnsi="宋体" w:eastAsia="宋体" w:cs="宋体"/>
          <w:color w:val="0000FF"/>
          <w:sz w:val="24"/>
          <w:szCs w:val="24"/>
          <w:lang w:val="en-US" w:eastAsia="zh-CN"/>
        </w:rPr>
        <w:t>10</w:t>
      </w:r>
    </w:p>
    <w:p w14:paraId="2240C7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32.2.2评标过程中，不得去掉报价中的最高报价和最低报价。 </w:t>
      </w:r>
    </w:p>
    <w:p w14:paraId="3E9110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32.2.3因落实政府采购政策进行价格调整的，以调整后的价格计算磋商基准价和磋商报价。 </w:t>
      </w:r>
    </w:p>
    <w:p w14:paraId="5AD345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32.3本次磋商具体磋商方法、磋商标准见（第六章 对响应文件审查与评审）。</w:t>
      </w:r>
    </w:p>
    <w:p w14:paraId="3C4CBE3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33.磋商</w:t>
      </w:r>
    </w:p>
    <w:p w14:paraId="769536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33.1磋商小组与通过符合性审查合格的响应文件，即实质性响应磋商文件的供应商分别进行磋商。 </w:t>
      </w:r>
    </w:p>
    <w:p w14:paraId="4AC056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33.2磋商小组所有成员应当集中与单一供应商分别进行磋商，并给予所有参加磋商的供应商平等的磋商机会。 </w:t>
      </w:r>
    </w:p>
    <w:p w14:paraId="609B2AF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33.3在磋商中，磋商的任何一方不得透露与磋商有关的其他供应商的技术资料、价格和其他信息。 </w:t>
      </w:r>
    </w:p>
    <w:p w14:paraId="0C2E3D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将及时以书面形式同时通知所有参加磋商的供应商。 </w:t>
      </w:r>
    </w:p>
    <w:p w14:paraId="08E0AA6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33.5磋商文件能够详细列明采购标的的技术、服务要求的，磋商结束后，磋商小组应当要求所有实质性响应的供应商在规定时间内提交最后报价，提交最后报价的供应商不得少于3家。 </w:t>
      </w:r>
    </w:p>
    <w:p w14:paraId="72BA06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33.6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 </w:t>
      </w:r>
    </w:p>
    <w:p w14:paraId="0C9172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33.7如磋商中出现符合《财政部关于政府采购竞争性磋商采购方式管理暂行办法有关问题的补充通知》（财库〔2015〕124号）中的情形，则按财政部通知要求执行。 </w:t>
      </w:r>
    </w:p>
    <w:p w14:paraId="7A5CFB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33.8最后报价是供应商响应文件的有效组成部分。符合《政府采购竞争性磋商采购方式管理暂行办法》【（财库2014）214号】第三条第四项情形的，提交最后报价的供应商可以为2家。 </w:t>
      </w:r>
    </w:p>
    <w:p w14:paraId="780AE9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33.9已提交响应文件的供应商，在提交最后报价之前，可以根据磋商情况退出磋商。 </w:t>
      </w:r>
    </w:p>
    <w:p w14:paraId="5A2101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33.10按照《关于推进全流程电子化交易和在线监管工作有关问题的通知》（许公管办〔2019〕3号）规定，评审专家应严格按照要求查看“硬件特征码相” 关信息并进行评审。</w:t>
      </w:r>
    </w:p>
    <w:p w14:paraId="7863130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34.推荐成交候选人</w:t>
      </w:r>
    </w:p>
    <w:p w14:paraId="4D4265A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34.1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 </w:t>
      </w:r>
    </w:p>
    <w:p w14:paraId="322634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0A5F15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35.评审意见无效情形</w:t>
      </w:r>
    </w:p>
    <w:p w14:paraId="40DEF4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磋商小组及其成员有下列行为之一的，其评审意见无效：</w:t>
      </w:r>
    </w:p>
    <w:p w14:paraId="430162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（1）确定参与评标至评标结束前私自接触供应商；</w:t>
      </w:r>
    </w:p>
    <w:p w14:paraId="32FAFC4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（2）接受供应商提出的与响应文件不一致的澄清或者说明；</w:t>
      </w:r>
    </w:p>
    <w:p w14:paraId="044771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（3）违反评标纪律发表倾向性意见或者征询采购人的倾向性意见；</w:t>
      </w:r>
    </w:p>
    <w:p w14:paraId="6CC777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（4）对需要专业判断的主观评审因素协商评分；</w:t>
      </w:r>
    </w:p>
    <w:p w14:paraId="382EE1A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（5）在评标过程中擅离职守，影响评标程序正常进行的；</w:t>
      </w:r>
    </w:p>
    <w:p w14:paraId="5D5D91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（6）记录、复制或者带走任何评标资料；</w:t>
      </w:r>
    </w:p>
    <w:p w14:paraId="4B4D28A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（7）其他不遵守评标纪律的行为。</w:t>
      </w:r>
    </w:p>
    <w:p w14:paraId="146FA53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36.保密</w:t>
      </w:r>
    </w:p>
    <w:p w14:paraId="598CDD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36.1评审专家应当遵守评审工作纪律，不得泄露评审文件、评审情况和评审中获悉的商业秘密。</w:t>
      </w:r>
    </w:p>
    <w:p w14:paraId="568E5E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36.2采购人、采购代理机构应当采取必要措施，保证评标在严格保密的情况下进行。有关人员对评标情况以及在评标过程中获悉的国家秘密、商业秘密负有保密责任。</w:t>
      </w:r>
    </w:p>
    <w:p w14:paraId="47772CE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六、定标和授予合同</w:t>
      </w:r>
    </w:p>
    <w:p w14:paraId="5D3FE72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37.确定中标人</w:t>
      </w:r>
    </w:p>
    <w:p w14:paraId="0EB365B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37.1采购人应当自收到评标报告之日起1个工作日内，在评标报告确定的成交候选人名单中按顺序确定成交人。成交候选人并列的，由采购人采取随机抽取的方式确定。 </w:t>
      </w:r>
    </w:p>
    <w:p w14:paraId="3804F8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37.2采购人在收到评标报告1个工作日内未按评标报告推荐的成交候选人顺序确定成交人，又不能说明合法理由的，视同按评标报告推荐的顺序确定排名第一的成交候选人为成交人。</w:t>
      </w:r>
    </w:p>
    <w:p w14:paraId="1AB536A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38.成交公告、发出成交通知书 </w:t>
      </w:r>
    </w:p>
    <w:p w14:paraId="4E0D6E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38.1采购人确认成交人后，采购人在发布公告成交结果的同时，通知成交人核验投标时由信用承诺函替代的证明材料。经核验无误后，发出成交通知书。 </w:t>
      </w:r>
    </w:p>
    <w:p w14:paraId="07B80C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38.2成交通知书发出后，采购人不得违法改变成交结果，成交人无正当理由不得放弃成交。 </w:t>
      </w:r>
    </w:p>
    <w:p w14:paraId="1E3ADE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38.3成交人在接到成交通知时，须向代理机构发送投标报价及分项报价一览表（</w:t>
      </w:r>
      <w:r>
        <w:rPr>
          <w:rFonts w:hint="eastAsia" w:ascii="宋体" w:hAnsi="宋体" w:eastAsia="宋体" w:cs="宋体"/>
          <w:color w:val="auto"/>
          <w:sz w:val="24"/>
          <w:szCs w:val="24"/>
          <w:highlight w:val="none"/>
        </w:rPr>
        <w:t>包含主要成交标的的名称、规格型号、数量、单价、服务要求等</w:t>
      </w:r>
      <w:r>
        <w:rPr>
          <w:rFonts w:hint="eastAsia" w:ascii="宋体" w:hAnsi="宋体" w:eastAsia="宋体" w:cs="宋体"/>
          <w:color w:val="auto"/>
          <w:sz w:val="24"/>
          <w:szCs w:val="24"/>
        </w:rPr>
        <w:t>）电子文档，并同时通知代理机构联系人。</w:t>
      </w:r>
    </w:p>
    <w:p w14:paraId="034DD8B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39.质疑提出与答复</w:t>
      </w:r>
    </w:p>
    <w:p w14:paraId="064906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39.1供应商认为磋商文件、采购过程和成交结果使自己的权益受到损害的，可以按照《政府采购质疑和投诉办法》（财政部令第94号）提出质疑。提出质疑的供应商应当是参与本项目采购活动的供应商。提出时应按照《政府采购质疑和投诉办法》（财政部令第94号）第十二条规定提交质疑函和必要的证明材料，质疑提出后潜在供应商应及时联系招标公告中集采机构联系人查看。如未提出视为全面接受。 </w:t>
      </w:r>
    </w:p>
    <w:p w14:paraId="74DE84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39.1.1对采购文件提出质疑的，潜在供应商应已依法获取采购文件，且应当在获取采购文件或者采购文件公告期限届满之日起7个工作日内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2E3CB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39.1.2对采购过程提出质疑的，为各采购程序环节结束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1947C3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39.1.3对成交结果提出质疑的，为成交结果公告期限届满之日起七个工作日内，供应商使用CA数字证书或移动数字证书登录《全国公共资源交易平台（河南省·许昌市）》，通过许昌公共资源交易系统一次性提出，逾期提交或未按照要求提交的质疑函将不予受理。质疑提出后潜在供应商应及时联系招标公告中代理机构联系人查看； </w:t>
      </w:r>
    </w:p>
    <w:p w14:paraId="4C9FBC1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39.2采购人、采购代理机构认为供应商质疑不成立，或者成立但未对成交结果构成影响的，在收到质疑函7个工作日内通过《全国公共资源交易平台（河南省·许昌市）》交易系统作出答复，并继续开展采购活动；认为供应商质疑成立且影响或者可能影响成交结果的，在收到质疑函7个工作日内通过《全国公共资源交易平台（河南省·许昌市）》交易系统作出答复，并按照下列情况处理： </w:t>
      </w:r>
    </w:p>
    <w:p w14:paraId="38A840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pacing w:val="-20"/>
          <w:sz w:val="24"/>
          <w:szCs w:val="24"/>
        </w:rPr>
      </w:pPr>
      <w:r>
        <w:rPr>
          <w:rFonts w:hint="eastAsia" w:ascii="宋体" w:hAnsi="宋体" w:eastAsia="宋体" w:cs="宋体"/>
          <w:color w:val="auto"/>
          <w:sz w:val="24"/>
          <w:szCs w:val="24"/>
        </w:rPr>
        <w:t>39.2.1对磋商文件提出的质疑，依法通过澄清或者修改可以继续开展采购活动的，澄清或者修改磋商文件后继续开展采购活动；否则应当修改磋商文件后</w:t>
      </w:r>
      <w:r>
        <w:rPr>
          <w:rFonts w:hint="eastAsia" w:ascii="宋体" w:hAnsi="宋体" w:eastAsia="宋体" w:cs="宋体"/>
          <w:color w:val="auto"/>
          <w:spacing w:val="-20"/>
          <w:sz w:val="24"/>
          <w:szCs w:val="24"/>
        </w:rPr>
        <w:t xml:space="preserve">重新开展采购活动。 </w:t>
      </w:r>
    </w:p>
    <w:p w14:paraId="186E5D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39.2.2对采购过程、成交结果提出的质疑，合格供应商符合法定数量时，可以从合格的成交候选人中另行确定成交供应商的，应当依法另行确定成交供应商；否则应当重新开展采购活动。</w:t>
      </w:r>
    </w:p>
    <w:p w14:paraId="682FCA6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40.签订合同</w:t>
      </w:r>
    </w:p>
    <w:p w14:paraId="228579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采购人应当自成交通知书发出之日起1日内，按照磋商文件和成交人响应文件的规定，与成交人签订书面合同。所签订的合同不得对磋商文件确定的事项和成交人响应文件作实质性修改。 </w:t>
      </w:r>
    </w:p>
    <w:p w14:paraId="6C0F53C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41.履约保证金</w:t>
      </w:r>
    </w:p>
    <w:p w14:paraId="073966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27523DF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06C108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634DC6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0F75F0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219ED9F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1BCDA0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第五章 政府采购政策功能</w:t>
      </w:r>
    </w:p>
    <w:p w14:paraId="41F2B8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14:paraId="21BD32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一、节能能源、保护环境</w:t>
      </w:r>
    </w:p>
    <w:p w14:paraId="3ECB4A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按照《财政部、发展改革委、生态环境部、市场监管总局关于调整优化节能产品、环境标志 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 家确定的认证机构出具的、处于有效期之内的节能产品认证证书；采购政府优先采购产品的，该产品具有国家确定的认证机构出具的、处于有效期之内的节能产品、环境标志产品认证证书，应当优先采购。</w:t>
      </w:r>
    </w:p>
    <w:p w14:paraId="17006F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 促进中小企业发展（不含民办非企业）</w:t>
      </w:r>
    </w:p>
    <w:p w14:paraId="663088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（一）专门面向中小企业预留采购份额</w:t>
      </w:r>
    </w:p>
    <w:p w14:paraId="07C4D69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 非专门面向中小企业预留采购份额</w:t>
      </w:r>
    </w:p>
    <w:p w14:paraId="4718BE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1、根据财政部、工业和信息化部《政府采购促进中小企业发展管理办法》（财库[2020]46号）《关于进一步加大政府采购支持中小企业力度的通知》（财库〔2022〕19 号）规定，对符合该办法规定的小型和微型企业报价给予10%-20%的扣除，用扣除后的价格参与评审。</w:t>
      </w:r>
    </w:p>
    <w:p w14:paraId="4CB0228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sz w:val="24"/>
          <w:szCs w:val="24"/>
          <w:lang w:val="en-US"/>
        </w:rPr>
      </w:pPr>
      <w:r>
        <w:rPr>
          <w:rFonts w:hint="eastAsia" w:ascii="宋体" w:hAnsi="宋体" w:eastAsia="宋体" w:cs="宋体"/>
          <w:b/>
          <w:bCs/>
          <w:color w:val="auto"/>
          <w:sz w:val="24"/>
          <w:szCs w:val="24"/>
          <w:lang w:val="en-US" w:eastAsia="zh-CN"/>
        </w:rPr>
        <w:t>注：因本项目性质决定，</w:t>
      </w:r>
      <w:r>
        <w:rPr>
          <w:rFonts w:hint="eastAsia" w:ascii="宋体" w:hAnsi="宋体" w:eastAsia="宋体" w:cs="宋体"/>
          <w:b/>
          <w:bCs/>
          <w:color w:val="auto"/>
          <w:sz w:val="24"/>
          <w:szCs w:val="24"/>
        </w:rPr>
        <w:t>土地使用权入股</w:t>
      </w:r>
      <w:r>
        <w:rPr>
          <w:rFonts w:hint="eastAsia" w:ascii="宋体" w:hAnsi="宋体" w:eastAsia="宋体" w:cs="宋体"/>
          <w:b/>
          <w:bCs/>
          <w:color w:val="auto"/>
          <w:sz w:val="24"/>
          <w:szCs w:val="24"/>
          <w:lang w:eastAsia="zh-CN"/>
        </w:rPr>
        <w:t>的村集体保底年</w:t>
      </w:r>
      <w:r>
        <w:rPr>
          <w:rFonts w:hint="eastAsia" w:ascii="宋体" w:hAnsi="宋体" w:eastAsia="宋体" w:cs="宋体"/>
          <w:b/>
          <w:bCs/>
          <w:color w:val="auto"/>
          <w:sz w:val="24"/>
          <w:szCs w:val="24"/>
        </w:rPr>
        <w:t>收益</w:t>
      </w:r>
      <w:r>
        <w:rPr>
          <w:rFonts w:hint="eastAsia" w:ascii="宋体" w:hAnsi="宋体" w:eastAsia="宋体" w:cs="宋体"/>
          <w:b/>
          <w:bCs/>
          <w:color w:val="auto"/>
          <w:sz w:val="24"/>
          <w:szCs w:val="24"/>
          <w:lang w:val="en-US" w:eastAsia="zh-CN"/>
        </w:rPr>
        <w:t>高者对</w:t>
      </w:r>
      <w:r>
        <w:rPr>
          <w:rFonts w:hint="eastAsia" w:ascii="宋体" w:hAnsi="宋体" w:eastAsia="宋体" w:cs="宋体"/>
          <w:b/>
          <w:bCs/>
          <w:color w:val="auto"/>
          <w:sz w:val="24"/>
          <w:szCs w:val="24"/>
        </w:rPr>
        <w:t>土地使用权</w:t>
      </w:r>
      <w:r>
        <w:rPr>
          <w:rFonts w:hint="eastAsia" w:ascii="宋体" w:hAnsi="宋体" w:eastAsia="宋体" w:cs="宋体"/>
          <w:b/>
          <w:bCs/>
          <w:color w:val="auto"/>
          <w:sz w:val="24"/>
          <w:szCs w:val="24"/>
          <w:lang w:val="en-US" w:eastAsia="zh-CN"/>
        </w:rPr>
        <w:t>人</w:t>
      </w:r>
      <w:r>
        <w:rPr>
          <w:rFonts w:hint="eastAsia" w:ascii="宋体" w:hAnsi="宋体" w:eastAsia="宋体" w:cs="宋体"/>
          <w:b/>
          <w:bCs/>
          <w:color w:val="auto"/>
          <w:sz w:val="24"/>
          <w:szCs w:val="24"/>
        </w:rPr>
        <w:t>对符合该办法规定的小型和微型企业报价给予10%-20%的</w:t>
      </w:r>
      <w:r>
        <w:rPr>
          <w:rFonts w:hint="eastAsia" w:ascii="宋体" w:hAnsi="宋体" w:eastAsia="宋体" w:cs="宋体"/>
          <w:b/>
          <w:bCs/>
          <w:color w:val="auto"/>
          <w:sz w:val="24"/>
          <w:szCs w:val="24"/>
          <w:lang w:val="en-US" w:eastAsia="zh-CN"/>
        </w:rPr>
        <w:t>增加</w:t>
      </w:r>
      <w:r>
        <w:rPr>
          <w:rFonts w:hint="eastAsia" w:ascii="宋体" w:hAnsi="宋体" w:eastAsia="宋体" w:cs="宋体"/>
          <w:b/>
          <w:bCs/>
          <w:color w:val="auto"/>
          <w:sz w:val="24"/>
          <w:szCs w:val="24"/>
        </w:rPr>
        <w:t>，用</w:t>
      </w:r>
      <w:r>
        <w:rPr>
          <w:rFonts w:hint="eastAsia" w:ascii="宋体" w:hAnsi="宋体" w:eastAsia="宋体" w:cs="宋体"/>
          <w:b/>
          <w:bCs/>
          <w:color w:val="auto"/>
          <w:sz w:val="24"/>
          <w:szCs w:val="24"/>
          <w:lang w:val="en-US" w:eastAsia="zh-CN"/>
        </w:rPr>
        <w:t>增加</w:t>
      </w:r>
      <w:r>
        <w:rPr>
          <w:rFonts w:hint="eastAsia" w:ascii="宋体" w:hAnsi="宋体" w:eastAsia="宋体" w:cs="宋体"/>
          <w:b/>
          <w:bCs/>
          <w:color w:val="auto"/>
          <w:sz w:val="24"/>
          <w:szCs w:val="24"/>
        </w:rPr>
        <w:t>后的价格参与评审</w:t>
      </w:r>
    </w:p>
    <w:p w14:paraId="47DA79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2、在货物采购项目中，供应商提供的货物既有中小企业制造货物，也有大型企业制造货物的，不享受《政府采购促进中小企业发展管理办法》（财库[2020]46号） 规定的中小企业扶持政策。</w:t>
      </w:r>
    </w:p>
    <w:p w14:paraId="53C322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3、以联合体形式参加政府采购活动，联合体各方均为中小企业的，联合体视同中小企业。其中，联合体各方均为小微企业的，联合体视同小微企业。</w:t>
      </w:r>
    </w:p>
    <w:p w14:paraId="21DAEB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06717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5、按照本次采购标的所属行业的划型标准，符合条件的中小企业应按照招标文件格式要求提供《中小企业声明函》，否则不得享受相关中小企业扶持政策。</w:t>
      </w:r>
    </w:p>
    <w:p w14:paraId="7C48B9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三、支持监狱企业发展</w:t>
      </w:r>
    </w:p>
    <w:p w14:paraId="1E16ACD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126880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四、促进残疾人就业</w:t>
      </w:r>
    </w:p>
    <w:p w14:paraId="5E6005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1、按照财政部、民政部、中国残疾人联合会和残疾人发布的《三部门联合发布关于促进残疾人就业政府采购政策的通知》（财库[2017]141 号）规定，在政府采购活动中，残疾人福利性单位视同小型、微型企业，享受评审中价格扣除的政府采购政策。对残疾人福利性单位提供本单位制 造的货物、承担的工程或者服务，或者提供其他残疾人福利性单位制造的货物（不包括使用非残 疾人福利性单位注册商标的货物）用扣除后的价格参与评审。残疾人福利性单位属于小型、微型企业的，不重复享受政策。</w:t>
      </w:r>
    </w:p>
    <w:p w14:paraId="505E70D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511922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3、中标人为残疾人福利性单位的，招标人应当随中标结果同时公告其《残疾人福利性单位声明函》，接受社会监督</w:t>
      </w:r>
      <w:r>
        <w:rPr>
          <w:rFonts w:hint="eastAsia" w:ascii="宋体" w:hAnsi="宋体" w:eastAsia="宋体" w:cs="宋体"/>
          <w:color w:val="auto"/>
          <w:sz w:val="24"/>
          <w:szCs w:val="24"/>
          <w:lang w:eastAsia="zh-CN"/>
        </w:rPr>
        <w:t>。</w:t>
      </w:r>
    </w:p>
    <w:p w14:paraId="047CC5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619A80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方正小标宋简体" w:hAnsi="方正小标宋简体" w:eastAsia="方正小标宋简体" w:cs="方正小标宋简体"/>
          <w:color w:val="auto"/>
          <w:sz w:val="32"/>
          <w:szCs w:val="32"/>
        </w:rPr>
        <w:t>第六章 对响应文件审查与评审</w:t>
      </w:r>
    </w:p>
    <w:p w14:paraId="57B126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一、资格审查</w:t>
      </w:r>
    </w:p>
    <w:p w14:paraId="6E3CC5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（一）磋商小组依法对供应商资格进行审查。确定符合资格的供应商不少于3家， 将对响应文件的有效性、完整性和响应程度进行审查并对响应文件进行评审。</w:t>
      </w:r>
    </w:p>
    <w:p w14:paraId="2CF5AAD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（二）资格证明材料（本栏所列内容为本项目的资格审查条件，如有一项不符合要求，则不能进入下一步评审）。</w:t>
      </w:r>
    </w:p>
    <w:p w14:paraId="4F4FE0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（三）资格审查中所涉及到的证书及材料，均须在电子响应文件中提供原件扫描件（或图片）。</w:t>
      </w:r>
    </w:p>
    <w:tbl>
      <w:tblPr>
        <w:tblStyle w:val="10"/>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54"/>
      </w:tblGrid>
      <w:tr w14:paraId="0519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7" w:type="dxa"/>
            <w:noWrap w:val="0"/>
            <w:vAlign w:val="center"/>
          </w:tcPr>
          <w:p w14:paraId="07FDA4AA">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序号</w:t>
            </w:r>
          </w:p>
        </w:tc>
        <w:tc>
          <w:tcPr>
            <w:tcW w:w="2268" w:type="dxa"/>
            <w:noWrap w:val="0"/>
            <w:vAlign w:val="center"/>
          </w:tcPr>
          <w:p w14:paraId="4632CAA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资格审查</w:t>
            </w:r>
            <w:r>
              <w:rPr>
                <w:rFonts w:ascii="宋体" w:hAnsi="宋体"/>
                <w:b/>
                <w:color w:val="auto"/>
                <w:sz w:val="24"/>
                <w:szCs w:val="24"/>
              </w:rPr>
              <w:t>因素</w:t>
            </w:r>
          </w:p>
        </w:tc>
        <w:tc>
          <w:tcPr>
            <w:tcW w:w="5954" w:type="dxa"/>
            <w:noWrap w:val="0"/>
            <w:vAlign w:val="center"/>
          </w:tcPr>
          <w:p w14:paraId="77DE85A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说明与要求</w:t>
            </w:r>
          </w:p>
        </w:tc>
      </w:tr>
      <w:tr w14:paraId="37F3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520116CF">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1</w:t>
            </w:r>
          </w:p>
        </w:tc>
        <w:tc>
          <w:tcPr>
            <w:tcW w:w="2268" w:type="dxa"/>
            <w:noWrap w:val="0"/>
            <w:vAlign w:val="center"/>
          </w:tcPr>
          <w:p w14:paraId="75F8867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投标函</w:t>
            </w:r>
          </w:p>
        </w:tc>
        <w:tc>
          <w:tcPr>
            <w:tcW w:w="5954" w:type="dxa"/>
            <w:noWrap w:val="0"/>
            <w:vAlign w:val="center"/>
          </w:tcPr>
          <w:p w14:paraId="3B97F3C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
                <w:color w:val="auto"/>
                <w:sz w:val="24"/>
                <w:szCs w:val="24"/>
              </w:rPr>
            </w:pPr>
            <w:r>
              <w:rPr>
                <w:rFonts w:hint="eastAsia" w:ascii="宋体" w:hAnsi="宋体" w:cs="微软雅黑"/>
                <w:bCs/>
                <w:color w:val="auto"/>
                <w:sz w:val="24"/>
                <w:szCs w:val="24"/>
              </w:rPr>
              <w:t>参考</w:t>
            </w:r>
            <w:r>
              <w:rPr>
                <w:rFonts w:hint="eastAsia" w:ascii="宋体" w:hAnsi="宋体" w:cs="微软雅黑"/>
                <w:bCs/>
                <w:color w:val="auto"/>
                <w:sz w:val="24"/>
                <w:szCs w:val="24"/>
                <w:lang w:eastAsia="zh-CN"/>
              </w:rPr>
              <w:t>磋商</w:t>
            </w:r>
            <w:r>
              <w:rPr>
                <w:rFonts w:hint="eastAsia" w:ascii="宋体" w:hAnsi="宋体" w:cs="微软雅黑"/>
                <w:bCs/>
                <w:color w:val="auto"/>
                <w:sz w:val="24"/>
                <w:szCs w:val="24"/>
              </w:rPr>
              <w:t>文件格式填写</w:t>
            </w:r>
          </w:p>
        </w:tc>
      </w:tr>
      <w:tr w14:paraId="71F2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733CB7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b/>
                <w:color w:val="auto"/>
                <w:sz w:val="24"/>
                <w:szCs w:val="24"/>
              </w:rPr>
            </w:pPr>
            <w:r>
              <w:rPr>
                <w:rFonts w:hint="eastAsia" w:ascii="宋体" w:hAnsi="宋体"/>
                <w:b/>
                <w:color w:val="auto"/>
                <w:sz w:val="24"/>
                <w:szCs w:val="24"/>
              </w:rPr>
              <w:t>2</w:t>
            </w:r>
          </w:p>
        </w:tc>
        <w:tc>
          <w:tcPr>
            <w:tcW w:w="2268" w:type="dxa"/>
            <w:noWrap w:val="0"/>
            <w:vAlign w:val="center"/>
          </w:tcPr>
          <w:p w14:paraId="369B86F3">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法人或者其他组</w:t>
            </w:r>
          </w:p>
          <w:p w14:paraId="2E94A4E9">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织的营业执照等证明文件，自然人的身份证明</w:t>
            </w:r>
          </w:p>
        </w:tc>
        <w:tc>
          <w:tcPr>
            <w:tcW w:w="5954" w:type="dxa"/>
            <w:noWrap w:val="0"/>
            <w:vAlign w:val="center"/>
          </w:tcPr>
          <w:p w14:paraId="6D38F06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hint="eastAsia" w:ascii="Arial" w:hAnsi="Arial" w:cs="Arial"/>
                <w:color w:val="auto"/>
                <w:sz w:val="24"/>
                <w:szCs w:val="24"/>
              </w:rPr>
              <w:t>（1）企业法人营业执照或营业执照。（企业提供）</w:t>
            </w:r>
          </w:p>
          <w:p w14:paraId="5E306BEB">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hint="eastAsia" w:ascii="Arial" w:hAnsi="Arial" w:cs="Arial"/>
                <w:color w:val="auto"/>
                <w:sz w:val="24"/>
                <w:szCs w:val="24"/>
              </w:rPr>
              <w:t>（2）事业单位法人证书。（事业单位提供）</w:t>
            </w:r>
          </w:p>
          <w:p w14:paraId="2E01058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hint="eastAsia" w:ascii="Arial" w:hAnsi="Arial" w:cs="Arial"/>
                <w:color w:val="auto"/>
                <w:sz w:val="24"/>
                <w:szCs w:val="24"/>
              </w:rPr>
              <w:t>（3）执业许可证。（非企业专业服务机构提供）</w:t>
            </w:r>
          </w:p>
          <w:p w14:paraId="349842B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hint="eastAsia" w:ascii="Arial" w:hAnsi="Arial" w:cs="Arial"/>
                <w:color w:val="auto"/>
                <w:sz w:val="24"/>
                <w:szCs w:val="24"/>
              </w:rPr>
              <w:t>（4）个体工商户营业执照。（个体工商户提供）</w:t>
            </w:r>
          </w:p>
          <w:p w14:paraId="6DD81E58">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hint="eastAsia" w:ascii="Arial" w:hAnsi="Arial" w:cs="Arial"/>
                <w:color w:val="auto"/>
                <w:sz w:val="24"/>
                <w:szCs w:val="24"/>
              </w:rPr>
              <w:t>（5）自然人身份证明。（自然人提供）</w:t>
            </w:r>
          </w:p>
          <w:p w14:paraId="1DA570E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Arial" w:hAnsi="Arial" w:cs="Arial"/>
                <w:color w:val="auto"/>
                <w:sz w:val="24"/>
                <w:szCs w:val="24"/>
              </w:rPr>
            </w:pPr>
            <w:r>
              <w:rPr>
                <w:rFonts w:hint="eastAsia" w:ascii="Arial" w:hAnsi="Arial" w:cs="Arial"/>
                <w:color w:val="auto"/>
                <w:sz w:val="24"/>
                <w:szCs w:val="24"/>
              </w:rPr>
              <w:t>（6）民办非企业单位登记证书。（民办非企业单位提供）</w:t>
            </w:r>
          </w:p>
        </w:tc>
      </w:tr>
      <w:tr w14:paraId="6249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41968B8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bCs/>
                <w:color w:val="auto"/>
                <w:sz w:val="24"/>
                <w:szCs w:val="24"/>
              </w:rPr>
            </w:pPr>
            <w:r>
              <w:rPr>
                <w:rFonts w:hint="eastAsia" w:ascii="宋体" w:hAnsi="宋体"/>
                <w:b/>
                <w:bCs/>
                <w:color w:val="auto"/>
                <w:sz w:val="24"/>
                <w:szCs w:val="24"/>
              </w:rPr>
              <w:t>3</w:t>
            </w:r>
          </w:p>
        </w:tc>
        <w:tc>
          <w:tcPr>
            <w:tcW w:w="2268" w:type="dxa"/>
            <w:noWrap w:val="0"/>
            <w:vAlign w:val="center"/>
          </w:tcPr>
          <w:p w14:paraId="74A5A243">
            <w:pPr>
              <w:keepNext w:val="0"/>
              <w:keepLines w:val="0"/>
              <w:pageBreakBefore w:val="0"/>
              <w:widowControl w:val="0"/>
              <w:kinsoku/>
              <w:wordWrap/>
              <w:overflowPunct/>
              <w:topLinePunct w:val="0"/>
              <w:autoSpaceDE/>
              <w:autoSpaceDN/>
              <w:bidi w:val="0"/>
              <w:adjustRightInd/>
              <w:snapToGrid/>
              <w:spacing w:line="288" w:lineRule="auto"/>
              <w:ind w:firstLine="120" w:firstLineChars="50"/>
              <w:jc w:val="center"/>
              <w:textAlignment w:val="auto"/>
              <w:rPr>
                <w:rFonts w:ascii="宋体" w:hAnsi="宋体"/>
                <w:b/>
                <w:color w:val="auto"/>
                <w:sz w:val="24"/>
                <w:szCs w:val="24"/>
              </w:rPr>
            </w:pPr>
            <w:r>
              <w:rPr>
                <w:rFonts w:hint="eastAsia" w:ascii="宋体" w:hAnsi="宋体"/>
                <w:b/>
                <w:color w:val="auto"/>
                <w:sz w:val="24"/>
                <w:szCs w:val="24"/>
              </w:rPr>
              <w:t>襄城县政府采购</w:t>
            </w:r>
          </w:p>
          <w:p w14:paraId="41BB6F65">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color w:val="auto"/>
                <w:sz w:val="24"/>
                <w:szCs w:val="24"/>
              </w:rPr>
              <w:t>供应商信用承诺函</w:t>
            </w:r>
          </w:p>
        </w:tc>
        <w:tc>
          <w:tcPr>
            <w:tcW w:w="5954" w:type="dxa"/>
            <w:noWrap w:val="0"/>
            <w:vAlign w:val="center"/>
          </w:tcPr>
          <w:p w14:paraId="386BF770">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
                <w:bCs/>
                <w:color w:val="auto"/>
                <w:sz w:val="24"/>
                <w:szCs w:val="24"/>
              </w:rPr>
            </w:pPr>
            <w:r>
              <w:rPr>
                <w:rFonts w:hint="eastAsia" w:ascii="Arial" w:hAnsi="Arial" w:cs="Arial"/>
                <w:color w:val="auto"/>
                <w:sz w:val="24"/>
                <w:szCs w:val="24"/>
              </w:rPr>
              <w:t>按照</w:t>
            </w:r>
            <w:r>
              <w:rPr>
                <w:rFonts w:hint="eastAsia" w:ascii="Arial" w:hAnsi="Arial" w:cs="Arial"/>
                <w:color w:val="auto"/>
                <w:sz w:val="24"/>
                <w:szCs w:val="24"/>
                <w:lang w:eastAsia="zh-CN"/>
              </w:rPr>
              <w:t>磋商</w:t>
            </w:r>
            <w:r>
              <w:rPr>
                <w:rFonts w:hint="eastAsia" w:ascii="Arial" w:hAnsi="Arial" w:cs="Arial"/>
                <w:color w:val="auto"/>
                <w:sz w:val="24"/>
                <w:szCs w:val="24"/>
              </w:rPr>
              <w:t>文件格式填写</w:t>
            </w:r>
          </w:p>
        </w:tc>
      </w:tr>
      <w:tr w14:paraId="58E5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817" w:type="dxa"/>
            <w:noWrap w:val="0"/>
            <w:vAlign w:val="center"/>
          </w:tcPr>
          <w:p w14:paraId="7E608300">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bCs/>
                <w:color w:val="auto"/>
                <w:sz w:val="24"/>
                <w:szCs w:val="24"/>
              </w:rPr>
            </w:pPr>
            <w:r>
              <w:rPr>
                <w:rFonts w:hint="eastAsia" w:ascii="宋体" w:hAnsi="宋体"/>
                <w:b/>
                <w:bCs/>
                <w:color w:val="auto"/>
                <w:sz w:val="24"/>
                <w:szCs w:val="24"/>
              </w:rPr>
              <w:t>4</w:t>
            </w:r>
          </w:p>
        </w:tc>
        <w:tc>
          <w:tcPr>
            <w:tcW w:w="2268" w:type="dxa"/>
            <w:noWrap w:val="0"/>
            <w:vAlign w:val="center"/>
          </w:tcPr>
          <w:p w14:paraId="232422D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Theme="minorEastAsia"/>
                <w:b/>
                <w:color w:val="auto"/>
                <w:sz w:val="24"/>
                <w:szCs w:val="24"/>
                <w:lang w:eastAsia="zh-CN"/>
              </w:rPr>
            </w:pPr>
            <w:r>
              <w:rPr>
                <w:rFonts w:hint="eastAsia" w:ascii="宋体" w:hAnsi="宋体" w:eastAsiaTheme="minorEastAsia"/>
                <w:b/>
                <w:color w:val="auto"/>
                <w:sz w:val="24"/>
                <w:szCs w:val="24"/>
                <w:lang w:eastAsia="zh-CN"/>
              </w:rPr>
              <w:t>中小企业</w:t>
            </w:r>
          </w:p>
        </w:tc>
        <w:tc>
          <w:tcPr>
            <w:tcW w:w="5954" w:type="dxa"/>
            <w:noWrap w:val="0"/>
            <w:vAlign w:val="center"/>
          </w:tcPr>
          <w:p w14:paraId="177FC68D">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ascii="Arial" w:hAnsi="Arial" w:cs="Arial"/>
                <w:color w:val="auto"/>
                <w:sz w:val="24"/>
                <w:szCs w:val="24"/>
              </w:rPr>
              <w:t xml:space="preserve">中、小、微型企业出具《中小企业声明函》 </w:t>
            </w:r>
          </w:p>
          <w:p w14:paraId="2FD2F428">
            <w:pPr>
              <w:keepNext w:val="0"/>
              <w:keepLines w:val="0"/>
              <w:pageBreakBefore w:val="0"/>
              <w:widowControl w:val="0"/>
              <w:numPr>
                <w:ilvl w:val="0"/>
                <w:numId w:val="4"/>
              </w:numPr>
              <w:kinsoku/>
              <w:wordWrap/>
              <w:overflowPunct/>
              <w:topLinePunct w:val="0"/>
              <w:autoSpaceDE/>
              <w:autoSpaceDN/>
              <w:bidi w:val="0"/>
              <w:adjustRightInd/>
              <w:snapToGrid/>
              <w:spacing w:line="288" w:lineRule="auto"/>
              <w:jc w:val="both"/>
              <w:textAlignment w:val="auto"/>
              <w:rPr>
                <w:rFonts w:ascii="Arial" w:hAnsi="Arial" w:cs="Arial"/>
                <w:color w:val="auto"/>
                <w:sz w:val="24"/>
                <w:szCs w:val="24"/>
              </w:rPr>
            </w:pPr>
            <w:r>
              <w:rPr>
                <w:rFonts w:ascii="Arial" w:hAnsi="Arial" w:cs="Arial"/>
                <w:color w:val="auto"/>
                <w:sz w:val="24"/>
                <w:szCs w:val="24"/>
              </w:rPr>
              <w:t>残疾人福利性单位出具《残疾人福利企业声明函》 （3）监狱企业提供由省级以上监狱管理局、戒毒管理 局(含新疆生产建设兵团)出具的属于监狱企业的证明 文件</w:t>
            </w:r>
          </w:p>
        </w:tc>
      </w:tr>
      <w:tr w14:paraId="3B75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817" w:type="dxa"/>
            <w:noWrap w:val="0"/>
            <w:vAlign w:val="center"/>
          </w:tcPr>
          <w:p w14:paraId="6176F9F7">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bCs/>
                <w:color w:val="auto"/>
                <w:sz w:val="24"/>
                <w:szCs w:val="24"/>
              </w:rPr>
            </w:pPr>
            <w:r>
              <w:rPr>
                <w:rFonts w:hint="eastAsia" w:ascii="宋体" w:hAnsi="宋体"/>
                <w:b/>
                <w:bCs/>
                <w:color w:val="auto"/>
                <w:sz w:val="24"/>
                <w:szCs w:val="24"/>
              </w:rPr>
              <w:t>5</w:t>
            </w:r>
          </w:p>
        </w:tc>
        <w:tc>
          <w:tcPr>
            <w:tcW w:w="2268" w:type="dxa"/>
            <w:noWrap w:val="0"/>
            <w:vAlign w:val="center"/>
          </w:tcPr>
          <w:p w14:paraId="0A599BFC">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bCs/>
                <w:color w:val="auto"/>
                <w:sz w:val="24"/>
                <w:szCs w:val="24"/>
                <w:lang w:eastAsia="zh-CN"/>
              </w:rPr>
              <w:t>磋商</w:t>
            </w:r>
            <w:r>
              <w:rPr>
                <w:rFonts w:hint="eastAsia" w:ascii="宋体" w:hAnsi="宋体"/>
                <w:b/>
                <w:bCs/>
                <w:color w:val="auto"/>
                <w:sz w:val="24"/>
                <w:szCs w:val="24"/>
              </w:rPr>
              <w:t>承诺函</w:t>
            </w:r>
          </w:p>
        </w:tc>
        <w:tc>
          <w:tcPr>
            <w:tcW w:w="5954" w:type="dxa"/>
            <w:noWrap w:val="0"/>
            <w:vAlign w:val="center"/>
          </w:tcPr>
          <w:p w14:paraId="68D651F6">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Arial" w:hAnsi="Arial" w:cs="Arial"/>
                <w:color w:val="auto"/>
                <w:sz w:val="24"/>
                <w:szCs w:val="24"/>
              </w:rPr>
            </w:pPr>
          </w:p>
          <w:p w14:paraId="194063B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Arial" w:hAnsi="Arial" w:cs="Arial"/>
                <w:color w:val="auto"/>
                <w:sz w:val="24"/>
                <w:szCs w:val="24"/>
              </w:rPr>
            </w:pPr>
            <w:r>
              <w:rPr>
                <w:rFonts w:hint="eastAsia" w:ascii="Arial" w:hAnsi="Arial" w:cs="Arial"/>
                <w:color w:val="auto"/>
                <w:sz w:val="24"/>
                <w:szCs w:val="24"/>
              </w:rPr>
              <w:t>投标人以磋商承诺函的形式替代投标保证金。</w:t>
            </w:r>
          </w:p>
          <w:p w14:paraId="2959550E">
            <w:pPr>
              <w:keepNext w:val="0"/>
              <w:keepLines w:val="0"/>
              <w:pageBreakBefore w:val="0"/>
              <w:widowControl w:val="0"/>
              <w:kinsoku/>
              <w:wordWrap/>
              <w:overflowPunct/>
              <w:topLinePunct w:val="0"/>
              <w:autoSpaceDE/>
              <w:autoSpaceDN/>
              <w:bidi w:val="0"/>
              <w:adjustRightInd/>
              <w:snapToGrid/>
              <w:spacing w:line="288" w:lineRule="auto"/>
              <w:jc w:val="both"/>
              <w:textAlignment w:val="auto"/>
              <w:rPr>
                <w:color w:val="auto"/>
              </w:rPr>
            </w:pPr>
          </w:p>
        </w:tc>
      </w:tr>
      <w:tr w14:paraId="6B34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7F6E00E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6</w:t>
            </w:r>
          </w:p>
        </w:tc>
        <w:tc>
          <w:tcPr>
            <w:tcW w:w="2268" w:type="dxa"/>
            <w:noWrap w:val="0"/>
            <w:vAlign w:val="center"/>
          </w:tcPr>
          <w:p w14:paraId="2529A59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Cs/>
                <w:color w:val="auto"/>
                <w:sz w:val="24"/>
                <w:szCs w:val="24"/>
              </w:rPr>
            </w:pPr>
            <w:r>
              <w:rPr>
                <w:rFonts w:hint="eastAsia" w:ascii="宋体" w:hAnsi="宋体"/>
                <w:b/>
                <w:bCs/>
                <w:color w:val="auto"/>
                <w:sz w:val="24"/>
                <w:szCs w:val="24"/>
              </w:rPr>
              <w:t>联合体协议</w:t>
            </w:r>
          </w:p>
        </w:tc>
        <w:tc>
          <w:tcPr>
            <w:tcW w:w="5954" w:type="dxa"/>
            <w:noWrap w:val="0"/>
            <w:vAlign w:val="center"/>
          </w:tcPr>
          <w:p w14:paraId="3D681937">
            <w:pPr>
              <w:keepNext w:val="0"/>
              <w:keepLines w:val="0"/>
              <w:pageBreakBefore w:val="0"/>
              <w:widowControl w:val="0"/>
              <w:kinsoku/>
              <w:wordWrap/>
              <w:overflowPunct/>
              <w:topLinePunct w:val="0"/>
              <w:autoSpaceDE/>
              <w:autoSpaceDN/>
              <w:bidi w:val="0"/>
              <w:adjustRightInd/>
              <w:snapToGrid/>
              <w:spacing w:line="288" w:lineRule="auto"/>
              <w:jc w:val="both"/>
              <w:textAlignment w:val="auto"/>
              <w:rPr>
                <w:color w:val="auto"/>
              </w:rPr>
            </w:pPr>
            <w:r>
              <w:rPr>
                <w:rFonts w:hint="eastAsia" w:ascii="Arial" w:hAnsi="Arial" w:cs="Arial"/>
                <w:color w:val="auto"/>
                <w:sz w:val="24"/>
                <w:szCs w:val="24"/>
                <w:lang w:eastAsia="zh-CN"/>
              </w:rPr>
              <w:t>磋商</w:t>
            </w:r>
            <w:r>
              <w:rPr>
                <w:rFonts w:hint="eastAsia" w:ascii="Arial" w:hAnsi="Arial" w:cs="Arial"/>
                <w:color w:val="auto"/>
                <w:sz w:val="24"/>
                <w:szCs w:val="24"/>
              </w:rPr>
              <w:t>文件接受联合体投标且投标人为联合体的，投标人应提供本协议；否则无须提供。</w:t>
            </w:r>
          </w:p>
        </w:tc>
      </w:tr>
      <w:tr w14:paraId="0099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14:paraId="03857F98">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bCs/>
                <w:color w:val="auto"/>
                <w:sz w:val="24"/>
                <w:szCs w:val="24"/>
                <w:lang w:eastAsia="zh-CN"/>
              </w:rPr>
            </w:pPr>
            <w:r>
              <w:rPr>
                <w:rFonts w:hint="eastAsia" w:ascii="宋体" w:hAnsi="宋体"/>
                <w:b/>
                <w:bCs/>
                <w:color w:val="auto"/>
                <w:sz w:val="24"/>
                <w:szCs w:val="24"/>
                <w:lang w:val="en-US" w:eastAsia="zh-CN"/>
              </w:rPr>
              <w:t>7</w:t>
            </w:r>
          </w:p>
        </w:tc>
        <w:tc>
          <w:tcPr>
            <w:tcW w:w="2268" w:type="dxa"/>
            <w:noWrap w:val="0"/>
            <w:vAlign w:val="center"/>
          </w:tcPr>
          <w:p w14:paraId="3086A9A6">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color w:val="auto"/>
                <w:sz w:val="24"/>
                <w:szCs w:val="24"/>
              </w:rPr>
            </w:pPr>
            <w:r>
              <w:rPr>
                <w:rFonts w:hint="eastAsia" w:ascii="宋体" w:hAnsi="宋体"/>
                <w:b/>
                <w:bCs/>
                <w:color w:val="auto"/>
                <w:sz w:val="24"/>
                <w:szCs w:val="24"/>
              </w:rPr>
              <w:t>投标人身份证明及授权</w:t>
            </w:r>
          </w:p>
        </w:tc>
        <w:tc>
          <w:tcPr>
            <w:tcW w:w="5954" w:type="dxa"/>
            <w:noWrap w:val="0"/>
            <w:vAlign w:val="center"/>
          </w:tcPr>
          <w:p w14:paraId="655219F4">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1</w:t>
            </w:r>
            <w:r>
              <w:rPr>
                <w:rFonts w:hint="eastAsia" w:ascii="宋体" w:hAnsi="宋体"/>
                <w:bCs/>
                <w:color w:val="auto"/>
                <w:sz w:val="24"/>
                <w:szCs w:val="24"/>
              </w:rPr>
              <w:t>）法定代表人身份证明或提供法定代表人授权委托书及被授权人身份证明。（法人投标提供）</w:t>
            </w:r>
          </w:p>
          <w:p w14:paraId="056FD121">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Cs/>
                <w:color w:val="auto"/>
                <w:sz w:val="24"/>
                <w:szCs w:val="24"/>
              </w:rPr>
            </w:pPr>
            <w:r>
              <w:rPr>
                <w:rFonts w:hint="eastAsia" w:ascii="宋体" w:hAnsi="宋体"/>
                <w:bCs/>
                <w:color w:val="auto"/>
                <w:sz w:val="24"/>
                <w:szCs w:val="24"/>
              </w:rPr>
              <w:t>（</w:t>
            </w:r>
            <w:r>
              <w:rPr>
                <w:rFonts w:ascii="宋体" w:hAnsi="宋体"/>
                <w:bCs/>
                <w:color w:val="auto"/>
                <w:sz w:val="24"/>
                <w:szCs w:val="24"/>
              </w:rPr>
              <w:t>2</w:t>
            </w:r>
            <w:r>
              <w:rPr>
                <w:rFonts w:hint="eastAsia" w:ascii="宋体" w:hAnsi="宋体"/>
                <w:bCs/>
                <w:color w:val="auto"/>
                <w:sz w:val="24"/>
                <w:szCs w:val="24"/>
              </w:rPr>
              <w:t>）单位负责人身份证明或提供单位负责人授权委托书及被授权人身份证明。（非法人投标提供）</w:t>
            </w:r>
          </w:p>
          <w:p w14:paraId="64227BF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Cs/>
                <w:color w:val="auto"/>
                <w:sz w:val="24"/>
                <w:szCs w:val="24"/>
              </w:rPr>
            </w:pPr>
            <w:r>
              <w:rPr>
                <w:rFonts w:hint="eastAsia" w:ascii="宋体" w:hAnsi="宋体"/>
                <w:bCs/>
                <w:color w:val="auto"/>
                <w:sz w:val="24"/>
                <w:szCs w:val="24"/>
              </w:rPr>
              <w:t>注：</w:t>
            </w:r>
          </w:p>
          <w:p w14:paraId="1F68DE1E">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①企业（银行、保险、石油石化、电力、电信等行业除</w:t>
            </w:r>
          </w:p>
          <w:p w14:paraId="72CA802D">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外）、事业单位和社会团体投标人以法人身份参加投标</w:t>
            </w:r>
          </w:p>
          <w:p w14:paraId="21927F2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的，法定代表人应与实际提交的“营业执照等证明文件”载明的一致。</w:t>
            </w:r>
          </w:p>
          <w:p w14:paraId="19F40E8A">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②银行、保险、石油石化、电力、电信等行业：以法人</w:t>
            </w:r>
          </w:p>
          <w:p w14:paraId="01B8D1E7">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身份参加投标的，法定代表人应与实际提交的“营业执</w:t>
            </w:r>
          </w:p>
          <w:p w14:paraId="172FFC8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照等证明文件”载明的一致；以非法人身份参加投标的，</w:t>
            </w:r>
          </w:p>
          <w:p w14:paraId="143FB179">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“单位负责人”指代表单位行使职权的主要负责人，应</w:t>
            </w:r>
          </w:p>
          <w:p w14:paraId="6B208B53">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楷体" w:hAnsi="楷体" w:eastAsia="楷体"/>
                <w:bCs/>
                <w:color w:val="auto"/>
                <w:sz w:val="24"/>
                <w:szCs w:val="24"/>
              </w:rPr>
            </w:pPr>
            <w:r>
              <w:rPr>
                <w:rFonts w:hint="eastAsia" w:ascii="楷体" w:hAnsi="楷体" w:eastAsia="楷体"/>
                <w:bCs/>
                <w:color w:val="auto"/>
                <w:sz w:val="24"/>
                <w:szCs w:val="24"/>
              </w:rPr>
              <w:t>与实际提交的“营业执照等证明文件”载明的一致。</w:t>
            </w:r>
          </w:p>
          <w:p w14:paraId="1A0A9110">
            <w:pPr>
              <w:keepNext w:val="0"/>
              <w:keepLines w:val="0"/>
              <w:pageBreakBefore w:val="0"/>
              <w:widowControl w:val="0"/>
              <w:kinsoku/>
              <w:wordWrap/>
              <w:overflowPunct/>
              <w:topLinePunct w:val="0"/>
              <w:autoSpaceDE/>
              <w:autoSpaceDN/>
              <w:bidi w:val="0"/>
              <w:adjustRightInd/>
              <w:snapToGrid/>
              <w:spacing w:line="288" w:lineRule="auto"/>
              <w:jc w:val="both"/>
              <w:textAlignment w:val="auto"/>
              <w:rPr>
                <w:color w:val="auto"/>
              </w:rPr>
            </w:pPr>
            <w:r>
              <w:rPr>
                <w:rFonts w:hint="eastAsia" w:ascii="楷体" w:hAnsi="楷体" w:eastAsia="楷体"/>
                <w:bCs/>
                <w:color w:val="auto"/>
                <w:sz w:val="24"/>
                <w:szCs w:val="24"/>
              </w:rPr>
              <w:t>③投标人为自然人的，无需填写法定代表人授权书。</w:t>
            </w:r>
          </w:p>
        </w:tc>
      </w:tr>
      <w:tr w14:paraId="7896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7758131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b/>
                <w:color w:val="auto"/>
                <w:sz w:val="24"/>
                <w:szCs w:val="24"/>
                <w:lang w:eastAsia="zh-CN"/>
              </w:rPr>
            </w:pPr>
            <w:r>
              <w:rPr>
                <w:rFonts w:hint="eastAsia" w:ascii="宋体" w:hAnsi="宋体"/>
                <w:b/>
                <w:bCs/>
                <w:color w:val="auto"/>
                <w:sz w:val="24"/>
                <w:szCs w:val="24"/>
                <w:lang w:val="en-US" w:eastAsia="zh-CN"/>
              </w:rPr>
              <w:t>8</w:t>
            </w:r>
          </w:p>
        </w:tc>
        <w:tc>
          <w:tcPr>
            <w:tcW w:w="2268" w:type="dxa"/>
            <w:noWrap w:val="0"/>
            <w:vAlign w:val="center"/>
          </w:tcPr>
          <w:p w14:paraId="106A74CE">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bCs/>
                <w:color w:val="auto"/>
                <w:sz w:val="24"/>
                <w:szCs w:val="24"/>
              </w:rPr>
            </w:pPr>
            <w:r>
              <w:rPr>
                <w:rFonts w:hint="eastAsia" w:ascii="宋体" w:hAnsi="宋体" w:eastAsia="宋体" w:cs="宋体"/>
                <w:b/>
                <w:bCs/>
                <w:color w:val="auto"/>
                <w:sz w:val="24"/>
                <w:szCs w:val="24"/>
                <w:lang w:val="en-US" w:eastAsia="zh-CN"/>
              </w:rPr>
              <w:t>单位负责人为同一人或为同一总公司或存在直接控股、管理关系的不同供应商，不得参加同一合同项目下的政府采购活动。</w:t>
            </w:r>
          </w:p>
        </w:tc>
        <w:tc>
          <w:tcPr>
            <w:tcW w:w="5954" w:type="dxa"/>
            <w:noWrap w:val="0"/>
            <w:vAlign w:val="center"/>
          </w:tcPr>
          <w:p w14:paraId="78DC6FE2">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cs="仿宋_GB2312"/>
                <w:color w:val="auto"/>
                <w:sz w:val="24"/>
                <w:szCs w:val="24"/>
                <w:lang w:val="zh-CN"/>
              </w:rPr>
            </w:pPr>
            <w:r>
              <w:rPr>
                <w:rFonts w:hint="eastAsia" w:ascii="Arial" w:hAnsi="Arial" w:cs="Arial"/>
                <w:color w:val="auto"/>
                <w:sz w:val="24"/>
                <w:szCs w:val="24"/>
              </w:rPr>
              <w:t>投标人提供与参加本项目投标的其他供应商之间，</w:t>
            </w:r>
            <w:r>
              <w:rPr>
                <w:rFonts w:hint="eastAsia" w:ascii="Arial" w:hAnsi="Arial" w:cs="Arial"/>
                <w:color w:val="auto"/>
                <w:sz w:val="24"/>
                <w:szCs w:val="24"/>
                <w:lang w:val="en-US" w:eastAsia="zh-CN"/>
              </w:rPr>
              <w:t>单位负责人为同一人或为同一总公司或存在直接控股、管理关系</w:t>
            </w:r>
            <w:r>
              <w:rPr>
                <w:rFonts w:hint="eastAsia" w:ascii="Arial" w:hAnsi="Arial" w:cs="Arial"/>
                <w:color w:val="auto"/>
                <w:sz w:val="24"/>
                <w:szCs w:val="24"/>
              </w:rPr>
              <w:t>承诺函【提供加盖投标人公章的“国家企业信用信 息公示系统”中公示的公司信息、股东（或投资人）信息】。</w:t>
            </w:r>
          </w:p>
        </w:tc>
      </w:tr>
      <w:tr w14:paraId="522C4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259BCCD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default" w:ascii="宋体" w:hAnsi="宋体" w:eastAsia="宋体"/>
                <w:b/>
                <w:color w:val="auto"/>
                <w:sz w:val="24"/>
                <w:szCs w:val="24"/>
                <w:lang w:val="en-US" w:eastAsia="zh-CN"/>
              </w:rPr>
            </w:pPr>
            <w:r>
              <w:rPr>
                <w:rFonts w:hint="eastAsia" w:ascii="宋体" w:hAnsi="宋体"/>
                <w:b/>
                <w:color w:val="auto"/>
                <w:sz w:val="24"/>
                <w:szCs w:val="24"/>
                <w:lang w:val="en-US" w:eastAsia="zh-CN"/>
              </w:rPr>
              <w:t>9</w:t>
            </w:r>
          </w:p>
        </w:tc>
        <w:tc>
          <w:tcPr>
            <w:tcW w:w="2268" w:type="dxa"/>
            <w:noWrap w:val="0"/>
            <w:vAlign w:val="center"/>
          </w:tcPr>
          <w:p w14:paraId="15B147D1">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b/>
                <w:bCs/>
                <w:color w:val="auto"/>
                <w:sz w:val="24"/>
                <w:szCs w:val="24"/>
              </w:rPr>
            </w:pPr>
            <w:r>
              <w:rPr>
                <w:rFonts w:hint="eastAsia" w:ascii="宋体" w:hAnsi="宋体"/>
                <w:b/>
                <w:bCs/>
                <w:color w:val="auto"/>
                <w:sz w:val="24"/>
                <w:szCs w:val="24"/>
              </w:rPr>
              <w:t>为本项目提供整体设计、规范编制或者项目管理、监理、检测等服务的供应商不得参加本项目投标</w:t>
            </w:r>
          </w:p>
        </w:tc>
        <w:tc>
          <w:tcPr>
            <w:tcW w:w="5954" w:type="dxa"/>
            <w:noWrap w:val="0"/>
            <w:vAlign w:val="center"/>
          </w:tcPr>
          <w:p w14:paraId="6F5AC185">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ascii="宋体" w:hAnsi="宋体"/>
                <w:bCs/>
                <w:color w:val="auto"/>
                <w:sz w:val="24"/>
                <w:szCs w:val="24"/>
              </w:rPr>
            </w:pPr>
            <w:r>
              <w:rPr>
                <w:rFonts w:hint="eastAsia" w:ascii="宋体" w:hAnsi="宋体" w:cs="仿宋_GB2312"/>
                <w:color w:val="auto"/>
                <w:sz w:val="24"/>
                <w:szCs w:val="24"/>
                <w:lang w:val="zh-CN"/>
              </w:rPr>
              <w:t>投标人</w:t>
            </w:r>
            <w:bookmarkStart w:id="2" w:name="baidusnap2"/>
            <w:bookmarkEnd w:id="2"/>
            <w:r>
              <w:rPr>
                <w:rFonts w:hint="eastAsia" w:ascii="宋体" w:hAnsi="宋体" w:cs="仿宋_GB2312"/>
                <w:color w:val="auto"/>
                <w:sz w:val="24"/>
                <w:szCs w:val="24"/>
                <w:lang w:val="zh-CN"/>
              </w:rPr>
              <w:t>提供未为本项目提供整体设计、</w:t>
            </w:r>
            <w:bookmarkStart w:id="3" w:name="baidusnap9"/>
            <w:bookmarkEnd w:id="3"/>
            <w:r>
              <w:rPr>
                <w:rFonts w:hint="eastAsia" w:ascii="宋体" w:hAnsi="宋体" w:cs="仿宋_GB2312"/>
                <w:color w:val="auto"/>
                <w:sz w:val="24"/>
                <w:szCs w:val="24"/>
                <w:lang w:val="zh-CN"/>
              </w:rPr>
              <w:t>规范编制或者项目管理、监理、检测等服务承诺函（承诺函格式自拟）。</w:t>
            </w:r>
          </w:p>
        </w:tc>
      </w:tr>
      <w:tr w14:paraId="5368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7E7C9E5B">
            <w:pPr>
              <w:keepNext w:val="0"/>
              <w:keepLines w:val="0"/>
              <w:pageBreakBefore w:val="0"/>
              <w:widowControl w:val="0"/>
              <w:kinsoku/>
              <w:wordWrap/>
              <w:overflowPunct/>
              <w:topLinePunct w:val="0"/>
              <w:autoSpaceDE/>
              <w:autoSpaceDN/>
              <w:bidi w:val="0"/>
              <w:adjustRightInd/>
              <w:snapToGrid/>
              <w:spacing w:line="288" w:lineRule="auto"/>
              <w:contextualSpacing/>
              <w:jc w:val="center"/>
              <w:textAlignment w:val="auto"/>
              <w:rPr>
                <w:rFonts w:hint="eastAsia" w:ascii="宋体" w:hAnsi="宋体" w:eastAsia="宋体"/>
                <w:b/>
                <w:color w:val="auto"/>
                <w:sz w:val="24"/>
                <w:szCs w:val="24"/>
                <w:lang w:val="en-US" w:eastAsia="zh-CN"/>
              </w:rPr>
            </w:pPr>
            <w:r>
              <w:rPr>
                <w:rFonts w:hint="eastAsia" w:ascii="宋体" w:hAnsi="宋体"/>
                <w:b/>
                <w:color w:val="auto"/>
                <w:sz w:val="24"/>
                <w:szCs w:val="24"/>
                <w:lang w:val="en-US" w:eastAsia="zh-CN"/>
              </w:rPr>
              <w:t>10</w:t>
            </w:r>
          </w:p>
        </w:tc>
        <w:tc>
          <w:tcPr>
            <w:tcW w:w="2268" w:type="dxa"/>
            <w:noWrap w:val="0"/>
            <w:vAlign w:val="center"/>
          </w:tcPr>
          <w:p w14:paraId="08ED5DAB">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b/>
                <w:color w:val="auto"/>
                <w:sz w:val="24"/>
                <w:szCs w:val="24"/>
              </w:rPr>
            </w:pPr>
            <w:r>
              <w:rPr>
                <w:rFonts w:hint="eastAsia" w:ascii="宋体" w:hAnsi="宋体" w:cs="宋体"/>
                <w:b/>
                <w:color w:val="auto"/>
                <w:sz w:val="24"/>
                <w:szCs w:val="24"/>
              </w:rPr>
              <w:t>供应商须具备的特殊资质证书</w:t>
            </w:r>
          </w:p>
        </w:tc>
        <w:tc>
          <w:tcPr>
            <w:tcW w:w="5954" w:type="dxa"/>
            <w:noWrap w:val="0"/>
            <w:vAlign w:val="center"/>
          </w:tcPr>
          <w:p w14:paraId="52453EB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仿宋_GB2312"/>
                <w:color w:val="auto"/>
                <w:sz w:val="24"/>
                <w:szCs w:val="24"/>
                <w:lang w:val="zh-CN"/>
              </w:rPr>
            </w:pPr>
            <w:r>
              <w:rPr>
                <w:rFonts w:hint="eastAsia" w:ascii="宋体" w:hAnsi="宋体" w:eastAsia="宋体" w:cs="宋体"/>
                <w:b/>
                <w:bCs/>
                <w:color w:val="auto"/>
                <w:sz w:val="24"/>
                <w:szCs w:val="24"/>
                <w:lang w:val="en-US" w:eastAsia="zh-CN"/>
              </w:rPr>
              <w:t>本项目接受中华人民共和国境内注册并合法运营的分支机构参与投标：若分支机构参与投标的，须提供其具有独立法人资格的总公司或上级公司出具的有效授权委托书。授权书中应明确分支机构在采购活动中所能代表总公司或上级公司行使的权利、义务及相关资质的使用，获得授权的分支机构使用总公司或上级公司的相关证明材料的复印件同等有效。</w:t>
            </w:r>
          </w:p>
        </w:tc>
      </w:tr>
    </w:tbl>
    <w:p w14:paraId="02FC9E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二、评审</w:t>
      </w:r>
    </w:p>
    <w:p w14:paraId="75F9120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（一）评审方法</w:t>
      </w:r>
    </w:p>
    <w:p w14:paraId="30E036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本项目采用综合评分法。总分为100分。</w:t>
      </w:r>
    </w:p>
    <w:p w14:paraId="7E6671C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（二）磋商小组负责具体评标事务，并独立履行下列职责</w:t>
      </w:r>
    </w:p>
    <w:p w14:paraId="2D7B8E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1、审查、评价响应文件是否符合采购文件的商务、技术等实质性要求；</w:t>
      </w:r>
    </w:p>
    <w:p w14:paraId="2EB1AE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磋商小组对符合资格的供应商的响应文件进行符合性审查，以确定其是否满足采购文件的商务、技术等实质性要求。</w:t>
      </w:r>
    </w:p>
    <w:tbl>
      <w:tblPr>
        <w:tblStyle w:val="11"/>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9"/>
      </w:tblGrid>
      <w:tr w14:paraId="057ED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579" w:type="dxa"/>
            <w:vAlign w:val="center"/>
          </w:tcPr>
          <w:p w14:paraId="69B9A324">
            <w:pPr>
              <w:keepNext w:val="0"/>
              <w:keepLines w:val="0"/>
              <w:pageBreakBefore w:val="0"/>
              <w:widowControl/>
              <w:suppressLineNumbers w:val="0"/>
              <w:kinsoku/>
              <w:wordWrap/>
              <w:overflowPunct/>
              <w:topLinePunct w:val="0"/>
              <w:autoSpaceDE/>
              <w:autoSpaceDN/>
              <w:bidi w:val="0"/>
              <w:adjustRightInd/>
              <w:snapToGrid/>
              <w:spacing w:before="216" w:line="360" w:lineRule="auto"/>
              <w:jc w:val="center"/>
              <w:textAlignment w:val="auto"/>
              <w:rPr>
                <w:rFonts w:hint="eastAsia" w:ascii="宋体" w:hAnsi="宋体" w:eastAsia="宋体" w:cs="宋体"/>
                <w:color w:val="auto"/>
                <w:spacing w:val="-1"/>
                <w:sz w:val="24"/>
                <w:szCs w:val="24"/>
                <w:vertAlign w:val="baseline"/>
              </w:rPr>
            </w:pPr>
            <w:r>
              <w:rPr>
                <w:rFonts w:hint="eastAsia" w:ascii="宋体" w:hAnsi="宋体" w:eastAsia="宋体" w:cs="宋体"/>
                <w:b/>
                <w:bCs/>
                <w:color w:val="auto"/>
                <w:kern w:val="0"/>
                <w:sz w:val="24"/>
                <w:szCs w:val="24"/>
                <w:lang w:val="en-US" w:eastAsia="zh-CN" w:bidi="ar"/>
              </w:rPr>
              <w:t>符合性审查因素</w:t>
            </w:r>
          </w:p>
        </w:tc>
      </w:tr>
      <w:tr w14:paraId="498F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138B5A86">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ascii="等线" w:hAnsi="等线" w:eastAsia="等线" w:cs="等线"/>
                <w:color w:val="auto"/>
                <w:kern w:val="0"/>
                <w:sz w:val="24"/>
                <w:szCs w:val="24"/>
                <w:lang w:val="en-US" w:eastAsia="zh-CN" w:bidi="ar"/>
              </w:rPr>
              <w:t>1</w:t>
            </w:r>
            <w:r>
              <w:rPr>
                <w:rFonts w:hint="eastAsia" w:ascii="宋体" w:hAnsi="宋体" w:eastAsia="宋体" w:cs="宋体"/>
                <w:color w:val="auto"/>
                <w:kern w:val="0"/>
                <w:sz w:val="24"/>
                <w:szCs w:val="24"/>
                <w:lang w:val="en-US" w:eastAsia="zh-CN" w:bidi="ar"/>
              </w:rPr>
              <w:t>）响应文件未按磋商文件要求签署、盖章的；</w:t>
            </w:r>
          </w:p>
        </w:tc>
      </w:tr>
      <w:tr w14:paraId="1DC7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66E6AB5A">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2</w:t>
            </w:r>
            <w:r>
              <w:rPr>
                <w:rFonts w:hint="eastAsia" w:ascii="宋体" w:hAnsi="宋体" w:eastAsia="宋体" w:cs="宋体"/>
                <w:color w:val="auto"/>
                <w:kern w:val="0"/>
                <w:sz w:val="24"/>
                <w:szCs w:val="24"/>
                <w:lang w:val="en-US" w:eastAsia="zh-CN" w:bidi="ar"/>
              </w:rPr>
              <w:t>）不同供应商的响应文件由同一单位或者个人编制；</w:t>
            </w:r>
          </w:p>
        </w:tc>
      </w:tr>
      <w:tr w14:paraId="7B40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4494F8FC">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3</w:t>
            </w:r>
            <w:r>
              <w:rPr>
                <w:rFonts w:hint="eastAsia" w:ascii="宋体" w:hAnsi="宋体" w:eastAsia="宋体" w:cs="宋体"/>
                <w:color w:val="auto"/>
                <w:kern w:val="0"/>
                <w:sz w:val="24"/>
                <w:szCs w:val="24"/>
                <w:lang w:val="en-US" w:eastAsia="zh-CN" w:bidi="ar"/>
              </w:rPr>
              <w:t>）响应文件含有采购人不能接受的附加条件的；</w:t>
            </w:r>
          </w:p>
        </w:tc>
      </w:tr>
      <w:tr w14:paraId="3174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1F6FC272">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4</w:t>
            </w:r>
            <w:r>
              <w:rPr>
                <w:rFonts w:hint="eastAsia" w:ascii="宋体" w:hAnsi="宋体" w:eastAsia="宋体" w:cs="宋体"/>
                <w:color w:val="auto"/>
                <w:kern w:val="0"/>
                <w:sz w:val="24"/>
                <w:szCs w:val="24"/>
                <w:lang w:val="en-US" w:eastAsia="zh-CN" w:bidi="ar"/>
              </w:rPr>
              <w:t>）不同供应商委托同一单位或者个人办理响应事宜；</w:t>
            </w:r>
          </w:p>
        </w:tc>
      </w:tr>
      <w:tr w14:paraId="4A94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6ED9872A">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）不同供应商的响应文件载明的项目管理成员或者联系人员为同一人；</w:t>
            </w:r>
          </w:p>
        </w:tc>
      </w:tr>
      <w:tr w14:paraId="7214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147EA142">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6</w:t>
            </w:r>
            <w:r>
              <w:rPr>
                <w:rFonts w:hint="eastAsia" w:ascii="宋体" w:hAnsi="宋体" w:eastAsia="宋体" w:cs="宋体"/>
                <w:color w:val="auto"/>
                <w:kern w:val="0"/>
                <w:sz w:val="24"/>
                <w:szCs w:val="24"/>
                <w:lang w:val="en-US" w:eastAsia="zh-CN" w:bidi="ar"/>
              </w:rPr>
              <w:t>）不同供应商的响应文件异常一致或者响应报价呈规律性差异；</w:t>
            </w:r>
          </w:p>
        </w:tc>
      </w:tr>
      <w:tr w14:paraId="7BC8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8579" w:type="dxa"/>
            <w:vAlign w:val="center"/>
          </w:tcPr>
          <w:p w14:paraId="5012B8F9">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7</w:t>
            </w:r>
            <w:r>
              <w:rPr>
                <w:rFonts w:hint="eastAsia" w:ascii="宋体" w:hAnsi="宋体" w:eastAsia="宋体" w:cs="宋体"/>
                <w:color w:val="auto"/>
                <w:kern w:val="0"/>
                <w:sz w:val="24"/>
                <w:szCs w:val="24"/>
                <w:lang w:val="en-US" w:eastAsia="zh-CN" w:bidi="ar"/>
              </w:rPr>
              <w:t>）不同供应商的响应文件相互混装；</w:t>
            </w:r>
          </w:p>
        </w:tc>
      </w:tr>
      <w:tr w14:paraId="11B0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79" w:type="dxa"/>
            <w:vAlign w:val="center"/>
          </w:tcPr>
          <w:p w14:paraId="6429445A">
            <w:pPr>
              <w:keepNext w:val="0"/>
              <w:keepLines w:val="0"/>
              <w:pageBreakBefore w:val="0"/>
              <w:widowControl/>
              <w:suppressLineNumbers w:val="0"/>
              <w:kinsoku/>
              <w:wordWrap/>
              <w:overflowPunct/>
              <w:topLinePunct w:val="0"/>
              <w:autoSpaceDE/>
              <w:autoSpaceDN/>
              <w:bidi w:val="0"/>
              <w:adjustRightInd/>
              <w:snapToGrid/>
              <w:spacing w:before="216" w:line="360" w:lineRule="auto"/>
              <w:jc w:val="both"/>
              <w:textAlignment w:val="auto"/>
              <w:rPr>
                <w:rFonts w:hint="eastAsia" w:ascii="宋体" w:hAnsi="宋体" w:eastAsia="宋体" w:cs="宋体"/>
                <w:color w:val="auto"/>
                <w:spacing w:val="-1"/>
                <w:sz w:val="24"/>
                <w:szCs w:val="24"/>
                <w:vertAlign w:val="baseline"/>
              </w:rPr>
            </w:pPr>
            <w:r>
              <w:rPr>
                <w:rFonts w:hint="eastAsia" w:ascii="宋体" w:hAnsi="宋体" w:eastAsia="宋体" w:cs="宋体"/>
                <w:color w:val="auto"/>
                <w:kern w:val="0"/>
                <w:sz w:val="24"/>
                <w:szCs w:val="24"/>
                <w:lang w:val="en-US" w:eastAsia="zh-CN" w:bidi="ar"/>
              </w:rPr>
              <w:t>（</w:t>
            </w:r>
            <w:r>
              <w:rPr>
                <w:rFonts w:hint="eastAsia" w:ascii="等线" w:hAnsi="等线" w:eastAsia="等线" w:cs="等线"/>
                <w:color w:val="auto"/>
                <w:kern w:val="0"/>
                <w:sz w:val="24"/>
                <w:szCs w:val="24"/>
                <w:lang w:val="en-US" w:eastAsia="zh-CN" w:bidi="ar"/>
              </w:rPr>
              <w:t>8</w:t>
            </w:r>
            <w:r>
              <w:rPr>
                <w:rFonts w:hint="eastAsia" w:ascii="宋体" w:hAnsi="宋体" w:eastAsia="宋体" w:cs="宋体"/>
                <w:color w:val="auto"/>
                <w:kern w:val="0"/>
                <w:sz w:val="24"/>
                <w:szCs w:val="24"/>
                <w:lang w:val="en-US" w:eastAsia="zh-CN" w:bidi="ar"/>
              </w:rPr>
              <w:t>）法律、法规和磋商文件规定的其他无效情形；</w:t>
            </w:r>
          </w:p>
        </w:tc>
      </w:tr>
    </w:tbl>
    <w:p w14:paraId="450927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注：符合性审查中所涉及到的证书及材料，均应在电子响应文件中提供原件扫描件（或图片）。</w:t>
      </w:r>
    </w:p>
    <w:p w14:paraId="345DDC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2、要求供应商对磋商文件有关事项作出澄清或者说明；</w:t>
      </w:r>
    </w:p>
    <w:p w14:paraId="5D287C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响应文件中含义不明确、同类问题表述不一致或者有明显文字和计算错误的内容，磋商小组应当以书面形式要求响应供应商作出必要的澄清、说明或者补正。响应供应商的澄清、说明或者补正应当采用书面形式，并加盖公章，或者由法定代表人或其 授权的代表签字。 响应供应商的澄清、说明或者补正不得超出响应文件的范围或者改变响应文件的实质性内容。</w:t>
      </w:r>
    </w:p>
    <w:p w14:paraId="3A9FC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3、对响应文件进行比较和评价；</w:t>
      </w:r>
    </w:p>
    <w:p w14:paraId="7B490E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磋商小组按照采购文件中规定的评审方法和标准，对符合性审查合格的响应文件进行商务和 技术评估，综合比较与评价。评标时，磋商小组各成员应当独立对每个响应供应商的响应文件进行评价，并汇总每个投标供应商的得分。评标过程中，不得去掉报价中的最高报价和最低报价。</w:t>
      </w:r>
    </w:p>
    <w:p w14:paraId="7FB8911A">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注：评标标准中所涉及到的证书及材料，均应在电子响应文件中提供原件扫描件（或图片）。</w:t>
      </w:r>
    </w:p>
    <w:p w14:paraId="1F676113">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（1）价格分计算</w:t>
      </w:r>
    </w:p>
    <w:p w14:paraId="494BC3A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价格分采用</w:t>
      </w:r>
      <w:r>
        <w:rPr>
          <w:rFonts w:hint="eastAsia" w:ascii="宋体" w:hAnsi="宋体" w:eastAsia="宋体" w:cs="宋体"/>
          <w:color w:val="auto"/>
          <w:sz w:val="24"/>
          <w:szCs w:val="24"/>
          <w:lang w:eastAsia="zh-CN"/>
        </w:rPr>
        <w:t>高</w:t>
      </w:r>
      <w:r>
        <w:rPr>
          <w:rFonts w:hint="eastAsia" w:ascii="宋体" w:hAnsi="宋体" w:eastAsia="宋体" w:cs="宋体"/>
          <w:color w:val="auto"/>
          <w:sz w:val="24"/>
          <w:szCs w:val="24"/>
        </w:rPr>
        <w:t>价优先法计算，即满足采购文件要求且投标价格最高的投标报价为评标基准价，其价格分为满分。因落实政府采购政策进行价格调整的，以调整后的价格计算评标基准价和投标报价。</w:t>
      </w:r>
    </w:p>
    <w:p w14:paraId="44266F9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（2）强制采购节能产品和优先采购节能产品、优先采购环保产品</w:t>
      </w:r>
    </w:p>
    <w:p w14:paraId="0065E86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节能产品政府采购品目清单》所列的政府强制采购节能产品，供应商响应文件中应提供具有国家确定的认证机构出具的、处于有效期之内的节能产品认证证书，否则将承担其投标被视为非实质性响应投标的风险。</w:t>
      </w:r>
    </w:p>
    <w:p w14:paraId="4F1B58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投标人所投产品若属于《节能产品政府采购品目清单》优先采购产品，响应文件中应提供具 有国家确定的认证机构出具的、处于有效期之内的节能产品认证证书，磋商小组根据本项目评标标准予以判定并赋分。</w:t>
      </w:r>
    </w:p>
    <w:p w14:paraId="6FCA8E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所投产品若属于《环境标志产品政府采购品目清单》内产品，响应文件中应提供具有国家确定的认证机构出具的、处于有效期之内的环境标志产品认证证书，磋商小组根据本项目评标标准予以判定并赋分。</w:t>
      </w:r>
    </w:p>
    <w:p w14:paraId="630BB0F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（3）网络关键设备、网络安全专用产品要求</w:t>
      </w:r>
    </w:p>
    <w:p w14:paraId="482B96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1）项目中涉及网络关键设备或网络安全专用产品的，至少符合以下条件之一：一是已由具备 资格的机构安全认证合格或安全检测符合要求；二是已获得《计算机信息系统安全专用产品销售许可证》，且在有效期内。提供资料（下列资料任意一项）</w:t>
      </w:r>
    </w:p>
    <w:p w14:paraId="3DF4E6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①网络关键设备和网络安全专用产品安全认证证书；</w:t>
      </w:r>
    </w:p>
    <w:p w14:paraId="3E7E20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②网络关键设备安全检测证书、网络安全专用产品安全检测证书；</w:t>
      </w:r>
    </w:p>
    <w:p w14:paraId="646AAF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③计算机信息系统安全专用产品销售许可证；</w:t>
      </w:r>
    </w:p>
    <w:p w14:paraId="755C58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④中国网信网或工业和信息化部网站或公安部网站或国家认证认可监督管理委员会网站公布的认证、检测结果（提供公布安全认证、安全检测结果页面网址和安全认证、检测结果截图）。</w:t>
      </w:r>
    </w:p>
    <w:p w14:paraId="0948B7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（4）响应无效情形</w:t>
      </w:r>
    </w:p>
    <w:p w14:paraId="408993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1）供应商应当遵循公平竞争的原则，不得恶意串通，不得妨碍其他供应商的竞争行为，不得损害采购人或者其他供应商的合法权益。在评标过程中发现供应商有上述情形的，磋商小组应当认定其投标无效。</w:t>
      </w:r>
    </w:p>
    <w:p w14:paraId="6803F2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2）符合性审查资料未按磋商文件要求签署、盖章的；</w:t>
      </w:r>
    </w:p>
    <w:p w14:paraId="1FC1787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3）有下列情形之一的，视为供应商串通投标，其投标无效：</w:t>
      </w:r>
    </w:p>
    <w:p w14:paraId="0F8D011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a.不同供应商的响应文件由同一单位或者个人编制；</w:t>
      </w:r>
    </w:p>
    <w:p w14:paraId="6E9E8D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b.不同供应商委托同一单位或者个人办理投标事宜；</w:t>
      </w:r>
    </w:p>
    <w:p w14:paraId="336AB4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c.不同供应商的响应文件载明的项目管理成员或者联系人员为同一人；</w:t>
      </w:r>
    </w:p>
    <w:p w14:paraId="0A1AF90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d.不同供应商的响应文件异常一致或者投标报价呈规律性差异；</w:t>
      </w:r>
    </w:p>
    <w:p w14:paraId="5CDBC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e.不同供应商的响应文件相互混装；</w:t>
      </w:r>
    </w:p>
    <w:p w14:paraId="68E8B4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4）法律、法规和磋商文件规定的其他无效情形。</w:t>
      </w:r>
    </w:p>
    <w:p w14:paraId="11B3878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（5）评标标准</w:t>
      </w:r>
    </w:p>
    <w:tbl>
      <w:tblPr>
        <w:tblStyle w:val="10"/>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6687"/>
        <w:gridCol w:w="773"/>
      </w:tblGrid>
      <w:tr w14:paraId="54A5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36" w:type="dxa"/>
            <w:noWrap w:val="0"/>
            <w:vAlign w:val="center"/>
          </w:tcPr>
          <w:p w14:paraId="58336AFD">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分值构成</w:t>
            </w:r>
          </w:p>
          <w:p w14:paraId="534B1763">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4"/>
                <w:szCs w:val="24"/>
                <w:highlight w:val="yellow"/>
              </w:rPr>
            </w:pPr>
            <w:r>
              <w:rPr>
                <w:rFonts w:hint="eastAsia" w:ascii="宋体" w:hAnsi="宋体"/>
                <w:color w:val="auto"/>
                <w:sz w:val="24"/>
                <w:szCs w:val="24"/>
                <w:highlight w:val="none"/>
              </w:rPr>
              <w:t>(总分100分)</w:t>
            </w:r>
          </w:p>
        </w:tc>
        <w:tc>
          <w:tcPr>
            <w:tcW w:w="7460" w:type="dxa"/>
            <w:gridSpan w:val="2"/>
            <w:noWrap w:val="0"/>
            <w:vAlign w:val="center"/>
          </w:tcPr>
          <w:p w14:paraId="7832F543">
            <w:pPr>
              <w:keepNext w:val="0"/>
              <w:keepLines w:val="0"/>
              <w:pageBreakBefore w:val="0"/>
              <w:kinsoku/>
              <w:wordWrap/>
              <w:overflowPunct/>
              <w:topLinePunct w:val="0"/>
              <w:autoSpaceDE/>
              <w:autoSpaceDN/>
              <w:bidi w:val="0"/>
              <w:snapToGrid/>
              <w:spacing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价格分值：</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p w14:paraId="56A70CCA">
            <w:pPr>
              <w:keepNext w:val="0"/>
              <w:keepLines w:val="0"/>
              <w:pageBreakBefore w:val="0"/>
              <w:kinsoku/>
              <w:wordWrap/>
              <w:overflowPunct/>
              <w:topLinePunct w:val="0"/>
              <w:autoSpaceDE/>
              <w:autoSpaceDN/>
              <w:bidi w:val="0"/>
              <w:snapToGrid/>
              <w:spacing w:line="360" w:lineRule="auto"/>
              <w:contextualSpacing/>
              <w:jc w:val="left"/>
              <w:rPr>
                <w:rFonts w:ascii="宋体" w:hAnsi="宋体"/>
                <w:color w:val="auto"/>
                <w:sz w:val="24"/>
                <w:szCs w:val="24"/>
                <w:highlight w:val="none"/>
              </w:rPr>
            </w:pPr>
            <w:r>
              <w:rPr>
                <w:rFonts w:hint="eastAsia" w:ascii="宋体" w:hAnsi="宋体"/>
                <w:color w:val="auto"/>
                <w:sz w:val="24"/>
                <w:szCs w:val="24"/>
                <w:highlight w:val="none"/>
              </w:rPr>
              <w:t>商务部分：</w:t>
            </w:r>
            <w:r>
              <w:rPr>
                <w:rFonts w:hint="eastAsia" w:ascii="宋体" w:hAnsi="宋体"/>
                <w:color w:val="auto"/>
                <w:sz w:val="24"/>
                <w:szCs w:val="24"/>
                <w:highlight w:val="none"/>
                <w:lang w:val="en-US" w:eastAsia="zh-CN"/>
              </w:rPr>
              <w:t>40</w:t>
            </w:r>
            <w:r>
              <w:rPr>
                <w:rFonts w:hint="eastAsia" w:ascii="宋体" w:hAnsi="宋体"/>
                <w:color w:val="auto"/>
                <w:sz w:val="24"/>
                <w:szCs w:val="24"/>
                <w:highlight w:val="none"/>
              </w:rPr>
              <w:t>分</w:t>
            </w:r>
          </w:p>
          <w:p w14:paraId="00606B4F">
            <w:pPr>
              <w:keepNext w:val="0"/>
              <w:keepLines w:val="0"/>
              <w:pageBreakBefore w:val="0"/>
              <w:kinsoku/>
              <w:wordWrap/>
              <w:overflowPunct/>
              <w:topLinePunct w:val="0"/>
              <w:autoSpaceDE/>
              <w:autoSpaceDN/>
              <w:bidi w:val="0"/>
              <w:snapToGrid/>
              <w:spacing w:line="360" w:lineRule="auto"/>
              <w:jc w:val="left"/>
              <w:rPr>
                <w:rFonts w:ascii="宋体" w:hAnsi="宋体" w:cs="宋体"/>
                <w:color w:val="auto"/>
                <w:sz w:val="24"/>
                <w:szCs w:val="24"/>
                <w:highlight w:val="yellow"/>
              </w:rPr>
            </w:pPr>
            <w:r>
              <w:rPr>
                <w:rFonts w:hint="eastAsia" w:ascii="宋体" w:hAnsi="宋体"/>
                <w:color w:val="auto"/>
                <w:sz w:val="24"/>
                <w:szCs w:val="24"/>
                <w:highlight w:val="none"/>
              </w:rPr>
              <w:t>技术部分：</w:t>
            </w:r>
            <w:r>
              <w:rPr>
                <w:rFonts w:hint="eastAsia" w:ascii="宋体" w:hAnsi="宋体"/>
                <w:color w:val="auto"/>
                <w:sz w:val="24"/>
                <w:szCs w:val="24"/>
                <w:highlight w:val="none"/>
                <w:lang w:val="en-US" w:eastAsia="zh-CN"/>
              </w:rPr>
              <w:t>50</w:t>
            </w:r>
            <w:r>
              <w:rPr>
                <w:rFonts w:hint="eastAsia" w:ascii="宋体" w:hAnsi="宋体"/>
                <w:color w:val="auto"/>
                <w:sz w:val="24"/>
                <w:szCs w:val="24"/>
                <w:highlight w:val="none"/>
              </w:rPr>
              <w:t>分</w:t>
            </w:r>
          </w:p>
        </w:tc>
      </w:tr>
      <w:tr w14:paraId="0082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14:paraId="1A8C43E0">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yellow"/>
              </w:rPr>
            </w:pPr>
            <w:r>
              <w:rPr>
                <w:rFonts w:hint="eastAsia" w:ascii="宋体" w:hAnsi="宋体" w:cs="宋体"/>
                <w:b/>
                <w:color w:val="auto"/>
                <w:sz w:val="24"/>
                <w:szCs w:val="24"/>
                <w:highlight w:val="none"/>
              </w:rPr>
              <w:t>价格部分（满分</w:t>
            </w:r>
            <w:r>
              <w:rPr>
                <w:rFonts w:hint="eastAsia" w:ascii="宋体" w:hAnsi="宋体" w:cs="宋体"/>
                <w:b/>
                <w:color w:val="auto"/>
                <w:sz w:val="24"/>
                <w:szCs w:val="24"/>
                <w:highlight w:val="none"/>
                <w:lang w:val="en-US" w:eastAsia="zh-CN"/>
              </w:rPr>
              <w:t>10</w:t>
            </w:r>
            <w:r>
              <w:rPr>
                <w:rFonts w:hint="eastAsia" w:ascii="宋体" w:hAnsi="宋体" w:cs="宋体"/>
                <w:b/>
                <w:color w:val="auto"/>
                <w:sz w:val="24"/>
                <w:szCs w:val="24"/>
                <w:highlight w:val="none"/>
              </w:rPr>
              <w:t>分）</w:t>
            </w:r>
          </w:p>
        </w:tc>
      </w:tr>
      <w:tr w14:paraId="216F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6F710793">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6687" w:type="dxa"/>
            <w:noWrap w:val="0"/>
            <w:vAlign w:val="center"/>
          </w:tcPr>
          <w:p w14:paraId="7E296327">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评标标准</w:t>
            </w:r>
          </w:p>
        </w:tc>
        <w:tc>
          <w:tcPr>
            <w:tcW w:w="773" w:type="dxa"/>
            <w:noWrap w:val="0"/>
            <w:vAlign w:val="center"/>
          </w:tcPr>
          <w:p w14:paraId="5235332F">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15EC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1636" w:type="dxa"/>
            <w:noWrap w:val="0"/>
            <w:vAlign w:val="center"/>
          </w:tcPr>
          <w:p w14:paraId="564B6028">
            <w:pPr>
              <w:keepNext w:val="0"/>
              <w:keepLines w:val="0"/>
              <w:pageBreakBefore w:val="0"/>
              <w:kinsoku/>
              <w:wordWrap/>
              <w:overflowPunct/>
              <w:topLinePunct w:val="0"/>
              <w:autoSpaceDE/>
              <w:autoSpaceDN/>
              <w:bidi w:val="0"/>
              <w:snapToGrid/>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最终磋商报价评分标准</w:t>
            </w:r>
          </w:p>
          <w:p w14:paraId="27D6EB6B">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（收益分配）</w:t>
            </w:r>
          </w:p>
        </w:tc>
        <w:tc>
          <w:tcPr>
            <w:tcW w:w="6687" w:type="dxa"/>
            <w:noWrap w:val="0"/>
            <w:vAlign w:val="center"/>
          </w:tcPr>
          <w:p w14:paraId="7BD1BAF6">
            <w:pPr>
              <w:pStyle w:val="15"/>
              <w:keepNext w:val="0"/>
              <w:keepLines w:val="0"/>
              <w:pageBreakBefore w:val="0"/>
              <w:kinsoku/>
              <w:wordWrap/>
              <w:overflowPunct/>
              <w:topLinePunct w:val="0"/>
              <w:autoSpaceDE/>
              <w:autoSpaceDN/>
              <w:bidi w:val="0"/>
              <w:snapToGrid/>
              <w:spacing w:line="360" w:lineRule="auto"/>
              <w:ind w:firstLine="480" w:firstLineChars="200"/>
              <w:jc w:val="both"/>
              <w:rPr>
                <w:rFonts w:hint="eastAsia"/>
                <w:color w:val="auto"/>
                <w:sz w:val="24"/>
                <w:szCs w:val="24"/>
                <w:highlight w:val="none"/>
              </w:rPr>
            </w:pPr>
            <w:r>
              <w:rPr>
                <w:rFonts w:hint="eastAsia"/>
                <w:color w:val="auto"/>
                <w:sz w:val="24"/>
                <w:szCs w:val="24"/>
                <w:highlight w:val="none"/>
              </w:rPr>
              <w:t>本项目不设最高限价和最低限价，根据</w:t>
            </w:r>
            <w:r>
              <w:rPr>
                <w:rFonts w:hint="eastAsia"/>
                <w:color w:val="auto"/>
                <w:sz w:val="24"/>
                <w:szCs w:val="24"/>
                <w:highlight w:val="none"/>
                <w:lang w:eastAsia="zh-CN"/>
              </w:rPr>
              <w:t>投标人</w:t>
            </w:r>
            <w:r>
              <w:rPr>
                <w:rFonts w:hint="eastAsia"/>
                <w:color w:val="auto"/>
                <w:sz w:val="24"/>
                <w:szCs w:val="24"/>
                <w:highlight w:val="none"/>
              </w:rPr>
              <w:t>自身情况对</w:t>
            </w:r>
            <w:bookmarkStart w:id="4" w:name="OLE_LINK3"/>
            <w:r>
              <w:rPr>
                <w:rFonts w:hint="eastAsia"/>
                <w:color w:val="auto"/>
                <w:sz w:val="24"/>
                <w:szCs w:val="24"/>
                <w:highlight w:val="none"/>
              </w:rPr>
              <w:t>土地使用权入股的村集体保底年收益</w:t>
            </w:r>
            <w:bookmarkEnd w:id="4"/>
            <w:r>
              <w:rPr>
                <w:rFonts w:hint="eastAsia"/>
                <w:color w:val="auto"/>
                <w:sz w:val="24"/>
                <w:szCs w:val="24"/>
                <w:highlight w:val="none"/>
              </w:rPr>
              <w:t>进行</w:t>
            </w:r>
            <w:r>
              <w:rPr>
                <w:rFonts w:hint="eastAsia"/>
                <w:color w:val="auto"/>
                <w:sz w:val="24"/>
                <w:szCs w:val="24"/>
                <w:highlight w:val="none"/>
                <w:lang w:eastAsia="zh-CN"/>
              </w:rPr>
              <w:t>打分</w:t>
            </w:r>
            <w:r>
              <w:rPr>
                <w:rFonts w:hint="eastAsia"/>
                <w:color w:val="auto"/>
                <w:sz w:val="24"/>
                <w:szCs w:val="24"/>
                <w:highlight w:val="none"/>
              </w:rPr>
              <w:t>。</w:t>
            </w:r>
          </w:p>
          <w:p w14:paraId="68EB2026">
            <w:pPr>
              <w:pStyle w:val="15"/>
              <w:keepNext w:val="0"/>
              <w:keepLines w:val="0"/>
              <w:pageBreakBefore w:val="0"/>
              <w:kinsoku/>
              <w:wordWrap/>
              <w:overflowPunct/>
              <w:topLinePunct w:val="0"/>
              <w:autoSpaceDE/>
              <w:autoSpaceDN/>
              <w:bidi w:val="0"/>
              <w:snapToGrid/>
              <w:spacing w:line="360" w:lineRule="auto"/>
              <w:ind w:firstLine="480" w:firstLineChars="200"/>
              <w:jc w:val="both"/>
              <w:rPr>
                <w:color w:val="auto"/>
                <w:sz w:val="24"/>
                <w:szCs w:val="24"/>
                <w:highlight w:val="none"/>
              </w:rPr>
            </w:pPr>
            <w:r>
              <w:rPr>
                <w:rFonts w:hint="eastAsia"/>
                <w:color w:val="auto"/>
                <w:sz w:val="24"/>
                <w:szCs w:val="24"/>
                <w:highlight w:val="none"/>
              </w:rPr>
              <w:t>所</w:t>
            </w:r>
            <w:r>
              <w:rPr>
                <w:rFonts w:hint="eastAsia"/>
                <w:color w:val="auto"/>
                <w:sz w:val="24"/>
                <w:szCs w:val="24"/>
                <w:highlight w:val="none"/>
                <w:lang w:eastAsia="zh-CN"/>
              </w:rPr>
              <w:t>有</w:t>
            </w:r>
            <w:r>
              <w:rPr>
                <w:rFonts w:hint="eastAsia"/>
                <w:color w:val="auto"/>
                <w:sz w:val="24"/>
                <w:szCs w:val="24"/>
                <w:highlight w:val="none"/>
              </w:rPr>
              <w:t>有效供应商的土地使用权入股的村集体保底年收益</w:t>
            </w:r>
            <w:r>
              <w:rPr>
                <w:rFonts w:hint="eastAsia"/>
                <w:color w:val="auto"/>
                <w:sz w:val="24"/>
                <w:szCs w:val="24"/>
                <w:highlight w:val="none"/>
                <w:lang w:eastAsia="zh-CN"/>
              </w:rPr>
              <w:t>，</w:t>
            </w:r>
            <w:r>
              <w:rPr>
                <w:rFonts w:hint="eastAsia"/>
                <w:color w:val="auto"/>
                <w:sz w:val="24"/>
                <w:szCs w:val="24"/>
                <w:highlight w:val="none"/>
              </w:rPr>
              <w:t>磋商报价中最</w:t>
            </w:r>
            <w:r>
              <w:rPr>
                <w:rFonts w:hint="eastAsia"/>
                <w:color w:val="auto"/>
                <w:sz w:val="24"/>
                <w:szCs w:val="24"/>
                <w:highlight w:val="none"/>
                <w:lang w:eastAsia="zh-CN"/>
              </w:rPr>
              <w:t>高</w:t>
            </w:r>
            <w:r>
              <w:rPr>
                <w:rFonts w:hint="eastAsia"/>
                <w:color w:val="auto"/>
                <w:sz w:val="24"/>
                <w:szCs w:val="24"/>
                <w:highlight w:val="none"/>
              </w:rPr>
              <w:t>的最终磋商报价为磋商基准价，其价格分为满分</w:t>
            </w:r>
            <w:r>
              <w:rPr>
                <w:rFonts w:hint="eastAsia"/>
                <w:color w:val="auto"/>
                <w:sz w:val="24"/>
                <w:szCs w:val="24"/>
                <w:highlight w:val="none"/>
                <w:lang w:val="en-US" w:eastAsia="zh-CN"/>
              </w:rPr>
              <w:t>10</w:t>
            </w:r>
            <w:r>
              <w:rPr>
                <w:rFonts w:hint="eastAsia"/>
                <w:color w:val="auto"/>
                <w:sz w:val="24"/>
                <w:szCs w:val="24"/>
                <w:highlight w:val="none"/>
                <w:lang w:val="en-US"/>
              </w:rPr>
              <w:t>分</w:t>
            </w:r>
            <w:r>
              <w:rPr>
                <w:rFonts w:hint="eastAsia"/>
                <w:color w:val="auto"/>
                <w:sz w:val="24"/>
                <w:szCs w:val="24"/>
                <w:highlight w:val="none"/>
              </w:rPr>
              <w:t>。其他供应商的报价得分计算：</w:t>
            </w:r>
          </w:p>
          <w:p w14:paraId="23A47D6F">
            <w:pPr>
              <w:keepNext w:val="0"/>
              <w:keepLines w:val="0"/>
              <w:pageBreakBefore w:val="0"/>
              <w:kinsoku/>
              <w:wordWrap/>
              <w:overflowPunct/>
              <w:topLinePunct w:val="0"/>
              <w:autoSpaceDE/>
              <w:autoSpaceDN/>
              <w:bidi w:val="0"/>
              <w:snapToGrid/>
              <w:spacing w:line="360" w:lineRule="auto"/>
              <w:ind w:firstLine="480" w:firstLineChars="200"/>
              <w:jc w:val="both"/>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报价得分=(最终磋商报价／磋商基准价)×</w:t>
            </w:r>
            <w:r>
              <w:rPr>
                <w:rFonts w:hint="eastAsia" w:ascii="宋体" w:hAnsi="宋体" w:cs="宋体"/>
                <w:color w:val="auto"/>
                <w:sz w:val="24"/>
                <w:szCs w:val="24"/>
                <w:highlight w:val="none"/>
                <w:lang w:val="en-US" w:eastAsia="zh-CN"/>
              </w:rPr>
              <w:t>10</w:t>
            </w:r>
          </w:p>
        </w:tc>
        <w:tc>
          <w:tcPr>
            <w:tcW w:w="773" w:type="dxa"/>
            <w:noWrap w:val="0"/>
            <w:vAlign w:val="center"/>
          </w:tcPr>
          <w:p w14:paraId="4251E695">
            <w:pPr>
              <w:keepNext w:val="0"/>
              <w:keepLines w:val="0"/>
              <w:pageBreakBefore w:val="0"/>
              <w:kinsoku/>
              <w:wordWrap/>
              <w:overflowPunct/>
              <w:topLinePunct w:val="0"/>
              <w:autoSpaceDE/>
              <w:autoSpaceDN/>
              <w:bidi w:val="0"/>
              <w:snapToGrid/>
              <w:spacing w:line="360" w:lineRule="auto"/>
              <w:jc w:val="both"/>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tc>
      </w:tr>
      <w:tr w14:paraId="3BC56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6" w:type="dxa"/>
            <w:gridSpan w:val="3"/>
            <w:noWrap w:val="0"/>
            <w:vAlign w:val="center"/>
          </w:tcPr>
          <w:p w14:paraId="041657E1">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商务部分（满分</w:t>
            </w:r>
            <w:r>
              <w:rPr>
                <w:rFonts w:hint="eastAsia" w:ascii="宋体" w:hAnsi="宋体" w:cs="宋体"/>
                <w:b/>
                <w:color w:val="auto"/>
                <w:sz w:val="24"/>
                <w:szCs w:val="24"/>
                <w:highlight w:val="none"/>
                <w:lang w:val="en-US" w:eastAsia="zh-CN"/>
              </w:rPr>
              <w:t>40</w:t>
            </w:r>
            <w:r>
              <w:rPr>
                <w:rFonts w:hint="eastAsia" w:ascii="宋体" w:hAnsi="宋体" w:cs="宋体"/>
                <w:b/>
                <w:color w:val="auto"/>
                <w:sz w:val="24"/>
                <w:szCs w:val="24"/>
                <w:highlight w:val="none"/>
              </w:rPr>
              <w:t>分）</w:t>
            </w:r>
          </w:p>
        </w:tc>
      </w:tr>
      <w:tr w14:paraId="5D33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15636409">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6687" w:type="dxa"/>
            <w:noWrap w:val="0"/>
            <w:vAlign w:val="center"/>
          </w:tcPr>
          <w:p w14:paraId="5BB8B151">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评标标准</w:t>
            </w:r>
          </w:p>
        </w:tc>
        <w:tc>
          <w:tcPr>
            <w:tcW w:w="773" w:type="dxa"/>
            <w:noWrap w:val="0"/>
            <w:vAlign w:val="center"/>
          </w:tcPr>
          <w:p w14:paraId="7A5FB975">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3D16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636" w:type="dxa"/>
            <w:noWrap w:val="0"/>
            <w:vAlign w:val="center"/>
          </w:tcPr>
          <w:p w14:paraId="3BB2F2A9">
            <w:pPr>
              <w:keepNext w:val="0"/>
              <w:keepLines w:val="0"/>
              <w:pageBreakBefore w:val="0"/>
              <w:kinsoku/>
              <w:wordWrap/>
              <w:overflowPunct/>
              <w:topLinePunct w:val="0"/>
              <w:autoSpaceDE/>
              <w:autoSpaceDN/>
              <w:bidi w:val="0"/>
              <w:snapToGrid/>
              <w:spacing w:line="360" w:lineRule="auto"/>
              <w:contextualSpacing/>
              <w:jc w:val="center"/>
              <w:rPr>
                <w:rFonts w:hint="eastAsia" w:ascii="宋体" w:hAnsi="宋体" w:cs="宋体" w:eastAsiaTheme="minorEastAsia"/>
                <w:color w:val="auto"/>
                <w:sz w:val="24"/>
                <w:szCs w:val="24"/>
                <w:highlight w:val="none"/>
                <w:lang w:eastAsia="zh-CN"/>
              </w:rPr>
            </w:pPr>
            <w:r>
              <w:rPr>
                <w:rFonts w:hint="eastAsia" w:ascii="宋体" w:hAnsi="宋体" w:cs="Cambria Math"/>
                <w:color w:val="auto"/>
                <w:sz w:val="24"/>
                <w:szCs w:val="24"/>
                <w:highlight w:val="none"/>
                <w:lang w:val="en-US" w:eastAsia="zh-CN"/>
              </w:rPr>
              <w:t>企业实力</w:t>
            </w:r>
          </w:p>
        </w:tc>
        <w:tc>
          <w:tcPr>
            <w:tcW w:w="6687" w:type="dxa"/>
            <w:noWrap w:val="0"/>
            <w:vAlign w:val="center"/>
          </w:tcPr>
          <w:p w14:paraId="2A52D9CF">
            <w:pPr>
              <w:pStyle w:val="4"/>
              <w:keepNext w:val="0"/>
              <w:keepLines w:val="0"/>
              <w:pageBreakBefore w:val="0"/>
              <w:kinsoku/>
              <w:wordWrap/>
              <w:overflowPunct/>
              <w:topLinePunct w:val="0"/>
              <w:autoSpaceDE/>
              <w:autoSpaceDN/>
              <w:bidi w:val="0"/>
              <w:snapToGrid/>
              <w:spacing w:before="0" w:beforeAutospacing="0" w:after="0" w:line="360" w:lineRule="auto"/>
              <w:ind w:firstLine="480" w:firstLineChars="200"/>
              <w:contextualSpacing/>
              <w:jc w:val="both"/>
              <w:rPr>
                <w:rFonts w:hint="eastAsia" w:hAnsi="宋体" w:cs="宋体"/>
                <w:color w:val="auto"/>
                <w:sz w:val="24"/>
                <w:szCs w:val="21"/>
                <w:highlight w:val="none"/>
              </w:rPr>
            </w:pPr>
            <w:r>
              <w:rPr>
                <w:rFonts w:hint="eastAsia" w:hAnsi="宋体" w:cs="宋体"/>
                <w:color w:val="auto"/>
                <w:sz w:val="24"/>
                <w:szCs w:val="21"/>
                <w:highlight w:val="none"/>
              </w:rPr>
              <w:t>投标企业</w:t>
            </w:r>
            <w:r>
              <w:rPr>
                <w:rFonts w:hint="eastAsia" w:hAnsi="宋体" w:cs="宋体"/>
                <w:color w:val="auto"/>
                <w:sz w:val="24"/>
                <w:szCs w:val="21"/>
                <w:highlight w:val="none"/>
                <w:lang w:eastAsia="zh-CN"/>
              </w:rPr>
              <w:t>（或所属集团公司）</w:t>
            </w:r>
            <w:r>
              <w:rPr>
                <w:rFonts w:hint="eastAsia" w:hAnsi="宋体" w:cs="宋体"/>
                <w:color w:val="auto"/>
                <w:sz w:val="24"/>
                <w:szCs w:val="21"/>
                <w:highlight w:val="none"/>
              </w:rPr>
              <w:t>新能源并网或核准容量在200MW及以上，得</w:t>
            </w:r>
            <w:r>
              <w:rPr>
                <w:rFonts w:hint="eastAsia" w:hAnsi="宋体" w:cs="宋体"/>
                <w:color w:val="auto"/>
                <w:sz w:val="24"/>
                <w:szCs w:val="21"/>
                <w:highlight w:val="none"/>
                <w:lang w:val="en-US" w:eastAsia="zh-CN"/>
              </w:rPr>
              <w:t>10</w:t>
            </w:r>
            <w:r>
              <w:rPr>
                <w:rFonts w:hint="eastAsia" w:hAnsi="宋体" w:cs="宋体"/>
                <w:color w:val="auto"/>
                <w:sz w:val="24"/>
                <w:szCs w:val="21"/>
                <w:highlight w:val="none"/>
              </w:rPr>
              <w:t>分；100MW（含）至200MW，得</w:t>
            </w:r>
            <w:r>
              <w:rPr>
                <w:rFonts w:hint="eastAsia" w:hAnsi="宋体" w:cs="宋体"/>
                <w:color w:val="auto"/>
                <w:sz w:val="24"/>
                <w:szCs w:val="21"/>
                <w:highlight w:val="none"/>
                <w:lang w:val="en-US" w:eastAsia="zh-CN"/>
              </w:rPr>
              <w:t>6</w:t>
            </w:r>
            <w:r>
              <w:rPr>
                <w:rFonts w:hint="eastAsia" w:hAnsi="宋体" w:cs="宋体"/>
                <w:color w:val="auto"/>
                <w:sz w:val="24"/>
                <w:szCs w:val="21"/>
                <w:highlight w:val="none"/>
              </w:rPr>
              <w:t>分；100MW 以下，得</w:t>
            </w:r>
            <w:r>
              <w:rPr>
                <w:rFonts w:hint="eastAsia" w:hAnsi="宋体" w:cs="宋体"/>
                <w:color w:val="auto"/>
                <w:sz w:val="24"/>
                <w:szCs w:val="21"/>
                <w:highlight w:val="none"/>
                <w:lang w:val="en-US" w:eastAsia="zh-CN"/>
              </w:rPr>
              <w:t>3</w:t>
            </w:r>
            <w:r>
              <w:rPr>
                <w:rFonts w:hint="eastAsia" w:hAnsi="宋体" w:cs="宋体"/>
                <w:color w:val="auto"/>
                <w:sz w:val="24"/>
                <w:szCs w:val="21"/>
                <w:highlight w:val="none"/>
              </w:rPr>
              <w:t>分；0MW，不得分。</w:t>
            </w:r>
          </w:p>
          <w:p w14:paraId="7AC53529">
            <w:pPr>
              <w:pStyle w:val="4"/>
              <w:keepNext w:val="0"/>
              <w:keepLines w:val="0"/>
              <w:pageBreakBefore w:val="0"/>
              <w:kinsoku/>
              <w:wordWrap/>
              <w:overflowPunct/>
              <w:topLinePunct w:val="0"/>
              <w:autoSpaceDE/>
              <w:autoSpaceDN/>
              <w:bidi w:val="0"/>
              <w:snapToGrid/>
              <w:spacing w:before="0" w:beforeAutospacing="0" w:after="0" w:line="360" w:lineRule="auto"/>
              <w:ind w:firstLine="480" w:firstLineChars="200"/>
              <w:contextualSpacing/>
              <w:jc w:val="both"/>
              <w:rPr>
                <w:rFonts w:hint="eastAsia" w:hAnsi="宋体" w:eastAsia="宋体" w:cs="宋体"/>
                <w:color w:val="auto"/>
                <w:kern w:val="2"/>
                <w:sz w:val="24"/>
                <w:szCs w:val="24"/>
                <w:highlight w:val="none"/>
                <w:lang w:eastAsia="zh-CN"/>
              </w:rPr>
            </w:pPr>
            <w:r>
              <w:rPr>
                <w:rFonts w:hint="eastAsia" w:hAnsi="宋体" w:cs="宋体"/>
                <w:color w:val="auto"/>
                <w:sz w:val="24"/>
                <w:szCs w:val="21"/>
                <w:highlight w:val="none"/>
              </w:rPr>
              <w:t>提供以上项目的</w:t>
            </w:r>
            <w:r>
              <w:rPr>
                <w:rFonts w:hint="eastAsia" w:hAnsi="宋体" w:cs="宋体"/>
                <w:color w:val="auto"/>
                <w:sz w:val="24"/>
                <w:szCs w:val="21"/>
                <w:highlight w:val="none"/>
                <w:lang w:eastAsia="zh-CN"/>
              </w:rPr>
              <w:t>核准批复文件和购售电合同（或</w:t>
            </w:r>
            <w:r>
              <w:rPr>
                <w:rFonts w:hint="eastAsia" w:ascii="宋体" w:hAnsi="宋体" w:cs="宋体"/>
                <w:bCs/>
                <w:color w:val="auto"/>
                <w:kern w:val="0"/>
                <w:sz w:val="24"/>
                <w:szCs w:val="24"/>
                <w:highlight w:val="none"/>
                <w:lang w:val="en-GB" w:eastAsia="zh-CN"/>
              </w:rPr>
              <w:t>项目的核准批复文件</w:t>
            </w:r>
            <w:r>
              <w:rPr>
                <w:rFonts w:hint="eastAsia" w:hAnsi="宋体" w:cs="宋体"/>
                <w:color w:val="auto"/>
                <w:sz w:val="24"/>
                <w:szCs w:val="21"/>
                <w:highlight w:val="none"/>
                <w:lang w:eastAsia="zh-CN"/>
              </w:rPr>
              <w:t>和调度协议）</w:t>
            </w:r>
          </w:p>
        </w:tc>
        <w:tc>
          <w:tcPr>
            <w:tcW w:w="773" w:type="dxa"/>
            <w:noWrap w:val="0"/>
            <w:vAlign w:val="center"/>
          </w:tcPr>
          <w:p w14:paraId="231CDD64">
            <w:pPr>
              <w:keepNext w:val="0"/>
              <w:keepLines w:val="0"/>
              <w:pageBreakBefore w:val="0"/>
              <w:kinsoku/>
              <w:wordWrap/>
              <w:overflowPunct/>
              <w:topLinePunct w:val="0"/>
              <w:autoSpaceDE/>
              <w:autoSpaceDN/>
              <w:bidi w:val="0"/>
              <w:snapToGrid/>
              <w:spacing w:line="360" w:lineRule="auto"/>
              <w:contextualSpacing/>
              <w:jc w:val="both"/>
              <w:rPr>
                <w:rFonts w:ascii="宋体" w:hAnsi="宋体" w:cs="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r w14:paraId="5B3D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36" w:type="dxa"/>
            <w:tcBorders>
              <w:bottom w:val="single" w:color="auto" w:sz="4" w:space="0"/>
            </w:tcBorders>
            <w:noWrap w:val="0"/>
            <w:vAlign w:val="center"/>
          </w:tcPr>
          <w:p w14:paraId="357EE08D">
            <w:pPr>
              <w:keepNext w:val="0"/>
              <w:keepLines w:val="0"/>
              <w:pageBreakBefore w:val="0"/>
              <w:kinsoku/>
              <w:wordWrap/>
              <w:overflowPunct/>
              <w:topLinePunct w:val="0"/>
              <w:autoSpaceDE/>
              <w:autoSpaceDN/>
              <w:bidi w:val="0"/>
              <w:snapToGrid/>
              <w:spacing w:line="360" w:lineRule="auto"/>
              <w:contextualSpacing/>
              <w:jc w:val="center"/>
              <w:rPr>
                <w:rFonts w:hint="eastAsia" w:ascii="宋体" w:hAnsi="宋体" w:cs="宋体"/>
                <w:color w:val="auto"/>
                <w:sz w:val="24"/>
                <w:szCs w:val="24"/>
                <w:highlight w:val="none"/>
              </w:rPr>
            </w:pPr>
            <w:r>
              <w:rPr>
                <w:rFonts w:hint="eastAsia" w:ascii="宋体" w:hAnsi="宋体" w:cs="Cambria Math"/>
                <w:color w:val="auto"/>
                <w:sz w:val="24"/>
                <w:szCs w:val="24"/>
                <w:highlight w:val="none"/>
              </w:rPr>
              <w:t>业绩</w:t>
            </w:r>
          </w:p>
        </w:tc>
        <w:tc>
          <w:tcPr>
            <w:tcW w:w="6687" w:type="dxa"/>
            <w:tcBorders>
              <w:top w:val="single" w:color="auto" w:sz="4" w:space="0"/>
              <w:left w:val="single" w:color="auto" w:sz="4" w:space="0"/>
              <w:bottom w:val="single" w:color="auto" w:sz="4" w:space="0"/>
              <w:right w:val="single" w:color="auto" w:sz="4" w:space="0"/>
            </w:tcBorders>
            <w:noWrap w:val="0"/>
            <w:vAlign w:val="center"/>
          </w:tcPr>
          <w:p w14:paraId="5AFD0C9B">
            <w:pPr>
              <w:keepNext w:val="0"/>
              <w:keepLines w:val="0"/>
              <w:pageBreakBefore w:val="0"/>
              <w:kinsoku/>
              <w:wordWrap/>
              <w:overflowPunct/>
              <w:topLinePunct w:val="0"/>
              <w:autoSpaceDE/>
              <w:autoSpaceDN/>
              <w:bidi w:val="0"/>
              <w:snapToGrid/>
              <w:spacing w:line="360" w:lineRule="auto"/>
              <w:ind w:firstLine="480" w:firstLineChars="200"/>
              <w:contextualSpacing/>
              <w:jc w:val="both"/>
              <w:rPr>
                <w:rFonts w:hint="eastAsia" w:ascii="宋体" w:hAnsi="宋体"/>
                <w:bCs/>
                <w:color w:val="auto"/>
                <w:sz w:val="24"/>
                <w:szCs w:val="24"/>
                <w:highlight w:val="none"/>
              </w:rPr>
            </w:pPr>
            <w:r>
              <w:rPr>
                <w:rFonts w:hint="eastAsia" w:ascii="宋体" w:hAnsi="宋体" w:cs="宋体"/>
                <w:bCs/>
                <w:color w:val="auto"/>
                <w:kern w:val="0"/>
                <w:sz w:val="24"/>
                <w:szCs w:val="24"/>
                <w:highlight w:val="none"/>
                <w:lang w:val="en-GB"/>
              </w:rPr>
              <w:t>自202</w:t>
            </w:r>
            <w:r>
              <w:rPr>
                <w:rFonts w:hint="eastAsia" w:ascii="宋体" w:hAnsi="宋体" w:cs="宋体"/>
                <w:bCs/>
                <w:color w:val="auto"/>
                <w:kern w:val="0"/>
                <w:sz w:val="24"/>
                <w:szCs w:val="24"/>
                <w:highlight w:val="none"/>
                <w:lang w:val="en-US" w:eastAsia="zh-CN"/>
              </w:rPr>
              <w:t>1</w:t>
            </w:r>
            <w:r>
              <w:rPr>
                <w:rFonts w:hint="eastAsia" w:ascii="宋体" w:hAnsi="宋体" w:cs="宋体"/>
                <w:bCs/>
                <w:color w:val="auto"/>
                <w:kern w:val="0"/>
                <w:sz w:val="24"/>
                <w:szCs w:val="24"/>
                <w:highlight w:val="none"/>
                <w:lang w:val="en-GB"/>
              </w:rPr>
              <w:t>年1</w:t>
            </w:r>
            <w:r>
              <w:rPr>
                <w:rFonts w:hint="eastAsia" w:ascii="宋体" w:hAnsi="宋体" w:cs="宋体"/>
                <w:bCs/>
                <w:color w:val="auto"/>
                <w:kern w:val="0"/>
                <w:sz w:val="24"/>
                <w:szCs w:val="24"/>
                <w:highlight w:val="none"/>
                <w:lang w:val="en-US" w:eastAsia="zh-CN"/>
              </w:rPr>
              <w:t>2</w:t>
            </w:r>
            <w:r>
              <w:rPr>
                <w:rFonts w:hint="eastAsia" w:ascii="宋体" w:hAnsi="宋体" w:cs="宋体"/>
                <w:bCs/>
                <w:color w:val="auto"/>
                <w:kern w:val="0"/>
                <w:sz w:val="24"/>
                <w:szCs w:val="24"/>
                <w:highlight w:val="none"/>
                <w:lang w:val="en-GB"/>
              </w:rPr>
              <w:t>月1日以来（以合同签订时间为准）</w:t>
            </w:r>
            <w:r>
              <w:rPr>
                <w:rFonts w:hint="eastAsia" w:ascii="宋体" w:hAnsi="宋体" w:cs="宋体"/>
                <w:bCs/>
                <w:color w:val="auto"/>
                <w:kern w:val="0"/>
                <w:sz w:val="24"/>
                <w:szCs w:val="24"/>
                <w:highlight w:val="none"/>
                <w:lang w:val="en-GB" w:eastAsia="zh-CN"/>
              </w:rPr>
              <w:t>投标企业</w:t>
            </w:r>
            <w:r>
              <w:rPr>
                <w:rFonts w:hint="eastAsia" w:hAnsi="宋体" w:cs="宋体"/>
                <w:color w:val="auto"/>
                <w:sz w:val="24"/>
                <w:szCs w:val="21"/>
                <w:highlight w:val="none"/>
                <w:lang w:eastAsia="zh-CN"/>
              </w:rPr>
              <w:t>（或所属集团公司）</w:t>
            </w:r>
            <w:r>
              <w:rPr>
                <w:rFonts w:hint="eastAsia" w:ascii="宋体" w:hAnsi="宋体" w:cs="宋体"/>
                <w:bCs/>
                <w:color w:val="auto"/>
                <w:kern w:val="0"/>
                <w:sz w:val="24"/>
                <w:szCs w:val="24"/>
                <w:highlight w:val="none"/>
                <w:lang w:val="en-GB" w:eastAsia="zh-CN"/>
              </w:rPr>
              <w:t>有过作为投资主体经验的，每提供一份业绩得5分，本项最高得10分，提供项目的核准批复文件和购售电合同</w:t>
            </w:r>
            <w:r>
              <w:rPr>
                <w:rFonts w:hint="eastAsia" w:ascii="宋体" w:hAnsi="宋体" w:cs="宋体"/>
                <w:bCs/>
                <w:color w:val="auto"/>
                <w:kern w:val="0"/>
                <w:sz w:val="24"/>
                <w:szCs w:val="24"/>
                <w:highlight w:val="none"/>
                <w:lang w:val="en-US" w:eastAsia="zh-CN"/>
              </w:rPr>
              <w:t>原件</w:t>
            </w:r>
            <w:r>
              <w:rPr>
                <w:rFonts w:hint="eastAsia" w:ascii="宋体" w:hAnsi="宋体" w:cs="宋体"/>
                <w:bCs/>
                <w:color w:val="auto"/>
                <w:kern w:val="0"/>
                <w:sz w:val="24"/>
                <w:szCs w:val="24"/>
                <w:highlight w:val="none"/>
                <w:lang w:val="en-GB" w:eastAsia="zh-CN"/>
              </w:rPr>
              <w:t>扫描件。</w:t>
            </w:r>
          </w:p>
        </w:tc>
        <w:tc>
          <w:tcPr>
            <w:tcW w:w="773" w:type="dxa"/>
            <w:noWrap w:val="0"/>
            <w:vAlign w:val="center"/>
          </w:tcPr>
          <w:p w14:paraId="042D92DD">
            <w:pPr>
              <w:keepNext w:val="0"/>
              <w:keepLines w:val="0"/>
              <w:pageBreakBefore w:val="0"/>
              <w:kinsoku/>
              <w:wordWrap/>
              <w:overflowPunct/>
              <w:topLinePunct w:val="0"/>
              <w:autoSpaceDE/>
              <w:autoSpaceDN/>
              <w:bidi w:val="0"/>
              <w:snapToGrid/>
              <w:spacing w:line="360" w:lineRule="auto"/>
              <w:contextualSpacing/>
              <w:jc w:val="both"/>
              <w:rPr>
                <w:rFonts w:hint="eastAsia"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r w14:paraId="64C3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36" w:type="dxa"/>
            <w:tcBorders>
              <w:bottom w:val="single" w:color="auto" w:sz="4" w:space="0"/>
            </w:tcBorders>
            <w:noWrap w:val="0"/>
            <w:vAlign w:val="center"/>
          </w:tcPr>
          <w:p w14:paraId="7623231D">
            <w:pPr>
              <w:keepNext w:val="0"/>
              <w:keepLines w:val="0"/>
              <w:pageBreakBefore w:val="0"/>
              <w:kinsoku/>
              <w:wordWrap/>
              <w:overflowPunct/>
              <w:topLinePunct w:val="0"/>
              <w:autoSpaceDE/>
              <w:autoSpaceDN/>
              <w:bidi w:val="0"/>
              <w:snapToGrid/>
              <w:spacing w:line="360" w:lineRule="auto"/>
              <w:contextualSpacing/>
              <w:jc w:val="center"/>
              <w:rPr>
                <w:rFonts w:ascii="宋体" w:hAnsi="宋体" w:cs="宋体"/>
                <w:color w:val="auto"/>
                <w:sz w:val="24"/>
                <w:szCs w:val="24"/>
                <w:highlight w:val="none"/>
              </w:rPr>
            </w:pPr>
            <w:r>
              <w:rPr>
                <w:rFonts w:ascii="宋体" w:hAnsi="宋体" w:cs="宋体"/>
                <w:color w:val="auto"/>
                <w:sz w:val="24"/>
                <w:szCs w:val="24"/>
                <w:highlight w:val="none"/>
              </w:rPr>
              <w:t>赋能乡村振兴</w:t>
            </w:r>
          </w:p>
        </w:tc>
        <w:tc>
          <w:tcPr>
            <w:tcW w:w="6687" w:type="dxa"/>
            <w:tcBorders>
              <w:top w:val="single" w:color="auto" w:sz="4" w:space="0"/>
              <w:left w:val="single" w:color="auto" w:sz="4" w:space="0"/>
              <w:bottom w:val="single" w:color="auto" w:sz="4" w:space="0"/>
              <w:right w:val="single" w:color="auto" w:sz="4" w:space="0"/>
            </w:tcBorders>
            <w:noWrap w:val="0"/>
            <w:vAlign w:val="center"/>
          </w:tcPr>
          <w:p w14:paraId="118A3540">
            <w:pPr>
              <w:keepNext w:val="0"/>
              <w:keepLines w:val="0"/>
              <w:pageBreakBefore w:val="0"/>
              <w:kinsoku/>
              <w:wordWrap/>
              <w:overflowPunct/>
              <w:topLinePunct w:val="0"/>
              <w:autoSpaceDE/>
              <w:autoSpaceDN/>
              <w:bidi w:val="0"/>
              <w:snapToGrid/>
              <w:spacing w:line="360" w:lineRule="auto"/>
              <w:ind w:firstLine="480" w:firstLineChars="200"/>
              <w:contextualSpacing/>
              <w:jc w:val="both"/>
              <w:textAlignment w:val="baseline"/>
              <w:rPr>
                <w:rFonts w:ascii="宋体" w:hAnsi="宋体" w:cs="宋体"/>
                <w:color w:val="auto"/>
                <w:sz w:val="24"/>
                <w:szCs w:val="24"/>
                <w:highlight w:val="none"/>
              </w:rPr>
            </w:pPr>
            <w:r>
              <w:rPr>
                <w:rFonts w:ascii="宋体" w:hAnsi="宋体" w:cs="宋体"/>
                <w:color w:val="auto"/>
                <w:sz w:val="24"/>
                <w:szCs w:val="24"/>
                <w:highlight w:val="none"/>
              </w:rPr>
              <w:t>以村企合作为基本原则，以收益共享为目的，合理确定村集体和开发企业的收益分配模式，使风电发展更多惠及农村农民，中标单位应积极支持村集体乡村振兴建设，提供实施方案。方案优，得分</w:t>
            </w:r>
            <w:r>
              <w:rPr>
                <w:rFonts w:hint="eastAsia" w:ascii="宋体" w:hAnsi="宋体" w:cs="宋体"/>
                <w:color w:val="auto"/>
                <w:sz w:val="24"/>
                <w:szCs w:val="24"/>
                <w:highlight w:val="none"/>
                <w:lang w:val="en-US" w:eastAsia="zh-CN"/>
              </w:rPr>
              <w:t>10</w:t>
            </w:r>
            <w:r>
              <w:rPr>
                <w:rFonts w:ascii="宋体" w:hAnsi="宋体" w:cs="宋体"/>
                <w:color w:val="auto"/>
                <w:sz w:val="24"/>
                <w:szCs w:val="24"/>
                <w:highlight w:val="none"/>
              </w:rPr>
              <w:t>分；方案可行，得分</w:t>
            </w:r>
            <w:r>
              <w:rPr>
                <w:rFonts w:hint="eastAsia" w:ascii="宋体" w:hAnsi="宋体" w:cs="宋体"/>
                <w:color w:val="auto"/>
                <w:sz w:val="24"/>
                <w:szCs w:val="24"/>
                <w:highlight w:val="none"/>
                <w:lang w:val="en-US" w:eastAsia="zh-CN"/>
              </w:rPr>
              <w:t>6</w:t>
            </w:r>
            <w:r>
              <w:rPr>
                <w:rFonts w:ascii="宋体" w:hAnsi="宋体" w:cs="宋体"/>
                <w:color w:val="auto"/>
                <w:sz w:val="24"/>
                <w:szCs w:val="24"/>
                <w:highlight w:val="none"/>
              </w:rPr>
              <w:t>分；方案一般，得</w:t>
            </w:r>
            <w:r>
              <w:rPr>
                <w:rFonts w:hint="default" w:ascii="宋体" w:hAnsi="宋体" w:cs="宋体"/>
                <w:color w:val="auto"/>
                <w:sz w:val="24"/>
                <w:szCs w:val="24"/>
                <w:highlight w:val="none"/>
              </w:rPr>
              <w:t>3</w:t>
            </w:r>
            <w:r>
              <w:rPr>
                <w:rFonts w:ascii="宋体" w:hAnsi="宋体" w:cs="宋体"/>
                <w:color w:val="auto"/>
                <w:sz w:val="24"/>
                <w:szCs w:val="24"/>
                <w:highlight w:val="none"/>
              </w:rPr>
              <w:t>分。</w:t>
            </w:r>
          </w:p>
        </w:tc>
        <w:tc>
          <w:tcPr>
            <w:tcW w:w="773" w:type="dxa"/>
            <w:noWrap w:val="0"/>
            <w:vAlign w:val="center"/>
          </w:tcPr>
          <w:p w14:paraId="605263A7">
            <w:pPr>
              <w:keepNext w:val="0"/>
              <w:keepLines w:val="0"/>
              <w:pageBreakBefore w:val="0"/>
              <w:kinsoku/>
              <w:wordWrap/>
              <w:overflowPunct/>
              <w:topLinePunct w:val="0"/>
              <w:autoSpaceDE/>
              <w:autoSpaceDN/>
              <w:bidi w:val="0"/>
              <w:snapToGrid/>
              <w:spacing w:line="360" w:lineRule="auto"/>
              <w:contextualSpacing/>
              <w:jc w:val="both"/>
              <w:rPr>
                <w:rFonts w:ascii="宋体" w:hAnsi="宋体" w:cs="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r w14:paraId="21C8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6" w:type="dxa"/>
            <w:tcBorders>
              <w:bottom w:val="single" w:color="auto" w:sz="4" w:space="0"/>
            </w:tcBorders>
            <w:noWrap w:val="0"/>
            <w:vAlign w:val="center"/>
          </w:tcPr>
          <w:p w14:paraId="449F04BD">
            <w:pPr>
              <w:keepNext w:val="0"/>
              <w:keepLines w:val="0"/>
              <w:pageBreakBefore w:val="0"/>
              <w:kinsoku/>
              <w:wordWrap/>
              <w:overflowPunct/>
              <w:topLinePunct w:val="0"/>
              <w:autoSpaceDE/>
              <w:autoSpaceDN/>
              <w:bidi w:val="0"/>
              <w:snapToGrid/>
              <w:spacing w:line="360" w:lineRule="auto"/>
              <w:contextualSpacing/>
              <w:jc w:val="center"/>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lang w:val="en-US" w:eastAsia="zh-CN"/>
              </w:rPr>
              <w:t>储能配置比例</w:t>
            </w:r>
          </w:p>
        </w:tc>
        <w:tc>
          <w:tcPr>
            <w:tcW w:w="6687" w:type="dxa"/>
            <w:tcBorders>
              <w:top w:val="single" w:color="auto" w:sz="4" w:space="0"/>
              <w:left w:val="single" w:color="auto" w:sz="4" w:space="0"/>
              <w:bottom w:val="single" w:color="auto" w:sz="4" w:space="0"/>
              <w:right w:val="single" w:color="auto" w:sz="4" w:space="0"/>
            </w:tcBorders>
            <w:noWrap w:val="0"/>
            <w:vAlign w:val="center"/>
          </w:tcPr>
          <w:p w14:paraId="517DAFA4">
            <w:pPr>
              <w:keepNext w:val="0"/>
              <w:keepLines w:val="0"/>
              <w:pageBreakBefore w:val="0"/>
              <w:kinsoku/>
              <w:wordWrap/>
              <w:overflowPunct/>
              <w:topLinePunct w:val="0"/>
              <w:autoSpaceDE/>
              <w:autoSpaceDN/>
              <w:bidi w:val="0"/>
              <w:snapToGrid/>
              <w:spacing w:line="360" w:lineRule="auto"/>
              <w:ind w:firstLine="480" w:firstLineChars="200"/>
              <w:contextualSpacing/>
              <w:jc w:val="both"/>
              <w:textAlignment w:val="baseline"/>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配备或租赁储能容量以项目装机功率的10%为基准(0分)，每增加1%，得分增加0.5分，最高得分10分。</w:t>
            </w:r>
          </w:p>
          <w:p w14:paraId="671F4553">
            <w:pPr>
              <w:keepNext w:val="0"/>
              <w:keepLines w:val="0"/>
              <w:pageBreakBefore w:val="0"/>
              <w:kinsoku/>
              <w:wordWrap/>
              <w:overflowPunct/>
              <w:topLinePunct w:val="0"/>
              <w:autoSpaceDE/>
              <w:autoSpaceDN/>
              <w:bidi w:val="0"/>
              <w:snapToGrid/>
              <w:spacing w:line="360" w:lineRule="auto"/>
              <w:ind w:firstLine="480" w:firstLineChars="200"/>
              <w:contextualSpacing/>
              <w:jc w:val="both"/>
              <w:textAlignment w:val="baseline"/>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t>计算方式为:配备或租赁储能规模容量得分=(项目装机功率百分比-10%)*100*0.5</w:t>
            </w:r>
          </w:p>
          <w:p w14:paraId="1E46DC94">
            <w:pPr>
              <w:keepNext w:val="0"/>
              <w:keepLines w:val="0"/>
              <w:pageBreakBefore w:val="0"/>
              <w:kinsoku/>
              <w:wordWrap/>
              <w:overflowPunct/>
              <w:topLinePunct w:val="0"/>
              <w:autoSpaceDE/>
              <w:autoSpaceDN/>
              <w:bidi w:val="0"/>
              <w:snapToGrid/>
              <w:spacing w:line="360" w:lineRule="auto"/>
              <w:ind w:firstLine="480" w:firstLineChars="200"/>
              <w:contextualSpacing/>
              <w:jc w:val="both"/>
              <w:textAlignment w:val="baseline"/>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highlight w:val="none"/>
                <w:lang w:val="en-US" w:eastAsia="zh-CN"/>
              </w:rPr>
              <w:t>（提供承诺函）</w:t>
            </w:r>
          </w:p>
        </w:tc>
        <w:tc>
          <w:tcPr>
            <w:tcW w:w="773" w:type="dxa"/>
            <w:noWrap w:val="0"/>
            <w:vAlign w:val="center"/>
          </w:tcPr>
          <w:p w14:paraId="1FEBC167">
            <w:pPr>
              <w:keepNext w:val="0"/>
              <w:keepLines w:val="0"/>
              <w:pageBreakBefore w:val="0"/>
              <w:kinsoku/>
              <w:wordWrap/>
              <w:overflowPunct/>
              <w:topLinePunct w:val="0"/>
              <w:autoSpaceDE/>
              <w:autoSpaceDN/>
              <w:bidi w:val="0"/>
              <w:snapToGrid/>
              <w:spacing w:line="360" w:lineRule="auto"/>
              <w:contextualSpacing/>
              <w:jc w:val="both"/>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r w14:paraId="5007B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096" w:type="dxa"/>
            <w:gridSpan w:val="3"/>
            <w:noWrap w:val="0"/>
            <w:vAlign w:val="center"/>
          </w:tcPr>
          <w:p w14:paraId="65D02333">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技术部分（满分</w:t>
            </w:r>
            <w:r>
              <w:rPr>
                <w:rFonts w:hint="eastAsia" w:ascii="宋体" w:hAnsi="宋体" w:cs="宋体"/>
                <w:b/>
                <w:color w:val="auto"/>
                <w:sz w:val="24"/>
                <w:szCs w:val="24"/>
                <w:highlight w:val="none"/>
                <w:lang w:val="en-US" w:eastAsia="zh-CN"/>
              </w:rPr>
              <w:t>50</w:t>
            </w:r>
            <w:r>
              <w:rPr>
                <w:rFonts w:hint="eastAsia" w:ascii="宋体" w:hAnsi="宋体" w:cs="宋体"/>
                <w:b/>
                <w:color w:val="auto"/>
                <w:sz w:val="24"/>
                <w:szCs w:val="24"/>
                <w:highlight w:val="none"/>
              </w:rPr>
              <w:t>分）</w:t>
            </w:r>
          </w:p>
        </w:tc>
      </w:tr>
      <w:tr w14:paraId="5E6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0457774F">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评分因素</w:t>
            </w:r>
          </w:p>
        </w:tc>
        <w:tc>
          <w:tcPr>
            <w:tcW w:w="6687" w:type="dxa"/>
            <w:noWrap w:val="0"/>
            <w:vAlign w:val="center"/>
          </w:tcPr>
          <w:p w14:paraId="0BCE86CD">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评标标准</w:t>
            </w:r>
          </w:p>
        </w:tc>
        <w:tc>
          <w:tcPr>
            <w:tcW w:w="773" w:type="dxa"/>
            <w:noWrap w:val="0"/>
            <w:vAlign w:val="center"/>
          </w:tcPr>
          <w:p w14:paraId="2EDD0AF3">
            <w:pPr>
              <w:keepNext w:val="0"/>
              <w:keepLines w:val="0"/>
              <w:pageBreakBefore w:val="0"/>
              <w:kinsoku/>
              <w:wordWrap/>
              <w:overflowPunct/>
              <w:topLinePunct w:val="0"/>
              <w:autoSpaceDE/>
              <w:autoSpaceDN/>
              <w:bidi w:val="0"/>
              <w:snapToGrid/>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分值</w:t>
            </w:r>
          </w:p>
        </w:tc>
      </w:tr>
      <w:tr w14:paraId="4848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1D14587E">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4"/>
                <w:szCs w:val="24"/>
                <w:highlight w:val="none"/>
              </w:rPr>
            </w:pPr>
            <w:r>
              <w:rPr>
                <w:rFonts w:hint="eastAsia" w:hAnsi="宋体" w:cs="宋体"/>
                <w:bCs/>
                <w:color w:val="auto"/>
                <w:sz w:val="24"/>
                <w:szCs w:val="24"/>
                <w:highlight w:val="none"/>
              </w:rPr>
              <w:t>资金筹措方案及保障措施</w:t>
            </w:r>
          </w:p>
        </w:tc>
        <w:tc>
          <w:tcPr>
            <w:tcW w:w="6687" w:type="dxa"/>
            <w:noWrap w:val="0"/>
            <w:vAlign w:val="center"/>
          </w:tcPr>
          <w:p w14:paraId="18AD73D9">
            <w:pPr>
              <w:keepNext w:val="0"/>
              <w:keepLines w:val="0"/>
              <w:pageBreakBefore w:val="0"/>
              <w:widowControl w:val="0"/>
              <w:kinsoku/>
              <w:wordWrap/>
              <w:overflowPunct/>
              <w:topLinePunct w:val="0"/>
              <w:autoSpaceDE/>
              <w:autoSpaceDN/>
              <w:bidi w:val="0"/>
              <w:adjustRightInd/>
              <w:snapToGrid/>
              <w:spacing w:line="288" w:lineRule="auto"/>
              <w:ind w:firstLine="480" w:firstLineChars="200"/>
              <w:jc w:val="both"/>
              <w:textAlignment w:val="auto"/>
              <w:rPr>
                <w:rFonts w:hint="eastAsia" w:ascii="宋体" w:hAnsi="宋体" w:cs="宋体"/>
                <w:color w:val="auto"/>
                <w:sz w:val="24"/>
                <w:highlight w:val="none"/>
              </w:rPr>
            </w:pPr>
            <w:r>
              <w:rPr>
                <w:rFonts w:hint="eastAsia" w:ascii="宋体" w:hAnsi="宋体" w:cs="宋体"/>
                <w:color w:val="auto"/>
                <w:sz w:val="24"/>
                <w:highlight w:val="none"/>
              </w:rPr>
              <w:t>有专项的资金筹措方案及筹措保障措施，方案合理可行，资金来源有保障，有具体的保证措施，对各种风险有充分的分析及有效的控制手段。</w:t>
            </w:r>
          </w:p>
          <w:p w14:paraId="09A309B4">
            <w:pPr>
              <w:keepNext w:val="0"/>
              <w:keepLines w:val="0"/>
              <w:pageBreakBefore w:val="0"/>
              <w:widowControl w:val="0"/>
              <w:kinsoku/>
              <w:wordWrap/>
              <w:overflowPunct/>
              <w:topLinePunct w:val="0"/>
              <w:autoSpaceDE/>
              <w:autoSpaceDN/>
              <w:bidi w:val="0"/>
              <w:adjustRightInd/>
              <w:snapToGrid/>
              <w:spacing w:line="288" w:lineRule="auto"/>
              <w:ind w:firstLine="240" w:firstLineChars="100"/>
              <w:jc w:val="both"/>
              <w:textAlignment w:val="auto"/>
              <w:rPr>
                <w:rFonts w:ascii="宋体" w:hAnsi="宋体" w:cs="宋体"/>
                <w:color w:val="auto"/>
                <w:sz w:val="24"/>
                <w:szCs w:val="24"/>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分；否则不得分。</w:t>
            </w:r>
          </w:p>
        </w:tc>
        <w:tc>
          <w:tcPr>
            <w:tcW w:w="773" w:type="dxa"/>
            <w:noWrap w:val="0"/>
            <w:vAlign w:val="center"/>
          </w:tcPr>
          <w:p w14:paraId="76133F44">
            <w:pPr>
              <w:keepNext w:val="0"/>
              <w:keepLines w:val="0"/>
              <w:pageBreakBefore w:val="0"/>
              <w:kinsoku/>
              <w:wordWrap/>
              <w:overflowPunct/>
              <w:topLinePunct w:val="0"/>
              <w:autoSpaceDE/>
              <w:autoSpaceDN/>
              <w:bidi w:val="0"/>
              <w:snapToGrid/>
              <w:spacing w:line="360" w:lineRule="auto"/>
              <w:jc w:val="both"/>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1A21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1E3D7CEF">
            <w:pPr>
              <w:keepNext w:val="0"/>
              <w:keepLines w:val="0"/>
              <w:pageBreakBefore w:val="0"/>
              <w:kinsoku/>
              <w:wordWrap/>
              <w:overflowPunct/>
              <w:topLinePunct w:val="0"/>
              <w:autoSpaceDE/>
              <w:autoSpaceDN/>
              <w:bidi w:val="0"/>
              <w:snapToGrid/>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程序报批管</w:t>
            </w:r>
          </w:p>
          <w:p w14:paraId="519DBED6">
            <w:pPr>
              <w:keepNext w:val="0"/>
              <w:keepLines w:val="0"/>
              <w:pageBreakBefore w:val="0"/>
              <w:kinsoku/>
              <w:wordWrap/>
              <w:overflowPunct/>
              <w:topLinePunct w:val="0"/>
              <w:autoSpaceDE/>
              <w:autoSpaceDN/>
              <w:bidi w:val="0"/>
              <w:snapToGrid/>
              <w:spacing w:line="360" w:lineRule="auto"/>
              <w:jc w:val="center"/>
              <w:rPr>
                <w:rFonts w:ascii="宋体" w:hAnsi="宋体" w:cs="宋体"/>
                <w:bCs/>
                <w:color w:val="auto"/>
                <w:sz w:val="24"/>
                <w:highlight w:val="none"/>
              </w:rPr>
            </w:pPr>
            <w:r>
              <w:rPr>
                <w:rFonts w:hint="eastAsia" w:hAnsi="宋体" w:cs="宋体"/>
                <w:bCs/>
                <w:color w:val="auto"/>
                <w:sz w:val="24"/>
                <w:szCs w:val="24"/>
                <w:highlight w:val="none"/>
              </w:rPr>
              <w:t>理方案</w:t>
            </w:r>
          </w:p>
        </w:tc>
        <w:tc>
          <w:tcPr>
            <w:tcW w:w="6687" w:type="dxa"/>
            <w:noWrap w:val="0"/>
            <w:vAlign w:val="center"/>
          </w:tcPr>
          <w:p w14:paraId="397FF0D2">
            <w:pPr>
              <w:keepNext w:val="0"/>
              <w:keepLines w:val="0"/>
              <w:pageBreakBefore w:val="0"/>
              <w:kinsoku/>
              <w:wordWrap/>
              <w:overflowPunct/>
              <w:topLinePunct w:val="0"/>
              <w:autoSpaceDE/>
              <w:autoSpaceDN/>
              <w:bidi w:val="0"/>
              <w:snapToGrid/>
              <w:spacing w:line="360" w:lineRule="auto"/>
              <w:ind w:firstLine="480" w:firstLineChars="200"/>
              <w:jc w:val="both"/>
              <w:rPr>
                <w:rFonts w:hint="eastAsia" w:ascii="宋体" w:hAnsi="宋体" w:cs="宋体"/>
                <w:color w:val="auto"/>
                <w:sz w:val="24"/>
                <w:highlight w:val="none"/>
                <w:lang w:eastAsia="zh-CN"/>
              </w:rPr>
            </w:pPr>
            <w:r>
              <w:rPr>
                <w:rFonts w:hint="eastAsia" w:ascii="宋体" w:hAnsi="宋体" w:cs="宋体"/>
                <w:color w:val="auto"/>
                <w:sz w:val="24"/>
                <w:highlight w:val="none"/>
              </w:rPr>
              <w:t>针对项目特点，合理安排各项程序报批工作</w:t>
            </w:r>
            <w:r>
              <w:rPr>
                <w:rFonts w:hint="eastAsia" w:ascii="宋体" w:hAnsi="宋体" w:cs="宋体"/>
                <w:color w:val="auto"/>
                <w:sz w:val="24"/>
                <w:highlight w:val="none"/>
                <w:lang w:eastAsia="zh-CN"/>
              </w:rPr>
              <w:t>，有报批目标和报批保证体系，报批进度控制和管理措施。</w:t>
            </w:r>
          </w:p>
          <w:p w14:paraId="20596CE3">
            <w:pPr>
              <w:keepNext w:val="0"/>
              <w:keepLines w:val="0"/>
              <w:pageBreakBefore w:val="0"/>
              <w:kinsoku/>
              <w:wordWrap/>
              <w:overflowPunct/>
              <w:topLinePunct w:val="0"/>
              <w:autoSpaceDE/>
              <w:autoSpaceDN/>
              <w:bidi w:val="0"/>
              <w:snapToGrid/>
              <w:spacing w:line="360" w:lineRule="auto"/>
              <w:ind w:firstLine="240" w:firstLineChars="100"/>
              <w:jc w:val="both"/>
              <w:rPr>
                <w:rFonts w:ascii="宋体" w:hAnsi="宋体" w:cs="宋体"/>
                <w:color w:val="auto"/>
                <w:sz w:val="24"/>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分；否则不得分。</w:t>
            </w:r>
          </w:p>
        </w:tc>
        <w:tc>
          <w:tcPr>
            <w:tcW w:w="773" w:type="dxa"/>
            <w:noWrap w:val="0"/>
            <w:vAlign w:val="center"/>
          </w:tcPr>
          <w:p w14:paraId="557EE5C9">
            <w:pPr>
              <w:keepNext w:val="0"/>
              <w:keepLines w:val="0"/>
              <w:pageBreakBefore w:val="0"/>
              <w:kinsoku/>
              <w:wordWrap/>
              <w:overflowPunct/>
              <w:topLinePunct w:val="0"/>
              <w:autoSpaceDE/>
              <w:autoSpaceDN/>
              <w:bidi w:val="0"/>
              <w:snapToGrid/>
              <w:spacing w:line="360" w:lineRule="auto"/>
              <w:jc w:val="both"/>
              <w:rPr>
                <w:rFonts w:ascii="宋体" w:hAnsi="宋体" w:cs="宋体"/>
                <w:color w:val="auto"/>
                <w:sz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33A5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3FBEDB87">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4"/>
                <w:szCs w:val="24"/>
                <w:highlight w:val="none"/>
              </w:rPr>
            </w:pPr>
            <w:r>
              <w:rPr>
                <w:rFonts w:hint="eastAsia" w:hAnsi="宋体" w:cs="宋体"/>
                <w:bCs/>
                <w:color w:val="auto"/>
                <w:sz w:val="24"/>
                <w:szCs w:val="24"/>
                <w:highlight w:val="none"/>
              </w:rPr>
              <w:t>总体规划管理方案</w:t>
            </w:r>
          </w:p>
        </w:tc>
        <w:tc>
          <w:tcPr>
            <w:tcW w:w="6687" w:type="dxa"/>
            <w:noWrap w:val="0"/>
            <w:vAlign w:val="center"/>
          </w:tcPr>
          <w:p w14:paraId="05ACFC63">
            <w:pPr>
              <w:keepNext w:val="0"/>
              <w:keepLines w:val="0"/>
              <w:pageBreakBefore w:val="0"/>
              <w:kinsoku/>
              <w:wordWrap/>
              <w:overflowPunct/>
              <w:topLinePunct w:val="0"/>
              <w:autoSpaceDE/>
              <w:autoSpaceDN/>
              <w:bidi w:val="0"/>
              <w:snapToGrid/>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总体规划管理方案包括但不限于生态可持续发展管理，质量管理，环境管理，进度管理内容。</w:t>
            </w:r>
          </w:p>
          <w:p w14:paraId="119B4FAC">
            <w:pPr>
              <w:keepNext w:val="0"/>
              <w:keepLines w:val="0"/>
              <w:pageBreakBefore w:val="0"/>
              <w:kinsoku/>
              <w:wordWrap/>
              <w:overflowPunct/>
              <w:topLinePunct w:val="0"/>
              <w:autoSpaceDE/>
              <w:autoSpaceDN/>
              <w:bidi w:val="0"/>
              <w:snapToGrid/>
              <w:spacing w:line="360" w:lineRule="auto"/>
              <w:ind w:firstLine="240" w:firstLineChars="100"/>
              <w:jc w:val="both"/>
              <w:rPr>
                <w:rFonts w:ascii="宋体" w:hAnsi="宋体" w:cs="宋体"/>
                <w:color w:val="auto"/>
                <w:sz w:val="24"/>
                <w:szCs w:val="24"/>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分；否则不得分。</w:t>
            </w:r>
          </w:p>
        </w:tc>
        <w:tc>
          <w:tcPr>
            <w:tcW w:w="773" w:type="dxa"/>
            <w:noWrap w:val="0"/>
            <w:vAlign w:val="center"/>
          </w:tcPr>
          <w:p w14:paraId="03AA8FFF">
            <w:pPr>
              <w:keepNext w:val="0"/>
              <w:keepLines w:val="0"/>
              <w:pageBreakBefore w:val="0"/>
              <w:kinsoku/>
              <w:wordWrap/>
              <w:overflowPunct/>
              <w:topLinePunct w:val="0"/>
              <w:autoSpaceDE/>
              <w:autoSpaceDN/>
              <w:bidi w:val="0"/>
              <w:snapToGrid/>
              <w:spacing w:line="360" w:lineRule="auto"/>
              <w:jc w:val="both"/>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4EEF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26956198">
            <w:pPr>
              <w:keepNext w:val="0"/>
              <w:keepLines w:val="0"/>
              <w:pageBreakBefore w:val="0"/>
              <w:kinsoku/>
              <w:wordWrap/>
              <w:overflowPunct/>
              <w:topLinePunct w:val="0"/>
              <w:autoSpaceDE/>
              <w:autoSpaceDN/>
              <w:bidi w:val="0"/>
              <w:snapToGrid/>
              <w:spacing w:line="360" w:lineRule="auto"/>
              <w:jc w:val="center"/>
              <w:rPr>
                <w:rFonts w:ascii="宋体" w:hAnsi="宋体" w:cs="宋体"/>
                <w:color w:val="auto"/>
                <w:sz w:val="24"/>
                <w:szCs w:val="24"/>
                <w:highlight w:val="none"/>
              </w:rPr>
            </w:pPr>
            <w:r>
              <w:rPr>
                <w:rFonts w:hint="eastAsia" w:hAnsi="宋体" w:cs="宋体"/>
                <w:bCs/>
                <w:color w:val="auto"/>
                <w:sz w:val="24"/>
                <w:szCs w:val="24"/>
                <w:highlight w:val="none"/>
              </w:rPr>
              <w:t>安全管理体系与措施</w:t>
            </w:r>
          </w:p>
        </w:tc>
        <w:tc>
          <w:tcPr>
            <w:tcW w:w="6687" w:type="dxa"/>
            <w:noWrap w:val="0"/>
            <w:vAlign w:val="center"/>
          </w:tcPr>
          <w:p w14:paraId="0D490112">
            <w:pPr>
              <w:keepNext w:val="0"/>
              <w:keepLines w:val="0"/>
              <w:pageBreakBefore w:val="0"/>
              <w:kinsoku/>
              <w:wordWrap/>
              <w:overflowPunct/>
              <w:topLinePunct w:val="0"/>
              <w:autoSpaceDE/>
              <w:autoSpaceDN/>
              <w:bidi w:val="0"/>
              <w:snapToGrid/>
              <w:spacing w:line="360" w:lineRule="auto"/>
              <w:ind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安全保证措施：有安全生产管理目标，有安全生产管理体系、责任体系，有安全生产管理制度和措施。</w:t>
            </w:r>
          </w:p>
          <w:p w14:paraId="378FAC4E">
            <w:pPr>
              <w:keepNext w:val="0"/>
              <w:keepLines w:val="0"/>
              <w:pageBreakBefore w:val="0"/>
              <w:kinsoku/>
              <w:wordWrap/>
              <w:overflowPunct/>
              <w:topLinePunct w:val="0"/>
              <w:autoSpaceDE/>
              <w:autoSpaceDN/>
              <w:bidi w:val="0"/>
              <w:snapToGrid/>
              <w:spacing w:line="360" w:lineRule="auto"/>
              <w:ind w:firstLine="240" w:firstLineChars="100"/>
              <w:jc w:val="both"/>
              <w:rPr>
                <w:rFonts w:ascii="宋体" w:hAnsi="宋体" w:cs="宋体"/>
                <w:color w:val="auto"/>
                <w:sz w:val="24"/>
                <w:szCs w:val="24"/>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分；否则不得分。</w:t>
            </w:r>
          </w:p>
        </w:tc>
        <w:tc>
          <w:tcPr>
            <w:tcW w:w="773" w:type="dxa"/>
            <w:noWrap w:val="0"/>
            <w:vAlign w:val="center"/>
          </w:tcPr>
          <w:p w14:paraId="5BD57B59">
            <w:pPr>
              <w:keepNext w:val="0"/>
              <w:keepLines w:val="0"/>
              <w:pageBreakBefore w:val="0"/>
              <w:kinsoku/>
              <w:wordWrap/>
              <w:overflowPunct/>
              <w:topLinePunct w:val="0"/>
              <w:autoSpaceDE/>
              <w:autoSpaceDN/>
              <w:bidi w:val="0"/>
              <w:snapToGrid/>
              <w:spacing w:line="360" w:lineRule="auto"/>
              <w:jc w:val="both"/>
              <w:rPr>
                <w:rFonts w:ascii="宋体" w:hAnsi="宋体" w:cs="宋体"/>
                <w:color w:val="auto"/>
                <w:sz w:val="24"/>
                <w:szCs w:val="24"/>
                <w:highlight w:val="none"/>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14F5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29576736">
            <w:pPr>
              <w:keepNext w:val="0"/>
              <w:keepLines w:val="0"/>
              <w:pageBreakBefore w:val="0"/>
              <w:kinsoku/>
              <w:wordWrap/>
              <w:overflowPunct/>
              <w:topLinePunct w:val="0"/>
              <w:autoSpaceDE/>
              <w:autoSpaceDN/>
              <w:bidi w:val="0"/>
              <w:snapToGrid/>
              <w:spacing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资源配备计划</w:t>
            </w:r>
          </w:p>
        </w:tc>
        <w:tc>
          <w:tcPr>
            <w:tcW w:w="6687" w:type="dxa"/>
            <w:noWrap w:val="0"/>
            <w:vAlign w:val="center"/>
          </w:tcPr>
          <w:p w14:paraId="3FF13BDD">
            <w:pPr>
              <w:keepNext w:val="0"/>
              <w:keepLines w:val="0"/>
              <w:pageBreakBefore w:val="0"/>
              <w:kinsoku/>
              <w:wordWrap/>
              <w:overflowPunct/>
              <w:topLinePunct w:val="0"/>
              <w:autoSpaceDE/>
              <w:autoSpaceDN/>
              <w:bidi w:val="0"/>
              <w:snapToGrid/>
              <w:spacing w:line="360" w:lineRule="auto"/>
              <w:ind w:firstLine="480" w:firstLineChars="200"/>
              <w:jc w:val="both"/>
              <w:rPr>
                <w:rFonts w:hint="eastAsia" w:cs="宋体"/>
                <w:color w:val="auto"/>
                <w:sz w:val="24"/>
                <w:szCs w:val="24"/>
                <w:highlight w:val="none"/>
                <w:lang w:bidi="ar"/>
              </w:rPr>
            </w:pPr>
            <w:r>
              <w:rPr>
                <w:rFonts w:hint="eastAsia" w:hAnsi="宋体" w:cs="宋体"/>
                <w:bCs/>
                <w:color w:val="auto"/>
                <w:sz w:val="24"/>
                <w:szCs w:val="24"/>
                <w:highlight w:val="none"/>
              </w:rPr>
              <w:t>资源配备计划主要包括：</w:t>
            </w:r>
            <w:r>
              <w:rPr>
                <w:rFonts w:hint="eastAsia" w:cs="宋体"/>
                <w:color w:val="auto"/>
                <w:sz w:val="24"/>
                <w:szCs w:val="24"/>
                <w:highlight w:val="none"/>
                <w:lang w:bidi="ar"/>
              </w:rPr>
              <w:t>设备配备计划、劳动力配备计划、其他生产资源类的配备计划、资金使用计划等内容。</w:t>
            </w:r>
          </w:p>
          <w:p w14:paraId="321E73E7">
            <w:pPr>
              <w:keepNext w:val="0"/>
              <w:keepLines w:val="0"/>
              <w:pageBreakBefore w:val="0"/>
              <w:kinsoku/>
              <w:wordWrap/>
              <w:overflowPunct/>
              <w:topLinePunct w:val="0"/>
              <w:autoSpaceDE/>
              <w:autoSpaceDN/>
              <w:bidi w:val="0"/>
              <w:snapToGrid/>
              <w:spacing w:line="360" w:lineRule="auto"/>
              <w:ind w:firstLine="240" w:firstLineChars="100"/>
              <w:jc w:val="both"/>
              <w:rPr>
                <w:rFonts w:hint="eastAsia" w:ascii="宋体" w:hAnsi="宋体" w:cs="宋体"/>
                <w:color w:val="auto"/>
                <w:sz w:val="24"/>
                <w:szCs w:val="24"/>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分；否则不得分。</w:t>
            </w:r>
          </w:p>
        </w:tc>
        <w:tc>
          <w:tcPr>
            <w:tcW w:w="773" w:type="dxa"/>
            <w:noWrap w:val="0"/>
            <w:vAlign w:val="center"/>
          </w:tcPr>
          <w:p w14:paraId="4DD60CB1">
            <w:pPr>
              <w:keepNext w:val="0"/>
              <w:keepLines w:val="0"/>
              <w:pageBreakBefore w:val="0"/>
              <w:kinsoku/>
              <w:wordWrap/>
              <w:overflowPunct/>
              <w:topLinePunct w:val="0"/>
              <w:autoSpaceDE/>
              <w:autoSpaceDN/>
              <w:bidi w:val="0"/>
              <w:snapToGrid/>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分</w:t>
            </w:r>
          </w:p>
        </w:tc>
      </w:tr>
      <w:tr w14:paraId="6A052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6" w:type="dxa"/>
            <w:noWrap w:val="0"/>
            <w:vAlign w:val="center"/>
          </w:tcPr>
          <w:p w14:paraId="36E58705">
            <w:pPr>
              <w:keepNext w:val="0"/>
              <w:keepLines w:val="0"/>
              <w:pageBreakBefore w:val="0"/>
              <w:kinsoku/>
              <w:wordWrap/>
              <w:overflowPunct/>
              <w:topLinePunct w:val="0"/>
              <w:autoSpaceDE/>
              <w:autoSpaceDN/>
              <w:bidi w:val="0"/>
              <w:snapToGrid/>
              <w:spacing w:line="360" w:lineRule="auto"/>
              <w:contextualSpacing/>
              <w:jc w:val="center"/>
              <w:rPr>
                <w:rFonts w:cs="宋体"/>
                <w:color w:val="auto"/>
                <w:sz w:val="24"/>
                <w:szCs w:val="24"/>
                <w:highlight w:val="none"/>
                <w:lang w:bidi="ar"/>
              </w:rPr>
            </w:pPr>
            <w:r>
              <w:rPr>
                <w:rFonts w:hint="eastAsia" w:ascii="宋体" w:hAnsi="宋体" w:cs="宋体"/>
                <w:color w:val="auto"/>
                <w:sz w:val="24"/>
                <w:szCs w:val="24"/>
                <w:highlight w:val="none"/>
              </w:rPr>
              <w:t>服务承诺</w:t>
            </w:r>
          </w:p>
        </w:tc>
        <w:tc>
          <w:tcPr>
            <w:tcW w:w="6687" w:type="dxa"/>
            <w:noWrap w:val="0"/>
            <w:vAlign w:val="center"/>
          </w:tcPr>
          <w:p w14:paraId="58429BF9">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jc w:val="both"/>
              <w:rPr>
                <w:rFonts w:hint="eastAsia" w:ascii="宋体" w:hAnsi="宋体"/>
                <w:color w:val="auto"/>
                <w:sz w:val="24"/>
                <w:szCs w:val="22"/>
                <w:highlight w:val="none"/>
              </w:rPr>
            </w:pPr>
            <w:r>
              <w:rPr>
                <w:rFonts w:hint="eastAsia" w:ascii="宋体" w:hAnsi="宋体"/>
                <w:color w:val="auto"/>
                <w:sz w:val="24"/>
                <w:szCs w:val="22"/>
                <w:highlight w:val="none"/>
              </w:rPr>
              <w:t>1、结合本项目的实际情况，供应商提供服务承诺、违约赔偿责任措施及廉政承诺。</w:t>
            </w:r>
          </w:p>
          <w:p w14:paraId="2EF0AF9D">
            <w:pPr>
              <w:keepNext w:val="0"/>
              <w:keepLines w:val="0"/>
              <w:pageBreakBefore w:val="0"/>
              <w:numPr>
                <w:ilvl w:val="0"/>
                <w:numId w:val="0"/>
              </w:numPr>
              <w:kinsoku/>
              <w:wordWrap/>
              <w:overflowPunct/>
              <w:topLinePunct w:val="0"/>
              <w:autoSpaceDE/>
              <w:autoSpaceDN/>
              <w:bidi w:val="0"/>
              <w:adjustRightInd w:val="0"/>
              <w:snapToGrid/>
              <w:spacing w:line="360" w:lineRule="auto"/>
              <w:ind w:firstLine="240" w:firstLineChars="100"/>
              <w:jc w:val="both"/>
              <w:rPr>
                <w:rFonts w:hint="eastAsia" w:ascii="宋体" w:hAnsi="宋体"/>
                <w:color w:val="auto"/>
                <w:sz w:val="24"/>
                <w:szCs w:val="22"/>
                <w:highlight w:val="none"/>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缺项但有简单描述的得1分；否则不得分。</w:t>
            </w:r>
          </w:p>
          <w:p w14:paraId="346DF030">
            <w:pPr>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jc w:val="both"/>
              <w:rPr>
                <w:rFonts w:hint="eastAsia" w:ascii="宋体" w:hAnsi="宋体"/>
                <w:color w:val="auto"/>
                <w:sz w:val="24"/>
                <w:szCs w:val="22"/>
                <w:highlight w:val="none"/>
              </w:rPr>
            </w:pPr>
            <w:r>
              <w:rPr>
                <w:rFonts w:hint="eastAsia" w:ascii="宋体" w:hAnsi="宋体"/>
                <w:color w:val="auto"/>
                <w:sz w:val="24"/>
                <w:szCs w:val="22"/>
                <w:highlight w:val="none"/>
              </w:rPr>
              <w:t>2、保证在项目实施过程中，做好关系协调，安全措施有效、不发生人员伤亡事故和上访事件。</w:t>
            </w:r>
          </w:p>
          <w:p w14:paraId="5C16468D">
            <w:pPr>
              <w:keepNext w:val="0"/>
              <w:keepLines w:val="0"/>
              <w:pageBreakBefore w:val="0"/>
              <w:numPr>
                <w:ilvl w:val="0"/>
                <w:numId w:val="0"/>
              </w:numPr>
              <w:kinsoku/>
              <w:wordWrap/>
              <w:overflowPunct/>
              <w:topLinePunct w:val="0"/>
              <w:autoSpaceDE/>
              <w:autoSpaceDN/>
              <w:bidi w:val="0"/>
              <w:adjustRightInd w:val="0"/>
              <w:snapToGrid/>
              <w:spacing w:line="360" w:lineRule="auto"/>
              <w:ind w:firstLine="240" w:firstLineChars="100"/>
              <w:jc w:val="both"/>
              <w:rPr>
                <w:rFonts w:hint="eastAsia" w:ascii="宋体" w:hAnsi="宋体" w:eastAsia="宋体" w:cs="宋体"/>
                <w:color w:val="auto"/>
                <w:sz w:val="24"/>
                <w:highlight w:val="none"/>
                <w:lang w:eastAsia="zh-CN"/>
              </w:rPr>
            </w:pPr>
            <w:r>
              <w:rPr>
                <w:rFonts w:hint="eastAsia" w:ascii="宋体" w:hAnsi="宋体"/>
                <w:color w:val="auto"/>
                <w:sz w:val="24"/>
                <w:szCs w:val="24"/>
                <w:highlight w:val="none"/>
              </w:rPr>
              <w:t>内容详实可行的得</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分，内容基本完整、不缺项但可行性一般的得</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分，</w:t>
            </w:r>
            <w:r>
              <w:rPr>
                <w:rFonts w:hint="eastAsia" w:hAnsi="宋体" w:cs="宋体"/>
                <w:bCs/>
                <w:color w:val="auto"/>
                <w:sz w:val="24"/>
                <w:szCs w:val="24"/>
                <w:highlight w:val="none"/>
              </w:rPr>
              <w:t>有明显</w:t>
            </w:r>
            <w:r>
              <w:rPr>
                <w:rFonts w:hint="eastAsia" w:ascii="宋体" w:hAnsi="宋体"/>
                <w:color w:val="auto"/>
                <w:sz w:val="24"/>
                <w:szCs w:val="24"/>
                <w:highlight w:val="none"/>
              </w:rPr>
              <w:t>缺项但有简单描述的得1分；否则不得分。</w:t>
            </w:r>
          </w:p>
        </w:tc>
        <w:tc>
          <w:tcPr>
            <w:tcW w:w="773" w:type="dxa"/>
            <w:noWrap w:val="0"/>
            <w:vAlign w:val="center"/>
          </w:tcPr>
          <w:p w14:paraId="48B7E38E">
            <w:pPr>
              <w:keepNext w:val="0"/>
              <w:keepLines w:val="0"/>
              <w:pageBreakBefore w:val="0"/>
              <w:kinsoku/>
              <w:wordWrap/>
              <w:overflowPunct/>
              <w:topLinePunct w:val="0"/>
              <w:autoSpaceDE/>
              <w:autoSpaceDN/>
              <w:bidi w:val="0"/>
              <w:snapToGrid/>
              <w:spacing w:line="360" w:lineRule="auto"/>
              <w:contextualSpacing/>
              <w:jc w:val="both"/>
              <w:rPr>
                <w:rFonts w:ascii="宋体" w:hAnsi="宋体"/>
                <w:color w:val="auto"/>
                <w:sz w:val="24"/>
                <w:szCs w:val="24"/>
                <w:highlight w:val="none"/>
              </w:rPr>
            </w:pP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p>
        </w:tc>
      </w:tr>
    </w:tbl>
    <w:p w14:paraId="5964E8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7AB934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其中：价格分计算（落实政府采购政策价格调整部分）</w:t>
      </w:r>
    </w:p>
    <w:tbl>
      <w:tblPr>
        <w:tblStyle w:val="10"/>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432"/>
        <w:gridCol w:w="3100"/>
        <w:gridCol w:w="2678"/>
      </w:tblGrid>
      <w:tr w14:paraId="76D3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21" w:type="dxa"/>
            <w:vAlign w:val="center"/>
          </w:tcPr>
          <w:p w14:paraId="12D8683E">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序号</w:t>
            </w:r>
          </w:p>
        </w:tc>
        <w:tc>
          <w:tcPr>
            <w:tcW w:w="2432" w:type="dxa"/>
            <w:vAlign w:val="center"/>
          </w:tcPr>
          <w:p w14:paraId="1477F506">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情形</w:t>
            </w:r>
          </w:p>
        </w:tc>
        <w:tc>
          <w:tcPr>
            <w:tcW w:w="3100" w:type="dxa"/>
            <w:vAlign w:val="center"/>
          </w:tcPr>
          <w:p w14:paraId="55B287CC">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价格比例</w:t>
            </w:r>
          </w:p>
        </w:tc>
        <w:tc>
          <w:tcPr>
            <w:tcW w:w="2678" w:type="dxa"/>
            <w:vAlign w:val="center"/>
          </w:tcPr>
          <w:p w14:paraId="4BCBA277">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计算公式</w:t>
            </w:r>
          </w:p>
        </w:tc>
      </w:tr>
      <w:tr w14:paraId="27EB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1" w:type="dxa"/>
            <w:vAlign w:val="center"/>
          </w:tcPr>
          <w:p w14:paraId="3EEBEABE">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1</w:t>
            </w:r>
          </w:p>
        </w:tc>
        <w:tc>
          <w:tcPr>
            <w:tcW w:w="2432" w:type="dxa"/>
            <w:vAlign w:val="center"/>
          </w:tcPr>
          <w:p w14:paraId="75AF2DD7">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非联合体投标人</w:t>
            </w:r>
          </w:p>
        </w:tc>
        <w:tc>
          <w:tcPr>
            <w:tcW w:w="3100" w:type="dxa"/>
            <w:vAlign w:val="center"/>
          </w:tcPr>
          <w:p w14:paraId="3077573D">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对小型和微型企业产品的价格</w:t>
            </w:r>
            <w:r>
              <w:rPr>
                <w:rFonts w:hint="eastAsia" w:ascii="宋体" w:hAnsi="宋体" w:eastAsia="宋体" w:cs="Times New Roman"/>
                <w:color w:val="auto"/>
                <w:szCs w:val="21"/>
                <w:lang w:val="en-US" w:eastAsia="zh-CN"/>
              </w:rPr>
              <w:t>增加</w:t>
            </w:r>
            <w:r>
              <w:rPr>
                <w:rFonts w:hint="eastAsia" w:ascii="宋体" w:hAnsi="宋体" w:eastAsia="宋体" w:cs="Times New Roman"/>
                <w:color w:val="auto"/>
                <w:szCs w:val="21"/>
                <w:u w:val="single"/>
              </w:rPr>
              <w:t>20</w:t>
            </w:r>
            <w:r>
              <w:rPr>
                <w:rFonts w:hint="eastAsia" w:ascii="宋体" w:hAnsi="宋体" w:eastAsia="宋体" w:cs="Times New Roman"/>
                <w:color w:val="auto"/>
                <w:szCs w:val="21"/>
              </w:rPr>
              <w:t>%</w:t>
            </w:r>
          </w:p>
        </w:tc>
        <w:tc>
          <w:tcPr>
            <w:tcW w:w="2678" w:type="dxa"/>
            <w:vMerge w:val="restart"/>
            <w:vAlign w:val="center"/>
          </w:tcPr>
          <w:p w14:paraId="4D42B2DC">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评标价格＝投标报价</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小型和微型企业产品的价格×20%</w:t>
            </w:r>
          </w:p>
        </w:tc>
      </w:tr>
      <w:tr w14:paraId="7141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721" w:type="dxa"/>
            <w:vAlign w:val="center"/>
          </w:tcPr>
          <w:p w14:paraId="36D0ECA6">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2</w:t>
            </w:r>
          </w:p>
        </w:tc>
        <w:tc>
          <w:tcPr>
            <w:tcW w:w="2432" w:type="dxa"/>
            <w:vAlign w:val="center"/>
          </w:tcPr>
          <w:p w14:paraId="2B96DF1F">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联合体各方均为小型、微型企业</w:t>
            </w:r>
          </w:p>
        </w:tc>
        <w:tc>
          <w:tcPr>
            <w:tcW w:w="3100" w:type="dxa"/>
            <w:vAlign w:val="center"/>
          </w:tcPr>
          <w:p w14:paraId="66AFC911">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对小型和微型企业产品的价格</w:t>
            </w:r>
            <w:r>
              <w:rPr>
                <w:rFonts w:hint="eastAsia" w:ascii="宋体" w:hAnsi="宋体" w:eastAsia="宋体" w:cs="Times New Roman"/>
                <w:color w:val="auto"/>
                <w:szCs w:val="21"/>
                <w:lang w:val="en-US" w:eastAsia="zh-CN"/>
              </w:rPr>
              <w:t>增加</w:t>
            </w:r>
            <w:r>
              <w:rPr>
                <w:rFonts w:hint="eastAsia" w:ascii="宋体" w:hAnsi="宋体" w:eastAsia="宋体" w:cs="Times New Roman"/>
                <w:color w:val="auto"/>
                <w:szCs w:val="21"/>
                <w:u w:val="single"/>
              </w:rPr>
              <w:t>20</w:t>
            </w:r>
            <w:r>
              <w:rPr>
                <w:rFonts w:hint="eastAsia" w:ascii="宋体" w:hAnsi="宋体" w:eastAsia="宋体" w:cs="Times New Roman"/>
                <w:color w:val="auto"/>
                <w:szCs w:val="21"/>
              </w:rPr>
              <w:t>%</w:t>
            </w:r>
          </w:p>
          <w:p w14:paraId="7711B0B8">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（不再享受序号3的价格折扣）</w:t>
            </w:r>
          </w:p>
        </w:tc>
        <w:tc>
          <w:tcPr>
            <w:tcW w:w="2678" w:type="dxa"/>
            <w:vMerge w:val="continue"/>
            <w:vAlign w:val="top"/>
          </w:tcPr>
          <w:p w14:paraId="36C3D20A">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p>
        </w:tc>
      </w:tr>
      <w:tr w14:paraId="26E39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21" w:type="dxa"/>
            <w:vAlign w:val="center"/>
          </w:tcPr>
          <w:p w14:paraId="686A8D7D">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3</w:t>
            </w:r>
          </w:p>
        </w:tc>
        <w:tc>
          <w:tcPr>
            <w:tcW w:w="2432" w:type="dxa"/>
            <w:vAlign w:val="center"/>
          </w:tcPr>
          <w:p w14:paraId="6D5C73D6">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联合体一方为小型、微型企业且小型、微型企业协议合同金额占联合体协议合同总金额30%以上的</w:t>
            </w:r>
          </w:p>
        </w:tc>
        <w:tc>
          <w:tcPr>
            <w:tcW w:w="3100" w:type="dxa"/>
            <w:vAlign w:val="center"/>
          </w:tcPr>
          <w:p w14:paraId="07A52E92">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color w:val="auto"/>
                <w:szCs w:val="21"/>
              </w:rPr>
              <w:t>对联合体总金额</w:t>
            </w:r>
            <w:r>
              <w:rPr>
                <w:rFonts w:hint="eastAsia" w:ascii="宋体" w:hAnsi="宋体" w:eastAsia="宋体" w:cs="Times New Roman"/>
                <w:color w:val="auto"/>
                <w:szCs w:val="21"/>
                <w:lang w:val="en-US" w:eastAsia="zh-CN"/>
              </w:rPr>
              <w:t>增加</w:t>
            </w:r>
            <w:r>
              <w:rPr>
                <w:rFonts w:hint="eastAsia" w:ascii="宋体" w:hAnsi="宋体" w:eastAsia="宋体" w:cs="Times New Roman"/>
                <w:color w:val="auto"/>
                <w:szCs w:val="21"/>
                <w:u w:val="single"/>
              </w:rPr>
              <w:t>0</w:t>
            </w:r>
            <w:r>
              <w:rPr>
                <w:rFonts w:hint="eastAsia" w:ascii="宋体" w:hAnsi="宋体" w:eastAsia="宋体" w:cs="Times New Roman"/>
                <w:color w:val="auto"/>
                <w:szCs w:val="21"/>
              </w:rPr>
              <w:t>%</w:t>
            </w:r>
          </w:p>
        </w:tc>
        <w:tc>
          <w:tcPr>
            <w:tcW w:w="2678" w:type="dxa"/>
            <w:vAlign w:val="center"/>
          </w:tcPr>
          <w:p w14:paraId="575AF0B8">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u w:val="single"/>
              </w:rPr>
            </w:pPr>
            <w:r>
              <w:rPr>
                <w:rFonts w:hint="eastAsia" w:ascii="宋体" w:hAnsi="宋体" w:eastAsia="宋体" w:cs="Times New Roman"/>
                <w:color w:val="auto"/>
                <w:szCs w:val="21"/>
              </w:rPr>
              <w:t>评标价格＝投标报价×(1</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0</w:t>
            </w:r>
            <w:r>
              <w:rPr>
                <w:rFonts w:hint="eastAsia" w:ascii="宋体" w:hAnsi="宋体" w:eastAsia="宋体" w:cs="Times New Roman"/>
                <w:color w:val="auto"/>
                <w:szCs w:val="21"/>
                <w:u w:val="single"/>
              </w:rPr>
              <w:t>%)</w:t>
            </w:r>
          </w:p>
        </w:tc>
      </w:tr>
      <w:tr w14:paraId="38BF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2C1686DC">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4</w:t>
            </w:r>
          </w:p>
        </w:tc>
        <w:tc>
          <w:tcPr>
            <w:tcW w:w="2432" w:type="dxa"/>
            <w:vAlign w:val="center"/>
          </w:tcPr>
          <w:p w14:paraId="12213C63">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监狱企业</w:t>
            </w:r>
          </w:p>
        </w:tc>
        <w:tc>
          <w:tcPr>
            <w:tcW w:w="3100" w:type="dxa"/>
            <w:vAlign w:val="center"/>
          </w:tcPr>
          <w:p w14:paraId="06805827">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对监狱企业产品价格</w:t>
            </w:r>
            <w:r>
              <w:rPr>
                <w:rFonts w:hint="eastAsia" w:ascii="宋体" w:hAnsi="宋体" w:eastAsia="宋体" w:cs="Times New Roman"/>
                <w:color w:val="auto"/>
                <w:szCs w:val="21"/>
                <w:lang w:val="en-US" w:eastAsia="zh-CN"/>
              </w:rPr>
              <w:t>增加</w:t>
            </w:r>
            <w:r>
              <w:rPr>
                <w:rFonts w:hint="eastAsia" w:ascii="宋体" w:hAnsi="宋体" w:eastAsia="宋体" w:cs="Times New Roman"/>
                <w:color w:val="auto"/>
                <w:szCs w:val="21"/>
                <w:u w:val="single"/>
              </w:rPr>
              <w:t>20</w:t>
            </w:r>
            <w:r>
              <w:rPr>
                <w:rFonts w:hint="eastAsia" w:ascii="宋体" w:hAnsi="宋体" w:eastAsia="宋体" w:cs="Times New Roman"/>
                <w:color w:val="auto"/>
                <w:szCs w:val="21"/>
              </w:rPr>
              <w:t>%</w:t>
            </w:r>
          </w:p>
        </w:tc>
        <w:tc>
          <w:tcPr>
            <w:tcW w:w="2678" w:type="dxa"/>
            <w:vAlign w:val="center"/>
          </w:tcPr>
          <w:p w14:paraId="1266C7B0">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评标价格＝投标报价</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监狱企业产品的价格×20%</w:t>
            </w:r>
          </w:p>
        </w:tc>
      </w:tr>
      <w:tr w14:paraId="7CD3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1" w:type="dxa"/>
            <w:vAlign w:val="center"/>
          </w:tcPr>
          <w:p w14:paraId="6EA999D6">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b/>
                <w:color w:val="auto"/>
                <w:szCs w:val="21"/>
              </w:rPr>
            </w:pPr>
            <w:r>
              <w:rPr>
                <w:rFonts w:hint="eastAsia" w:ascii="宋体" w:hAnsi="宋体" w:eastAsia="宋体" w:cs="Times New Roman"/>
                <w:b/>
                <w:color w:val="auto"/>
                <w:szCs w:val="21"/>
              </w:rPr>
              <w:t>5</w:t>
            </w:r>
          </w:p>
        </w:tc>
        <w:tc>
          <w:tcPr>
            <w:tcW w:w="2432" w:type="dxa"/>
            <w:vAlign w:val="center"/>
          </w:tcPr>
          <w:p w14:paraId="22D7A89D">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残疾人福利性单位</w:t>
            </w:r>
          </w:p>
        </w:tc>
        <w:tc>
          <w:tcPr>
            <w:tcW w:w="3100" w:type="dxa"/>
            <w:vAlign w:val="center"/>
          </w:tcPr>
          <w:p w14:paraId="034719F3">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对残疾人福利性单位产品价格</w:t>
            </w:r>
            <w:r>
              <w:rPr>
                <w:rFonts w:hint="eastAsia" w:ascii="宋体" w:hAnsi="宋体" w:eastAsia="宋体" w:cs="Times New Roman"/>
                <w:color w:val="auto"/>
                <w:szCs w:val="21"/>
                <w:lang w:val="en-US" w:eastAsia="zh-CN"/>
              </w:rPr>
              <w:t>增加</w:t>
            </w:r>
            <w:r>
              <w:rPr>
                <w:rFonts w:hint="eastAsia" w:ascii="宋体" w:hAnsi="宋体" w:eastAsia="宋体" w:cs="Times New Roman"/>
                <w:color w:val="auto"/>
                <w:szCs w:val="21"/>
                <w:u w:val="single"/>
              </w:rPr>
              <w:t>20</w:t>
            </w:r>
            <w:r>
              <w:rPr>
                <w:rFonts w:hint="eastAsia" w:ascii="宋体" w:hAnsi="宋体" w:eastAsia="宋体" w:cs="Times New Roman"/>
                <w:color w:val="auto"/>
                <w:szCs w:val="21"/>
              </w:rPr>
              <w:t>%</w:t>
            </w:r>
          </w:p>
        </w:tc>
        <w:tc>
          <w:tcPr>
            <w:tcW w:w="2678" w:type="dxa"/>
            <w:vAlign w:val="center"/>
          </w:tcPr>
          <w:p w14:paraId="1F27E1D1">
            <w:pPr>
              <w:keepNext w:val="0"/>
              <w:keepLines w:val="0"/>
              <w:pageBreakBefore w:val="0"/>
              <w:kinsoku/>
              <w:wordWrap/>
              <w:overflowPunct/>
              <w:topLinePunct w:val="0"/>
              <w:autoSpaceDE/>
              <w:autoSpaceDN/>
              <w:bidi w:val="0"/>
              <w:snapToGrid/>
              <w:spacing w:line="288" w:lineRule="auto"/>
              <w:jc w:val="center"/>
              <w:textAlignment w:val="auto"/>
              <w:rPr>
                <w:rFonts w:ascii="宋体" w:hAnsi="宋体" w:eastAsia="宋体" w:cs="Times New Roman"/>
                <w:color w:val="auto"/>
                <w:szCs w:val="21"/>
              </w:rPr>
            </w:pPr>
            <w:r>
              <w:rPr>
                <w:rFonts w:hint="eastAsia" w:ascii="宋体" w:hAnsi="宋体" w:eastAsia="宋体" w:cs="Times New Roman"/>
                <w:color w:val="auto"/>
                <w:szCs w:val="21"/>
              </w:rPr>
              <w:t>评标价格＝投标报价</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rPr>
              <w:t>残疾人福利性单位产品的价格×20%</w:t>
            </w:r>
          </w:p>
        </w:tc>
      </w:tr>
      <w:tr w14:paraId="136DA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931" w:type="dxa"/>
            <w:gridSpan w:val="4"/>
            <w:vAlign w:val="center"/>
          </w:tcPr>
          <w:p w14:paraId="4C8EBB9A">
            <w:pPr>
              <w:keepNext w:val="0"/>
              <w:keepLines w:val="0"/>
              <w:pageBreakBefore w:val="0"/>
              <w:widowControl/>
              <w:kinsoku/>
              <w:wordWrap/>
              <w:overflowPunct/>
              <w:topLinePunct w:val="0"/>
              <w:autoSpaceDE/>
              <w:autoSpaceDN/>
              <w:bidi w:val="0"/>
              <w:adjustRightInd w:val="0"/>
              <w:snapToGrid/>
              <w:spacing w:line="288" w:lineRule="auto"/>
              <w:ind w:left="-2" w:firstLine="420" w:firstLineChars="200"/>
              <w:jc w:val="both"/>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14:paraId="174D96C6">
            <w:pPr>
              <w:keepNext w:val="0"/>
              <w:keepLines w:val="0"/>
              <w:pageBreakBefore w:val="0"/>
              <w:widowControl/>
              <w:kinsoku/>
              <w:wordWrap/>
              <w:overflowPunct/>
              <w:topLinePunct w:val="0"/>
              <w:autoSpaceDE/>
              <w:autoSpaceDN/>
              <w:bidi w:val="0"/>
              <w:adjustRightInd w:val="0"/>
              <w:snapToGrid/>
              <w:spacing w:line="288" w:lineRule="auto"/>
              <w:ind w:left="-2" w:firstLine="420" w:firstLineChars="200"/>
              <w:jc w:val="both"/>
              <w:textAlignment w:val="auto"/>
              <w:rPr>
                <w:rFonts w:ascii="宋体" w:hAnsi="宋体" w:eastAsia="宋体" w:cs="仿宋_GB2312"/>
                <w:color w:val="auto"/>
                <w:szCs w:val="21"/>
                <w:lang w:val="zh-CN"/>
              </w:rPr>
            </w:pPr>
            <w:r>
              <w:rPr>
                <w:rFonts w:hint="eastAsia" w:ascii="宋体" w:hAnsi="宋体" w:eastAsia="宋体" w:cs="仿宋_GB2312"/>
                <w:color w:val="auto"/>
                <w:szCs w:val="21"/>
                <w:lang w:val="zh-CN"/>
              </w:rPr>
              <w:t>2、</w:t>
            </w:r>
            <w:r>
              <w:rPr>
                <w:rFonts w:ascii="宋体" w:hAnsi="宋体" w:eastAsia="宋体" w:cs="仿宋_GB2312"/>
                <w:color w:val="auto"/>
                <w:szCs w:val="21"/>
                <w:lang w:val="zh-CN"/>
              </w:rPr>
              <w:t>经评标委员会</w:t>
            </w:r>
            <w:r>
              <w:rPr>
                <w:rFonts w:hint="eastAsia" w:ascii="宋体" w:hAnsi="宋体" w:eastAsia="宋体" w:cs="仿宋_GB2312"/>
                <w:color w:val="auto"/>
                <w:szCs w:val="21"/>
                <w:lang w:val="zh-CN"/>
              </w:rPr>
              <w:t>审查、评价</w:t>
            </w:r>
            <w:r>
              <w:rPr>
                <w:rFonts w:ascii="宋体" w:hAnsi="宋体" w:eastAsia="宋体" w:cs="仿宋_GB2312"/>
                <w:color w:val="auto"/>
                <w:szCs w:val="21"/>
                <w:lang w:val="zh-CN"/>
              </w:rPr>
              <w:t>，</w:t>
            </w:r>
            <w:r>
              <w:rPr>
                <w:rFonts w:hint="eastAsia" w:ascii="宋体" w:hAnsi="宋体" w:eastAsia="宋体" w:cs="仿宋_GB2312"/>
                <w:color w:val="auto"/>
                <w:szCs w:val="21"/>
                <w:lang w:val="zh-CN"/>
              </w:rPr>
              <w:t>投标文件符合</w:t>
            </w:r>
            <w:r>
              <w:rPr>
                <w:rFonts w:ascii="宋体" w:hAnsi="宋体" w:eastAsia="宋体" w:cs="仿宋_GB2312"/>
                <w:color w:val="auto"/>
                <w:szCs w:val="21"/>
                <w:lang w:val="zh-CN"/>
              </w:rPr>
              <w:t>招标文件</w:t>
            </w:r>
            <w:r>
              <w:rPr>
                <w:rFonts w:hint="eastAsia" w:ascii="宋体" w:hAnsi="宋体" w:eastAsia="宋体" w:cs="仿宋_GB2312"/>
                <w:color w:val="auto"/>
                <w:szCs w:val="21"/>
                <w:lang w:val="zh-CN"/>
              </w:rPr>
              <w:t>实质性</w:t>
            </w:r>
            <w:r>
              <w:rPr>
                <w:rFonts w:ascii="宋体" w:hAnsi="宋体" w:eastAsia="宋体" w:cs="仿宋_GB2312"/>
                <w:color w:val="auto"/>
                <w:szCs w:val="21"/>
                <w:lang w:val="zh-CN"/>
              </w:rPr>
              <w:t>要求且</w:t>
            </w:r>
            <w:r>
              <w:rPr>
                <w:rFonts w:hint="eastAsia" w:ascii="宋体" w:hAnsi="宋体" w:eastAsia="宋体" w:cs="仿宋_GB2312"/>
                <w:color w:val="auto"/>
                <w:szCs w:val="21"/>
                <w:lang w:val="zh-CN"/>
              </w:rPr>
              <w:t>进行了政策性价格</w:t>
            </w:r>
            <w:r>
              <w:rPr>
                <w:rFonts w:hint="eastAsia" w:ascii="宋体" w:hAnsi="宋体" w:eastAsia="宋体" w:cs="Times New Roman"/>
                <w:color w:val="auto"/>
                <w:szCs w:val="21"/>
                <w:lang w:val="en-US" w:eastAsia="zh-CN"/>
              </w:rPr>
              <w:t>增加</w:t>
            </w:r>
            <w:r>
              <w:rPr>
                <w:rFonts w:hint="eastAsia" w:ascii="宋体" w:hAnsi="宋体" w:eastAsia="宋体" w:cs="仿宋_GB2312"/>
                <w:color w:val="auto"/>
                <w:szCs w:val="21"/>
                <w:lang w:val="zh-CN"/>
              </w:rPr>
              <w:t>后，</w:t>
            </w:r>
            <w:r>
              <w:rPr>
                <w:rFonts w:ascii="宋体" w:hAnsi="宋体" w:eastAsia="宋体" w:cs="仿宋_GB2312"/>
                <w:color w:val="auto"/>
                <w:szCs w:val="21"/>
                <w:lang w:val="zh-CN"/>
              </w:rPr>
              <w:t>以</w:t>
            </w:r>
            <w:r>
              <w:rPr>
                <w:rFonts w:hint="eastAsia" w:ascii="宋体" w:hAnsi="宋体" w:eastAsia="宋体" w:cs="仿宋_GB2312"/>
                <w:color w:val="auto"/>
                <w:szCs w:val="21"/>
                <w:lang w:val="zh-CN"/>
              </w:rPr>
              <w:t>评标价格的</w:t>
            </w:r>
            <w:r>
              <w:rPr>
                <w:rFonts w:ascii="宋体" w:hAnsi="宋体" w:eastAsia="宋体" w:cs="仿宋_GB2312"/>
                <w:color w:val="auto"/>
                <w:szCs w:val="21"/>
                <w:lang w:val="zh-CN"/>
              </w:rPr>
              <w:t>最</w:t>
            </w:r>
            <w:r>
              <w:rPr>
                <w:rFonts w:hint="eastAsia" w:ascii="宋体" w:hAnsi="宋体" w:eastAsia="宋体" w:cs="仿宋_GB2312"/>
                <w:color w:val="auto"/>
                <w:szCs w:val="21"/>
                <w:lang w:val="en-US" w:eastAsia="zh-CN"/>
              </w:rPr>
              <w:t>高</w:t>
            </w:r>
            <w:r>
              <w:rPr>
                <w:rFonts w:ascii="宋体" w:hAnsi="宋体" w:eastAsia="宋体" w:cs="仿宋_GB2312"/>
                <w:color w:val="auto"/>
                <w:szCs w:val="21"/>
                <w:lang w:val="zh-CN"/>
              </w:rPr>
              <w:t>价者定为评标基准价，其价格分为满分。其他投标人的价格分统一按下列公式</w:t>
            </w:r>
            <w:r>
              <w:rPr>
                <w:rFonts w:hint="eastAsia" w:ascii="宋体" w:hAnsi="宋体" w:eastAsia="宋体" w:cs="仿宋_GB2312"/>
                <w:color w:val="auto"/>
                <w:szCs w:val="21"/>
                <w:lang w:val="zh-CN"/>
              </w:rPr>
              <w:t>计算</w:t>
            </w:r>
            <w:r>
              <w:rPr>
                <w:rFonts w:ascii="宋体" w:hAnsi="宋体" w:eastAsia="宋体" w:cs="仿宋_GB2312"/>
                <w:color w:val="auto"/>
                <w:szCs w:val="21"/>
                <w:lang w:val="zh-CN"/>
              </w:rPr>
              <w:t>。即：</w:t>
            </w:r>
          </w:p>
          <w:p w14:paraId="6029F8A9">
            <w:pPr>
              <w:keepNext w:val="0"/>
              <w:keepLines w:val="0"/>
              <w:pageBreakBefore w:val="0"/>
              <w:widowControl/>
              <w:kinsoku/>
              <w:wordWrap/>
              <w:overflowPunct/>
              <w:topLinePunct w:val="0"/>
              <w:autoSpaceDE/>
              <w:autoSpaceDN/>
              <w:bidi w:val="0"/>
              <w:adjustRightInd w:val="0"/>
              <w:snapToGrid/>
              <w:spacing w:line="288" w:lineRule="auto"/>
              <w:ind w:left="-88" w:leftChars="-42" w:firstLine="449" w:firstLineChars="214"/>
              <w:jc w:val="both"/>
              <w:textAlignment w:val="auto"/>
              <w:rPr>
                <w:rFonts w:ascii="宋体" w:hAnsi="宋体" w:eastAsia="宋体" w:cs="仿宋_GB2312"/>
                <w:color w:val="auto"/>
                <w:szCs w:val="21"/>
                <w:lang w:val="zh-CN"/>
              </w:rPr>
            </w:pPr>
            <w:r>
              <w:rPr>
                <w:rFonts w:ascii="宋体" w:hAnsi="宋体" w:eastAsia="宋体" w:cs="仿宋_GB2312"/>
                <w:color w:val="auto"/>
                <w:szCs w:val="21"/>
                <w:lang w:val="zh-CN"/>
              </w:rPr>
              <w:t>评标基准价</w:t>
            </w:r>
            <w:r>
              <w:rPr>
                <w:rFonts w:hint="eastAsia" w:ascii="宋体" w:hAnsi="宋体" w:eastAsia="宋体" w:cs="仿宋_GB2312"/>
                <w:color w:val="auto"/>
                <w:szCs w:val="21"/>
                <w:lang w:val="zh-CN"/>
              </w:rPr>
              <w:t>=评标价格的最</w:t>
            </w:r>
            <w:r>
              <w:rPr>
                <w:rFonts w:hint="eastAsia" w:ascii="宋体" w:hAnsi="宋体" w:eastAsia="宋体" w:cs="仿宋_GB2312"/>
                <w:color w:val="auto"/>
                <w:szCs w:val="21"/>
                <w:lang w:val="en-US" w:eastAsia="zh-CN"/>
              </w:rPr>
              <w:t>高</w:t>
            </w:r>
            <w:r>
              <w:rPr>
                <w:rFonts w:hint="eastAsia" w:ascii="宋体" w:hAnsi="宋体" w:eastAsia="宋体" w:cs="仿宋_GB2312"/>
                <w:color w:val="auto"/>
                <w:szCs w:val="21"/>
                <w:lang w:val="zh-CN"/>
              </w:rPr>
              <w:t>价</w:t>
            </w:r>
          </w:p>
          <w:p w14:paraId="6E1208F9">
            <w:pPr>
              <w:keepNext w:val="0"/>
              <w:keepLines w:val="0"/>
              <w:pageBreakBefore w:val="0"/>
              <w:kinsoku/>
              <w:wordWrap/>
              <w:overflowPunct/>
              <w:topLinePunct w:val="0"/>
              <w:autoSpaceDE/>
              <w:autoSpaceDN/>
              <w:bidi w:val="0"/>
              <w:adjustRightInd w:val="0"/>
              <w:snapToGrid/>
              <w:spacing w:line="288" w:lineRule="auto"/>
              <w:ind w:left="-88" w:leftChars="-42" w:firstLine="449" w:firstLineChars="214"/>
              <w:jc w:val="both"/>
              <w:textAlignment w:val="auto"/>
              <w:rPr>
                <w:rFonts w:ascii="宋体" w:hAnsi="宋体" w:eastAsia="宋体" w:cs="仿宋_GB2312"/>
                <w:color w:val="auto"/>
                <w:szCs w:val="21"/>
                <w:lang w:val="zh-CN"/>
              </w:rPr>
            </w:pPr>
            <w:r>
              <w:rPr>
                <w:rFonts w:ascii="宋体" w:hAnsi="宋体" w:eastAsia="宋体" w:cs="仿宋_GB2312"/>
                <w:color w:val="auto"/>
                <w:szCs w:val="21"/>
                <w:lang w:val="zh-CN"/>
              </w:rPr>
              <w:t>其他投标报价得分</w:t>
            </w:r>
            <w:r>
              <w:rPr>
                <w:rFonts w:hint="eastAsia" w:ascii="宋体" w:hAnsi="宋体" w:eastAsia="宋体" w:cs="仿宋_GB2312"/>
                <w:color w:val="auto"/>
                <w:szCs w:val="21"/>
                <w:lang w:val="zh-CN"/>
              </w:rPr>
              <w:t>=（评标价格/</w:t>
            </w:r>
            <w:r>
              <w:rPr>
                <w:rFonts w:ascii="宋体" w:hAnsi="宋体" w:eastAsia="宋体" w:cs="仿宋_GB2312"/>
                <w:color w:val="auto"/>
                <w:szCs w:val="21"/>
                <w:lang w:val="zh-CN"/>
              </w:rPr>
              <w:t>评标基准价</w:t>
            </w:r>
            <w:r>
              <w:rPr>
                <w:rFonts w:hint="eastAsia" w:ascii="宋体" w:hAnsi="宋体" w:eastAsia="宋体" w:cs="仿宋_GB2312"/>
                <w:color w:val="auto"/>
                <w:szCs w:val="21"/>
                <w:lang w:val="zh-CN"/>
              </w:rPr>
              <w:t>）</w:t>
            </w:r>
            <w:r>
              <w:rPr>
                <w:rFonts w:ascii="宋体" w:hAnsi="宋体" w:eastAsia="宋体" w:cs="仿宋_GB2312"/>
                <w:color w:val="auto"/>
                <w:szCs w:val="21"/>
                <w:lang w:val="zh-CN"/>
              </w:rPr>
              <w:t>×</w:t>
            </w:r>
            <w:r>
              <w:rPr>
                <w:rFonts w:hint="eastAsia" w:ascii="宋体" w:hAnsi="宋体" w:eastAsia="宋体" w:cs="仿宋_GB2312"/>
                <w:color w:val="auto"/>
                <w:szCs w:val="21"/>
                <w:lang w:val="zh-CN"/>
              </w:rPr>
              <w:t>评标标准中价格分值</w:t>
            </w:r>
          </w:p>
        </w:tc>
      </w:tr>
    </w:tbl>
    <w:p w14:paraId="5C429A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A4B13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（6）评标结果汇总完成后，除下列情形外，任何人不得修改评标结果：</w:t>
      </w:r>
    </w:p>
    <w:p w14:paraId="76CAB0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分值汇总计算错误的；</w:t>
      </w:r>
    </w:p>
    <w:p w14:paraId="164EA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分项评分超出评分标准范围的；</w:t>
      </w:r>
    </w:p>
    <w:p w14:paraId="380EC9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磋商小组成员对客观评审因素评分不一致的；</w:t>
      </w:r>
    </w:p>
    <w:p w14:paraId="0F0CBD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4）经磋商小组认定评分畸高、畸低的。</w:t>
      </w:r>
    </w:p>
    <w:p w14:paraId="2E5F6B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按照《关于推进全流程电子化交易和在线监管工作有关问题的通知》（许公管办[2019]3号）规定：评标专家应严格按照要求查看“硬件特征码”相关信息并进行评审，在评审报告中显示“不同供应商电子投标文件制作硬件特征码”是否雷同的分析及判定结果。</w:t>
      </w:r>
    </w:p>
    <w:p w14:paraId="367275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（8）推荐成交候选供应商</w:t>
      </w:r>
    </w:p>
    <w:p w14:paraId="240B697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应当根据综合评分情况，按照评审得分由高到低顺序推荐3名以上成交候选供应商，并编写评审报告。符合《政府采购竞争性磋商采购方式管理暂行办法》【（财库2014）214号】第二十一条第三款情形的，可以推荐2家成交候选供应商。评审得分相同的，按照最后报价由低到高的顺序推荐。评审得分且最后报价相同的，按照技术指标优劣顺序推荐。</w:t>
      </w:r>
    </w:p>
    <w:p w14:paraId="58FD1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（9）磋商小组争议处理</w:t>
      </w:r>
    </w:p>
    <w:p w14:paraId="4FFCA2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评审报告应当由磋商小组全体人员签字认可。磋商小组成员对评审报告有异议的，磋商小组 按照少数服从多数的原则推荐成交候选供应商，采购程序继续进行。对评审报告有异议的磋商小 组成员，应当在报告上签署不同意见并说明理由，由磋商小组书面记录相关情况。磋商小组成员拒绝在报告上签字又不书面说明其不同意见和理由的，视为同意评审报告。</w:t>
      </w:r>
    </w:p>
    <w:p w14:paraId="23456F1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5、确定成交候选人名单，以及根据采购人委托直接确定成交人。</w:t>
      </w:r>
    </w:p>
    <w:p w14:paraId="596E90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138EB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626AE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方正小标宋简体" w:hAnsi="方正小标宋简体" w:eastAsia="方正小标宋简体" w:cs="方正小标宋简体"/>
          <w:color w:val="auto"/>
          <w:sz w:val="32"/>
          <w:szCs w:val="32"/>
        </w:rPr>
        <w:t>第七章 合同条款及格式</w:t>
      </w:r>
    </w:p>
    <w:p w14:paraId="010FBEE2">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（此合同仅供参考。以最终采购人与成交供应商签定的合同条款为准进行公示，最终签定合同的主要条款不能与磋商文件有冲突）</w:t>
      </w:r>
    </w:p>
    <w:p w14:paraId="0F27AF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甲方：（采购人全称）</w:t>
      </w:r>
    </w:p>
    <w:p w14:paraId="485F1B5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乙方：（成交供应商全称）</w:t>
      </w:r>
    </w:p>
    <w:p w14:paraId="23CC1A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根据项目编号为</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（填写“项目名称”）</w:t>
      </w:r>
      <w:r>
        <w:rPr>
          <w:rFonts w:hint="eastAsia" w:ascii="宋体" w:hAnsi="宋体" w:eastAsia="宋体" w:cs="宋体"/>
          <w:color w:val="auto"/>
          <w:sz w:val="24"/>
          <w:szCs w:val="24"/>
        </w:rPr>
        <w:t>项目（以下简称：“本项目”）的磋商结果，乙方为成交供应商。现经甲乙双方友好协商，就以下事项达成一致并签订本合同：</w:t>
      </w:r>
    </w:p>
    <w:p w14:paraId="19E0F84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1、下列合同文件是构成本合同不可分割的部分：</w:t>
      </w:r>
    </w:p>
    <w:p w14:paraId="2B464C7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1.1合同条款；</w:t>
      </w:r>
    </w:p>
    <w:p w14:paraId="20E5A6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1.2磋商文件、乙方的响应文件；</w:t>
      </w:r>
    </w:p>
    <w:p w14:paraId="3E6DE9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1.3其他文件或材料：□无。□</w:t>
      </w:r>
      <w:r>
        <w:rPr>
          <w:rFonts w:hint="eastAsia" w:ascii="宋体" w:hAnsi="宋体" w:eastAsia="宋体" w:cs="宋体"/>
          <w:color w:val="auto"/>
          <w:sz w:val="24"/>
          <w:szCs w:val="24"/>
          <w:u w:val="single"/>
        </w:rPr>
        <w:t>（按照实际情况编制填写需要增加的内容）</w:t>
      </w:r>
      <w:r>
        <w:rPr>
          <w:rFonts w:hint="eastAsia" w:ascii="宋体" w:hAnsi="宋体" w:eastAsia="宋体" w:cs="宋体"/>
          <w:color w:val="auto"/>
          <w:sz w:val="24"/>
          <w:szCs w:val="24"/>
        </w:rPr>
        <w:t>。</w:t>
      </w:r>
    </w:p>
    <w:p w14:paraId="186B91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2、合同标的</w:t>
      </w:r>
    </w:p>
    <w:p w14:paraId="2BAEB6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w:t>
      </w:r>
      <w:r>
        <w:rPr>
          <w:rFonts w:hint="eastAsia" w:ascii="宋体" w:hAnsi="宋体" w:eastAsia="宋体" w:cs="宋体"/>
          <w:color w:val="auto"/>
          <w:sz w:val="24"/>
          <w:szCs w:val="24"/>
        </w:rPr>
        <w:t>。</w:t>
      </w:r>
    </w:p>
    <w:p w14:paraId="04B50CB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3、合同总金额</w:t>
      </w:r>
    </w:p>
    <w:p w14:paraId="0A2506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3.1合同总金额为人民币大写：</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元（￥</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15C9CA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4、合同标的交付时间、地点和条件</w:t>
      </w:r>
    </w:p>
    <w:p w14:paraId="6B83EB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4.1交付时间：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2F6E98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4.2交付地点：</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7E4FF9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4.3交付条件：</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w:t>
      </w:r>
    </w:p>
    <w:p w14:paraId="071CC9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5、合同标的应符合磋商文件、乙方响应文件的规定或约定，具体如下：</w:t>
      </w:r>
    </w:p>
    <w:p w14:paraId="299671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w:t>
      </w:r>
      <w:r>
        <w:rPr>
          <w:rFonts w:hint="eastAsia" w:ascii="宋体" w:hAnsi="宋体" w:eastAsia="宋体" w:cs="宋体"/>
          <w:color w:val="auto"/>
          <w:sz w:val="24"/>
          <w:szCs w:val="24"/>
        </w:rPr>
        <w:t>。</w:t>
      </w:r>
    </w:p>
    <w:p w14:paraId="5E3C7B5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6、验收</w:t>
      </w:r>
    </w:p>
    <w:p w14:paraId="25A573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6.1验收应按照磋商文件、乙方响应文件的规定或约定进行，具体如下：</w:t>
      </w:r>
    </w:p>
    <w:p w14:paraId="2D891B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w:t>
      </w:r>
      <w:r>
        <w:rPr>
          <w:rFonts w:hint="eastAsia" w:ascii="宋体" w:hAnsi="宋体" w:eastAsia="宋体" w:cs="宋体"/>
          <w:color w:val="auto"/>
          <w:sz w:val="24"/>
          <w:szCs w:val="24"/>
        </w:rPr>
        <w:t>。</w:t>
      </w:r>
    </w:p>
    <w:p w14:paraId="77EAE4A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6.2本项目是否邀请其他供应商参与验收：</w:t>
      </w:r>
    </w:p>
    <w:p w14:paraId="76E620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□不邀请。□邀请，具体如下：</w:t>
      </w:r>
      <w:r>
        <w:rPr>
          <w:rFonts w:hint="eastAsia" w:ascii="宋体" w:hAnsi="宋体" w:eastAsia="宋体" w:cs="宋体"/>
          <w:color w:val="auto"/>
          <w:sz w:val="24"/>
          <w:szCs w:val="24"/>
          <w:u w:val="single"/>
        </w:rPr>
        <w:t>（按照磋商文件规定填写）</w:t>
      </w:r>
      <w:r>
        <w:rPr>
          <w:rFonts w:hint="eastAsia" w:ascii="宋体" w:hAnsi="宋体" w:eastAsia="宋体" w:cs="宋体"/>
          <w:color w:val="auto"/>
          <w:sz w:val="24"/>
          <w:szCs w:val="24"/>
        </w:rPr>
        <w:t>。</w:t>
      </w:r>
    </w:p>
    <w:p w14:paraId="6CB94A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7、合同款项的支付应按照磋商文件的规定进行，具体如下：</w:t>
      </w:r>
    </w:p>
    <w:p w14:paraId="122A06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（按照实际情况编制填写，可以是表格或文字描述，包括一次性支付或分期支付等）</w:t>
      </w:r>
      <w:r>
        <w:rPr>
          <w:rFonts w:hint="eastAsia" w:ascii="宋体" w:hAnsi="宋体" w:eastAsia="宋体" w:cs="宋体"/>
          <w:color w:val="auto"/>
          <w:sz w:val="24"/>
          <w:szCs w:val="24"/>
        </w:rPr>
        <w:t>。</w:t>
      </w:r>
    </w:p>
    <w:p w14:paraId="25AA27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8、履约保证金</w:t>
      </w:r>
    </w:p>
    <w:p w14:paraId="0B74B5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□无。□有，具体如下：</w:t>
      </w:r>
      <w:r>
        <w:rPr>
          <w:rFonts w:hint="eastAsia" w:ascii="宋体" w:hAnsi="宋体" w:eastAsia="宋体" w:cs="宋体"/>
          <w:color w:val="auto"/>
          <w:sz w:val="24"/>
          <w:szCs w:val="24"/>
          <w:u w:val="single"/>
        </w:rPr>
        <w:t>（按照磋商文件规定填写）</w:t>
      </w:r>
      <w:r>
        <w:rPr>
          <w:rFonts w:hint="eastAsia" w:ascii="宋体" w:hAnsi="宋体" w:eastAsia="宋体" w:cs="宋体"/>
          <w:color w:val="auto"/>
          <w:sz w:val="24"/>
          <w:szCs w:val="24"/>
        </w:rPr>
        <w:t>。</w:t>
      </w:r>
    </w:p>
    <w:p w14:paraId="2BA09B0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9、合同有效期</w:t>
      </w:r>
    </w:p>
    <w:p w14:paraId="40B33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w:t>
      </w:r>
      <w:r>
        <w:rPr>
          <w:rFonts w:hint="eastAsia" w:ascii="宋体" w:hAnsi="宋体" w:eastAsia="宋体" w:cs="宋体"/>
          <w:color w:val="auto"/>
          <w:sz w:val="24"/>
          <w:szCs w:val="24"/>
        </w:rPr>
        <w:t>。</w:t>
      </w:r>
    </w:p>
    <w:p w14:paraId="0C3DCB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10、违约责任</w:t>
      </w:r>
    </w:p>
    <w:p w14:paraId="1D56EB8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（按照实际情况编制填写，可以是表格或文字描述）</w:t>
      </w:r>
      <w:r>
        <w:rPr>
          <w:rFonts w:hint="eastAsia" w:ascii="宋体" w:hAnsi="宋体" w:eastAsia="宋体" w:cs="宋体"/>
          <w:color w:val="auto"/>
          <w:sz w:val="24"/>
          <w:szCs w:val="24"/>
        </w:rPr>
        <w:t>。</w:t>
      </w:r>
    </w:p>
    <w:p w14:paraId="6FF24AE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11、知识产权</w:t>
      </w:r>
    </w:p>
    <w:p w14:paraId="4FE852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14:paraId="2E12FC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宋体" w:hAnsi="宋体" w:eastAsia="宋体" w:cs="宋体"/>
          <w:color w:val="auto"/>
          <w:sz w:val="24"/>
          <w:szCs w:val="24"/>
          <w:u w:val="single"/>
        </w:rPr>
        <w:t>（按照实际情况编制填写）</w:t>
      </w:r>
      <w:r>
        <w:rPr>
          <w:rFonts w:hint="eastAsia" w:ascii="宋体" w:hAnsi="宋体" w:eastAsia="宋体" w:cs="宋体"/>
          <w:color w:val="auto"/>
          <w:sz w:val="24"/>
          <w:szCs w:val="24"/>
        </w:rPr>
        <w:t>。</w:t>
      </w:r>
    </w:p>
    <w:p w14:paraId="312AF72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12、解决争议的方法</w:t>
      </w:r>
    </w:p>
    <w:p w14:paraId="09FB43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12.1甲、乙双方协商解决。</w:t>
      </w:r>
    </w:p>
    <w:p w14:paraId="2B7615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12.2若协商解决不成，则通过下列途径之一解决：</w:t>
      </w:r>
    </w:p>
    <w:p w14:paraId="12A179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□提交仲裁委员会仲裁，具体如下：</w:t>
      </w:r>
      <w:r>
        <w:rPr>
          <w:rFonts w:hint="eastAsia" w:ascii="宋体" w:hAnsi="宋体" w:eastAsia="宋体" w:cs="宋体"/>
          <w:strike w:val="0"/>
          <w:dstrike w:val="0"/>
          <w:color w:val="auto"/>
          <w:sz w:val="24"/>
          <w:szCs w:val="24"/>
          <w:u w:val="single"/>
        </w:rPr>
        <w:t>（按照实际情况编制填写）</w:t>
      </w:r>
      <w:r>
        <w:rPr>
          <w:rFonts w:hint="eastAsia" w:ascii="宋体" w:hAnsi="宋体" w:eastAsia="宋体" w:cs="宋体"/>
          <w:color w:val="auto"/>
          <w:sz w:val="24"/>
          <w:szCs w:val="24"/>
        </w:rPr>
        <w:t>。</w:t>
      </w:r>
    </w:p>
    <w:p w14:paraId="072A756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□向人民法院提起诉讼，具体如下：</w:t>
      </w:r>
      <w:r>
        <w:rPr>
          <w:rFonts w:hint="eastAsia" w:ascii="宋体" w:hAnsi="宋体" w:eastAsia="宋体" w:cs="宋体"/>
          <w:color w:val="auto"/>
          <w:sz w:val="24"/>
          <w:szCs w:val="24"/>
          <w:u w:val="single"/>
        </w:rPr>
        <w:t>（按照实际情况编制填写）</w:t>
      </w:r>
      <w:r>
        <w:rPr>
          <w:rFonts w:hint="eastAsia" w:ascii="宋体" w:hAnsi="宋体" w:eastAsia="宋体" w:cs="宋体"/>
          <w:color w:val="auto"/>
          <w:sz w:val="24"/>
          <w:szCs w:val="24"/>
        </w:rPr>
        <w:t>。</w:t>
      </w:r>
    </w:p>
    <w:p w14:paraId="3E5DCA1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13、不可抗力</w:t>
      </w:r>
    </w:p>
    <w:p w14:paraId="519A98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3A4741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14:paraId="792FE2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14、合同条款</w:t>
      </w:r>
    </w:p>
    <w:p w14:paraId="76BC43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（按照实际情况编制填写。磋商文件已有规定的，双方均不得变更或调整；磋商文件未作规定的，双方可通过友好协商进行约定）</w:t>
      </w:r>
      <w:r>
        <w:rPr>
          <w:rFonts w:hint="eastAsia" w:ascii="宋体" w:hAnsi="宋体" w:eastAsia="宋体" w:cs="宋体"/>
          <w:color w:val="auto"/>
          <w:sz w:val="24"/>
          <w:szCs w:val="24"/>
        </w:rPr>
        <w:t>。</w:t>
      </w:r>
    </w:p>
    <w:p w14:paraId="3708AB1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15、其他约定</w:t>
      </w:r>
    </w:p>
    <w:p w14:paraId="503F9F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15.1合同文件与本合同具有同等法律效力。</w:t>
      </w:r>
    </w:p>
    <w:p w14:paraId="2521B8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15.2本合同未尽事宜，双方可另行补充。</w:t>
      </w:r>
    </w:p>
    <w:p w14:paraId="490A7B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15.3合同生效：自签订之日起生效。</w:t>
      </w:r>
    </w:p>
    <w:p w14:paraId="1E9E04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15.4本合同一式</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份，经双方授权代表签字并盖章后生效。甲方、乙方各执</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份，送</w:t>
      </w:r>
      <w:r>
        <w:rPr>
          <w:rFonts w:hint="eastAsia" w:ascii="宋体" w:hAnsi="宋体" w:eastAsia="宋体" w:cs="宋体"/>
          <w:color w:val="auto"/>
          <w:sz w:val="24"/>
          <w:szCs w:val="24"/>
          <w:u w:val="single"/>
        </w:rPr>
        <w:t>（填写需要备案的监管部门的全称）</w:t>
      </w:r>
      <w:r>
        <w:rPr>
          <w:rFonts w:hint="eastAsia" w:ascii="宋体" w:hAnsi="宋体" w:eastAsia="宋体" w:cs="宋体"/>
          <w:color w:val="auto"/>
          <w:sz w:val="24"/>
          <w:szCs w:val="24"/>
        </w:rPr>
        <w:t>备案</w:t>
      </w:r>
      <w:r>
        <w:rPr>
          <w:rFonts w:hint="eastAsia" w:ascii="宋体" w:hAnsi="宋体" w:eastAsia="宋体" w:cs="宋体"/>
          <w:color w:val="auto"/>
          <w:sz w:val="24"/>
          <w:szCs w:val="24"/>
          <w:u w:val="single"/>
        </w:rPr>
        <w:t>（填写具体份数）</w:t>
      </w:r>
      <w:r>
        <w:rPr>
          <w:rFonts w:hint="eastAsia" w:ascii="宋体" w:hAnsi="宋体" w:eastAsia="宋体" w:cs="宋体"/>
          <w:color w:val="auto"/>
          <w:sz w:val="24"/>
          <w:szCs w:val="24"/>
        </w:rPr>
        <w:t>份，具有同等效力。</w:t>
      </w:r>
    </w:p>
    <w:p w14:paraId="5CD5D3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15.5其他：□无。□</w:t>
      </w:r>
      <w:r>
        <w:rPr>
          <w:rFonts w:hint="eastAsia" w:ascii="宋体" w:hAnsi="宋体" w:eastAsia="宋体" w:cs="宋体"/>
          <w:color w:val="auto"/>
          <w:sz w:val="24"/>
          <w:szCs w:val="24"/>
          <w:u w:val="single"/>
        </w:rPr>
        <w:t>（按照实际情况编制填写需要增加的内容）</w:t>
      </w:r>
      <w:r>
        <w:rPr>
          <w:rFonts w:hint="eastAsia" w:ascii="宋体" w:hAnsi="宋体" w:eastAsia="宋体" w:cs="宋体"/>
          <w:color w:val="auto"/>
          <w:sz w:val="24"/>
          <w:szCs w:val="24"/>
        </w:rPr>
        <w:t>。</w:t>
      </w:r>
    </w:p>
    <w:p w14:paraId="7484EE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19BDE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w:t>
      </w:r>
    </w:p>
    <w:p w14:paraId="5B94A2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住所：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住所：</w:t>
      </w:r>
    </w:p>
    <w:p w14:paraId="6EEB3D3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   法定代表人（单位负责人）：</w:t>
      </w:r>
    </w:p>
    <w:p w14:paraId="2D39AA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联系方法：           联系方法：</w:t>
      </w:r>
    </w:p>
    <w:p w14:paraId="79536D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           开户银行：</w:t>
      </w:r>
    </w:p>
    <w:p w14:paraId="43F26EF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             账号：</w:t>
      </w:r>
    </w:p>
    <w:p w14:paraId="4CEE142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w:t>
      </w:r>
    </w:p>
    <w:p w14:paraId="57D9B50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签订地点：</w:t>
      </w:r>
      <w:r>
        <w:rPr>
          <w:rFonts w:hint="eastAsia" w:ascii="宋体" w:hAnsi="宋体" w:eastAsia="宋体" w:cs="宋体"/>
          <w:color w:val="auto"/>
          <w:sz w:val="24"/>
          <w:szCs w:val="24"/>
          <w:u w:val="single"/>
        </w:rPr>
        <w:t>                </w:t>
      </w:r>
    </w:p>
    <w:p w14:paraId="5C19314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签订日期：</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日</w:t>
      </w:r>
    </w:p>
    <w:p w14:paraId="6829DC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31823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6013162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第八章 响应文件有关格式</w:t>
      </w:r>
    </w:p>
    <w:p w14:paraId="6AE4844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一、封面</w:t>
      </w:r>
    </w:p>
    <w:p w14:paraId="39502B6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9550B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DCE33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EF46FB9">
      <w:pPr>
        <w:keepNext w:val="0"/>
        <w:keepLines w:val="0"/>
        <w:pageBreakBefore w:val="0"/>
        <w:widowControl w:val="0"/>
        <w:kinsoku/>
        <w:wordWrap/>
        <w:overflowPunct/>
        <w:topLinePunct w:val="0"/>
        <w:autoSpaceDE/>
        <w:autoSpaceDN/>
        <w:bidi w:val="0"/>
        <w:adjustRightInd/>
        <w:snapToGrid/>
        <w:spacing w:line="360" w:lineRule="auto"/>
        <w:ind w:firstLine="2880" w:firstLineChars="1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 xml:space="preserve">                      （项目名称）</w:t>
      </w:r>
    </w:p>
    <w:p w14:paraId="2A9B3BC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7F85D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EF2DAA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7C3163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62952C7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color w:val="auto"/>
          <w:sz w:val="32"/>
          <w:szCs w:val="32"/>
        </w:rPr>
      </w:pPr>
    </w:p>
    <w:p w14:paraId="62B916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竞争性磋商响应文件</w:t>
      </w:r>
    </w:p>
    <w:p w14:paraId="309589D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17931B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255D99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48DD88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p>
    <w:p w14:paraId="6058CF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0526F0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806AE7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响应人：（盖单位章）</w:t>
      </w:r>
    </w:p>
    <w:p w14:paraId="6D52033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法定代表人（单位负责人）或其委托代理人：</w:t>
      </w:r>
      <w:r>
        <w:rPr>
          <w:rFonts w:hint="eastAsia" w:ascii="宋体" w:hAnsi="宋体" w:eastAsia="宋体" w:cs="宋体"/>
          <w:color w:val="auto"/>
          <w:sz w:val="24"/>
          <w:szCs w:val="24"/>
          <w:u w:val="single"/>
        </w:rPr>
        <w:t>（签字或加盖姓名章）</w:t>
      </w:r>
    </w:p>
    <w:p w14:paraId="124983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29D7142">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19BD682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82D1A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39F21C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129E6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二、供应商应答索引表</w:t>
      </w:r>
    </w:p>
    <w:tbl>
      <w:tblPr>
        <w:tblStyle w:val="10"/>
        <w:tblW w:w="89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6"/>
        <w:gridCol w:w="3584"/>
        <w:gridCol w:w="1490"/>
        <w:gridCol w:w="1490"/>
        <w:gridCol w:w="1928"/>
      </w:tblGrid>
      <w:tr w14:paraId="1852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8"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43CD8EC8">
            <w:pPr>
              <w:snapToGrid w:val="0"/>
              <w:spacing w:line="360" w:lineRule="auto"/>
              <w:jc w:val="both"/>
              <w:rPr>
                <w:rFonts w:ascii="宋体" w:hAnsi="宋体" w:cs="微软雅黑"/>
                <w:b/>
                <w:color w:val="auto"/>
              </w:rPr>
            </w:pPr>
            <w:r>
              <w:rPr>
                <w:rFonts w:hint="eastAsia" w:ascii="宋体" w:hAnsi="宋体" w:cs="微软雅黑"/>
                <w:b/>
                <w:color w:val="auto"/>
              </w:rPr>
              <w:t>序号</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4B6B86A4">
            <w:pPr>
              <w:snapToGrid w:val="0"/>
              <w:spacing w:line="360" w:lineRule="auto"/>
              <w:jc w:val="both"/>
              <w:rPr>
                <w:rFonts w:ascii="宋体" w:hAnsi="宋体" w:cs="微软雅黑"/>
                <w:b/>
                <w:color w:val="auto"/>
              </w:rPr>
            </w:pPr>
            <w:r>
              <w:rPr>
                <w:rFonts w:hint="eastAsia" w:ascii="宋体" w:hAnsi="宋体" w:cs="微软雅黑"/>
                <w:b/>
                <w:color w:val="auto"/>
              </w:rPr>
              <w:t>项  目</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6B79324">
            <w:pPr>
              <w:snapToGrid w:val="0"/>
              <w:spacing w:line="360" w:lineRule="auto"/>
              <w:jc w:val="both"/>
              <w:rPr>
                <w:rFonts w:ascii="宋体" w:hAnsi="宋体" w:cs="微软雅黑"/>
                <w:b/>
                <w:color w:val="auto"/>
              </w:rPr>
            </w:pPr>
            <w:r>
              <w:rPr>
                <w:rFonts w:hint="eastAsia" w:ascii="宋体" w:hAnsi="宋体" w:cs="微软雅黑"/>
                <w:b/>
                <w:color w:val="auto"/>
              </w:rPr>
              <w:t>供应商应答</w:t>
            </w:r>
          </w:p>
          <w:p w14:paraId="4541792B">
            <w:pPr>
              <w:snapToGrid w:val="0"/>
              <w:spacing w:line="360" w:lineRule="auto"/>
              <w:jc w:val="both"/>
              <w:rPr>
                <w:rFonts w:ascii="宋体" w:hAnsi="宋体" w:cs="微软雅黑"/>
                <w:b/>
                <w:color w:val="auto"/>
              </w:rPr>
            </w:pPr>
            <w:r>
              <w:rPr>
                <w:rFonts w:hint="eastAsia" w:ascii="宋体" w:hAnsi="宋体" w:cs="微软雅黑"/>
                <w:b/>
                <w:color w:val="auto"/>
              </w:rPr>
              <w:t>（有/没有）</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83934D9">
            <w:pPr>
              <w:snapToGrid w:val="0"/>
              <w:spacing w:line="360" w:lineRule="auto"/>
              <w:jc w:val="both"/>
              <w:rPr>
                <w:rFonts w:ascii="宋体" w:hAnsi="宋体" w:cs="微软雅黑"/>
                <w:b/>
                <w:color w:val="auto"/>
              </w:rPr>
            </w:pPr>
            <w:r>
              <w:rPr>
                <w:rFonts w:hint="eastAsia" w:ascii="宋体" w:hAnsi="宋体" w:cs="微软雅黑"/>
                <w:b/>
                <w:color w:val="auto"/>
              </w:rPr>
              <w:t>响应文件中所在页码</w:t>
            </w: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1CE2CF99">
            <w:pPr>
              <w:snapToGrid w:val="0"/>
              <w:spacing w:line="360" w:lineRule="auto"/>
              <w:jc w:val="both"/>
              <w:rPr>
                <w:rFonts w:ascii="宋体" w:hAnsi="宋体" w:cs="微软雅黑"/>
                <w:b/>
                <w:color w:val="auto"/>
              </w:rPr>
            </w:pPr>
            <w:r>
              <w:rPr>
                <w:rFonts w:hint="eastAsia" w:ascii="宋体" w:hAnsi="宋体" w:cs="微软雅黑"/>
                <w:b/>
                <w:color w:val="auto"/>
              </w:rPr>
              <w:t>备注说明</w:t>
            </w:r>
          </w:p>
        </w:tc>
      </w:tr>
      <w:tr w14:paraId="68985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6158FAA6">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F849D6B">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olor w:val="auto"/>
                <w:sz w:val="21"/>
                <w:szCs w:val="21"/>
              </w:rPr>
              <w:t>供应商应答索引表</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59B1E6A7">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4175347B">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107A6FA4">
            <w:pPr>
              <w:snapToGrid w:val="0"/>
              <w:spacing w:line="360" w:lineRule="auto"/>
              <w:jc w:val="both"/>
              <w:rPr>
                <w:rFonts w:ascii="宋体" w:hAnsi="宋体" w:cs="微软雅黑"/>
                <w:color w:val="auto"/>
              </w:rPr>
            </w:pPr>
          </w:p>
        </w:tc>
      </w:tr>
      <w:tr w14:paraId="62CB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6F816554">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2</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33ADD7F9">
            <w:pPr>
              <w:pStyle w:val="6"/>
              <w:kinsoku w:val="0"/>
              <w:overflowPunct w:val="0"/>
              <w:autoSpaceDE w:val="0"/>
              <w:autoSpaceDN w:val="0"/>
              <w:spacing w:line="360" w:lineRule="auto"/>
              <w:jc w:val="both"/>
              <w:rPr>
                <w:rFonts w:hAnsi="宋体"/>
                <w:color w:val="auto"/>
                <w:sz w:val="21"/>
                <w:szCs w:val="21"/>
              </w:rPr>
            </w:pPr>
            <w:r>
              <w:rPr>
                <w:rFonts w:hint="eastAsia" w:hAnsi="宋体"/>
                <w:color w:val="auto"/>
                <w:sz w:val="21"/>
                <w:szCs w:val="21"/>
              </w:rPr>
              <w:t>磋商一览表</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438922D">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55D74675">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7F8282AC">
            <w:pPr>
              <w:snapToGrid w:val="0"/>
              <w:spacing w:line="360" w:lineRule="auto"/>
              <w:jc w:val="both"/>
              <w:rPr>
                <w:rFonts w:ascii="宋体" w:hAnsi="宋体" w:cs="微软雅黑"/>
                <w:color w:val="auto"/>
              </w:rPr>
            </w:pPr>
          </w:p>
        </w:tc>
      </w:tr>
      <w:tr w14:paraId="478B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71A6A4A2">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3</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3F12BD76">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olor w:val="auto"/>
                <w:sz w:val="21"/>
                <w:szCs w:val="21"/>
              </w:rPr>
              <w:t>投标函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466B6BF8">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588525F8">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6D6969AC">
            <w:pPr>
              <w:snapToGrid w:val="0"/>
              <w:spacing w:line="360" w:lineRule="auto"/>
              <w:jc w:val="both"/>
              <w:rPr>
                <w:rFonts w:ascii="宋体" w:hAnsi="宋体" w:cs="微软雅黑"/>
                <w:color w:val="auto"/>
              </w:rPr>
            </w:pPr>
          </w:p>
        </w:tc>
      </w:tr>
      <w:tr w14:paraId="6786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2D2CD05C">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4</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097E8C10">
            <w:pPr>
              <w:pStyle w:val="6"/>
              <w:kinsoku w:val="0"/>
              <w:overflowPunct w:val="0"/>
              <w:autoSpaceDE w:val="0"/>
              <w:autoSpaceDN w:val="0"/>
              <w:spacing w:line="360" w:lineRule="auto"/>
              <w:jc w:val="both"/>
              <w:rPr>
                <w:rFonts w:hAnsi="宋体"/>
                <w:color w:val="auto"/>
                <w:sz w:val="21"/>
                <w:szCs w:val="21"/>
              </w:rPr>
            </w:pPr>
            <w:r>
              <w:rPr>
                <w:rFonts w:hint="eastAsia" w:ascii="宋体" w:hAnsi="宋体" w:cs="宋体"/>
                <w:bCs/>
                <w:color w:val="auto"/>
                <w:sz w:val="21"/>
                <w:szCs w:val="21"/>
                <w:lang w:val="zh-CN"/>
              </w:rPr>
              <w:t>法定代表人（单位负责人）资格证明书</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0E2242F8">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8A278CC">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44E42201">
            <w:pPr>
              <w:snapToGrid w:val="0"/>
              <w:spacing w:line="360" w:lineRule="auto"/>
              <w:jc w:val="both"/>
              <w:rPr>
                <w:rFonts w:ascii="宋体" w:hAnsi="宋体" w:cs="微软雅黑"/>
                <w:color w:val="auto"/>
              </w:rPr>
            </w:pPr>
          </w:p>
        </w:tc>
      </w:tr>
      <w:tr w14:paraId="0CDF1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47CDBDDA">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5</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307FAC8F">
            <w:pPr>
              <w:pStyle w:val="6"/>
              <w:kinsoku w:val="0"/>
              <w:overflowPunct w:val="0"/>
              <w:autoSpaceDE w:val="0"/>
              <w:autoSpaceDN w:val="0"/>
              <w:spacing w:line="360" w:lineRule="auto"/>
              <w:jc w:val="both"/>
              <w:rPr>
                <w:rFonts w:hAnsi="宋体"/>
                <w:color w:val="auto"/>
                <w:sz w:val="21"/>
                <w:szCs w:val="21"/>
              </w:rPr>
            </w:pPr>
            <w:r>
              <w:rPr>
                <w:rFonts w:hint="eastAsia" w:hAnsi="宋体"/>
                <w:color w:val="auto"/>
                <w:sz w:val="21"/>
                <w:szCs w:val="21"/>
              </w:rPr>
              <w:t>法定代表人（单位负责人）授权书</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6F6886E7">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DDE0642">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6420DE82">
            <w:pPr>
              <w:snapToGrid w:val="0"/>
              <w:spacing w:line="360" w:lineRule="auto"/>
              <w:jc w:val="both"/>
              <w:rPr>
                <w:rFonts w:ascii="宋体" w:hAnsi="宋体" w:cs="微软雅黑"/>
                <w:color w:val="auto"/>
              </w:rPr>
            </w:pPr>
          </w:p>
        </w:tc>
      </w:tr>
      <w:tr w14:paraId="75C7D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8" w:hRule="exac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169E792C">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6</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621E087B">
            <w:pPr>
              <w:pStyle w:val="6"/>
              <w:kinsoku w:val="0"/>
              <w:overflowPunct w:val="0"/>
              <w:autoSpaceDE w:val="0"/>
              <w:autoSpaceDN w:val="0"/>
              <w:spacing w:line="360" w:lineRule="auto"/>
              <w:jc w:val="both"/>
              <w:rPr>
                <w:rFonts w:hAnsi="宋体" w:cs="微软雅黑"/>
                <w:bCs/>
                <w:color w:val="auto"/>
                <w:sz w:val="21"/>
                <w:szCs w:val="21"/>
              </w:rPr>
            </w:pPr>
            <w:r>
              <w:rPr>
                <w:rFonts w:hint="eastAsia" w:ascii="宋体" w:hAnsi="宋体" w:cs="宋体"/>
                <w:bCs/>
                <w:color w:val="auto"/>
                <w:sz w:val="21"/>
                <w:szCs w:val="21"/>
                <w:lang w:val="zh-CN"/>
              </w:rPr>
              <w:t>磋商承诺函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B041A5A">
            <w:pPr>
              <w:snapToGrid w:val="0"/>
              <w:spacing w:line="360" w:lineRule="auto"/>
              <w:jc w:val="both"/>
              <w:rPr>
                <w:rFonts w:ascii="宋体" w:hAnsi="宋体" w:cs="微软雅黑"/>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4E0881BB">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1516A1EA">
            <w:pPr>
              <w:snapToGrid w:val="0"/>
              <w:spacing w:line="360" w:lineRule="auto"/>
              <w:jc w:val="both"/>
              <w:rPr>
                <w:rFonts w:ascii="宋体" w:hAnsi="宋体" w:cs="微软雅黑"/>
                <w:color w:val="auto"/>
              </w:rPr>
            </w:pPr>
          </w:p>
        </w:tc>
      </w:tr>
      <w:tr w14:paraId="407A5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4D4FE523">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7</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050E4DCC">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olor w:val="auto"/>
                <w:sz w:val="21"/>
                <w:szCs w:val="21"/>
              </w:rPr>
              <w:t>襄城县政府采购供应商信用承诺函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734A43F">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A73FD23">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755134D9">
            <w:pPr>
              <w:snapToGrid w:val="0"/>
              <w:spacing w:line="360" w:lineRule="auto"/>
              <w:jc w:val="both"/>
              <w:rPr>
                <w:rFonts w:ascii="宋体" w:hAnsi="宋体" w:cs="微软雅黑"/>
                <w:color w:val="auto"/>
              </w:rPr>
            </w:pPr>
          </w:p>
        </w:tc>
      </w:tr>
      <w:tr w14:paraId="21718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78E56A03">
            <w:pPr>
              <w:adjustRightInd w:val="0"/>
              <w:snapToGrid w:val="0"/>
              <w:spacing w:line="360" w:lineRule="auto"/>
              <w:jc w:val="both"/>
              <w:textAlignment w:val="baseline"/>
              <w:rPr>
                <w:rFonts w:ascii="宋体" w:hAnsi="宋体" w:cs="宋体"/>
                <w:bCs/>
                <w:color w:val="auto"/>
                <w:lang w:val="zh-CN"/>
              </w:rPr>
            </w:pPr>
            <w:r>
              <w:rPr>
                <w:rFonts w:hint="eastAsia" w:ascii="宋体" w:hAnsi="宋体" w:cs="宋体"/>
                <w:bCs/>
                <w:color w:val="auto"/>
                <w:lang w:val="zh-CN"/>
              </w:rPr>
              <w:t>8</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61AAE2E2">
            <w:pPr>
              <w:pStyle w:val="6"/>
              <w:kinsoku w:val="0"/>
              <w:overflowPunct w:val="0"/>
              <w:autoSpaceDE w:val="0"/>
              <w:autoSpaceDN w:val="0"/>
              <w:spacing w:line="360" w:lineRule="auto"/>
              <w:jc w:val="both"/>
              <w:rPr>
                <w:rFonts w:ascii="宋体" w:hAnsi="宋体" w:cs="宋体"/>
                <w:bCs/>
                <w:color w:val="auto"/>
                <w:sz w:val="21"/>
                <w:szCs w:val="21"/>
                <w:lang w:val="zh-CN"/>
              </w:rPr>
            </w:pPr>
            <w:r>
              <w:rPr>
                <w:rFonts w:hint="eastAsia" w:ascii="宋体" w:hAnsi="宋体" w:cs="宋体"/>
                <w:bCs/>
                <w:color w:val="auto"/>
                <w:sz w:val="21"/>
                <w:szCs w:val="21"/>
                <w:lang w:val="zh-CN"/>
              </w:rPr>
              <w:t>联合体协议（</w:t>
            </w:r>
            <w:r>
              <w:rPr>
                <w:rFonts w:hint="eastAsia" w:ascii="宋体" w:hAnsi="宋体" w:cs="宋体"/>
                <w:bCs/>
                <w:color w:val="auto"/>
                <w:sz w:val="21"/>
                <w:szCs w:val="21"/>
              </w:rPr>
              <w:t>若有</w:t>
            </w:r>
            <w:r>
              <w:rPr>
                <w:rFonts w:hint="eastAsia" w:ascii="宋体" w:hAnsi="宋体" w:cs="宋体"/>
                <w:bCs/>
                <w:color w:val="auto"/>
                <w:sz w:val="21"/>
                <w:szCs w:val="21"/>
                <w:lang w:val="zh-CN"/>
              </w:rPr>
              <w:t>）</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31452429">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00CAF167">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33B3AB90">
            <w:pPr>
              <w:snapToGrid w:val="0"/>
              <w:spacing w:line="360" w:lineRule="auto"/>
              <w:jc w:val="both"/>
              <w:rPr>
                <w:rFonts w:ascii="宋体" w:hAnsi="宋体" w:cs="微软雅黑"/>
                <w:color w:val="auto"/>
              </w:rPr>
            </w:pPr>
          </w:p>
        </w:tc>
      </w:tr>
      <w:tr w14:paraId="3EE3C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19CEA93B">
            <w:pPr>
              <w:adjustRightInd w:val="0"/>
              <w:snapToGrid w:val="0"/>
              <w:spacing w:line="360" w:lineRule="auto"/>
              <w:jc w:val="both"/>
              <w:textAlignment w:val="baseline"/>
              <w:rPr>
                <w:rFonts w:ascii="宋体" w:hAnsi="宋体" w:cs="宋体"/>
                <w:bCs/>
                <w:color w:val="auto"/>
                <w:lang w:val="zh-CN"/>
              </w:rPr>
            </w:pPr>
            <w:r>
              <w:rPr>
                <w:rFonts w:hint="eastAsia" w:ascii="宋体" w:hAnsi="宋体" w:cs="宋体"/>
                <w:bCs/>
                <w:color w:val="auto"/>
                <w:lang w:val="zh-CN"/>
              </w:rPr>
              <w:t>9</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8D1143B">
            <w:pPr>
              <w:pStyle w:val="6"/>
              <w:kinsoku w:val="0"/>
              <w:overflowPunct w:val="0"/>
              <w:autoSpaceDE w:val="0"/>
              <w:autoSpaceDN w:val="0"/>
              <w:spacing w:line="360" w:lineRule="auto"/>
              <w:jc w:val="both"/>
              <w:rPr>
                <w:rFonts w:ascii="宋体" w:hAnsi="宋体" w:cs="宋体"/>
                <w:bCs/>
                <w:color w:val="auto"/>
                <w:sz w:val="21"/>
                <w:szCs w:val="21"/>
                <w:lang w:val="zh-CN"/>
              </w:rPr>
            </w:pPr>
            <w:r>
              <w:rPr>
                <w:rFonts w:hint="eastAsia" w:ascii="宋体" w:hAnsi="宋体" w:cs="宋体"/>
                <w:bCs/>
                <w:color w:val="auto"/>
                <w:sz w:val="21"/>
                <w:szCs w:val="21"/>
                <w:lang w:val="zh-CN"/>
              </w:rPr>
              <w:t>供应商与参加本项目响应的其他供应商之间，单位负责人</w:t>
            </w:r>
            <w:r>
              <w:rPr>
                <w:rFonts w:hint="eastAsia" w:ascii="宋体" w:hAnsi="宋体" w:cs="宋体"/>
                <w:bCs/>
                <w:color w:val="auto"/>
                <w:sz w:val="21"/>
                <w:szCs w:val="21"/>
                <w:lang w:val="en-US" w:eastAsia="zh-CN"/>
              </w:rPr>
              <w:t>或总公司</w:t>
            </w:r>
            <w:r>
              <w:rPr>
                <w:rFonts w:hint="eastAsia" w:ascii="宋体" w:hAnsi="宋体" w:cs="宋体"/>
                <w:bCs/>
                <w:color w:val="auto"/>
                <w:sz w:val="21"/>
                <w:szCs w:val="21"/>
                <w:lang w:val="zh-CN"/>
              </w:rPr>
              <w:t>不为同一人并且不存在直接控股、管理关系承诺函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49C9DEA1">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4069C10D">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4BAF4143">
            <w:pPr>
              <w:snapToGrid w:val="0"/>
              <w:spacing w:line="360" w:lineRule="auto"/>
              <w:jc w:val="both"/>
              <w:rPr>
                <w:rFonts w:ascii="宋体" w:hAnsi="宋体" w:cs="微软雅黑"/>
                <w:color w:val="auto"/>
              </w:rPr>
            </w:pPr>
          </w:p>
        </w:tc>
      </w:tr>
      <w:tr w14:paraId="4CD1F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12"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3B0EA23C">
            <w:pPr>
              <w:adjustRightInd w:val="0"/>
              <w:snapToGrid w:val="0"/>
              <w:spacing w:line="360" w:lineRule="auto"/>
              <w:jc w:val="both"/>
              <w:textAlignment w:val="baseline"/>
              <w:rPr>
                <w:rFonts w:ascii="宋体" w:hAnsi="宋体" w:cs="宋体"/>
                <w:bCs/>
                <w:color w:val="auto"/>
                <w:lang w:val="zh-CN"/>
              </w:rPr>
            </w:pPr>
            <w:r>
              <w:rPr>
                <w:rFonts w:hint="eastAsia" w:ascii="宋体" w:hAnsi="宋体" w:cs="宋体"/>
                <w:bCs/>
                <w:color w:val="auto"/>
                <w:lang w:val="zh-CN"/>
              </w:rPr>
              <w:t>10</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2BA2250B">
            <w:pPr>
              <w:pStyle w:val="6"/>
              <w:kinsoku w:val="0"/>
              <w:overflowPunct w:val="0"/>
              <w:autoSpaceDE w:val="0"/>
              <w:autoSpaceDN w:val="0"/>
              <w:spacing w:line="360" w:lineRule="auto"/>
              <w:jc w:val="both"/>
              <w:rPr>
                <w:rFonts w:ascii="宋体" w:hAnsi="宋体" w:cs="宋体"/>
                <w:bCs/>
                <w:color w:val="auto"/>
                <w:sz w:val="21"/>
                <w:szCs w:val="21"/>
                <w:lang w:val="zh-CN"/>
              </w:rPr>
            </w:pPr>
            <w:r>
              <w:rPr>
                <w:rFonts w:hint="eastAsia" w:ascii="宋体" w:hAnsi="宋体" w:cs="仿宋_GB2312"/>
                <w:color w:val="auto"/>
                <w:sz w:val="21"/>
                <w:szCs w:val="21"/>
                <w:lang w:val="zh-CN"/>
              </w:rPr>
              <w:t>供应商未为本项目提供整体设计、规范编制或者项目管理、监理、检测等服务承诺函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71112B9">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0676FD6A">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4666B285">
            <w:pPr>
              <w:snapToGrid w:val="0"/>
              <w:spacing w:line="360" w:lineRule="auto"/>
              <w:jc w:val="both"/>
              <w:rPr>
                <w:rFonts w:ascii="宋体" w:hAnsi="宋体" w:cs="微软雅黑"/>
                <w:color w:val="auto"/>
              </w:rPr>
            </w:pPr>
          </w:p>
        </w:tc>
      </w:tr>
      <w:tr w14:paraId="35CB5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5894397E">
            <w:pPr>
              <w:adjustRightInd w:val="0"/>
              <w:snapToGrid w:val="0"/>
              <w:spacing w:line="360" w:lineRule="auto"/>
              <w:jc w:val="both"/>
              <w:textAlignment w:val="baseline"/>
              <w:rPr>
                <w:rFonts w:hint="eastAsia" w:ascii="宋体" w:hAnsi="宋体" w:eastAsia="宋体" w:cs="微软雅黑"/>
                <w:color w:val="auto"/>
                <w:lang w:eastAsia="zh-CN"/>
              </w:rPr>
            </w:pPr>
            <w:r>
              <w:rPr>
                <w:rFonts w:hint="eastAsia" w:ascii="宋体" w:hAnsi="宋体" w:cs="微软雅黑"/>
                <w:color w:val="auto"/>
              </w:rPr>
              <w:t>1</w:t>
            </w:r>
            <w:r>
              <w:rPr>
                <w:rFonts w:hint="eastAsia" w:ascii="宋体" w:hAnsi="宋体" w:cs="微软雅黑"/>
                <w:color w:val="auto"/>
                <w:lang w:val="en-US" w:eastAsia="zh-CN"/>
              </w:rPr>
              <w:t>1</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592C3EBA">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技术方案（实施方案）</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6645028D">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35CBF75">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7CF54488">
            <w:pPr>
              <w:snapToGrid w:val="0"/>
              <w:spacing w:line="360" w:lineRule="auto"/>
              <w:jc w:val="both"/>
              <w:rPr>
                <w:rFonts w:ascii="宋体" w:hAnsi="宋体" w:cs="微软雅黑"/>
                <w:color w:val="auto"/>
              </w:rPr>
            </w:pPr>
          </w:p>
        </w:tc>
      </w:tr>
      <w:tr w14:paraId="2F044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2CC6A082">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12</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208597E8">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服务方案</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6D731B1D">
            <w:pPr>
              <w:spacing w:line="360" w:lineRule="auto"/>
              <w:jc w:val="both"/>
              <w:rPr>
                <w:color w:val="auto"/>
              </w:rPr>
            </w:pPr>
          </w:p>
        </w:tc>
        <w:tc>
          <w:tcPr>
            <w:tcW w:w="1490" w:type="dxa"/>
            <w:tcBorders>
              <w:top w:val="single" w:color="auto" w:sz="4" w:space="0"/>
              <w:left w:val="single" w:color="000000" w:sz="6" w:space="0"/>
              <w:bottom w:val="single" w:color="000000" w:sz="6" w:space="0"/>
              <w:right w:val="single" w:color="000000" w:sz="6" w:space="0"/>
            </w:tcBorders>
            <w:noWrap w:val="0"/>
            <w:vAlign w:val="center"/>
          </w:tcPr>
          <w:p w14:paraId="6B8FE057">
            <w:pPr>
              <w:snapToGrid w:val="0"/>
              <w:spacing w:line="360" w:lineRule="auto"/>
              <w:jc w:val="both"/>
              <w:rPr>
                <w:rFonts w:ascii="宋体" w:hAnsi="宋体" w:cs="微软雅黑"/>
                <w:color w:val="auto"/>
              </w:rPr>
            </w:pPr>
          </w:p>
        </w:tc>
        <w:tc>
          <w:tcPr>
            <w:tcW w:w="1928" w:type="dxa"/>
            <w:tcBorders>
              <w:top w:val="single" w:color="auto" w:sz="4" w:space="0"/>
              <w:left w:val="single" w:color="000000" w:sz="6" w:space="0"/>
              <w:bottom w:val="single" w:color="000000" w:sz="6" w:space="0"/>
              <w:right w:val="single" w:color="000000" w:sz="6" w:space="0"/>
            </w:tcBorders>
            <w:noWrap w:val="0"/>
            <w:vAlign w:val="center"/>
          </w:tcPr>
          <w:p w14:paraId="15A22839">
            <w:pPr>
              <w:snapToGrid w:val="0"/>
              <w:spacing w:line="360" w:lineRule="auto"/>
              <w:jc w:val="both"/>
              <w:rPr>
                <w:rFonts w:ascii="宋体" w:hAnsi="宋体" w:cs="微软雅黑"/>
                <w:color w:val="auto"/>
              </w:rPr>
            </w:pPr>
          </w:p>
        </w:tc>
      </w:tr>
      <w:tr w14:paraId="50B47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375DE3E0">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13</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59D83E87">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业绩情况表</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3A06E75E">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973529F">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1F48831B">
            <w:pPr>
              <w:snapToGrid w:val="0"/>
              <w:spacing w:line="360" w:lineRule="auto"/>
              <w:jc w:val="both"/>
              <w:rPr>
                <w:rFonts w:ascii="宋体" w:hAnsi="宋体" w:cs="微软雅黑"/>
                <w:color w:val="auto"/>
              </w:rPr>
            </w:pPr>
          </w:p>
        </w:tc>
      </w:tr>
      <w:tr w14:paraId="63D6B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709830A8">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14</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294D15D6">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政府强制采购节能产品品目清单情况</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2378C86">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01A6416">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7C900860">
            <w:pPr>
              <w:snapToGrid w:val="0"/>
              <w:spacing w:line="360" w:lineRule="auto"/>
              <w:jc w:val="both"/>
              <w:rPr>
                <w:rFonts w:ascii="宋体" w:hAnsi="宋体" w:cs="微软雅黑"/>
                <w:color w:val="auto"/>
              </w:rPr>
            </w:pPr>
          </w:p>
        </w:tc>
      </w:tr>
      <w:tr w14:paraId="1EB0A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506C11FC">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15</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333C1F2">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优先采购节能产品政府采购品目清单情况</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1DC5F36">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63A30FD">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3B45CE97">
            <w:pPr>
              <w:snapToGrid w:val="0"/>
              <w:spacing w:line="360" w:lineRule="auto"/>
              <w:jc w:val="both"/>
              <w:rPr>
                <w:rFonts w:ascii="宋体" w:hAnsi="宋体" w:cs="微软雅黑"/>
                <w:color w:val="auto"/>
              </w:rPr>
            </w:pPr>
          </w:p>
        </w:tc>
      </w:tr>
      <w:tr w14:paraId="615F5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28C45BD5">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16</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DCFBA59">
            <w:pPr>
              <w:pStyle w:val="6"/>
              <w:kinsoku w:val="0"/>
              <w:overflowPunct w:val="0"/>
              <w:autoSpaceDE w:val="0"/>
              <w:autoSpaceDN w:val="0"/>
              <w:spacing w:line="360" w:lineRule="auto"/>
              <w:jc w:val="both"/>
              <w:rPr>
                <w:rFonts w:hAnsi="宋体" w:cs="微软雅黑"/>
                <w:bCs/>
                <w:color w:val="auto"/>
                <w:sz w:val="21"/>
                <w:szCs w:val="21"/>
              </w:rPr>
            </w:pPr>
            <w:r>
              <w:rPr>
                <w:rFonts w:hint="eastAsia" w:ascii="宋体" w:hAnsi="宋体"/>
                <w:color w:val="auto"/>
                <w:sz w:val="21"/>
                <w:szCs w:val="21"/>
                <w:lang w:val="en-GB"/>
              </w:rPr>
              <w:t>优先采购环境标志产品政府采购品目清单情况</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D8650B5">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3511C1A2">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4F8104C8">
            <w:pPr>
              <w:snapToGrid w:val="0"/>
              <w:spacing w:line="360" w:lineRule="auto"/>
              <w:jc w:val="both"/>
              <w:rPr>
                <w:rFonts w:ascii="宋体" w:hAnsi="宋体" w:cs="微软雅黑"/>
                <w:color w:val="auto"/>
              </w:rPr>
            </w:pPr>
          </w:p>
        </w:tc>
      </w:tr>
      <w:tr w14:paraId="588DA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77491302">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17</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533CF45F">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中小企业声明函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91C8684">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7ED42FE2">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12B4EF61">
            <w:pPr>
              <w:snapToGrid w:val="0"/>
              <w:spacing w:line="360" w:lineRule="auto"/>
              <w:jc w:val="both"/>
              <w:rPr>
                <w:rFonts w:ascii="宋体" w:hAnsi="宋体" w:cs="微软雅黑"/>
                <w:color w:val="auto"/>
              </w:rPr>
            </w:pPr>
          </w:p>
        </w:tc>
      </w:tr>
      <w:tr w14:paraId="714BD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5111DD05">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18</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598F052">
            <w:pPr>
              <w:pStyle w:val="6"/>
              <w:kinsoku w:val="0"/>
              <w:overflowPunct w:val="0"/>
              <w:autoSpaceDE w:val="0"/>
              <w:autoSpaceDN w:val="0"/>
              <w:spacing w:line="360" w:lineRule="auto"/>
              <w:jc w:val="both"/>
              <w:rPr>
                <w:rFonts w:hAnsi="宋体" w:cs="微软雅黑"/>
                <w:bCs/>
                <w:color w:val="auto"/>
                <w:sz w:val="21"/>
                <w:szCs w:val="21"/>
              </w:rPr>
            </w:pPr>
            <w:r>
              <w:rPr>
                <w:rFonts w:hint="eastAsia" w:ascii="宋体" w:hAnsi="宋体" w:cs="仿宋_GB2312"/>
                <w:color w:val="auto"/>
                <w:sz w:val="21"/>
                <w:szCs w:val="21"/>
                <w:lang w:val="zh-CN"/>
              </w:rPr>
              <w:t>残疾人福利性单位声明函</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6C8D9197">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2E9BDE54">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2B488770">
            <w:pPr>
              <w:snapToGrid w:val="0"/>
              <w:spacing w:line="360" w:lineRule="auto"/>
              <w:jc w:val="both"/>
              <w:rPr>
                <w:rFonts w:ascii="宋体" w:hAnsi="宋体" w:cs="微软雅黑"/>
                <w:color w:val="auto"/>
              </w:rPr>
            </w:pPr>
          </w:p>
        </w:tc>
      </w:tr>
      <w:tr w14:paraId="119C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157499F4">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19</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6FF1E6FA">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监狱企业证明文件</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0A12DFEE">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33D364A8">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26B216B4">
            <w:pPr>
              <w:snapToGrid w:val="0"/>
              <w:spacing w:line="360" w:lineRule="auto"/>
              <w:jc w:val="both"/>
              <w:rPr>
                <w:rFonts w:ascii="宋体" w:hAnsi="宋体" w:cs="微软雅黑"/>
                <w:color w:val="auto"/>
              </w:rPr>
            </w:pPr>
          </w:p>
        </w:tc>
      </w:tr>
      <w:tr w14:paraId="22DDB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8" w:hRule="atLeast"/>
          <w:jc w:val="center"/>
        </w:trPr>
        <w:tc>
          <w:tcPr>
            <w:tcW w:w="446" w:type="dxa"/>
            <w:tcBorders>
              <w:top w:val="single" w:color="000000" w:sz="6" w:space="0"/>
              <w:left w:val="single" w:color="000000" w:sz="6" w:space="0"/>
              <w:bottom w:val="single" w:color="000000" w:sz="6" w:space="0"/>
              <w:right w:val="single" w:color="000000" w:sz="6" w:space="0"/>
            </w:tcBorders>
            <w:noWrap w:val="0"/>
            <w:vAlign w:val="center"/>
          </w:tcPr>
          <w:p w14:paraId="52950DFB">
            <w:pPr>
              <w:adjustRightInd w:val="0"/>
              <w:snapToGrid w:val="0"/>
              <w:spacing w:line="360" w:lineRule="auto"/>
              <w:jc w:val="both"/>
              <w:textAlignment w:val="baseline"/>
              <w:rPr>
                <w:rFonts w:ascii="宋体" w:hAnsi="宋体" w:cs="微软雅黑"/>
                <w:color w:val="auto"/>
              </w:rPr>
            </w:pPr>
            <w:r>
              <w:rPr>
                <w:rFonts w:hint="eastAsia" w:ascii="宋体" w:hAnsi="宋体" w:cs="微软雅黑"/>
                <w:color w:val="auto"/>
              </w:rPr>
              <w:t>20</w:t>
            </w:r>
          </w:p>
        </w:tc>
        <w:tc>
          <w:tcPr>
            <w:tcW w:w="3584" w:type="dxa"/>
            <w:tcBorders>
              <w:top w:val="single" w:color="000000" w:sz="6" w:space="0"/>
              <w:left w:val="single" w:color="000000" w:sz="6" w:space="0"/>
              <w:bottom w:val="single" w:color="000000" w:sz="6" w:space="0"/>
              <w:right w:val="single" w:color="000000" w:sz="6" w:space="0"/>
            </w:tcBorders>
            <w:noWrap w:val="0"/>
            <w:vAlign w:val="center"/>
          </w:tcPr>
          <w:p w14:paraId="76AB94E9">
            <w:pPr>
              <w:pStyle w:val="6"/>
              <w:kinsoku w:val="0"/>
              <w:overflowPunct w:val="0"/>
              <w:autoSpaceDE w:val="0"/>
              <w:autoSpaceDN w:val="0"/>
              <w:spacing w:line="360" w:lineRule="auto"/>
              <w:jc w:val="both"/>
              <w:rPr>
                <w:rFonts w:hAnsi="宋体" w:cs="微软雅黑"/>
                <w:bCs/>
                <w:color w:val="auto"/>
                <w:sz w:val="21"/>
                <w:szCs w:val="21"/>
              </w:rPr>
            </w:pPr>
            <w:r>
              <w:rPr>
                <w:rFonts w:hint="eastAsia" w:hAnsi="宋体" w:cs="微软雅黑"/>
                <w:bCs/>
                <w:color w:val="auto"/>
                <w:sz w:val="21"/>
                <w:szCs w:val="21"/>
              </w:rPr>
              <w:t>其它资料</w:t>
            </w: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19A3BB9A">
            <w:pPr>
              <w:spacing w:line="360" w:lineRule="auto"/>
              <w:jc w:val="both"/>
              <w:rPr>
                <w:color w:val="auto"/>
              </w:rPr>
            </w:pPr>
          </w:p>
        </w:tc>
        <w:tc>
          <w:tcPr>
            <w:tcW w:w="1490" w:type="dxa"/>
            <w:tcBorders>
              <w:top w:val="single" w:color="000000" w:sz="6" w:space="0"/>
              <w:left w:val="single" w:color="000000" w:sz="6" w:space="0"/>
              <w:bottom w:val="single" w:color="000000" w:sz="6" w:space="0"/>
              <w:right w:val="single" w:color="000000" w:sz="6" w:space="0"/>
            </w:tcBorders>
            <w:noWrap w:val="0"/>
            <w:vAlign w:val="center"/>
          </w:tcPr>
          <w:p w14:paraId="351469A4">
            <w:pPr>
              <w:snapToGrid w:val="0"/>
              <w:spacing w:line="360" w:lineRule="auto"/>
              <w:jc w:val="both"/>
              <w:rPr>
                <w:rFonts w:ascii="宋体" w:hAnsi="宋体" w:cs="微软雅黑"/>
                <w:color w:val="auto"/>
              </w:rPr>
            </w:pPr>
          </w:p>
        </w:tc>
        <w:tc>
          <w:tcPr>
            <w:tcW w:w="1928" w:type="dxa"/>
            <w:tcBorders>
              <w:top w:val="single" w:color="000000" w:sz="6" w:space="0"/>
              <w:left w:val="single" w:color="000000" w:sz="6" w:space="0"/>
              <w:bottom w:val="single" w:color="000000" w:sz="6" w:space="0"/>
              <w:right w:val="single" w:color="000000" w:sz="6" w:space="0"/>
            </w:tcBorders>
            <w:noWrap w:val="0"/>
            <w:vAlign w:val="center"/>
          </w:tcPr>
          <w:p w14:paraId="6BB60D4A">
            <w:pPr>
              <w:snapToGrid w:val="0"/>
              <w:spacing w:line="360" w:lineRule="auto"/>
              <w:jc w:val="both"/>
              <w:rPr>
                <w:rFonts w:ascii="宋体" w:hAnsi="宋体" w:cs="微软雅黑"/>
                <w:color w:val="auto"/>
              </w:rPr>
            </w:pPr>
          </w:p>
        </w:tc>
      </w:tr>
    </w:tbl>
    <w:p w14:paraId="2FD600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10704D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6B3D076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2EF5B29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6A04C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72424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78BBD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2497EC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156C498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370647A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6DC6B91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3AB34E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09628FC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3285F3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38D98E5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p>
    <w:p w14:paraId="1A73736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三、磋商一览表</w:t>
      </w:r>
    </w:p>
    <w:p w14:paraId="6AB9654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3988CE0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                                     单位：元（人民币）</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609"/>
        <w:gridCol w:w="2785"/>
        <w:gridCol w:w="2642"/>
        <w:gridCol w:w="1283"/>
      </w:tblGrid>
      <w:tr w14:paraId="6EAA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0A2083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标保</w:t>
            </w:r>
          </w:p>
        </w:tc>
        <w:tc>
          <w:tcPr>
            <w:tcW w:w="1609" w:type="dxa"/>
            <w:vAlign w:val="center"/>
          </w:tcPr>
          <w:p w14:paraId="49DEE3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供应商名称</w:t>
            </w:r>
          </w:p>
        </w:tc>
        <w:tc>
          <w:tcPr>
            <w:tcW w:w="2785" w:type="dxa"/>
            <w:vAlign w:val="center"/>
          </w:tcPr>
          <w:p w14:paraId="46A438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rPr>
              <w:t>土地使用权入股的村集体保底年收益报价</w:t>
            </w:r>
          </w:p>
        </w:tc>
        <w:tc>
          <w:tcPr>
            <w:tcW w:w="2642" w:type="dxa"/>
            <w:vAlign w:val="center"/>
          </w:tcPr>
          <w:p w14:paraId="776B83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合作期限（年）</w:t>
            </w:r>
          </w:p>
        </w:tc>
        <w:tc>
          <w:tcPr>
            <w:tcW w:w="1283" w:type="dxa"/>
            <w:vAlign w:val="center"/>
          </w:tcPr>
          <w:p w14:paraId="43F3B1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vertAlign w:val="baseline"/>
                <w:lang w:eastAsia="zh-CN"/>
              </w:rPr>
            </w:pPr>
            <w:r>
              <w:rPr>
                <w:rFonts w:hint="eastAsia" w:ascii="宋体" w:hAnsi="宋体" w:eastAsia="宋体" w:cs="宋体"/>
                <w:b/>
                <w:bCs/>
                <w:color w:val="auto"/>
                <w:sz w:val="24"/>
                <w:szCs w:val="24"/>
                <w:vertAlign w:val="baseline"/>
                <w:lang w:eastAsia="zh-CN"/>
              </w:rPr>
              <w:t>备注</w:t>
            </w:r>
          </w:p>
        </w:tc>
      </w:tr>
      <w:tr w14:paraId="552B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7B0B537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1609" w:type="dxa"/>
            <w:vAlign w:val="center"/>
          </w:tcPr>
          <w:p w14:paraId="77EB626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2785" w:type="dxa"/>
            <w:vAlign w:val="center"/>
          </w:tcPr>
          <w:p w14:paraId="69022C7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大写：</w:t>
            </w:r>
          </w:p>
          <w:p w14:paraId="38A7BE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eastAsia="zh-CN"/>
              </w:rPr>
              <w:t>小写：</w:t>
            </w:r>
          </w:p>
        </w:tc>
        <w:tc>
          <w:tcPr>
            <w:tcW w:w="2642" w:type="dxa"/>
            <w:vAlign w:val="center"/>
          </w:tcPr>
          <w:p w14:paraId="38FC59E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1283" w:type="dxa"/>
            <w:vAlign w:val="center"/>
          </w:tcPr>
          <w:p w14:paraId="097D787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r>
      <w:tr w14:paraId="19C7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9" w:type="dxa"/>
            <w:vAlign w:val="center"/>
          </w:tcPr>
          <w:p w14:paraId="575B6E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vertAlign w:val="baseline"/>
              </w:rPr>
              <w:t>...</w:t>
            </w:r>
          </w:p>
        </w:tc>
        <w:tc>
          <w:tcPr>
            <w:tcW w:w="1609" w:type="dxa"/>
            <w:vAlign w:val="center"/>
          </w:tcPr>
          <w:p w14:paraId="1B08BC0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2785" w:type="dxa"/>
            <w:vAlign w:val="center"/>
          </w:tcPr>
          <w:p w14:paraId="615D804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2642" w:type="dxa"/>
            <w:vAlign w:val="center"/>
          </w:tcPr>
          <w:p w14:paraId="0277AB7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c>
          <w:tcPr>
            <w:tcW w:w="1283" w:type="dxa"/>
            <w:vAlign w:val="center"/>
          </w:tcPr>
          <w:p w14:paraId="61C3D7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vertAlign w:val="baseline"/>
              </w:rPr>
            </w:pPr>
          </w:p>
        </w:tc>
      </w:tr>
    </w:tbl>
    <w:p w14:paraId="458068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FC87F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（公章）：</w:t>
      </w:r>
    </w:p>
    <w:p w14:paraId="7EAB7B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45269F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C31B52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参加磋商的法定代表人或授权代表</w:t>
      </w:r>
    </w:p>
    <w:p w14:paraId="41366E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03733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                         联系电话（手机）：</w:t>
      </w:r>
    </w:p>
    <w:p w14:paraId="134BC1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A7E10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注：1、交付日期指完成该项目的最终时间。</w:t>
      </w:r>
    </w:p>
    <w:p w14:paraId="6B7311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2、如采购公告明确项目交付日期以年为单位， 本表应填写完成该项目的年限。</w:t>
      </w:r>
    </w:p>
    <w:p w14:paraId="435567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3、本项目不设最高限价和最低限价，投标人应根据自身情况对土地使用权入股的村集体保底年收益进行报价。</w:t>
      </w:r>
    </w:p>
    <w:p w14:paraId="538C18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33016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56018E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9FC47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09C54A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p>
    <w:p w14:paraId="0713A9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四、资格审查证明材料</w:t>
      </w:r>
    </w:p>
    <w:p w14:paraId="2DD372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4.1 </w:t>
      </w:r>
      <w:r>
        <w:rPr>
          <w:rFonts w:ascii="宋体" w:hAnsi="宋体" w:eastAsia="宋体" w:cs="宋体"/>
          <w:b/>
          <w:bCs/>
          <w:color w:val="auto"/>
          <w:sz w:val="30"/>
          <w:szCs w:val="30"/>
        </w:rPr>
        <w:t>响应函</w:t>
      </w:r>
    </w:p>
    <w:p w14:paraId="70283B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b/>
          <w:bCs/>
          <w:color w:val="auto"/>
          <w:sz w:val="24"/>
          <w:szCs w:val="24"/>
        </w:rPr>
        <w:t>（采购人）</w:t>
      </w:r>
    </w:p>
    <w:p w14:paraId="080B9D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（项目名称、招标编号）采购的采购公告及磋商邀请，_______（姓名和职务）被正式授权并代表供应商（供应商名称、地址）_______提交。</w:t>
      </w:r>
    </w:p>
    <w:p w14:paraId="0D948E9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我方确认收到贵方提供的（项目名称、招标编号）磋商文件的全部内容。</w:t>
      </w:r>
    </w:p>
    <w:p w14:paraId="7B3A15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参与投标前已详细研究了磋商文件的所有内容，包括澄清、修改文件（如果有）和所有已提供的参考资料以及有关附件，我方完全明白并认为此磋商文件没有倾向性，也不存在排斥潜在投标供应商的内容，我方同意磋商文件的相关条款和已完全理解并接受磋商文件的各项规定和要求及资金支付规定，对磋商文件的合理性、合法性不再有异议，并承诺在发生争议时不会以对磋商文件存在误解、不明白的条款为由，对贵中心行使任何法律上的抗辩权。</w:t>
      </w:r>
    </w:p>
    <w:p w14:paraId="74266B2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我方已完全明白磋商文件的所有条款要求，并申明如下：</w:t>
      </w:r>
    </w:p>
    <w:p w14:paraId="251757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一、按磋商文件提供的全部货物与相关服务的响应报价大写，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小写。</w:t>
      </w:r>
    </w:p>
    <w:p w14:paraId="618D233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本磋商文件的有效期为磋商响应截止时间起90天。如成交，有效期将延至供货终止日为止。在此提交的资格证明文件均至响应文件有效期截止日有效，如有在有效期内失效的，我方承诺在成交后补齐一切手续，保证所有资格证明文件能在签订采购合同时直至采购合同终止日有效。</w:t>
      </w:r>
    </w:p>
    <w:p w14:paraId="422513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三、我方明白并同意，在规定的磋商时间截止之后，响应有效期之内撤销磋商响应的，则我方承担违背投标承诺的责任追究。</w:t>
      </w:r>
    </w:p>
    <w:p w14:paraId="625BE3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四、我方同意按照贵方可能提出的要求而提供与磋商响应有关的任何其它数据、信息或资料。</w:t>
      </w:r>
    </w:p>
    <w:p w14:paraId="56FBD8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五、我方理解贵方不一定接受最低响应价或任何贵方可能收到的磋商响应。</w:t>
      </w:r>
    </w:p>
    <w:p w14:paraId="3633B3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六、我方如果成交，将保证履行磋商文件及其澄清、修改文件（如果有）中的全部责任和义务，按质、按量、按期完成《采购需求》及《合同书》中的全部任务。</w:t>
      </w:r>
    </w:p>
    <w:p w14:paraId="62A331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七、我方在此保证所提交的所有文件和全部说明是真实的和正确的。</w:t>
      </w:r>
    </w:p>
    <w:p w14:paraId="38A1B4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八、我方响应报价已包含应向知识产权所有权人支付的所有相关税费，并保证采购人在中国使用我方提供的货物时，如有第三方提出侵犯其知识产权主张的，责任由我方承担。 </w:t>
      </w:r>
    </w:p>
    <w:p w14:paraId="136A68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九、我方具备《政府采购法》第二十二条规定的条件；承诺如下：</w:t>
      </w:r>
    </w:p>
    <w:p w14:paraId="058159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 具有独立承担民事责任能力的在中华人民共和国境内注册的法人或其他组织或自然人，有效的营业执照（或事业法人登记证或身份证等相关证明）。</w:t>
      </w:r>
    </w:p>
    <w:p w14:paraId="5423EA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 我方已依法缴纳了各项税费及社会保险费用，如有需要，可随时向采购人提供近六个月内的相关缴费证明，以便核查。</w:t>
      </w:r>
    </w:p>
    <w:p w14:paraId="34D781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 我方已依法建立健全的财务会计制度，如有需要，可随时向采购人提供相关证明材料，以便核查。</w:t>
      </w:r>
    </w:p>
    <w:p w14:paraId="240077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 参加政府采购活动前三年内，在经营活动中没有重大违法记录。</w:t>
      </w:r>
    </w:p>
    <w:p w14:paraId="5D8F8B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 符合法律、行政法规规定的其他条件。</w:t>
      </w:r>
    </w:p>
    <w:p w14:paraId="07C2EE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以上内容如有虚假或与事实不符的，磋商小组可将我方做无效投标处理，我方愿意承担相应的法律责任。</w:t>
      </w:r>
    </w:p>
    <w:p w14:paraId="04D27A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十、我方具备履行合同所必需的设备和专业技术能力。</w:t>
      </w:r>
    </w:p>
    <w:p w14:paraId="46137B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十一、我方对在本函及响应文件中所作的所有承诺承担法律责任。</w:t>
      </w:r>
    </w:p>
    <w:p w14:paraId="343A66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所有与本招标有关的一切正式往来请寄：</w:t>
      </w:r>
    </w:p>
    <w:p w14:paraId="570186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              邮政编码：</w:t>
      </w:r>
    </w:p>
    <w:p w14:paraId="522203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              传    真：</w:t>
      </w:r>
    </w:p>
    <w:p w14:paraId="44D67D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投标人代表姓名：              职    务：</w:t>
      </w:r>
    </w:p>
    <w:p w14:paraId="0EA5A4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99D12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投标人法定代表人（单位负责人）或授权代表（签字或加盖姓名章）：</w:t>
      </w:r>
    </w:p>
    <w:p w14:paraId="3AD6E8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法定代表人（单位负责人）或授权代表手机号码：</w:t>
      </w:r>
    </w:p>
    <w:p w14:paraId="3D948A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投标人名称（盖章）：统一社会信用代码：</w:t>
      </w:r>
    </w:p>
    <w:p w14:paraId="36AE8D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349CEAD">
      <w:pPr>
        <w:keepNext w:val="0"/>
        <w:keepLines w:val="0"/>
        <w:pageBreakBefore w:val="0"/>
        <w:widowControl w:val="0"/>
        <w:kinsoku/>
        <w:wordWrap/>
        <w:overflowPunct/>
        <w:topLinePunct w:val="0"/>
        <w:autoSpaceDE/>
        <w:autoSpaceDN/>
        <w:bidi w:val="0"/>
        <w:adjustRightInd/>
        <w:snapToGrid/>
        <w:spacing w:line="360" w:lineRule="auto"/>
        <w:ind w:firstLine="5280" w:firstLineChars="2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30B1F29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p>
    <w:p w14:paraId="063970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4.2 法定代表人（单位负责人）资格证明书</w:t>
      </w:r>
    </w:p>
    <w:p w14:paraId="6072931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0901E9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w:t>
      </w:r>
    </w:p>
    <w:p w14:paraId="25A33DB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21405A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性别：     年龄：     职务：    手机号码：    </w:t>
      </w:r>
    </w:p>
    <w:p w14:paraId="4A199C9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本人系</w:t>
      </w:r>
      <w:r>
        <w:rPr>
          <w:rFonts w:hint="eastAsia" w:ascii="宋体" w:hAnsi="宋体" w:eastAsia="宋体" w:cs="宋体"/>
          <w:i/>
          <w:iCs/>
          <w:color w:val="auto"/>
          <w:sz w:val="24"/>
          <w:szCs w:val="24"/>
          <w:u w:val="single"/>
        </w:rPr>
        <w:t>供应商名</w:t>
      </w:r>
      <w:r>
        <w:rPr>
          <w:rFonts w:hint="eastAsia" w:ascii="宋体" w:hAnsi="宋体" w:eastAsia="宋体" w:cs="宋体"/>
          <w:color w:val="auto"/>
          <w:sz w:val="24"/>
          <w:szCs w:val="24"/>
          <w:u w:val="single"/>
        </w:rPr>
        <w:t>称</w:t>
      </w:r>
      <w:r>
        <w:rPr>
          <w:rFonts w:hint="eastAsia" w:ascii="宋体" w:hAnsi="宋体" w:eastAsia="宋体" w:cs="宋体"/>
          <w:color w:val="auto"/>
          <w:sz w:val="24"/>
          <w:szCs w:val="24"/>
        </w:rPr>
        <w:t>的法定代表人。就参加贵方项目编号为</w:t>
      </w:r>
      <w:r>
        <w:rPr>
          <w:rFonts w:hint="eastAsia" w:ascii="宋体" w:hAnsi="宋体" w:eastAsia="宋体" w:cs="宋体"/>
          <w:i/>
          <w:iCs/>
          <w:color w:val="auto"/>
          <w:sz w:val="24"/>
          <w:szCs w:val="24"/>
          <w:u w:val="single"/>
        </w:rPr>
        <w:t>项目编号</w:t>
      </w:r>
      <w:r>
        <w:rPr>
          <w:rFonts w:hint="eastAsia" w:ascii="宋体" w:hAnsi="宋体" w:eastAsia="宋体" w:cs="宋体"/>
          <w:color w:val="auto"/>
          <w:sz w:val="24"/>
          <w:szCs w:val="24"/>
        </w:rPr>
        <w:t>的</w:t>
      </w:r>
      <w:r>
        <w:rPr>
          <w:rFonts w:hint="eastAsia" w:ascii="宋体" w:hAnsi="宋体" w:eastAsia="宋体" w:cs="宋体"/>
          <w:i/>
          <w:iCs/>
          <w:color w:val="auto"/>
          <w:sz w:val="24"/>
          <w:szCs w:val="24"/>
          <w:u w:val="single"/>
        </w:rPr>
        <w:t>项目名称</w:t>
      </w:r>
      <w:r>
        <w:rPr>
          <w:rFonts w:hint="eastAsia" w:ascii="宋体" w:hAnsi="宋体" w:eastAsia="宋体" w:cs="宋体"/>
          <w:color w:val="auto"/>
          <w:sz w:val="24"/>
          <w:szCs w:val="24"/>
        </w:rPr>
        <w:t>公开招标项目的投标报价，签署上述项目的响应文件及合同的执行、完成、服务和保修，签署合同和处理与之有关的一切事务。</w:t>
      </w:r>
    </w:p>
    <w:p w14:paraId="4AB6E9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14:paraId="3930A90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C4AF1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FD69F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【此处请粘贴法定代表人（单位负责人）身份证复印件扫描件或图片，需清晰反映身份证有效期限】</w:t>
      </w:r>
    </w:p>
    <w:p w14:paraId="6733368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35D7A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722300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B2D40B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9AAD767">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供应商名称（并加盖公章）：</w:t>
      </w:r>
    </w:p>
    <w:p w14:paraId="26AC1221">
      <w:pPr>
        <w:keepNext w:val="0"/>
        <w:keepLines w:val="0"/>
        <w:pageBreakBefore w:val="0"/>
        <w:widowControl w:val="0"/>
        <w:kinsoku/>
        <w:wordWrap/>
        <w:overflowPunct/>
        <w:topLinePunct w:val="0"/>
        <w:autoSpaceDE/>
        <w:autoSpaceDN/>
        <w:bidi w:val="0"/>
        <w:adjustRightInd/>
        <w:snapToGrid/>
        <w:spacing w:line="360" w:lineRule="auto"/>
        <w:ind w:firstLine="4560" w:firstLineChars="19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签署日期：   年   月  日</w:t>
      </w:r>
    </w:p>
    <w:p w14:paraId="340FA0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42C7A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A4EAE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5FFE9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442F01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42F5E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6C241A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p>
    <w:p w14:paraId="488389E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4.3 法定代表人（单位负责人）授权书</w:t>
      </w:r>
    </w:p>
    <w:p w14:paraId="770836F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50B2B6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法人姓名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供应商名称  的法定代表人，现委托</w:t>
      </w:r>
      <w:r>
        <w:rPr>
          <w:rFonts w:hint="eastAsia" w:ascii="宋体" w:hAnsi="宋体" w:eastAsia="宋体" w:cs="宋体"/>
          <w:color w:val="auto"/>
          <w:sz w:val="24"/>
          <w:szCs w:val="24"/>
          <w:u w:val="single"/>
        </w:rPr>
        <w:t>　 姓名，职务</w:t>
      </w:r>
      <w:r>
        <w:rPr>
          <w:rFonts w:hint="eastAsia" w:ascii="宋体" w:hAnsi="宋体" w:eastAsia="宋体" w:cs="宋体"/>
          <w:color w:val="auto"/>
          <w:sz w:val="24"/>
          <w:szCs w:val="24"/>
        </w:rPr>
        <w:t>以我方的名义参加贵方______________________项目的投标活动，并代表我方全权办理针对上述项目的投标、开标、响应文件澄清、签约等一切具体事务和签署相关文件。</w:t>
      </w:r>
    </w:p>
    <w:p w14:paraId="17276B4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我方对被授权人的签名事项负全部责任。</w:t>
      </w:r>
    </w:p>
    <w:p w14:paraId="5E6169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14:paraId="6F8EB5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被授权人无转委托权，特此委托。</w:t>
      </w:r>
    </w:p>
    <w:p w14:paraId="7574B4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（全称）        </w:t>
      </w:r>
      <w:r>
        <w:rPr>
          <w:rFonts w:hint="eastAsia" w:ascii="宋体" w:hAnsi="宋体" w:eastAsia="宋体" w:cs="宋体"/>
          <w:color w:val="auto"/>
          <w:sz w:val="24"/>
          <w:szCs w:val="24"/>
        </w:rPr>
        <w:t>（盖单位公章）</w:t>
      </w:r>
    </w:p>
    <w:p w14:paraId="7B9061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法定代表人（单位负责人）：_________________（签字或加盖姓名章）</w:t>
      </w:r>
    </w:p>
    <w:p w14:paraId="315F508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法定代表人（单位负责人）授权代表：_________________（签字或加盖姓名章）</w:t>
      </w:r>
    </w:p>
    <w:p w14:paraId="4E2C89B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法定代表人（单位负责人）授权代表联系电话（手机）：_________________</w:t>
      </w:r>
    </w:p>
    <w:p w14:paraId="5C741B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tbl>
      <w:tblPr>
        <w:tblStyle w:val="10"/>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2"/>
        <w:gridCol w:w="4552"/>
        <w:gridCol w:w="14"/>
      </w:tblGrid>
      <w:tr w14:paraId="3E54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302" w:type="dxa"/>
            <w:vAlign w:val="center"/>
          </w:tcPr>
          <w:p w14:paraId="2039A3BE">
            <w:pPr>
              <w:jc w:val="center"/>
              <w:rPr>
                <w:rFonts w:hint="eastAsia" w:ascii="宋体" w:hAnsi="宋体"/>
                <w:color w:val="auto"/>
                <w:sz w:val="22"/>
                <w:szCs w:val="24"/>
              </w:rPr>
            </w:pPr>
            <w:r>
              <w:rPr>
                <w:rFonts w:hint="eastAsia" w:ascii="宋体" w:hAnsi="宋体"/>
                <w:color w:val="auto"/>
                <w:sz w:val="22"/>
                <w:szCs w:val="24"/>
              </w:rPr>
              <w:t>法定代表人（单位负责人）身份证</w:t>
            </w:r>
          </w:p>
          <w:p w14:paraId="43DABF24">
            <w:pPr>
              <w:jc w:val="center"/>
              <w:rPr>
                <w:rFonts w:ascii="宋体" w:hAnsi="宋体"/>
                <w:color w:val="auto"/>
                <w:sz w:val="22"/>
                <w:szCs w:val="24"/>
              </w:rPr>
            </w:pPr>
            <w:r>
              <w:rPr>
                <w:rFonts w:hint="eastAsia" w:ascii="宋体" w:hAnsi="宋体"/>
                <w:color w:val="auto"/>
                <w:sz w:val="22"/>
                <w:szCs w:val="24"/>
              </w:rPr>
              <w:t>（正面）</w:t>
            </w:r>
          </w:p>
        </w:tc>
        <w:tc>
          <w:tcPr>
            <w:tcW w:w="4552" w:type="dxa"/>
            <w:vAlign w:val="center"/>
          </w:tcPr>
          <w:p w14:paraId="218CBBA2">
            <w:pPr>
              <w:jc w:val="center"/>
              <w:rPr>
                <w:rFonts w:hint="eastAsia" w:ascii="宋体" w:hAnsi="宋体"/>
                <w:color w:val="auto"/>
                <w:sz w:val="22"/>
                <w:szCs w:val="24"/>
              </w:rPr>
            </w:pPr>
            <w:r>
              <w:rPr>
                <w:rFonts w:hint="eastAsia" w:ascii="宋体" w:hAnsi="宋体"/>
                <w:color w:val="auto"/>
                <w:sz w:val="22"/>
                <w:szCs w:val="24"/>
              </w:rPr>
              <w:t>法定代表人（单位负责人）身份证</w:t>
            </w:r>
          </w:p>
          <w:p w14:paraId="13360FA8">
            <w:pPr>
              <w:jc w:val="center"/>
              <w:rPr>
                <w:rFonts w:ascii="宋体" w:hAnsi="宋体"/>
                <w:color w:val="auto"/>
                <w:sz w:val="22"/>
                <w:szCs w:val="24"/>
              </w:rPr>
            </w:pPr>
            <w:r>
              <w:rPr>
                <w:rFonts w:hint="eastAsia" w:ascii="宋体" w:hAnsi="宋体"/>
                <w:color w:val="auto"/>
                <w:sz w:val="22"/>
                <w:szCs w:val="24"/>
              </w:rPr>
              <w:t>（反面）</w:t>
            </w:r>
          </w:p>
        </w:tc>
      </w:tr>
      <w:tr w14:paraId="2808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302" w:type="dxa"/>
            <w:vAlign w:val="center"/>
          </w:tcPr>
          <w:p w14:paraId="5682DE90">
            <w:pPr>
              <w:jc w:val="center"/>
              <w:rPr>
                <w:rFonts w:ascii="宋体" w:hAnsi="宋体"/>
                <w:color w:val="auto"/>
                <w:sz w:val="22"/>
                <w:szCs w:val="24"/>
              </w:rPr>
            </w:pPr>
            <w:bookmarkStart w:id="5" w:name="_资格证明文件"/>
            <w:bookmarkEnd w:id="5"/>
            <w:bookmarkStart w:id="6" w:name="_Toc364329026"/>
            <w:r>
              <w:rPr>
                <w:rFonts w:hint="eastAsia" w:ascii="宋体" w:hAnsi="宋体"/>
                <w:color w:val="auto"/>
                <w:sz w:val="22"/>
                <w:szCs w:val="24"/>
              </w:rPr>
              <w:t>法定代表人(单位负责人)授权代表身份证（正面）</w:t>
            </w:r>
            <w:bookmarkEnd w:id="6"/>
          </w:p>
        </w:tc>
        <w:tc>
          <w:tcPr>
            <w:tcW w:w="4566" w:type="dxa"/>
            <w:gridSpan w:val="2"/>
            <w:vAlign w:val="center"/>
          </w:tcPr>
          <w:p w14:paraId="3E00CD50">
            <w:pPr>
              <w:jc w:val="center"/>
              <w:rPr>
                <w:rFonts w:hint="eastAsia" w:ascii="宋体" w:hAnsi="宋体"/>
                <w:color w:val="auto"/>
                <w:sz w:val="22"/>
                <w:szCs w:val="24"/>
              </w:rPr>
            </w:pPr>
            <w:bookmarkStart w:id="7" w:name="_Toc364329027"/>
            <w:r>
              <w:rPr>
                <w:rFonts w:hint="eastAsia" w:ascii="宋体" w:hAnsi="宋体"/>
                <w:color w:val="auto"/>
                <w:sz w:val="22"/>
                <w:szCs w:val="24"/>
              </w:rPr>
              <w:t>法定代表人（单位负责人）授权代表身份证</w:t>
            </w:r>
          </w:p>
          <w:p w14:paraId="51D84A70">
            <w:pPr>
              <w:jc w:val="center"/>
              <w:rPr>
                <w:rFonts w:ascii="宋体" w:hAnsi="宋体"/>
                <w:color w:val="auto"/>
                <w:sz w:val="22"/>
                <w:szCs w:val="24"/>
              </w:rPr>
            </w:pPr>
            <w:r>
              <w:rPr>
                <w:rFonts w:hint="eastAsia" w:ascii="宋体" w:hAnsi="宋体"/>
                <w:color w:val="auto"/>
                <w:sz w:val="22"/>
                <w:szCs w:val="24"/>
              </w:rPr>
              <w:t>（反面）</w:t>
            </w:r>
            <w:bookmarkEnd w:id="7"/>
          </w:p>
        </w:tc>
      </w:tr>
    </w:tbl>
    <w:p w14:paraId="23C053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4.4 磋商承诺函</w:t>
      </w:r>
    </w:p>
    <w:p w14:paraId="3E1DF8C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69FCC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致：（采购人和采购代理机构）</w:t>
      </w:r>
    </w:p>
    <w:p w14:paraId="3B4CB7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经研究，我方自愿参与贵方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（项目编号、项目名称）的投标， 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14:paraId="0622DD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一、在响应有效期内撤销响应文件；</w:t>
      </w:r>
    </w:p>
    <w:p w14:paraId="254BFA9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二、在响应文件中提供虚假材料；</w:t>
      </w:r>
    </w:p>
    <w:p w14:paraId="2D25D01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三、除因不可抗力或磋商文件认可的情形以外，成交后不与采购人签订合同；</w:t>
      </w:r>
    </w:p>
    <w:p w14:paraId="6F032F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四、与采购人、其他供应商或者采购代理机构恶意串通；</w:t>
      </w:r>
    </w:p>
    <w:p w14:paraId="31414F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五、法律法规及本磋商文件规定的其他严重违法行为。</w:t>
      </w:r>
    </w:p>
    <w:p w14:paraId="7B7CE47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F9585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D805614">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供应商名称（并加盖公章）：</w:t>
      </w:r>
    </w:p>
    <w:p w14:paraId="11D656C0">
      <w:pPr>
        <w:keepNext w:val="0"/>
        <w:keepLines w:val="0"/>
        <w:pageBreakBefore w:val="0"/>
        <w:widowControl w:val="0"/>
        <w:kinsoku/>
        <w:wordWrap/>
        <w:overflowPunct/>
        <w:topLinePunct w:val="0"/>
        <w:autoSpaceDE/>
        <w:autoSpaceDN/>
        <w:bidi w:val="0"/>
        <w:adjustRightInd/>
        <w:snapToGrid/>
        <w:spacing w:line="360" w:lineRule="auto"/>
        <w:ind w:firstLine="4320" w:firstLineChars="18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23BFA95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1E9EF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384DF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7D9E3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B4B2C6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A99BE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E34FC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2E0DE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388B8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88A134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4.5 襄城县政府采购供应商信用承诺函</w:t>
      </w:r>
    </w:p>
    <w:p w14:paraId="138CA6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致（采购人）</w:t>
      </w:r>
    </w:p>
    <w:p w14:paraId="2964D0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单位名称（自然人姓名）:</w:t>
      </w:r>
    </w:p>
    <w:p w14:paraId="0C63AE0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统一社会信用代码（身份证号码）:</w:t>
      </w:r>
    </w:p>
    <w:p w14:paraId="54B5D8E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w:t>
      </w:r>
    </w:p>
    <w:p w14:paraId="78CBDF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联系地址和电话：</w:t>
      </w:r>
    </w:p>
    <w:p w14:paraId="71F148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为维护公平、公正、公开的政府采购市场秩序，树立诚实守信的政府采购供应商形象，我单位（本人）自愿作出以下承诺：</w:t>
      </w:r>
    </w:p>
    <w:p w14:paraId="50FBE88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03B674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（一）具有独立承担民事责任的能力；</w:t>
      </w:r>
    </w:p>
    <w:p w14:paraId="517AB1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（二）具有良好的商业信誉和健全的财务会计制度；</w:t>
      </w:r>
    </w:p>
    <w:p w14:paraId="7BEB1C1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（三）具有履行合同所必需的设备和专业技术能力；</w:t>
      </w:r>
    </w:p>
    <w:p w14:paraId="1907223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（四）有依法缴纳税收和社会保障资金的良好记录；</w:t>
      </w:r>
    </w:p>
    <w:p w14:paraId="6DCB735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（五）参加政府采购活动前三年内，在经营活动中没有重大违法记录；</w:t>
      </w:r>
    </w:p>
    <w:p w14:paraId="38B317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（六）未被列入经营异常名录或者严重违法失信名单、失信被执行人，重大税收违法案件当事人名单、政府采购严重违法失信行为记录名单；</w:t>
      </w:r>
    </w:p>
    <w:p w14:paraId="350C3B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（七）未被相关监管部门作出行政处罚且尚在处罚有效期的；</w:t>
      </w:r>
    </w:p>
    <w:p w14:paraId="06C11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（八）未曾作出虚假采购承诺；</w:t>
      </w:r>
    </w:p>
    <w:p w14:paraId="53B0C9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（九）符合法律、行政法规规定的其他条件。</w:t>
      </w:r>
    </w:p>
    <w:p w14:paraId="3561B2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70001A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07E4D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供应商（电子章）:</w:t>
      </w:r>
    </w:p>
    <w:p w14:paraId="529C17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法定代表人、负责人、本人、或授权代表（签字或电子印章）:</w:t>
      </w:r>
    </w:p>
    <w:p w14:paraId="7E1CE98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87AFAE6">
      <w:pPr>
        <w:keepNext w:val="0"/>
        <w:keepLines w:val="0"/>
        <w:pageBreakBefore w:val="0"/>
        <w:widowControl w:val="0"/>
        <w:kinsoku/>
        <w:wordWrap/>
        <w:overflowPunct/>
        <w:topLinePunct w:val="0"/>
        <w:autoSpaceDE/>
        <w:autoSpaceDN/>
        <w:bidi w:val="0"/>
        <w:adjustRightInd/>
        <w:snapToGrid/>
        <w:spacing w:line="360" w:lineRule="auto"/>
        <w:ind w:firstLine="6000" w:firstLineChars="25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p>
    <w:p w14:paraId="62F9A59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2461102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1.投标人须在投标文件中按此模板提供承诺函，未提供视为未实质性响应招标文件要求，按无效投标处理。</w:t>
      </w:r>
    </w:p>
    <w:p w14:paraId="5F9AB1D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2.投标人的法定代表人或者授权代表的签字或盖章应真实、有效，如由授权代表签字或盖章的，应提供“法定代表人授权书”。</w:t>
      </w:r>
    </w:p>
    <w:p w14:paraId="0ACFF22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974C9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BC952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759665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3186C6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F22BF3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1D20AB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69C55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1C1B9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F7C4D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6ED742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F038D4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3AD8D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C8A50C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8CCAB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14:paraId="2E2F5B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4.6、供应商与参加本项目投标的其他供应商之间，单位负责人</w:t>
      </w:r>
      <w:r>
        <w:rPr>
          <w:rFonts w:hint="eastAsia" w:ascii="宋体" w:hAnsi="宋体" w:eastAsia="宋体" w:cs="宋体"/>
          <w:b/>
          <w:bCs/>
          <w:color w:val="auto"/>
          <w:sz w:val="28"/>
          <w:szCs w:val="28"/>
          <w:lang w:val="en-US" w:eastAsia="zh-CN"/>
        </w:rPr>
        <w:t>或总公司</w:t>
      </w:r>
      <w:r>
        <w:rPr>
          <w:rFonts w:hint="eastAsia" w:ascii="宋体" w:hAnsi="宋体" w:eastAsia="宋体" w:cs="宋体"/>
          <w:b/>
          <w:bCs/>
          <w:color w:val="auto"/>
          <w:sz w:val="28"/>
          <w:szCs w:val="28"/>
        </w:rPr>
        <w:t>不为同一人并且不存在直接控股、管理关系</w:t>
      </w:r>
    </w:p>
    <w:p w14:paraId="2D4A6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提供与参加本项目投标的其他供应商之间，单位负责人不为同一</w:t>
      </w:r>
      <w:r>
        <w:rPr>
          <w:rFonts w:hint="eastAsia" w:ascii="宋体" w:hAnsi="宋体" w:eastAsia="宋体" w:cs="宋体"/>
          <w:color w:val="auto"/>
          <w:sz w:val="24"/>
          <w:szCs w:val="24"/>
          <w:lang w:val="en-US" w:eastAsia="zh-CN"/>
        </w:rPr>
        <w:t>人或不同一总公司</w:t>
      </w:r>
      <w:r>
        <w:rPr>
          <w:rFonts w:hint="eastAsia" w:ascii="宋体" w:hAnsi="宋体" w:eastAsia="宋体" w:cs="宋体"/>
          <w:color w:val="auto"/>
          <w:sz w:val="24"/>
          <w:szCs w:val="24"/>
        </w:rPr>
        <w:t>并且不存在直接控股、管理关系承诺函（【提供加盖投标人公章的“国家企业信用信 息公示系统”中公示的公司信息、股东（或投资人）信息】）。</w:t>
      </w:r>
    </w:p>
    <w:p w14:paraId="2CF67C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074D2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D4358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69059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5E7E99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0A8DA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7E0B00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AF828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B16F3A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BDB5C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BE818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6ED19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44773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410F3E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408F4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1850A9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73C9A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F4A1B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851949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1FB9C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EFE0B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p>
    <w:p w14:paraId="17CD6D7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8"/>
          <w:szCs w:val="28"/>
        </w:rPr>
        <w:t>4.7、供应商未为本项目提供整体设计、规范编制或者项目管理、监理、检测等服务承诺函</w:t>
      </w:r>
    </w:p>
    <w:p w14:paraId="6E6EA3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p>
    <w:p w14:paraId="3EDDAC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（承诺函格式自拟）</w:t>
      </w:r>
    </w:p>
    <w:p w14:paraId="5EE29C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3BCCB1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F6439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0C438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D9CD83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0688AF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DD983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D6439C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C6A9B7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5B7605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AD70BA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7787A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9435E0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56E27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494CC6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C2154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AF72E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705A6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1AFF8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D115D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36C6C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9E340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3E5FB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4.8其他资格证书或材料</w:t>
      </w:r>
    </w:p>
    <w:p w14:paraId="434E46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DF2CF8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AAAFC0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D36A6B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32765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35968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D2A65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F4628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35761F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EC196B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8345A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06CEA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1DC11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7F887F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9C582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7ED6B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0F7172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4E903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C7FE7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791AD0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65DBF2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67A93D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094DD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8CE28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7DB0D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CE11E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五、符合性审查证明材料</w:t>
      </w:r>
    </w:p>
    <w:p w14:paraId="364861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8"/>
          <w:szCs w:val="28"/>
        </w:rPr>
      </w:pPr>
    </w:p>
    <w:p w14:paraId="55746E3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5.1技术方案（实施方案）</w:t>
      </w:r>
    </w:p>
    <w:p w14:paraId="23D89B6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3C97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（供应商根据采购文件要求自行编制）</w:t>
      </w:r>
    </w:p>
    <w:p w14:paraId="6A2043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70973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2B24C0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77A34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429BF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096EB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BBF039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E5A4C3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7E6F7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68C3F5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D8A408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4E7CA7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0ABC2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3E2F89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B1470A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DEB18D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F56BE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5A565F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39043D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9CE20A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E2F80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BFC38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5.2业绩情况表</w:t>
      </w:r>
    </w:p>
    <w:p w14:paraId="44F0A7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5D10CA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25"/>
        <w:gridCol w:w="3276"/>
        <w:gridCol w:w="1274"/>
        <w:gridCol w:w="1726"/>
      </w:tblGrid>
      <w:tr w14:paraId="0573F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6" w:type="dxa"/>
            <w:shd w:val="clear" w:color="auto" w:fill="F3F3F3"/>
            <w:vAlign w:val="center"/>
          </w:tcPr>
          <w:p w14:paraId="60B1FEA3">
            <w:pPr>
              <w:pStyle w:val="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序号</w:t>
            </w:r>
          </w:p>
        </w:tc>
        <w:tc>
          <w:tcPr>
            <w:tcW w:w="1725" w:type="dxa"/>
            <w:shd w:val="clear" w:color="auto" w:fill="F3F3F3"/>
            <w:vAlign w:val="center"/>
          </w:tcPr>
          <w:p w14:paraId="460B58A0">
            <w:pPr>
              <w:pStyle w:val="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客户单位名称</w:t>
            </w:r>
          </w:p>
        </w:tc>
        <w:tc>
          <w:tcPr>
            <w:tcW w:w="3276" w:type="dxa"/>
            <w:shd w:val="clear" w:color="auto" w:fill="F3F3F3"/>
            <w:vAlign w:val="center"/>
          </w:tcPr>
          <w:p w14:paraId="1B5F6B63">
            <w:pPr>
              <w:pStyle w:val="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项目名称及主要内容</w:t>
            </w:r>
          </w:p>
        </w:tc>
        <w:tc>
          <w:tcPr>
            <w:tcW w:w="1274" w:type="dxa"/>
            <w:shd w:val="clear" w:color="auto" w:fill="F3F3F3"/>
            <w:vAlign w:val="center"/>
          </w:tcPr>
          <w:p w14:paraId="2B5FCCC3">
            <w:pPr>
              <w:pStyle w:val="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合同金额（万元）</w:t>
            </w:r>
          </w:p>
        </w:tc>
        <w:tc>
          <w:tcPr>
            <w:tcW w:w="1726" w:type="dxa"/>
            <w:shd w:val="clear" w:color="auto" w:fill="F3F3F3"/>
            <w:vAlign w:val="center"/>
          </w:tcPr>
          <w:p w14:paraId="129CF426">
            <w:pPr>
              <w:pStyle w:val="2"/>
              <w:jc w:val="center"/>
              <w:rPr>
                <w:rFonts w:ascii="宋体" w:hAnsi="宋体" w:eastAsia="宋体" w:cs="Times New Roman"/>
                <w:b/>
                <w:bCs/>
                <w:color w:val="auto"/>
                <w:sz w:val="24"/>
                <w:szCs w:val="24"/>
              </w:rPr>
            </w:pPr>
            <w:r>
              <w:rPr>
                <w:rFonts w:hint="eastAsia" w:ascii="宋体" w:hAnsi="宋体" w:eastAsia="宋体" w:cs="宋体"/>
                <w:b/>
                <w:bCs/>
                <w:color w:val="auto"/>
                <w:sz w:val="24"/>
                <w:szCs w:val="24"/>
              </w:rPr>
              <w:t>联系人及电话</w:t>
            </w:r>
          </w:p>
        </w:tc>
      </w:tr>
      <w:tr w14:paraId="54EB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vAlign w:val="center"/>
          </w:tcPr>
          <w:p w14:paraId="0739BE73">
            <w:pPr>
              <w:pStyle w:val="2"/>
              <w:spacing w:line="360" w:lineRule="auto"/>
              <w:jc w:val="center"/>
              <w:rPr>
                <w:rFonts w:ascii="宋体" w:hAnsi="宋体" w:eastAsia="宋体" w:cs="宋体"/>
                <w:color w:val="auto"/>
                <w:sz w:val="24"/>
                <w:szCs w:val="24"/>
              </w:rPr>
            </w:pPr>
            <w:r>
              <w:rPr>
                <w:rFonts w:ascii="宋体" w:hAnsi="宋体" w:eastAsia="宋体" w:cs="宋体"/>
                <w:color w:val="auto"/>
                <w:sz w:val="24"/>
                <w:szCs w:val="24"/>
              </w:rPr>
              <w:t>1</w:t>
            </w:r>
          </w:p>
        </w:tc>
        <w:tc>
          <w:tcPr>
            <w:tcW w:w="1725" w:type="dxa"/>
            <w:vAlign w:val="center"/>
          </w:tcPr>
          <w:p w14:paraId="690C98B9">
            <w:pPr>
              <w:pStyle w:val="2"/>
              <w:spacing w:line="360" w:lineRule="auto"/>
              <w:jc w:val="both"/>
              <w:rPr>
                <w:rFonts w:ascii="宋体" w:hAnsi="宋体" w:eastAsia="宋体" w:cs="Times New Roman"/>
                <w:color w:val="auto"/>
                <w:sz w:val="24"/>
                <w:szCs w:val="24"/>
              </w:rPr>
            </w:pPr>
          </w:p>
        </w:tc>
        <w:tc>
          <w:tcPr>
            <w:tcW w:w="3276" w:type="dxa"/>
            <w:vAlign w:val="center"/>
          </w:tcPr>
          <w:p w14:paraId="4107D94A">
            <w:pPr>
              <w:pStyle w:val="2"/>
              <w:spacing w:line="360" w:lineRule="auto"/>
              <w:jc w:val="both"/>
              <w:rPr>
                <w:rFonts w:ascii="宋体" w:hAnsi="宋体" w:eastAsia="宋体" w:cs="Times New Roman"/>
                <w:color w:val="auto"/>
                <w:sz w:val="24"/>
                <w:szCs w:val="24"/>
              </w:rPr>
            </w:pPr>
          </w:p>
        </w:tc>
        <w:tc>
          <w:tcPr>
            <w:tcW w:w="1274" w:type="dxa"/>
            <w:vAlign w:val="center"/>
          </w:tcPr>
          <w:p w14:paraId="3A82EE52">
            <w:pPr>
              <w:pStyle w:val="2"/>
              <w:spacing w:line="360" w:lineRule="auto"/>
              <w:jc w:val="both"/>
              <w:rPr>
                <w:rFonts w:ascii="宋体" w:hAnsi="宋体" w:eastAsia="宋体" w:cs="Times New Roman"/>
                <w:color w:val="auto"/>
                <w:sz w:val="24"/>
                <w:szCs w:val="24"/>
              </w:rPr>
            </w:pPr>
          </w:p>
        </w:tc>
        <w:tc>
          <w:tcPr>
            <w:tcW w:w="1726" w:type="dxa"/>
            <w:vAlign w:val="center"/>
          </w:tcPr>
          <w:p w14:paraId="29C00B2D">
            <w:pPr>
              <w:pStyle w:val="2"/>
              <w:spacing w:line="360" w:lineRule="auto"/>
              <w:jc w:val="both"/>
              <w:rPr>
                <w:rFonts w:ascii="宋体" w:hAnsi="宋体" w:eastAsia="宋体" w:cs="Times New Roman"/>
                <w:color w:val="auto"/>
                <w:sz w:val="24"/>
                <w:szCs w:val="24"/>
              </w:rPr>
            </w:pPr>
          </w:p>
        </w:tc>
      </w:tr>
      <w:tr w14:paraId="75386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vAlign w:val="center"/>
          </w:tcPr>
          <w:p w14:paraId="3CA66F60">
            <w:pPr>
              <w:pStyle w:val="2"/>
              <w:spacing w:line="360" w:lineRule="auto"/>
              <w:jc w:val="center"/>
              <w:rPr>
                <w:rFonts w:ascii="宋体" w:hAnsi="宋体" w:eastAsia="宋体" w:cs="宋体"/>
                <w:color w:val="auto"/>
                <w:sz w:val="24"/>
                <w:szCs w:val="24"/>
              </w:rPr>
            </w:pPr>
            <w:r>
              <w:rPr>
                <w:rFonts w:ascii="宋体" w:hAnsi="宋体" w:eastAsia="宋体" w:cs="宋体"/>
                <w:color w:val="auto"/>
                <w:sz w:val="24"/>
                <w:szCs w:val="24"/>
              </w:rPr>
              <w:t>2</w:t>
            </w:r>
          </w:p>
        </w:tc>
        <w:tc>
          <w:tcPr>
            <w:tcW w:w="1725" w:type="dxa"/>
            <w:vAlign w:val="center"/>
          </w:tcPr>
          <w:p w14:paraId="5B920DB5">
            <w:pPr>
              <w:pStyle w:val="2"/>
              <w:spacing w:line="360" w:lineRule="auto"/>
              <w:jc w:val="both"/>
              <w:rPr>
                <w:rFonts w:ascii="宋体" w:hAnsi="宋体" w:eastAsia="宋体" w:cs="Times New Roman"/>
                <w:color w:val="auto"/>
                <w:sz w:val="24"/>
                <w:szCs w:val="24"/>
              </w:rPr>
            </w:pPr>
          </w:p>
        </w:tc>
        <w:tc>
          <w:tcPr>
            <w:tcW w:w="3276" w:type="dxa"/>
            <w:vAlign w:val="center"/>
          </w:tcPr>
          <w:p w14:paraId="63BBAF29">
            <w:pPr>
              <w:pStyle w:val="2"/>
              <w:spacing w:line="360" w:lineRule="auto"/>
              <w:jc w:val="both"/>
              <w:rPr>
                <w:rFonts w:ascii="宋体" w:hAnsi="宋体" w:eastAsia="宋体" w:cs="Times New Roman"/>
                <w:color w:val="auto"/>
                <w:sz w:val="24"/>
                <w:szCs w:val="24"/>
              </w:rPr>
            </w:pPr>
          </w:p>
        </w:tc>
        <w:tc>
          <w:tcPr>
            <w:tcW w:w="1274" w:type="dxa"/>
            <w:vAlign w:val="center"/>
          </w:tcPr>
          <w:p w14:paraId="35AE8FC5">
            <w:pPr>
              <w:pStyle w:val="2"/>
              <w:spacing w:line="360" w:lineRule="auto"/>
              <w:jc w:val="both"/>
              <w:rPr>
                <w:rFonts w:ascii="宋体" w:hAnsi="宋体" w:eastAsia="宋体" w:cs="Times New Roman"/>
                <w:color w:val="auto"/>
                <w:sz w:val="24"/>
                <w:szCs w:val="24"/>
              </w:rPr>
            </w:pPr>
          </w:p>
        </w:tc>
        <w:tc>
          <w:tcPr>
            <w:tcW w:w="1726" w:type="dxa"/>
            <w:vAlign w:val="center"/>
          </w:tcPr>
          <w:p w14:paraId="18B88690">
            <w:pPr>
              <w:pStyle w:val="2"/>
              <w:spacing w:line="360" w:lineRule="auto"/>
              <w:jc w:val="both"/>
              <w:rPr>
                <w:rFonts w:ascii="宋体" w:hAnsi="宋体" w:eastAsia="宋体" w:cs="Times New Roman"/>
                <w:color w:val="auto"/>
                <w:sz w:val="24"/>
                <w:szCs w:val="24"/>
              </w:rPr>
            </w:pPr>
          </w:p>
        </w:tc>
      </w:tr>
      <w:tr w14:paraId="77BA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vAlign w:val="center"/>
          </w:tcPr>
          <w:p w14:paraId="06B09FDA">
            <w:pPr>
              <w:pStyle w:val="2"/>
              <w:spacing w:line="360" w:lineRule="auto"/>
              <w:jc w:val="center"/>
              <w:rPr>
                <w:rFonts w:ascii="宋体" w:hAnsi="宋体" w:eastAsia="宋体" w:cs="宋体"/>
                <w:color w:val="auto"/>
                <w:sz w:val="24"/>
                <w:szCs w:val="24"/>
              </w:rPr>
            </w:pPr>
            <w:r>
              <w:rPr>
                <w:rFonts w:ascii="宋体" w:hAnsi="宋体" w:eastAsia="宋体" w:cs="宋体"/>
                <w:color w:val="auto"/>
                <w:sz w:val="24"/>
                <w:szCs w:val="24"/>
              </w:rPr>
              <w:t>3</w:t>
            </w:r>
          </w:p>
        </w:tc>
        <w:tc>
          <w:tcPr>
            <w:tcW w:w="1725" w:type="dxa"/>
            <w:vAlign w:val="center"/>
          </w:tcPr>
          <w:p w14:paraId="6AD23377">
            <w:pPr>
              <w:pStyle w:val="2"/>
              <w:spacing w:line="360" w:lineRule="auto"/>
              <w:jc w:val="both"/>
              <w:rPr>
                <w:rFonts w:ascii="宋体" w:hAnsi="宋体" w:eastAsia="宋体" w:cs="Times New Roman"/>
                <w:color w:val="auto"/>
                <w:sz w:val="24"/>
                <w:szCs w:val="24"/>
              </w:rPr>
            </w:pPr>
          </w:p>
        </w:tc>
        <w:tc>
          <w:tcPr>
            <w:tcW w:w="3276" w:type="dxa"/>
            <w:vAlign w:val="center"/>
          </w:tcPr>
          <w:p w14:paraId="3C862A9F">
            <w:pPr>
              <w:pStyle w:val="2"/>
              <w:spacing w:line="360" w:lineRule="auto"/>
              <w:jc w:val="both"/>
              <w:rPr>
                <w:rFonts w:ascii="宋体" w:hAnsi="宋体" w:eastAsia="宋体" w:cs="Times New Roman"/>
                <w:color w:val="auto"/>
                <w:sz w:val="24"/>
                <w:szCs w:val="24"/>
              </w:rPr>
            </w:pPr>
          </w:p>
        </w:tc>
        <w:tc>
          <w:tcPr>
            <w:tcW w:w="1274" w:type="dxa"/>
            <w:vAlign w:val="center"/>
          </w:tcPr>
          <w:p w14:paraId="14EC2153">
            <w:pPr>
              <w:pStyle w:val="2"/>
              <w:spacing w:line="360" w:lineRule="auto"/>
              <w:jc w:val="both"/>
              <w:rPr>
                <w:rFonts w:ascii="宋体" w:hAnsi="宋体" w:eastAsia="宋体" w:cs="Times New Roman"/>
                <w:color w:val="auto"/>
                <w:sz w:val="24"/>
                <w:szCs w:val="24"/>
              </w:rPr>
            </w:pPr>
          </w:p>
        </w:tc>
        <w:tc>
          <w:tcPr>
            <w:tcW w:w="1726" w:type="dxa"/>
            <w:vAlign w:val="center"/>
          </w:tcPr>
          <w:p w14:paraId="1C703FA4">
            <w:pPr>
              <w:pStyle w:val="2"/>
              <w:spacing w:line="360" w:lineRule="auto"/>
              <w:jc w:val="both"/>
              <w:rPr>
                <w:rFonts w:ascii="宋体" w:hAnsi="宋体" w:eastAsia="宋体" w:cs="Times New Roman"/>
                <w:color w:val="auto"/>
                <w:sz w:val="24"/>
                <w:szCs w:val="24"/>
              </w:rPr>
            </w:pPr>
          </w:p>
        </w:tc>
      </w:tr>
      <w:tr w14:paraId="6E1F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6" w:type="dxa"/>
            <w:vAlign w:val="center"/>
          </w:tcPr>
          <w:p w14:paraId="0CF0D3F1">
            <w:pPr>
              <w:pStyle w:val="2"/>
              <w:spacing w:line="360" w:lineRule="auto"/>
              <w:jc w:val="center"/>
              <w:rPr>
                <w:rFonts w:ascii="宋体" w:hAnsi="宋体" w:eastAsia="宋体" w:cs="宋体"/>
                <w:color w:val="auto"/>
                <w:sz w:val="24"/>
                <w:szCs w:val="24"/>
              </w:rPr>
            </w:pPr>
            <w:r>
              <w:rPr>
                <w:rFonts w:ascii="宋体" w:hAnsi="宋体" w:eastAsia="宋体" w:cs="宋体"/>
                <w:color w:val="auto"/>
                <w:sz w:val="24"/>
                <w:szCs w:val="24"/>
              </w:rPr>
              <w:t>4</w:t>
            </w:r>
          </w:p>
        </w:tc>
        <w:tc>
          <w:tcPr>
            <w:tcW w:w="1725" w:type="dxa"/>
            <w:vAlign w:val="center"/>
          </w:tcPr>
          <w:p w14:paraId="5EB952AA">
            <w:pPr>
              <w:jc w:val="both"/>
              <w:rPr>
                <w:rFonts w:ascii="宋体"/>
                <w:color w:val="auto"/>
              </w:rPr>
            </w:pPr>
          </w:p>
        </w:tc>
        <w:tc>
          <w:tcPr>
            <w:tcW w:w="3276" w:type="dxa"/>
            <w:vAlign w:val="center"/>
          </w:tcPr>
          <w:p w14:paraId="6A64F302">
            <w:pPr>
              <w:jc w:val="both"/>
              <w:rPr>
                <w:rFonts w:ascii="宋体"/>
                <w:color w:val="auto"/>
              </w:rPr>
            </w:pPr>
          </w:p>
        </w:tc>
        <w:tc>
          <w:tcPr>
            <w:tcW w:w="1274" w:type="dxa"/>
            <w:vAlign w:val="center"/>
          </w:tcPr>
          <w:p w14:paraId="1AABEC4B">
            <w:pPr>
              <w:jc w:val="both"/>
              <w:rPr>
                <w:rFonts w:ascii="宋体"/>
                <w:color w:val="auto"/>
              </w:rPr>
            </w:pPr>
          </w:p>
        </w:tc>
        <w:tc>
          <w:tcPr>
            <w:tcW w:w="1726" w:type="dxa"/>
            <w:vAlign w:val="center"/>
          </w:tcPr>
          <w:p w14:paraId="16840829">
            <w:pPr>
              <w:jc w:val="both"/>
              <w:rPr>
                <w:rFonts w:ascii="宋体"/>
                <w:color w:val="auto"/>
              </w:rPr>
            </w:pPr>
          </w:p>
        </w:tc>
      </w:tr>
      <w:tr w14:paraId="407A0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16" w:type="dxa"/>
            <w:vAlign w:val="center"/>
          </w:tcPr>
          <w:p w14:paraId="222A77F6">
            <w:pPr>
              <w:pStyle w:val="2"/>
              <w:spacing w:line="360" w:lineRule="auto"/>
              <w:jc w:val="center"/>
              <w:rPr>
                <w:rFonts w:ascii="宋体" w:hAnsi="宋体" w:eastAsia="宋体" w:cs="Times New Roman"/>
                <w:color w:val="auto"/>
                <w:sz w:val="24"/>
                <w:szCs w:val="24"/>
              </w:rPr>
            </w:pPr>
            <w:r>
              <w:rPr>
                <w:rFonts w:hint="eastAsia" w:ascii="宋体" w:hAnsi="宋体" w:eastAsia="宋体" w:cs="宋体"/>
                <w:color w:val="auto"/>
                <w:sz w:val="24"/>
                <w:szCs w:val="24"/>
              </w:rPr>
              <w:t>……</w:t>
            </w:r>
          </w:p>
        </w:tc>
        <w:tc>
          <w:tcPr>
            <w:tcW w:w="1725" w:type="dxa"/>
            <w:vAlign w:val="center"/>
          </w:tcPr>
          <w:p w14:paraId="0B8FD085">
            <w:pPr>
              <w:jc w:val="both"/>
              <w:rPr>
                <w:rFonts w:ascii="宋体"/>
                <w:color w:val="auto"/>
              </w:rPr>
            </w:pPr>
          </w:p>
        </w:tc>
        <w:tc>
          <w:tcPr>
            <w:tcW w:w="3276" w:type="dxa"/>
            <w:vAlign w:val="center"/>
          </w:tcPr>
          <w:p w14:paraId="71A8246A">
            <w:pPr>
              <w:jc w:val="both"/>
              <w:rPr>
                <w:rFonts w:ascii="宋体"/>
                <w:color w:val="auto"/>
              </w:rPr>
            </w:pPr>
          </w:p>
        </w:tc>
        <w:tc>
          <w:tcPr>
            <w:tcW w:w="1274" w:type="dxa"/>
            <w:vAlign w:val="center"/>
          </w:tcPr>
          <w:p w14:paraId="47DDE67D">
            <w:pPr>
              <w:jc w:val="both"/>
              <w:rPr>
                <w:rFonts w:ascii="宋体"/>
                <w:color w:val="auto"/>
              </w:rPr>
            </w:pPr>
          </w:p>
        </w:tc>
        <w:tc>
          <w:tcPr>
            <w:tcW w:w="1726" w:type="dxa"/>
            <w:vAlign w:val="center"/>
          </w:tcPr>
          <w:p w14:paraId="4443C444">
            <w:pPr>
              <w:jc w:val="both"/>
              <w:rPr>
                <w:rFonts w:ascii="宋体"/>
                <w:color w:val="auto"/>
              </w:rPr>
            </w:pPr>
          </w:p>
        </w:tc>
      </w:tr>
    </w:tbl>
    <w:p w14:paraId="35F1C6C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供应商（公章）：</w:t>
      </w:r>
    </w:p>
    <w:p w14:paraId="6EB53E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供应商法定代表人或授权代（签字或加盖姓名章）：</w:t>
      </w:r>
    </w:p>
    <w:p w14:paraId="5D81B7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DA8EF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616A8D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58FE4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377435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5394E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495323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6D0DF5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6DD89E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742ABD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CBED7B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9F623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21AA8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5.3 服务方案</w:t>
      </w:r>
    </w:p>
    <w:p w14:paraId="4C2F0C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C15CC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（供应商根据采购文件要求自行编制）</w:t>
      </w:r>
    </w:p>
    <w:p w14:paraId="2D3A3C0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4815F2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69C34D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8B383F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077D5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96C95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C9B6EE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3CA3C9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2865F4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313B74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88775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E582C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A9A515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33DD4A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B4E98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BDB89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585BE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FF3A15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70B71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2B148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04F36D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AE2F9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03C4D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DF110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5.4 中小企业声明函（服务）</w:t>
      </w:r>
    </w:p>
    <w:p w14:paraId="32A0716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1F0A5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本公司（联合体）郑重声明，根据《政府采购促进中小企业发展管理办法》（财库﹝2020﹞46号）的规定，本公司（联合体）参加</w:t>
      </w:r>
      <w:r>
        <w:rPr>
          <w:rFonts w:hint="eastAsia" w:ascii="宋体" w:hAnsi="宋体" w:eastAsia="宋体" w:cs="宋体"/>
          <w:color w:val="auto"/>
          <w:sz w:val="24"/>
          <w:szCs w:val="24"/>
          <w:u w:val="single"/>
        </w:rPr>
        <w:t xml:space="preserve"> （单位名称）</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3C9B4E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（采购文件中明确的所属行业）</w:t>
      </w:r>
      <w:r>
        <w:rPr>
          <w:rFonts w:hint="eastAsia" w:ascii="宋体" w:hAnsi="宋体" w:eastAsia="宋体" w:cs="宋体"/>
          <w:color w:val="auto"/>
          <w:sz w:val="24"/>
          <w:szCs w:val="24"/>
        </w:rPr>
        <w:t xml:space="preserve">；承建（承接）企业为 </w:t>
      </w:r>
      <w:r>
        <w:rPr>
          <w:rFonts w:hint="eastAsia" w:ascii="宋体" w:hAnsi="宋体" w:eastAsia="宋体" w:cs="宋体"/>
          <w:color w:val="auto"/>
          <w:sz w:val="24"/>
          <w:szCs w:val="24"/>
          <w:u w:val="single"/>
        </w:rPr>
        <w:t>（企业名称 ）</w:t>
      </w:r>
      <w:r>
        <w:rPr>
          <w:rFonts w:hint="eastAsia" w:ascii="宋体" w:hAnsi="宋体" w:eastAsia="宋体" w:cs="宋体"/>
          <w:color w:val="auto"/>
          <w:sz w:val="24"/>
          <w:szCs w:val="24"/>
        </w:rPr>
        <w:t xml:space="preserve"> ，从业人员_______人，营业收入为</w:t>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t>________万元，资产总额为_______万元，属于</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7FBDC9F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（标的名称）</w:t>
      </w:r>
      <w:r>
        <w:rPr>
          <w:rFonts w:hint="eastAsia" w:ascii="宋体" w:hAnsi="宋体" w:eastAsia="宋体" w:cs="宋体"/>
          <w:color w:val="auto"/>
          <w:sz w:val="24"/>
          <w:szCs w:val="24"/>
        </w:rPr>
        <w:t>，属于</w:t>
      </w:r>
      <w:r>
        <w:rPr>
          <w:rFonts w:hint="eastAsia" w:ascii="宋体" w:hAnsi="宋体" w:eastAsia="宋体" w:cs="宋体"/>
          <w:color w:val="auto"/>
          <w:sz w:val="24"/>
          <w:szCs w:val="24"/>
          <w:u w:val="single"/>
        </w:rPr>
        <w:t xml:space="preserve"> （采购文件中明确的所属行业）</w:t>
      </w:r>
      <w:r>
        <w:rPr>
          <w:rFonts w:hint="eastAsia" w:ascii="宋体" w:hAnsi="宋体" w:eastAsia="宋体" w:cs="宋体"/>
          <w:color w:val="auto"/>
          <w:sz w:val="24"/>
          <w:szCs w:val="24"/>
        </w:rPr>
        <w:t>；承建（承接）企业为</w:t>
      </w:r>
      <w:r>
        <w:rPr>
          <w:rFonts w:hint="eastAsia" w:ascii="宋体" w:hAnsi="宋体" w:eastAsia="宋体" w:cs="宋体"/>
          <w:color w:val="auto"/>
          <w:sz w:val="24"/>
          <w:szCs w:val="24"/>
          <w:u w:val="single"/>
        </w:rPr>
        <w:t xml:space="preserve"> （企业名称 ）</w:t>
      </w:r>
      <w:r>
        <w:rPr>
          <w:rFonts w:hint="eastAsia" w:ascii="宋体" w:hAnsi="宋体" w:eastAsia="宋体" w:cs="宋体"/>
          <w:color w:val="auto"/>
          <w:sz w:val="24"/>
          <w:szCs w:val="24"/>
        </w:rPr>
        <w:t xml:space="preserve"> ，从业人员_______人，营业收入为</w:t>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softHyphen/>
      </w:r>
      <w:r>
        <w:rPr>
          <w:rFonts w:hint="eastAsia" w:ascii="宋体" w:hAnsi="宋体" w:eastAsia="宋体" w:cs="宋体"/>
          <w:color w:val="auto"/>
          <w:sz w:val="24"/>
          <w:szCs w:val="24"/>
        </w:rPr>
        <w:t xml:space="preserve">________万元，资产总额为________万元，属于 </w:t>
      </w:r>
      <w:r>
        <w:rPr>
          <w:rFonts w:hint="eastAsia" w:ascii="宋体" w:hAnsi="宋体" w:eastAsia="宋体" w:cs="宋体"/>
          <w:color w:val="auto"/>
          <w:sz w:val="24"/>
          <w:szCs w:val="24"/>
          <w:u w:val="single"/>
        </w:rPr>
        <w:t>（中型企业、 小型企业、微型企业）</w:t>
      </w:r>
      <w:r>
        <w:rPr>
          <w:rFonts w:hint="eastAsia" w:ascii="宋体" w:hAnsi="宋体" w:eastAsia="宋体" w:cs="宋体"/>
          <w:color w:val="auto"/>
          <w:sz w:val="24"/>
          <w:szCs w:val="24"/>
        </w:rPr>
        <w:t xml:space="preserve">； </w:t>
      </w:r>
    </w:p>
    <w:p w14:paraId="0363A17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7C8D3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以上企业，不属于大企业的分支机构，不存在控股股东为大企业的情形，也不存在与大企业的负责人为同一人的情形。 </w:t>
      </w:r>
    </w:p>
    <w:p w14:paraId="60F8018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本企业对上述声明内容的真实性负责。如有虚假，将依法承担相应责任。</w:t>
      </w:r>
    </w:p>
    <w:p w14:paraId="6E08B9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6CF0B8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企业名称（盖章）：</w:t>
      </w:r>
    </w:p>
    <w:p w14:paraId="42B9F63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日期：</w:t>
      </w:r>
    </w:p>
    <w:p w14:paraId="7C5ECBB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F67735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 </w:t>
      </w:r>
    </w:p>
    <w:p w14:paraId="4100F1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1、从业人员、营业收入、资产总额填报上一年度数据，无上一年度数据的新成立企业可不填报。</w:t>
      </w:r>
    </w:p>
    <w:p w14:paraId="1B698D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2、中小企业参加政府采购活动，应当出具《中小企业声明函》，否则不得享受相关中小企业扶持政策。</w:t>
      </w:r>
    </w:p>
    <w:p w14:paraId="79EA4C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sz w:val="28"/>
          <w:szCs w:val="28"/>
        </w:rPr>
      </w:pPr>
      <w:r>
        <w:rPr>
          <w:rFonts w:hint="eastAsia" w:ascii="方正小标宋简体" w:hAnsi="方正小标宋简体" w:eastAsia="方正小标宋简体" w:cs="方正小标宋简体"/>
          <w:color w:val="auto"/>
          <w:sz w:val="28"/>
          <w:szCs w:val="28"/>
        </w:rPr>
        <w:t>5.5 残疾人福利性单位声明函</w:t>
      </w:r>
    </w:p>
    <w:p w14:paraId="6999FD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E3C7D5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4233F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本单位对上述声明的真实性负责。如有虚假，将依法承担相应责任。</w:t>
      </w:r>
    </w:p>
    <w:p w14:paraId="61CC962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270AB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38EA5D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单位名称（盖章）：</w:t>
      </w:r>
    </w:p>
    <w:p w14:paraId="2B82D0C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w:t>
      </w:r>
    </w:p>
    <w:p w14:paraId="3EDD7C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0F3F4F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注：符合条件的残疾人福利性单位请提供此函，不符合的可不提供本函。</w:t>
      </w:r>
    </w:p>
    <w:p w14:paraId="5FF1E86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3549DE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D812DE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B7B1D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4A665E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867F3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A2A1A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F24F3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4F6451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28C95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FB68B2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7DEC29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018A5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5.6 监狱企业证明函</w:t>
      </w:r>
    </w:p>
    <w:p w14:paraId="57EAEBF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6DD2FA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根据《财政部司法部关于政府采购支持监狱企业发展有关问题的通知》（财库【2014】68号）的规定，</w:t>
      </w:r>
      <w:r>
        <w:rPr>
          <w:rFonts w:hint="eastAsia" w:ascii="宋体" w:hAnsi="宋体" w:eastAsia="宋体" w:cs="宋体"/>
          <w:color w:val="auto"/>
          <w:sz w:val="24"/>
          <w:szCs w:val="24"/>
          <w:u w:val="single"/>
        </w:rPr>
        <w:t xml:space="preserve">     （填写供应商全称）为监狱企业</w:t>
      </w:r>
      <w:r>
        <w:rPr>
          <w:rFonts w:hint="eastAsia" w:ascii="宋体" w:hAnsi="宋体" w:eastAsia="宋体" w:cs="宋体"/>
          <w:color w:val="auto"/>
          <w:sz w:val="24"/>
          <w:szCs w:val="24"/>
        </w:rPr>
        <w:t>。</w:t>
      </w:r>
    </w:p>
    <w:p w14:paraId="26A8942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03629C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BA900A3">
      <w:pPr>
        <w:keepNext w:val="0"/>
        <w:keepLines w:val="0"/>
        <w:pageBreakBefore w:val="0"/>
        <w:widowControl w:val="0"/>
        <w:kinsoku/>
        <w:wordWrap/>
        <w:overflowPunct/>
        <w:topLinePunct w:val="0"/>
        <w:autoSpaceDE/>
        <w:autoSpaceDN/>
        <w:bidi w:val="0"/>
        <w:adjustRightInd/>
        <w:snapToGrid/>
        <w:spacing w:line="360" w:lineRule="auto"/>
        <w:ind w:firstLine="1440" w:firstLineChars="6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省级以上监狱管理局、戒毒管理所（含新疆建设兵团）（盖章）：</w:t>
      </w:r>
    </w:p>
    <w:p w14:paraId="20CFDB19">
      <w:pPr>
        <w:keepNext w:val="0"/>
        <w:keepLines w:val="0"/>
        <w:pageBreakBefore w:val="0"/>
        <w:widowControl w:val="0"/>
        <w:kinsoku/>
        <w:wordWrap/>
        <w:overflowPunct/>
        <w:topLinePunct w:val="0"/>
        <w:autoSpaceDE/>
        <w:autoSpaceDN/>
        <w:bidi w:val="0"/>
        <w:adjustRightInd/>
        <w:snapToGrid/>
        <w:spacing w:line="360" w:lineRule="auto"/>
        <w:ind w:firstLine="5040" w:firstLineChars="21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p>
    <w:p w14:paraId="49515C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88FE7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注：符合条件的监狱企业请提供此函，不符合的可不提供本函。</w:t>
      </w:r>
    </w:p>
    <w:p w14:paraId="07DF12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39855F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3F10C0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E865B5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41BFF2E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8FD374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5225F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5E57CF8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BE74D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6DCAD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05FB9B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12F51F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5C829D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04A7B97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2F5976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35AC367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233414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六、其他资料（若有）</w:t>
      </w:r>
    </w:p>
    <w:p w14:paraId="6DEC51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p w14:paraId="7B9ADA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除采购文件另有规定外，供应商认为需要提交的其他证明材料或资料加盖供应商的单位公章后应在此项下提交。</w:t>
      </w:r>
    </w:p>
    <w:p w14:paraId="7174F62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rPr>
      </w:pP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069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77F13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77F13D">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07260"/>
    <w:multiLevelType w:val="singleLevel"/>
    <w:tmpl w:val="82307260"/>
    <w:lvl w:ilvl="0" w:tentative="0">
      <w:start w:val="1"/>
      <w:numFmt w:val="decimal"/>
      <w:suff w:val="nothing"/>
      <w:lvlText w:val="（%1）"/>
      <w:lvlJc w:val="left"/>
    </w:lvl>
  </w:abstractNum>
  <w:abstractNum w:abstractNumId="1">
    <w:nsid w:val="FC3694D5"/>
    <w:multiLevelType w:val="multilevel"/>
    <w:tmpl w:val="FC3694D5"/>
    <w:lvl w:ilvl="0" w:tentative="0">
      <w:start w:val="5"/>
      <w:numFmt w:val="decimal"/>
      <w:suff w:val="nothing"/>
      <w:lvlText w:val="%1.2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EB2111E"/>
    <w:multiLevelType w:val="multilevel"/>
    <w:tmpl w:val="4EB2111E"/>
    <w:lvl w:ilvl="0" w:tentative="0">
      <w:start w:val="5"/>
      <w:numFmt w:val="decimal"/>
      <w:suff w:val="nothing"/>
      <w:lvlText w:val="%1.3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F94317"/>
    <w:multiLevelType w:val="multilevel"/>
    <w:tmpl w:val="5CF94317"/>
    <w:lvl w:ilvl="0" w:tentative="0">
      <w:start w:val="5"/>
      <w:numFmt w:val="decimal"/>
      <w:suff w:val="nothing"/>
      <w:lvlText w:val="%1.4 "/>
      <w:lvlJc w:val="left"/>
      <w:pPr>
        <w:ind w:left="12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zYzZGM3NTJlM2FlM2RiNzc1NjA2NzJhNDk2YjQifQ=="/>
    <w:docVar w:name="KSO_WPS_MARK_KEY" w:val="d9c42035-b89f-42c0-86ba-9bebe581f564"/>
  </w:docVars>
  <w:rsids>
    <w:rsidRoot w:val="57903E13"/>
    <w:rsid w:val="004F7C8B"/>
    <w:rsid w:val="007F0A1D"/>
    <w:rsid w:val="009F4C1B"/>
    <w:rsid w:val="018B602F"/>
    <w:rsid w:val="01E201F8"/>
    <w:rsid w:val="01E74ACC"/>
    <w:rsid w:val="02714437"/>
    <w:rsid w:val="02EC1EC8"/>
    <w:rsid w:val="031D28D4"/>
    <w:rsid w:val="034629C7"/>
    <w:rsid w:val="03715D5A"/>
    <w:rsid w:val="03936CB9"/>
    <w:rsid w:val="03991DF6"/>
    <w:rsid w:val="03A553E2"/>
    <w:rsid w:val="03D66BA6"/>
    <w:rsid w:val="03F60FF6"/>
    <w:rsid w:val="0416501D"/>
    <w:rsid w:val="043F474B"/>
    <w:rsid w:val="049277A0"/>
    <w:rsid w:val="04A3228B"/>
    <w:rsid w:val="04DB4E4F"/>
    <w:rsid w:val="04EE7F1F"/>
    <w:rsid w:val="054F6C10"/>
    <w:rsid w:val="05FE23E4"/>
    <w:rsid w:val="064A73D7"/>
    <w:rsid w:val="06534769"/>
    <w:rsid w:val="06563FCE"/>
    <w:rsid w:val="066606B5"/>
    <w:rsid w:val="06713CE2"/>
    <w:rsid w:val="06F21F49"/>
    <w:rsid w:val="07136FEF"/>
    <w:rsid w:val="071A149F"/>
    <w:rsid w:val="071B7485"/>
    <w:rsid w:val="07C96FEC"/>
    <w:rsid w:val="07F95559"/>
    <w:rsid w:val="080A5211"/>
    <w:rsid w:val="0811765D"/>
    <w:rsid w:val="0837398B"/>
    <w:rsid w:val="088A7F5F"/>
    <w:rsid w:val="08D86F1C"/>
    <w:rsid w:val="08EB4EA1"/>
    <w:rsid w:val="094E5D97"/>
    <w:rsid w:val="096B1B3E"/>
    <w:rsid w:val="09F76898"/>
    <w:rsid w:val="0A1D1D24"/>
    <w:rsid w:val="0A430D0D"/>
    <w:rsid w:val="0A6A629A"/>
    <w:rsid w:val="0AA25412"/>
    <w:rsid w:val="0AC21C32"/>
    <w:rsid w:val="0B3C7694"/>
    <w:rsid w:val="0B3D73D0"/>
    <w:rsid w:val="0B5D7E1C"/>
    <w:rsid w:val="0BC83278"/>
    <w:rsid w:val="0C1C7A68"/>
    <w:rsid w:val="0C7927C4"/>
    <w:rsid w:val="0CAE7932"/>
    <w:rsid w:val="0CB21420"/>
    <w:rsid w:val="0CB90E13"/>
    <w:rsid w:val="0CB9190B"/>
    <w:rsid w:val="0D1349C7"/>
    <w:rsid w:val="0D797418"/>
    <w:rsid w:val="0E372937"/>
    <w:rsid w:val="0E9B106E"/>
    <w:rsid w:val="0EA21F43"/>
    <w:rsid w:val="0EB75826"/>
    <w:rsid w:val="0EE4486D"/>
    <w:rsid w:val="0F16079E"/>
    <w:rsid w:val="0F1659A4"/>
    <w:rsid w:val="0F1862C4"/>
    <w:rsid w:val="0F29227F"/>
    <w:rsid w:val="0FAC53B1"/>
    <w:rsid w:val="0FB56209"/>
    <w:rsid w:val="10DB78ED"/>
    <w:rsid w:val="10FE773C"/>
    <w:rsid w:val="11190365"/>
    <w:rsid w:val="11733EED"/>
    <w:rsid w:val="11934328"/>
    <w:rsid w:val="11991213"/>
    <w:rsid w:val="11B642AD"/>
    <w:rsid w:val="11F272A1"/>
    <w:rsid w:val="11F823DD"/>
    <w:rsid w:val="120434AE"/>
    <w:rsid w:val="122704B0"/>
    <w:rsid w:val="123D2B5C"/>
    <w:rsid w:val="126161D4"/>
    <w:rsid w:val="12706417"/>
    <w:rsid w:val="12C16C73"/>
    <w:rsid w:val="12EA441C"/>
    <w:rsid w:val="13A8605E"/>
    <w:rsid w:val="13E1581F"/>
    <w:rsid w:val="13EB311C"/>
    <w:rsid w:val="141334FE"/>
    <w:rsid w:val="14357918"/>
    <w:rsid w:val="14457FFB"/>
    <w:rsid w:val="14945EEC"/>
    <w:rsid w:val="14A359F5"/>
    <w:rsid w:val="1525798D"/>
    <w:rsid w:val="15965931"/>
    <w:rsid w:val="15BA6327"/>
    <w:rsid w:val="160133BB"/>
    <w:rsid w:val="162E461F"/>
    <w:rsid w:val="16EB2510"/>
    <w:rsid w:val="17023C31"/>
    <w:rsid w:val="173A2DBA"/>
    <w:rsid w:val="176127D3"/>
    <w:rsid w:val="17880B36"/>
    <w:rsid w:val="192F0DDA"/>
    <w:rsid w:val="193E094F"/>
    <w:rsid w:val="194D1260"/>
    <w:rsid w:val="19CA28B1"/>
    <w:rsid w:val="19CA465F"/>
    <w:rsid w:val="19FE51AE"/>
    <w:rsid w:val="1A76542F"/>
    <w:rsid w:val="1B7927E1"/>
    <w:rsid w:val="1B9211AC"/>
    <w:rsid w:val="1B9273FE"/>
    <w:rsid w:val="1BAB226E"/>
    <w:rsid w:val="1C3E33FF"/>
    <w:rsid w:val="1C616806"/>
    <w:rsid w:val="1C8A1CDC"/>
    <w:rsid w:val="1C961170"/>
    <w:rsid w:val="1C9E1527"/>
    <w:rsid w:val="1DB1207D"/>
    <w:rsid w:val="1DF56BE9"/>
    <w:rsid w:val="1F430A42"/>
    <w:rsid w:val="1F8308DD"/>
    <w:rsid w:val="1FD3686E"/>
    <w:rsid w:val="1FD92BBE"/>
    <w:rsid w:val="202C7E22"/>
    <w:rsid w:val="20B133AE"/>
    <w:rsid w:val="20DC2F6A"/>
    <w:rsid w:val="20DE492E"/>
    <w:rsid w:val="20E8626D"/>
    <w:rsid w:val="21033502"/>
    <w:rsid w:val="21224D81"/>
    <w:rsid w:val="212E5E1B"/>
    <w:rsid w:val="217B1461"/>
    <w:rsid w:val="21AA2C60"/>
    <w:rsid w:val="21E169EA"/>
    <w:rsid w:val="21FE57EE"/>
    <w:rsid w:val="22521696"/>
    <w:rsid w:val="225639C9"/>
    <w:rsid w:val="22590C76"/>
    <w:rsid w:val="22596694"/>
    <w:rsid w:val="23152BD4"/>
    <w:rsid w:val="244A6AC8"/>
    <w:rsid w:val="2472601F"/>
    <w:rsid w:val="24C778B4"/>
    <w:rsid w:val="24D40A88"/>
    <w:rsid w:val="24ED068F"/>
    <w:rsid w:val="25AE5C8C"/>
    <w:rsid w:val="25C1100C"/>
    <w:rsid w:val="25D83EF7"/>
    <w:rsid w:val="26192BF6"/>
    <w:rsid w:val="266B4556"/>
    <w:rsid w:val="267E514F"/>
    <w:rsid w:val="26F15921"/>
    <w:rsid w:val="274B6B48"/>
    <w:rsid w:val="275016BC"/>
    <w:rsid w:val="27C748D4"/>
    <w:rsid w:val="27CA353C"/>
    <w:rsid w:val="284657F9"/>
    <w:rsid w:val="28D01566"/>
    <w:rsid w:val="28D9666D"/>
    <w:rsid w:val="28DE4BD6"/>
    <w:rsid w:val="29030993"/>
    <w:rsid w:val="29183639"/>
    <w:rsid w:val="2979274E"/>
    <w:rsid w:val="29C802B3"/>
    <w:rsid w:val="2A48451A"/>
    <w:rsid w:val="2A971A56"/>
    <w:rsid w:val="2A9C2048"/>
    <w:rsid w:val="2B5921A6"/>
    <w:rsid w:val="2B604E23"/>
    <w:rsid w:val="2B824D9A"/>
    <w:rsid w:val="2B8C1D4D"/>
    <w:rsid w:val="2BCC681F"/>
    <w:rsid w:val="2C5A7AC4"/>
    <w:rsid w:val="2CB216AE"/>
    <w:rsid w:val="2D2A56E9"/>
    <w:rsid w:val="2D3E73E6"/>
    <w:rsid w:val="2DB15E0A"/>
    <w:rsid w:val="2E530C6F"/>
    <w:rsid w:val="2E701821"/>
    <w:rsid w:val="2ED84BF3"/>
    <w:rsid w:val="2F1C3757"/>
    <w:rsid w:val="2F33753F"/>
    <w:rsid w:val="2F3445FD"/>
    <w:rsid w:val="2FAD43AF"/>
    <w:rsid w:val="2FDB0F1C"/>
    <w:rsid w:val="30156614"/>
    <w:rsid w:val="30183F1E"/>
    <w:rsid w:val="30297EDA"/>
    <w:rsid w:val="303643A5"/>
    <w:rsid w:val="30782C0F"/>
    <w:rsid w:val="30797C15"/>
    <w:rsid w:val="30DE4038"/>
    <w:rsid w:val="30F93D50"/>
    <w:rsid w:val="31215055"/>
    <w:rsid w:val="313D1A1F"/>
    <w:rsid w:val="318D6246"/>
    <w:rsid w:val="31E0281A"/>
    <w:rsid w:val="321E77E6"/>
    <w:rsid w:val="322C3CB1"/>
    <w:rsid w:val="325B6C53"/>
    <w:rsid w:val="331D76E7"/>
    <w:rsid w:val="33274478"/>
    <w:rsid w:val="33410CC2"/>
    <w:rsid w:val="33590AD6"/>
    <w:rsid w:val="335D7E9A"/>
    <w:rsid w:val="33721B98"/>
    <w:rsid w:val="3381002D"/>
    <w:rsid w:val="338D63D1"/>
    <w:rsid w:val="33AA7583"/>
    <w:rsid w:val="33ED121E"/>
    <w:rsid w:val="341B5D8B"/>
    <w:rsid w:val="3473350F"/>
    <w:rsid w:val="34996A8B"/>
    <w:rsid w:val="34BB0E7D"/>
    <w:rsid w:val="353D61D5"/>
    <w:rsid w:val="356E45E1"/>
    <w:rsid w:val="35867971"/>
    <w:rsid w:val="359029D2"/>
    <w:rsid w:val="35D6501A"/>
    <w:rsid w:val="35EE3AC7"/>
    <w:rsid w:val="36121410"/>
    <w:rsid w:val="361A4BCA"/>
    <w:rsid w:val="361D2DA4"/>
    <w:rsid w:val="36985DB9"/>
    <w:rsid w:val="36BD5820"/>
    <w:rsid w:val="36C95F72"/>
    <w:rsid w:val="36FF7BE6"/>
    <w:rsid w:val="3711429C"/>
    <w:rsid w:val="37182A56"/>
    <w:rsid w:val="37673189"/>
    <w:rsid w:val="37BC1633"/>
    <w:rsid w:val="388831D2"/>
    <w:rsid w:val="38D66725"/>
    <w:rsid w:val="38F13744"/>
    <w:rsid w:val="39466320"/>
    <w:rsid w:val="3971469F"/>
    <w:rsid w:val="398F0869"/>
    <w:rsid w:val="39A95BE7"/>
    <w:rsid w:val="39B32F0A"/>
    <w:rsid w:val="3A240899"/>
    <w:rsid w:val="3A3758E9"/>
    <w:rsid w:val="3A5F274A"/>
    <w:rsid w:val="3A935005"/>
    <w:rsid w:val="3AB4242E"/>
    <w:rsid w:val="3AEC11B5"/>
    <w:rsid w:val="3B136982"/>
    <w:rsid w:val="3B567FF1"/>
    <w:rsid w:val="3BBA78F3"/>
    <w:rsid w:val="3BD06862"/>
    <w:rsid w:val="3BDA29D0"/>
    <w:rsid w:val="3C156A7D"/>
    <w:rsid w:val="3C2F6110"/>
    <w:rsid w:val="3C593FF1"/>
    <w:rsid w:val="3CD538BF"/>
    <w:rsid w:val="3CE77483"/>
    <w:rsid w:val="3D33527F"/>
    <w:rsid w:val="3DA51FB5"/>
    <w:rsid w:val="3DC76F84"/>
    <w:rsid w:val="3E693B97"/>
    <w:rsid w:val="3E8135D7"/>
    <w:rsid w:val="3E8151E3"/>
    <w:rsid w:val="3E9B4698"/>
    <w:rsid w:val="3F2F3033"/>
    <w:rsid w:val="3FDF2363"/>
    <w:rsid w:val="3FF027C2"/>
    <w:rsid w:val="408C1715"/>
    <w:rsid w:val="40AB26AE"/>
    <w:rsid w:val="40B165E5"/>
    <w:rsid w:val="40B4105A"/>
    <w:rsid w:val="40C45A2F"/>
    <w:rsid w:val="412E198C"/>
    <w:rsid w:val="416D1BF0"/>
    <w:rsid w:val="41974542"/>
    <w:rsid w:val="41E225DE"/>
    <w:rsid w:val="41E2613A"/>
    <w:rsid w:val="41ED5B9B"/>
    <w:rsid w:val="42042555"/>
    <w:rsid w:val="42120B7F"/>
    <w:rsid w:val="4222558D"/>
    <w:rsid w:val="42437645"/>
    <w:rsid w:val="427E301C"/>
    <w:rsid w:val="42843695"/>
    <w:rsid w:val="42BD2703"/>
    <w:rsid w:val="42E163DC"/>
    <w:rsid w:val="42E27550"/>
    <w:rsid w:val="42E44134"/>
    <w:rsid w:val="42F87BBD"/>
    <w:rsid w:val="432033BE"/>
    <w:rsid w:val="43993170"/>
    <w:rsid w:val="43CF7E55"/>
    <w:rsid w:val="43E709DE"/>
    <w:rsid w:val="4429503A"/>
    <w:rsid w:val="444035EC"/>
    <w:rsid w:val="44544A76"/>
    <w:rsid w:val="446D7ACF"/>
    <w:rsid w:val="448D44DE"/>
    <w:rsid w:val="44911354"/>
    <w:rsid w:val="44A85CEB"/>
    <w:rsid w:val="44BA6EFA"/>
    <w:rsid w:val="44D77AAC"/>
    <w:rsid w:val="44EF6A15"/>
    <w:rsid w:val="457C1C43"/>
    <w:rsid w:val="45857895"/>
    <w:rsid w:val="45991206"/>
    <w:rsid w:val="464534A6"/>
    <w:rsid w:val="46516E17"/>
    <w:rsid w:val="46753923"/>
    <w:rsid w:val="46B547C6"/>
    <w:rsid w:val="46F05EFE"/>
    <w:rsid w:val="471274C2"/>
    <w:rsid w:val="4732546E"/>
    <w:rsid w:val="47841A42"/>
    <w:rsid w:val="47953C4F"/>
    <w:rsid w:val="479E0D55"/>
    <w:rsid w:val="47AA604F"/>
    <w:rsid w:val="47AA76FA"/>
    <w:rsid w:val="47E56984"/>
    <w:rsid w:val="484F6835"/>
    <w:rsid w:val="4877798E"/>
    <w:rsid w:val="48A92D6C"/>
    <w:rsid w:val="48DE0077"/>
    <w:rsid w:val="48FC21D7"/>
    <w:rsid w:val="490603E3"/>
    <w:rsid w:val="491465B8"/>
    <w:rsid w:val="495E2C94"/>
    <w:rsid w:val="4968786D"/>
    <w:rsid w:val="49DD5E53"/>
    <w:rsid w:val="4AE826A0"/>
    <w:rsid w:val="4B143B2C"/>
    <w:rsid w:val="4B8E2E8F"/>
    <w:rsid w:val="4BD840B0"/>
    <w:rsid w:val="4BF16188"/>
    <w:rsid w:val="4C651E42"/>
    <w:rsid w:val="4C6D5CD6"/>
    <w:rsid w:val="4C7D1B4E"/>
    <w:rsid w:val="4CAD78CD"/>
    <w:rsid w:val="4D023B34"/>
    <w:rsid w:val="4D0A42F6"/>
    <w:rsid w:val="4D3D31F1"/>
    <w:rsid w:val="4D5856D8"/>
    <w:rsid w:val="4D830A74"/>
    <w:rsid w:val="4D9B0602"/>
    <w:rsid w:val="4DCB7D77"/>
    <w:rsid w:val="4E02483A"/>
    <w:rsid w:val="4E4A12EF"/>
    <w:rsid w:val="4E734BC1"/>
    <w:rsid w:val="4E762ABE"/>
    <w:rsid w:val="4EA41318"/>
    <w:rsid w:val="4EE259CC"/>
    <w:rsid w:val="4F2D6443"/>
    <w:rsid w:val="4F552641"/>
    <w:rsid w:val="4F642884"/>
    <w:rsid w:val="4FD23C92"/>
    <w:rsid w:val="50106568"/>
    <w:rsid w:val="50521ABD"/>
    <w:rsid w:val="50850D04"/>
    <w:rsid w:val="509413DA"/>
    <w:rsid w:val="50F96D62"/>
    <w:rsid w:val="51081D48"/>
    <w:rsid w:val="511A5AE8"/>
    <w:rsid w:val="51A21442"/>
    <w:rsid w:val="51D05FAF"/>
    <w:rsid w:val="51F43319"/>
    <w:rsid w:val="525744F3"/>
    <w:rsid w:val="525F3E0F"/>
    <w:rsid w:val="52BE405A"/>
    <w:rsid w:val="52FE057D"/>
    <w:rsid w:val="531E0F9C"/>
    <w:rsid w:val="5334256E"/>
    <w:rsid w:val="53B06098"/>
    <w:rsid w:val="53F32429"/>
    <w:rsid w:val="53FC2A05"/>
    <w:rsid w:val="540208BE"/>
    <w:rsid w:val="54242B66"/>
    <w:rsid w:val="5429409D"/>
    <w:rsid w:val="543C16DA"/>
    <w:rsid w:val="54705828"/>
    <w:rsid w:val="547C241E"/>
    <w:rsid w:val="54892EFC"/>
    <w:rsid w:val="54C94F38"/>
    <w:rsid w:val="55080B9F"/>
    <w:rsid w:val="55083CB2"/>
    <w:rsid w:val="55425416"/>
    <w:rsid w:val="556A6EF7"/>
    <w:rsid w:val="556E1BAD"/>
    <w:rsid w:val="55D3606E"/>
    <w:rsid w:val="55D82ED0"/>
    <w:rsid w:val="56130E2F"/>
    <w:rsid w:val="563F54B2"/>
    <w:rsid w:val="56681893"/>
    <w:rsid w:val="56A95021"/>
    <w:rsid w:val="56FE63C1"/>
    <w:rsid w:val="57044CE4"/>
    <w:rsid w:val="57126A22"/>
    <w:rsid w:val="571A1A7B"/>
    <w:rsid w:val="57263F7D"/>
    <w:rsid w:val="57903E13"/>
    <w:rsid w:val="57BD5228"/>
    <w:rsid w:val="5842430A"/>
    <w:rsid w:val="586F4B44"/>
    <w:rsid w:val="58A95B45"/>
    <w:rsid w:val="58E16CF4"/>
    <w:rsid w:val="58F846B0"/>
    <w:rsid w:val="59AA5338"/>
    <w:rsid w:val="59C363FA"/>
    <w:rsid w:val="59CC09B7"/>
    <w:rsid w:val="5A3A2B60"/>
    <w:rsid w:val="5A6B741F"/>
    <w:rsid w:val="5AA77A42"/>
    <w:rsid w:val="5B1F58B2"/>
    <w:rsid w:val="5B3A093D"/>
    <w:rsid w:val="5B7C6694"/>
    <w:rsid w:val="5B800A46"/>
    <w:rsid w:val="5BAF67C5"/>
    <w:rsid w:val="5BF52211"/>
    <w:rsid w:val="5C3B496D"/>
    <w:rsid w:val="5C965957"/>
    <w:rsid w:val="5C97662D"/>
    <w:rsid w:val="5CD1707F"/>
    <w:rsid w:val="5D25175A"/>
    <w:rsid w:val="5D5C4B9B"/>
    <w:rsid w:val="5D9C768D"/>
    <w:rsid w:val="5DC60916"/>
    <w:rsid w:val="5DD236FA"/>
    <w:rsid w:val="5E8D6104"/>
    <w:rsid w:val="5F4F0C90"/>
    <w:rsid w:val="5F57386C"/>
    <w:rsid w:val="5F9C5723"/>
    <w:rsid w:val="602776E2"/>
    <w:rsid w:val="609C56E6"/>
    <w:rsid w:val="60A22F98"/>
    <w:rsid w:val="614B3304"/>
    <w:rsid w:val="61930DA7"/>
    <w:rsid w:val="61A15272"/>
    <w:rsid w:val="61C40F61"/>
    <w:rsid w:val="61DE4CFF"/>
    <w:rsid w:val="61E57855"/>
    <w:rsid w:val="622A34BA"/>
    <w:rsid w:val="62562681"/>
    <w:rsid w:val="62CD66D0"/>
    <w:rsid w:val="62FA655D"/>
    <w:rsid w:val="63422A85"/>
    <w:rsid w:val="63484489"/>
    <w:rsid w:val="635C3E84"/>
    <w:rsid w:val="637523FE"/>
    <w:rsid w:val="63AE011A"/>
    <w:rsid w:val="63ED6406"/>
    <w:rsid w:val="64184A14"/>
    <w:rsid w:val="642301C1"/>
    <w:rsid w:val="64572A3A"/>
    <w:rsid w:val="64754794"/>
    <w:rsid w:val="64CC6AAA"/>
    <w:rsid w:val="64DB6CED"/>
    <w:rsid w:val="657B402C"/>
    <w:rsid w:val="6597654B"/>
    <w:rsid w:val="65A22735"/>
    <w:rsid w:val="65B0017A"/>
    <w:rsid w:val="663B0362"/>
    <w:rsid w:val="6695404B"/>
    <w:rsid w:val="66955165"/>
    <w:rsid w:val="66E005EB"/>
    <w:rsid w:val="67020730"/>
    <w:rsid w:val="670B02BB"/>
    <w:rsid w:val="67987E26"/>
    <w:rsid w:val="679B6D62"/>
    <w:rsid w:val="67D85766"/>
    <w:rsid w:val="67FF7197"/>
    <w:rsid w:val="680B78E9"/>
    <w:rsid w:val="682B7AD3"/>
    <w:rsid w:val="684D3A5E"/>
    <w:rsid w:val="68624D28"/>
    <w:rsid w:val="68F80968"/>
    <w:rsid w:val="69125A96"/>
    <w:rsid w:val="691C1682"/>
    <w:rsid w:val="693764BC"/>
    <w:rsid w:val="694C025D"/>
    <w:rsid w:val="696677D6"/>
    <w:rsid w:val="699851AD"/>
    <w:rsid w:val="69A17750"/>
    <w:rsid w:val="6A3C1FDC"/>
    <w:rsid w:val="6A442123"/>
    <w:rsid w:val="6A6032F2"/>
    <w:rsid w:val="6AA162E3"/>
    <w:rsid w:val="6AA732A6"/>
    <w:rsid w:val="6ABA1153"/>
    <w:rsid w:val="6AEA5EDC"/>
    <w:rsid w:val="6B1C1E0E"/>
    <w:rsid w:val="6B3A3312"/>
    <w:rsid w:val="6B3D24B0"/>
    <w:rsid w:val="6B6C68F1"/>
    <w:rsid w:val="6B80514F"/>
    <w:rsid w:val="6B8D0A86"/>
    <w:rsid w:val="6BDD159D"/>
    <w:rsid w:val="6BE04BE9"/>
    <w:rsid w:val="6BF40694"/>
    <w:rsid w:val="6C395D3E"/>
    <w:rsid w:val="6C6A7AC0"/>
    <w:rsid w:val="6C833123"/>
    <w:rsid w:val="6CB00A5F"/>
    <w:rsid w:val="6D066B64"/>
    <w:rsid w:val="6D467F8A"/>
    <w:rsid w:val="6D68758C"/>
    <w:rsid w:val="6D771A05"/>
    <w:rsid w:val="6D9121D6"/>
    <w:rsid w:val="6DB22909"/>
    <w:rsid w:val="6DD72D8A"/>
    <w:rsid w:val="6E4A4335"/>
    <w:rsid w:val="6F0D3F9D"/>
    <w:rsid w:val="6F20011E"/>
    <w:rsid w:val="6F7E3097"/>
    <w:rsid w:val="6FA10B33"/>
    <w:rsid w:val="6FBE3BB3"/>
    <w:rsid w:val="6FC30AAA"/>
    <w:rsid w:val="6FDC1B6B"/>
    <w:rsid w:val="6FFD3FBC"/>
    <w:rsid w:val="70076BE8"/>
    <w:rsid w:val="705D0178"/>
    <w:rsid w:val="70DE10BF"/>
    <w:rsid w:val="710D46D2"/>
    <w:rsid w:val="71770A1B"/>
    <w:rsid w:val="71BC1C54"/>
    <w:rsid w:val="71BC7CD8"/>
    <w:rsid w:val="71C00F2C"/>
    <w:rsid w:val="727918F3"/>
    <w:rsid w:val="72D52FCE"/>
    <w:rsid w:val="732C6966"/>
    <w:rsid w:val="73555EBD"/>
    <w:rsid w:val="73591E51"/>
    <w:rsid w:val="73916786"/>
    <w:rsid w:val="7439758C"/>
    <w:rsid w:val="7453737E"/>
    <w:rsid w:val="745D14CD"/>
    <w:rsid w:val="7490269B"/>
    <w:rsid w:val="74D6302D"/>
    <w:rsid w:val="755B7F07"/>
    <w:rsid w:val="75647FF5"/>
    <w:rsid w:val="758B206A"/>
    <w:rsid w:val="759A2067"/>
    <w:rsid w:val="75DA08FB"/>
    <w:rsid w:val="764741E2"/>
    <w:rsid w:val="76495E1F"/>
    <w:rsid w:val="765B2095"/>
    <w:rsid w:val="768F7938"/>
    <w:rsid w:val="76CB0CB5"/>
    <w:rsid w:val="76DF08BF"/>
    <w:rsid w:val="773F4EBA"/>
    <w:rsid w:val="77B96653"/>
    <w:rsid w:val="784D7AAA"/>
    <w:rsid w:val="785836DE"/>
    <w:rsid w:val="788976F0"/>
    <w:rsid w:val="78A85862"/>
    <w:rsid w:val="78FA6EC2"/>
    <w:rsid w:val="79073671"/>
    <w:rsid w:val="79534C4C"/>
    <w:rsid w:val="7986195D"/>
    <w:rsid w:val="79982FA7"/>
    <w:rsid w:val="79A14A1F"/>
    <w:rsid w:val="79B24069"/>
    <w:rsid w:val="79DE3114"/>
    <w:rsid w:val="79FC52E4"/>
    <w:rsid w:val="7A18449F"/>
    <w:rsid w:val="7A2F26FF"/>
    <w:rsid w:val="7A367DD5"/>
    <w:rsid w:val="7A8F43AA"/>
    <w:rsid w:val="7B05641A"/>
    <w:rsid w:val="7B424F78"/>
    <w:rsid w:val="7B93399C"/>
    <w:rsid w:val="7C2D5C29"/>
    <w:rsid w:val="7C2F00A9"/>
    <w:rsid w:val="7C3C4D9E"/>
    <w:rsid w:val="7CD6006E"/>
    <w:rsid w:val="7D1F425A"/>
    <w:rsid w:val="7D3A1C0A"/>
    <w:rsid w:val="7D3D36B9"/>
    <w:rsid w:val="7DCE6F97"/>
    <w:rsid w:val="7DD02D0F"/>
    <w:rsid w:val="7E123328"/>
    <w:rsid w:val="7E494870"/>
    <w:rsid w:val="7E4B77D2"/>
    <w:rsid w:val="7E671C44"/>
    <w:rsid w:val="7E6A3164"/>
    <w:rsid w:val="7EAA09EA"/>
    <w:rsid w:val="7EE03049"/>
    <w:rsid w:val="7F2C666B"/>
    <w:rsid w:val="7F531E4A"/>
    <w:rsid w:val="7F9F4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99"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99"/>
    <w:rPr>
      <w:rFonts w:ascii="Arial" w:hAnsi="Arial" w:eastAsia="黑体" w:cs="Arial"/>
      <w:sz w:val="20"/>
      <w:szCs w:val="20"/>
    </w:rPr>
  </w:style>
  <w:style w:type="paragraph" w:styleId="3">
    <w:name w:val="Body Text"/>
    <w:basedOn w:val="1"/>
    <w:next w:val="4"/>
    <w:semiHidden/>
    <w:unhideWhenUsed/>
    <w:qFormat/>
    <w:uiPriority w:val="99"/>
    <w:pPr>
      <w:spacing w:after="120"/>
    </w:pPr>
    <w:rPr>
      <w:rFonts w:ascii="Calibri" w:hAnsi="Calibri" w:cs="Times New Roman"/>
      <w:kern w:val="0"/>
      <w:sz w:val="20"/>
    </w:rPr>
  </w:style>
  <w:style w:type="paragraph" w:styleId="4">
    <w:name w:val="Body Text First Indent"/>
    <w:basedOn w:val="3"/>
    <w:next w:val="5"/>
    <w:semiHidden/>
    <w:unhideWhenUsed/>
    <w:qFormat/>
    <w:uiPriority w:val="99"/>
    <w:pPr>
      <w:spacing w:before="100" w:beforeAutospacing="1"/>
      <w:ind w:firstLine="420" w:firstLineChars="100"/>
    </w:pPr>
    <w:rPr>
      <w:rFonts w:ascii="宋体" w:hAnsi="Times New Roman"/>
      <w:sz w:val="34"/>
      <w:szCs w:val="34"/>
    </w:rPr>
  </w:style>
  <w:style w:type="paragraph" w:customStyle="1" w:styleId="5">
    <w:name w:val="List Paragraph1"/>
    <w:basedOn w:val="1"/>
    <w:next w:val="1"/>
    <w:qFormat/>
    <w:uiPriority w:val="0"/>
    <w:pPr>
      <w:ind w:left="420" w:firstLine="3748"/>
    </w:pPr>
  </w:style>
  <w:style w:type="paragraph" w:styleId="6">
    <w:name w:val="Plain Text"/>
    <w:basedOn w:val="1"/>
    <w:semiHidden/>
    <w:unhideWhenUsed/>
    <w:qFormat/>
    <w:uiPriority w:val="99"/>
    <w:rPr>
      <w:rFonts w:cs="Times New Roman"/>
      <w:kern w:val="0"/>
      <w:sz w:val="24"/>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paragraph" w:customStyle="1" w:styleId="1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9809</Words>
  <Characters>10401</Characters>
  <Lines>0</Lines>
  <Paragraphs>0</Paragraphs>
  <TotalTime>34</TotalTime>
  <ScaleCrop>false</ScaleCrop>
  <LinksUpToDate>false</LinksUpToDate>
  <CharactersWithSpaces>10506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2024-12-12T07:09:00Z</dcterms:created>
  <dc:creator>Administrator</dc:creator>
  <cp:lastModifiedBy>屈氏琛</cp:lastModifiedBy>
  <dcterms:modified xsi:type="dcterms:W3CDTF">2024-12-16T10:49:33Z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F4320D0DECAB4D7190BD5D5F01C6596A_13</vt:lpwstr>
  </property>
</Properties>
</file>