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F32C">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禹州市第六实验学校校园饮水设备采购项目</w:t>
      </w:r>
    </w:p>
    <w:p w14:paraId="6F249195">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5020</w:t>
      </w:r>
    </w:p>
    <w:p w14:paraId="503052F3">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教育体育局</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47B25DA6">
      <w:pPr>
        <w:numPr>
          <w:ilvl w:val="0"/>
          <w:numId w:val="0"/>
        </w:numPr>
        <w:jc w:val="both"/>
        <w:rPr>
          <w:rFonts w:hint="eastAsia" w:cs="宋体" w:asciiTheme="majorEastAsia" w:hAnsiTheme="majorEastAsia" w:eastAsiaTheme="majorEastAsia"/>
          <w:b/>
          <w:kern w:val="0"/>
          <w:sz w:val="32"/>
          <w:szCs w:val="32"/>
        </w:rPr>
      </w:pPr>
    </w:p>
    <w:p w14:paraId="53FA7851">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禹州市政府采购中心受禹州市教育体育局的委托，对“禹州市第六实验学校校园饮水设备采购项目（不见面开标）”进行竞争性谈判，现邀请符合本文件规定条件的供应商前来投标。</w:t>
      </w:r>
    </w:p>
    <w:p w14:paraId="122550D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5020</w:t>
      </w:r>
    </w:p>
    <w:p w14:paraId="047EA9F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禹州市第六实验学校校园饮水设备采购项目（不见面开标）</w:t>
      </w:r>
    </w:p>
    <w:p w14:paraId="2241738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ACDBF7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7FD71A4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11797C9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14DA774F">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2、项目主要内容、数量及要求：校园饮水设备一批</w:t>
      </w:r>
      <w:bookmarkStart w:id="10" w:name="_GoBack"/>
      <w:bookmarkEnd w:id="10"/>
      <w:r>
        <w:rPr>
          <w:rFonts w:hint="eastAsia" w:asciiTheme="minorEastAsia" w:hAnsiTheme="minorEastAsia" w:eastAsiaTheme="minorEastAsia" w:cstheme="minorEastAsia"/>
          <w:kern w:val="2"/>
          <w:sz w:val="21"/>
          <w:szCs w:val="21"/>
          <w:lang w:val="en-US" w:eastAsia="zh-CN" w:bidi="ar-SA"/>
        </w:rPr>
        <w:t>（详见谈判文件）</w:t>
      </w:r>
    </w:p>
    <w:p w14:paraId="08193F6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3、预算金额：600000.00元 </w:t>
      </w:r>
    </w:p>
    <w:p w14:paraId="7C8529D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4、最高限价：600000.00元 </w:t>
      </w:r>
    </w:p>
    <w:p w14:paraId="7B9B0EE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w:t>
      </w:r>
      <w:r>
        <w:rPr>
          <w:rFonts w:hint="eastAsia" w:asciiTheme="minorEastAsia" w:hAnsiTheme="minorEastAsia" w:cstheme="minorEastAsia"/>
          <w:kern w:val="2"/>
          <w:sz w:val="21"/>
          <w:szCs w:val="21"/>
          <w:lang w:val="en-US" w:eastAsia="zh-CN" w:bidi="ar-SA"/>
        </w:rPr>
        <w:t>15</w:t>
      </w:r>
      <w:r>
        <w:rPr>
          <w:rFonts w:hint="eastAsia" w:asciiTheme="minorEastAsia" w:hAnsiTheme="minorEastAsia" w:eastAsiaTheme="minorEastAsia" w:cstheme="minorEastAsia"/>
          <w:kern w:val="2"/>
          <w:sz w:val="21"/>
          <w:szCs w:val="21"/>
          <w:lang w:val="en-US" w:eastAsia="zh-CN" w:bidi="ar-SA"/>
        </w:rPr>
        <w:t>天内</w:t>
      </w:r>
      <w:r>
        <w:rPr>
          <w:rFonts w:hint="eastAsia" w:asciiTheme="minorEastAsia" w:hAnsiTheme="minorEastAsia" w:cstheme="minorEastAsia"/>
          <w:kern w:val="2"/>
          <w:sz w:val="21"/>
          <w:szCs w:val="21"/>
          <w:lang w:val="en-US" w:eastAsia="zh-CN" w:bidi="ar-SA"/>
        </w:rPr>
        <w:t>完成</w:t>
      </w:r>
    </w:p>
    <w:p w14:paraId="590437D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6、履约地点：禹州市第六实验学校</w:t>
      </w:r>
    </w:p>
    <w:p w14:paraId="00CE80D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405F2E0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8、是否面向中小企业采购：是</w:t>
      </w:r>
    </w:p>
    <w:p w14:paraId="4F7F306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6B1154E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E97FED6">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4C71CD5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4B2C737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051837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http://117.159.53.11:60632/）的“投标人”登录入口免费获取本项目采购文件。</w:t>
      </w:r>
    </w:p>
    <w:p w14:paraId="7775C4A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136BAFE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33CE867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43626E8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2025年7月29日8 时30分（北京时间），逾期提交或不符合规定的响应文件不予接受。</w:t>
      </w:r>
    </w:p>
    <w:p w14:paraId="2C576E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2、谈判文件开启地点：禹州市公共资源交易中心九楼第二开标室。（本项目采用远程不见面开标方式，投标人无须到现场）。</w:t>
      </w:r>
    </w:p>
    <w:p w14:paraId="08C6C09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5BEEF44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C14434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E437AE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2737BB9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6FA4AD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1003AAF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0374-88800</w:t>
      </w:r>
      <w:r>
        <w:rPr>
          <w:rFonts w:hint="eastAsia" w:asciiTheme="minorEastAsia" w:hAnsiTheme="minorEastAsia" w:cstheme="minorEastAsia"/>
          <w:color w:val="000000"/>
          <w:szCs w:val="21"/>
          <w:shd w:val="clear" w:color="auto" w:fill="FFFFFF"/>
          <w:lang w:val="en-US" w:eastAsia="zh-CN"/>
        </w:rPr>
        <w:t>23</w:t>
      </w:r>
    </w:p>
    <w:p w14:paraId="33EA5C3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04A8FC5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750176F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联系人：方女士   联系电话：0374-2077111</w:t>
      </w:r>
    </w:p>
    <w:p w14:paraId="6515F8A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5D7A4B3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086DDF54">
      <w:pPr>
        <w:spacing w:line="360" w:lineRule="auto"/>
        <w:rPr>
          <w:rFonts w:hint="eastAsia" w:asciiTheme="minorEastAsia" w:hAnsiTheme="minorEastAsia" w:eastAsiaTheme="minorEastAsia" w:cstheme="minorEastAsia"/>
          <w:b/>
          <w:sz w:val="28"/>
          <w:szCs w:val="28"/>
        </w:rPr>
      </w:pPr>
    </w:p>
    <w:p w14:paraId="7B539BC0">
      <w:pPr>
        <w:pStyle w:val="24"/>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033992E1"/>
    <w:p w14:paraId="22BD3E29">
      <w:pPr>
        <w:numPr>
          <w:ilvl w:val="0"/>
          <w:numId w:val="0"/>
        </w:numPr>
        <w:jc w:val="both"/>
        <w:rPr>
          <w:rFonts w:hint="eastAsia" w:cs="宋体" w:asciiTheme="majorEastAsia" w:hAnsiTheme="majorEastAsia" w:eastAsiaTheme="majorEastAsia"/>
          <w:b/>
          <w:kern w:val="0"/>
          <w:sz w:val="32"/>
          <w:szCs w:val="32"/>
        </w:rPr>
      </w:pPr>
    </w:p>
    <w:p w14:paraId="235367F0">
      <w:pPr>
        <w:pStyle w:val="24"/>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4"/>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2.谈判文件下载、响应文件制作、提交、远程不见面开标（电子投标文件的解密）环节，供应商须使用同一个CA数字证书或移动数字证书（证书须在有效期内并可正常使用）。</w:t>
      </w:r>
    </w:p>
    <w:p w14:paraId="6201CB9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4.2</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lang w:val="en-US" w:eastAsia="zh-CN"/>
        </w:rPr>
        <w:t>5.</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5.4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提交方式：供应商须使用CA数字证书或移动数字证书登录“全国公共资源交易平台（河南省·许昌市）”进行最后报价，最后报价应包括：①总报价②分项报价。</w:t>
      </w:r>
    </w:p>
    <w:p w14:paraId="1F7DB0B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7.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5AD8A5">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1A6CF9E">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132E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336CBB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78584948">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p>
    <w:p w14:paraId="173397DB">
      <w:pPr>
        <w:widowControl/>
        <w:shd w:val="clear" w:color="auto" w:fill="FFFFFF"/>
        <w:spacing w:line="560" w:lineRule="exact"/>
        <w:ind w:firstLine="600"/>
        <w:jc w:val="left"/>
        <w:rPr>
          <w:rFonts w:hint="eastAsia" w:ascii="宋体" w:hAnsi="宋体"/>
          <w:lang w:eastAsia="zh-CN"/>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为了满足禹州市第六实验学校秋季开学校园饮水需要，保障师生饮水安全。</w:t>
      </w:r>
    </w:p>
    <w:p w14:paraId="107CB5C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lang w:val="en-US" w:eastAsia="zh-CN"/>
        </w:rPr>
      </w:pPr>
      <w:r>
        <w:rPr>
          <w:rFonts w:hint="eastAsia" w:ascii="宋体" w:hAnsi="宋体" w:eastAsia="宋体" w:cs="黑体"/>
          <w:b/>
          <w:bCs/>
          <w:sz w:val="24"/>
          <w:szCs w:val="24"/>
          <w:shd w:val="clear" w:color="auto" w:fill="FFFFFF"/>
          <w:lang w:val="en-US" w:eastAsia="zh-CN"/>
        </w:rPr>
        <w:t>二、</w:t>
      </w:r>
      <w:r>
        <w:rPr>
          <w:rFonts w:hint="eastAsia" w:ascii="宋体" w:hAnsi="宋体" w:eastAsia="宋体" w:cs="黑体"/>
          <w:b/>
          <w:bCs/>
          <w:sz w:val="24"/>
          <w:szCs w:val="24"/>
          <w:shd w:val="clear" w:color="auto" w:fill="FFFFFF"/>
        </w:rPr>
        <w:t>采购清单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15"/>
        <w:gridCol w:w="6489"/>
        <w:gridCol w:w="636"/>
        <w:gridCol w:w="636"/>
      </w:tblGrid>
      <w:tr w14:paraId="0A0D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ign w:val="center"/>
          </w:tcPr>
          <w:p w14:paraId="697E7A9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序</w:t>
            </w:r>
          </w:p>
        </w:tc>
        <w:tc>
          <w:tcPr>
            <w:tcW w:w="515" w:type="dxa"/>
            <w:noWrap w:val="0"/>
            <w:vAlign w:val="center"/>
          </w:tcPr>
          <w:p w14:paraId="0C804B6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品名</w:t>
            </w:r>
          </w:p>
        </w:tc>
        <w:tc>
          <w:tcPr>
            <w:tcW w:w="6489" w:type="dxa"/>
            <w:noWrap w:val="0"/>
            <w:vAlign w:val="center"/>
          </w:tcPr>
          <w:p w14:paraId="46596E1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参数</w:t>
            </w:r>
          </w:p>
        </w:tc>
        <w:tc>
          <w:tcPr>
            <w:tcW w:w="0" w:type="auto"/>
            <w:noWrap w:val="0"/>
            <w:vAlign w:val="center"/>
          </w:tcPr>
          <w:p w14:paraId="0D7D3EC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单位</w:t>
            </w:r>
          </w:p>
        </w:tc>
        <w:tc>
          <w:tcPr>
            <w:tcW w:w="0" w:type="auto"/>
            <w:noWrap/>
            <w:vAlign w:val="center"/>
          </w:tcPr>
          <w:p w14:paraId="7B402CE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数量</w:t>
            </w:r>
          </w:p>
        </w:tc>
      </w:tr>
      <w:tr w14:paraId="75A4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ign w:val="center"/>
          </w:tcPr>
          <w:p w14:paraId="1176A1AB">
            <w:pPr>
              <w:rPr>
                <w:rFonts w:ascii="宋体" w:hAnsi="宋体" w:eastAsia="宋体" w:cs="宋体"/>
                <w:color w:val="000000"/>
                <w:szCs w:val="21"/>
              </w:rPr>
            </w:pPr>
            <w:r>
              <w:rPr>
                <w:rFonts w:hint="eastAsia" w:ascii="宋体" w:hAnsi="宋体" w:eastAsia="宋体" w:cs="宋体"/>
                <w:color w:val="000000"/>
                <w:szCs w:val="21"/>
              </w:rPr>
              <w:t>1</w:t>
            </w:r>
          </w:p>
        </w:tc>
        <w:tc>
          <w:tcPr>
            <w:tcW w:w="515" w:type="dxa"/>
            <w:noWrap w:val="0"/>
            <w:vAlign w:val="center"/>
          </w:tcPr>
          <w:p w14:paraId="1C8F4C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饮水机</w:t>
            </w:r>
          </w:p>
        </w:tc>
        <w:tc>
          <w:tcPr>
            <w:tcW w:w="6489" w:type="dxa"/>
            <w:noWrap w:val="0"/>
            <w:vAlign w:val="center"/>
          </w:tcPr>
          <w:p w14:paraId="13548FB5">
            <w:pPr>
              <w:spacing w:line="400" w:lineRule="exact"/>
              <w:rPr>
                <w:rFonts w:ascii="宋体" w:hAnsi="宋体" w:eastAsia="宋体" w:cs="宋体"/>
                <w:szCs w:val="21"/>
              </w:rPr>
            </w:pPr>
            <w:r>
              <w:rPr>
                <w:rFonts w:hint="eastAsia" w:ascii="宋体" w:hAnsi="宋体" w:eastAsia="宋体" w:cs="宋体"/>
                <w:szCs w:val="21"/>
              </w:rPr>
              <w:t>1.产品款式：净饮一体机。</w:t>
            </w:r>
          </w:p>
          <w:p w14:paraId="66A6A3A8">
            <w:pPr>
              <w:spacing w:line="400" w:lineRule="exact"/>
              <w:rPr>
                <w:rFonts w:ascii="宋体" w:hAnsi="宋体" w:eastAsia="宋体" w:cs="宋体"/>
                <w:szCs w:val="21"/>
              </w:rPr>
            </w:pPr>
            <w:r>
              <w:rPr>
                <w:rFonts w:hint="eastAsia" w:ascii="宋体" w:hAnsi="宋体" w:eastAsia="宋体" w:cs="宋体"/>
                <w:szCs w:val="21"/>
              </w:rPr>
              <w:t>2.电源380V/50Hz，功率≥6KW。</w:t>
            </w:r>
          </w:p>
          <w:p w14:paraId="64B15CCB">
            <w:pPr>
              <w:spacing w:line="400" w:lineRule="exact"/>
              <w:rPr>
                <w:rFonts w:ascii="宋体" w:hAnsi="宋体" w:eastAsia="宋体" w:cs="宋体"/>
                <w:szCs w:val="21"/>
              </w:rPr>
            </w:pPr>
            <w:r>
              <w:rPr>
                <w:rFonts w:hint="eastAsia" w:ascii="宋体" w:hAnsi="宋体" w:eastAsia="宋体" w:cs="宋体"/>
                <w:szCs w:val="21"/>
              </w:rPr>
              <w:t>3.出水方式：6龙头一开五温,触摸按键出水。</w:t>
            </w:r>
          </w:p>
          <w:p w14:paraId="690DC478">
            <w:pPr>
              <w:spacing w:line="400" w:lineRule="exact"/>
              <w:rPr>
                <w:rFonts w:ascii="宋体" w:hAnsi="宋体" w:eastAsia="宋体" w:cs="宋体"/>
                <w:szCs w:val="21"/>
              </w:rPr>
            </w:pPr>
            <w:r>
              <w:rPr>
                <w:rFonts w:hint="eastAsia" w:ascii="宋体" w:hAnsi="宋体" w:eastAsia="宋体" w:cs="宋体"/>
                <w:szCs w:val="21"/>
              </w:rPr>
              <w:t>4.外形尺寸（长*宽*高）≥1480mm*480mm*1480mm。</w:t>
            </w:r>
          </w:p>
          <w:p w14:paraId="0F79394B">
            <w:pPr>
              <w:spacing w:line="400" w:lineRule="exact"/>
              <w:rPr>
                <w:rFonts w:ascii="宋体" w:hAnsi="宋体" w:eastAsia="宋体" w:cs="宋体"/>
                <w:szCs w:val="21"/>
              </w:rPr>
            </w:pPr>
            <w:r>
              <w:rPr>
                <w:rFonts w:hint="eastAsia" w:ascii="宋体" w:hAnsi="宋体" w:eastAsia="宋体" w:cs="宋体"/>
                <w:kern w:val="0"/>
                <w:szCs w:val="21"/>
              </w:rPr>
              <w:t>5.材质：饮水机</w:t>
            </w:r>
            <w:r>
              <w:rPr>
                <w:rFonts w:hint="eastAsia" w:ascii="宋体" w:hAnsi="宋体" w:eastAsia="宋体" w:cs="宋体"/>
                <w:color w:val="000000"/>
                <w:kern w:val="0"/>
                <w:szCs w:val="21"/>
              </w:rPr>
              <w:t>外壳采用</w:t>
            </w:r>
            <w:r>
              <w:rPr>
                <w:rFonts w:hint="eastAsia" w:ascii="宋体" w:hAnsi="宋体" w:eastAsia="宋体" w:cs="宋体"/>
                <w:kern w:val="0"/>
                <w:szCs w:val="21"/>
              </w:rPr>
              <w:t>不锈钢材质，水胆食品级不锈钢。</w:t>
            </w:r>
          </w:p>
          <w:p w14:paraId="76C31C42">
            <w:pPr>
              <w:spacing w:line="400" w:lineRule="exact"/>
              <w:rPr>
                <w:rFonts w:ascii="宋体" w:hAnsi="宋体" w:eastAsia="宋体" w:cs="宋体"/>
                <w:szCs w:val="21"/>
              </w:rPr>
            </w:pPr>
            <w:bookmarkStart w:id="0" w:name="OLE_LINK5"/>
            <w:r>
              <w:rPr>
                <w:rFonts w:hint="eastAsia" w:ascii="宋体" w:hAnsi="宋体" w:eastAsia="宋体" w:cs="宋体"/>
                <w:szCs w:val="21"/>
              </w:rPr>
              <w:t>6.</w:t>
            </w:r>
            <w:bookmarkStart w:id="1" w:name="OLE_LINK2"/>
            <w:bookmarkStart w:id="2" w:name="OLE_LINK1"/>
            <w:r>
              <w:rPr>
                <w:rFonts w:hint="eastAsia" w:ascii="宋体" w:hAnsi="宋体" w:eastAsia="宋体" w:cs="宋体"/>
                <w:szCs w:val="21"/>
              </w:rPr>
              <w:t>过滤及配置：PP炭棒复合滤芯、颗粒活性炭滤芯、炭棒滤芯、反渗透膜、颗粒活性炭滤芯，紫外线杀菌器、蓄水桶、热交换器、不锈钢波纹管，饮水机加热内胆≥35L，净水流量≥1.05L/min，</w:t>
            </w:r>
            <w:bookmarkEnd w:id="1"/>
            <w:bookmarkEnd w:id="2"/>
            <w:r>
              <w:rPr>
                <w:rFonts w:hint="eastAsia" w:ascii="宋体" w:hAnsi="宋体" w:eastAsia="宋体" w:cs="宋体"/>
                <w:szCs w:val="21"/>
              </w:rPr>
              <w:t>提供所投饮水机型号的《涉及饮用水卫生安全产品卫生许可批件》</w:t>
            </w:r>
            <w:bookmarkStart w:id="3" w:name="OLE_LINK7"/>
            <w:bookmarkStart w:id="4" w:name="OLE_LINK8"/>
            <w:r>
              <w:rPr>
                <w:rFonts w:hint="eastAsia" w:ascii="宋体" w:hAnsi="宋体" w:eastAsia="宋体" w:cs="宋体"/>
                <w:szCs w:val="21"/>
              </w:rPr>
              <w:t>，证件内体现注明以上主要部件,加盖投标人公章。</w:t>
            </w:r>
          </w:p>
          <w:p w14:paraId="0D64260B">
            <w:pPr>
              <w:spacing w:line="400" w:lineRule="exact"/>
              <w:rPr>
                <w:rFonts w:ascii="宋体" w:hAnsi="宋体" w:eastAsia="宋体" w:cs="宋体"/>
                <w:szCs w:val="21"/>
              </w:rPr>
            </w:pPr>
            <w:r>
              <w:rPr>
                <w:rFonts w:hint="eastAsia" w:ascii="宋体" w:hAnsi="宋体" w:eastAsia="宋体" w:cs="宋体"/>
                <w:szCs w:val="21"/>
              </w:rPr>
              <w:t>7.智能要求：</w:t>
            </w:r>
          </w:p>
          <w:p w14:paraId="2466381B">
            <w:pPr>
              <w:spacing w:line="400" w:lineRule="exact"/>
              <w:rPr>
                <w:rFonts w:ascii="宋体" w:hAnsi="宋体" w:eastAsia="宋体" w:cs="宋体"/>
                <w:szCs w:val="21"/>
              </w:rPr>
            </w:pPr>
            <w:r>
              <w:rPr>
                <w:rFonts w:hint="eastAsia" w:ascii="宋体" w:hAnsi="宋体" w:eastAsia="宋体" w:cs="宋体"/>
                <w:szCs w:val="21"/>
              </w:rPr>
              <w:t>①高温杀菌消毒，可定时对直饮水设备内部管路进行高温杀菌消毒，避免出水细菌超标。</w:t>
            </w:r>
          </w:p>
          <w:p w14:paraId="7D9D4C91">
            <w:pPr>
              <w:spacing w:line="400" w:lineRule="exact"/>
              <w:rPr>
                <w:rFonts w:hint="eastAsia" w:ascii="宋体" w:hAnsi="宋体" w:eastAsia="宋体" w:cs="宋体"/>
                <w:szCs w:val="21"/>
              </w:rPr>
            </w:pPr>
            <w:r>
              <w:rPr>
                <w:rFonts w:hint="eastAsia" w:ascii="宋体" w:hAnsi="宋体" w:eastAsia="宋体" w:cs="宋体"/>
                <w:szCs w:val="21"/>
              </w:rPr>
              <w:t>②定时开关机，客户可以自由设置当前时钟和设定开机、关机的时间；节约在设备长时间无人使用时的能耗。</w:t>
            </w:r>
          </w:p>
          <w:p w14:paraId="35AB7203">
            <w:pPr>
              <w:spacing w:line="400" w:lineRule="exact"/>
              <w:rPr>
                <w:rFonts w:ascii="宋体" w:hAnsi="宋体" w:eastAsia="宋体" w:cs="宋体"/>
                <w:szCs w:val="21"/>
              </w:rPr>
            </w:pPr>
            <w:r>
              <w:rPr>
                <w:rFonts w:hint="eastAsia" w:ascii="宋体" w:hAnsi="宋体" w:eastAsia="宋体" w:cs="宋体"/>
                <w:szCs w:val="21"/>
              </w:rPr>
              <w:t>③滤芯识别管理，能通过主机显示每一级过滤芯使用情况。智能识别更换滤芯是否为正品提醒。</w:t>
            </w:r>
          </w:p>
          <w:p w14:paraId="0F758678">
            <w:pPr>
              <w:spacing w:line="400" w:lineRule="exact"/>
              <w:rPr>
                <w:rFonts w:ascii="宋体" w:hAnsi="宋体" w:eastAsia="宋体" w:cs="宋体"/>
                <w:szCs w:val="21"/>
              </w:rPr>
            </w:pPr>
            <w:r>
              <w:rPr>
                <w:rFonts w:hint="eastAsia" w:ascii="宋体" w:hAnsi="宋体" w:eastAsia="宋体" w:cs="宋体"/>
                <w:szCs w:val="21"/>
              </w:rPr>
              <w:t>④配置物联网功能：可在PC或移动端设置定时开关机，监测饮水设备水温、滤芯、水质TDS值、故障状态和原因等数据；售后人员可协助用户管理饮水设备，可实时观测饮水设备运行状况，及时解决饮水设备的异常问题。</w:t>
            </w:r>
          </w:p>
          <w:p w14:paraId="1F76732E">
            <w:pPr>
              <w:spacing w:line="400" w:lineRule="exact"/>
              <w:rPr>
                <w:rFonts w:ascii="宋体" w:hAnsi="宋体" w:eastAsia="宋体" w:cs="宋体"/>
                <w:szCs w:val="21"/>
              </w:rPr>
            </w:pPr>
            <w:r>
              <w:rPr>
                <w:rFonts w:hint="eastAsia" w:ascii="宋体" w:hAnsi="宋体" w:eastAsia="宋体" w:cs="宋体"/>
                <w:szCs w:val="21"/>
              </w:rPr>
              <w:t>⑤为确保所投饮水机物联网功能使用稳定,所投饮水机的物联网系统平台制造商具有信息系</w:t>
            </w:r>
            <w:bookmarkStart w:id="5" w:name="OLE_LINK4"/>
            <w:bookmarkStart w:id="6" w:name="OLE_LINK3"/>
            <w:r>
              <w:rPr>
                <w:rFonts w:hint="eastAsia" w:ascii="宋体" w:hAnsi="宋体" w:eastAsia="宋体" w:cs="宋体"/>
                <w:szCs w:val="21"/>
              </w:rPr>
              <w:t>统建设和</w:t>
            </w:r>
            <w:bookmarkEnd w:id="5"/>
            <w:bookmarkEnd w:id="6"/>
            <w:r>
              <w:rPr>
                <w:rFonts w:hint="eastAsia" w:ascii="宋体" w:hAnsi="宋体" w:eastAsia="宋体" w:cs="宋体"/>
                <w:szCs w:val="21"/>
              </w:rPr>
              <w:t>服务能力，提供第三方技术认定机构或行政部门出具的证明文件,加盖投标人公章。</w:t>
            </w:r>
          </w:p>
          <w:p w14:paraId="1B94F946">
            <w:pPr>
              <w:spacing w:line="400" w:lineRule="exact"/>
              <w:rPr>
                <w:rFonts w:ascii="宋体" w:hAnsi="宋体" w:eastAsia="宋体" w:cs="宋体"/>
                <w:szCs w:val="21"/>
              </w:rPr>
            </w:pPr>
            <w:r>
              <w:rPr>
                <w:rFonts w:hint="eastAsia" w:ascii="宋体" w:hAnsi="宋体" w:eastAsia="宋体" w:cs="宋体"/>
                <w:szCs w:val="21"/>
              </w:rPr>
              <w:t>8.温开水安全要求：采用热交换器技术，热交换器内外管采用不锈钢材质。</w:t>
            </w:r>
          </w:p>
          <w:p w14:paraId="225C9CFD">
            <w:pPr>
              <w:spacing w:line="400" w:lineRule="exact"/>
              <w:rPr>
                <w:rFonts w:ascii="宋体" w:hAnsi="宋体" w:eastAsia="宋体" w:cs="宋体"/>
                <w:szCs w:val="21"/>
              </w:rPr>
            </w:pPr>
            <w:r>
              <w:rPr>
                <w:rFonts w:hint="eastAsia" w:ascii="宋体" w:hAnsi="宋体" w:eastAsia="宋体" w:cs="宋体"/>
                <w:szCs w:val="21"/>
              </w:rPr>
              <w:t>9.排水漏斗下水口连接的排水管须为PP-R环保健康给水管，确保排水系统耐高温不漏水，不易损坏。</w:t>
            </w:r>
          </w:p>
          <w:p w14:paraId="0CE78BC8">
            <w:pPr>
              <w:spacing w:line="400" w:lineRule="exact"/>
              <w:rPr>
                <w:rFonts w:ascii="宋体" w:hAnsi="宋体" w:eastAsia="宋体" w:cs="宋体"/>
                <w:szCs w:val="21"/>
              </w:rPr>
            </w:pPr>
            <w:r>
              <w:rPr>
                <w:rFonts w:hint="eastAsia" w:ascii="宋体" w:hAnsi="宋体" w:eastAsia="宋体" w:cs="宋体"/>
                <w:szCs w:val="21"/>
              </w:rPr>
              <w:t>10.设备采用防触电、防超压、防干烧、防超温、防蒸汽技术，保障使用安全。</w:t>
            </w:r>
          </w:p>
          <w:p w14:paraId="3BF5EF53">
            <w:pPr>
              <w:spacing w:line="400" w:lineRule="exact"/>
              <w:rPr>
                <w:rFonts w:hint="eastAsia" w:ascii="宋体" w:hAnsi="宋体" w:eastAsia="宋体" w:cs="宋体"/>
                <w:szCs w:val="21"/>
              </w:rPr>
            </w:pPr>
            <w:r>
              <w:rPr>
                <w:rFonts w:hint="eastAsia" w:ascii="宋体" w:hAnsi="宋体" w:eastAsia="宋体" w:cs="宋体"/>
                <w:szCs w:val="21"/>
              </w:rPr>
              <w:t>11.设有液晶显示屏，显示内容：加热状态、水位状态、即时温度、时间、设备运行技术参数、故障代码、报警显示。</w:t>
            </w:r>
          </w:p>
          <w:p w14:paraId="372A43FA">
            <w:pPr>
              <w:spacing w:line="400" w:lineRule="exact"/>
              <w:rPr>
                <w:rFonts w:ascii="宋体" w:hAnsi="宋体" w:eastAsia="宋体" w:cs="宋体"/>
                <w:szCs w:val="21"/>
              </w:rPr>
            </w:pPr>
            <w:r>
              <w:rPr>
                <w:rFonts w:hint="eastAsia" w:ascii="宋体" w:hAnsi="宋体" w:eastAsia="宋体" w:cs="宋体"/>
                <w:szCs w:val="21"/>
              </w:rPr>
              <w:t>12.整机防水等级</w:t>
            </w:r>
            <w:bookmarkStart w:id="7" w:name="OLE_LINK9"/>
            <w:bookmarkStart w:id="8" w:name="OLE_LINK10"/>
            <w:r>
              <w:rPr>
                <w:rFonts w:hint="eastAsia" w:ascii="宋体" w:hAnsi="宋体" w:eastAsia="宋体" w:cs="宋体"/>
                <w:szCs w:val="21"/>
              </w:rPr>
              <w:t>≥</w:t>
            </w:r>
            <w:bookmarkEnd w:id="7"/>
            <w:bookmarkEnd w:id="8"/>
            <w:r>
              <w:rPr>
                <w:rFonts w:hint="eastAsia" w:ascii="宋体" w:hAnsi="宋体" w:eastAsia="宋体" w:cs="宋体"/>
                <w:szCs w:val="21"/>
              </w:rPr>
              <w:t>IPX4，提供具有CMA或CNAS标识的检测报告,加盖投标人公章。</w:t>
            </w:r>
            <w:bookmarkEnd w:id="0"/>
            <w:bookmarkEnd w:id="3"/>
            <w:bookmarkEnd w:id="4"/>
          </w:p>
        </w:tc>
        <w:tc>
          <w:tcPr>
            <w:tcW w:w="0" w:type="auto"/>
            <w:noWrap w:val="0"/>
            <w:vAlign w:val="center"/>
          </w:tcPr>
          <w:p w14:paraId="42C8D94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0" w:type="auto"/>
            <w:noWrap/>
            <w:vAlign w:val="center"/>
          </w:tcPr>
          <w:p w14:paraId="74AA295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34</w:t>
            </w:r>
          </w:p>
        </w:tc>
      </w:tr>
      <w:tr w14:paraId="12F6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0" w:type="auto"/>
            <w:noWrap/>
            <w:vAlign w:val="center"/>
          </w:tcPr>
          <w:p w14:paraId="05C2B560">
            <w:pPr>
              <w:rPr>
                <w:rFonts w:ascii="宋体" w:hAnsi="宋体" w:eastAsia="宋体" w:cs="宋体"/>
                <w:color w:val="000000"/>
                <w:szCs w:val="21"/>
              </w:rPr>
            </w:pPr>
            <w:r>
              <w:rPr>
                <w:rFonts w:hint="eastAsia" w:ascii="宋体" w:hAnsi="宋体" w:eastAsia="宋体" w:cs="宋体"/>
                <w:color w:val="000000"/>
                <w:szCs w:val="21"/>
              </w:rPr>
              <w:t>2</w:t>
            </w:r>
          </w:p>
        </w:tc>
        <w:tc>
          <w:tcPr>
            <w:tcW w:w="515" w:type="dxa"/>
            <w:noWrap w:val="0"/>
            <w:vAlign w:val="center"/>
          </w:tcPr>
          <w:p w14:paraId="4C6600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饮水机</w:t>
            </w:r>
          </w:p>
        </w:tc>
        <w:tc>
          <w:tcPr>
            <w:tcW w:w="6489" w:type="dxa"/>
            <w:noWrap w:val="0"/>
            <w:vAlign w:val="center"/>
          </w:tcPr>
          <w:p w14:paraId="5763409A">
            <w:pPr>
              <w:spacing w:line="400" w:lineRule="exact"/>
              <w:rPr>
                <w:rFonts w:ascii="宋体" w:hAnsi="宋体" w:eastAsia="宋体" w:cs="宋体"/>
                <w:szCs w:val="21"/>
              </w:rPr>
            </w:pPr>
            <w:r>
              <w:rPr>
                <w:rFonts w:hint="eastAsia" w:ascii="宋体" w:hAnsi="宋体" w:eastAsia="宋体" w:cs="宋体"/>
                <w:szCs w:val="21"/>
              </w:rPr>
              <w:t>1.产品款式：净饮一体机。</w:t>
            </w:r>
          </w:p>
          <w:p w14:paraId="4596FB75">
            <w:pPr>
              <w:spacing w:line="400" w:lineRule="exact"/>
              <w:rPr>
                <w:rFonts w:ascii="宋体" w:hAnsi="宋体" w:eastAsia="宋体" w:cs="宋体"/>
                <w:szCs w:val="21"/>
              </w:rPr>
            </w:pPr>
            <w:r>
              <w:rPr>
                <w:rFonts w:hint="eastAsia" w:ascii="宋体" w:hAnsi="宋体" w:eastAsia="宋体" w:cs="宋体"/>
                <w:szCs w:val="21"/>
              </w:rPr>
              <w:t>2.电源220V/50Hz，功率≥3KW。</w:t>
            </w:r>
          </w:p>
          <w:p w14:paraId="32CE31C5">
            <w:pPr>
              <w:spacing w:line="400" w:lineRule="exact"/>
              <w:rPr>
                <w:rFonts w:ascii="宋体" w:hAnsi="宋体" w:eastAsia="宋体" w:cs="宋体"/>
                <w:szCs w:val="21"/>
              </w:rPr>
            </w:pPr>
            <w:r>
              <w:rPr>
                <w:rFonts w:hint="eastAsia" w:ascii="宋体" w:hAnsi="宋体" w:eastAsia="宋体" w:cs="宋体"/>
                <w:szCs w:val="21"/>
              </w:rPr>
              <w:t>3.出水方式：3龙头一开二温,触摸按键出水。</w:t>
            </w:r>
          </w:p>
          <w:p w14:paraId="1CB4B62A">
            <w:pPr>
              <w:spacing w:line="400" w:lineRule="exact"/>
              <w:rPr>
                <w:rFonts w:hint="eastAsia" w:ascii="宋体" w:hAnsi="宋体" w:eastAsia="宋体" w:cs="宋体"/>
                <w:szCs w:val="21"/>
              </w:rPr>
            </w:pPr>
            <w:r>
              <w:rPr>
                <w:rFonts w:hint="eastAsia" w:ascii="宋体" w:hAnsi="宋体" w:eastAsia="宋体" w:cs="宋体"/>
                <w:szCs w:val="21"/>
              </w:rPr>
              <w:t>4.外形尺寸（长*宽*高）≥830mm×460mm×1450mm。</w:t>
            </w:r>
          </w:p>
          <w:p w14:paraId="4CDACA51">
            <w:pPr>
              <w:spacing w:line="400" w:lineRule="exact"/>
              <w:rPr>
                <w:rFonts w:ascii="宋体" w:hAnsi="宋体" w:eastAsia="宋体" w:cs="宋体"/>
                <w:szCs w:val="21"/>
              </w:rPr>
            </w:pPr>
            <w:r>
              <w:rPr>
                <w:rFonts w:hint="eastAsia" w:ascii="宋体" w:hAnsi="宋体" w:eastAsia="宋体" w:cs="宋体"/>
                <w:kern w:val="0"/>
                <w:szCs w:val="21"/>
              </w:rPr>
              <w:t>5.材质：饮水机</w:t>
            </w:r>
            <w:r>
              <w:rPr>
                <w:rFonts w:hint="eastAsia" w:ascii="宋体" w:hAnsi="宋体" w:eastAsia="宋体" w:cs="宋体"/>
                <w:color w:val="000000"/>
                <w:kern w:val="0"/>
                <w:szCs w:val="21"/>
              </w:rPr>
              <w:t>外壳采用</w:t>
            </w:r>
            <w:r>
              <w:rPr>
                <w:rFonts w:hint="eastAsia" w:ascii="宋体" w:hAnsi="宋体" w:eastAsia="宋体" w:cs="宋体"/>
                <w:kern w:val="0"/>
                <w:szCs w:val="21"/>
              </w:rPr>
              <w:t>不锈钢材质，水胆食品级不锈钢。</w:t>
            </w:r>
          </w:p>
          <w:p w14:paraId="1541C638">
            <w:pPr>
              <w:spacing w:line="400" w:lineRule="exact"/>
              <w:rPr>
                <w:rFonts w:ascii="宋体" w:hAnsi="宋体" w:eastAsia="宋体" w:cs="宋体"/>
                <w:szCs w:val="21"/>
              </w:rPr>
            </w:pPr>
            <w:r>
              <w:rPr>
                <w:rFonts w:hint="eastAsia" w:ascii="宋体" w:hAnsi="宋体" w:eastAsia="宋体" w:cs="宋体"/>
                <w:szCs w:val="21"/>
              </w:rPr>
              <w:t>6.过滤及配置：聚丙烯纤维滤芯、颗粒活性炭滤芯、压缩活性炭滤芯、反渗透膜、颗粒活性炭滤芯，热交换器、不锈钢波纹管、压力储水桶，不锈钢加热内胆组件≥24L，净水流量≥1.05L/min，提供所投饮水机型号的《涉及饮用水卫生安全产品卫生许可批件》，证件内体现注明以上主要部件,加盖投标人公章。</w:t>
            </w:r>
          </w:p>
          <w:p w14:paraId="63B6D03F">
            <w:pPr>
              <w:spacing w:line="400" w:lineRule="exact"/>
              <w:rPr>
                <w:rFonts w:ascii="宋体" w:hAnsi="宋体" w:eastAsia="宋体" w:cs="宋体"/>
                <w:szCs w:val="21"/>
              </w:rPr>
            </w:pPr>
            <w:r>
              <w:rPr>
                <w:rFonts w:hint="eastAsia" w:ascii="宋体" w:hAnsi="宋体" w:eastAsia="宋体" w:cs="宋体"/>
                <w:szCs w:val="21"/>
              </w:rPr>
              <w:t>7.智能功能：</w:t>
            </w:r>
          </w:p>
          <w:p w14:paraId="40E2C671">
            <w:pPr>
              <w:spacing w:line="400" w:lineRule="exact"/>
              <w:rPr>
                <w:rFonts w:ascii="宋体" w:hAnsi="宋体" w:eastAsia="宋体" w:cs="宋体"/>
                <w:szCs w:val="21"/>
              </w:rPr>
            </w:pPr>
            <w:r>
              <w:rPr>
                <w:rFonts w:hint="eastAsia" w:ascii="宋体" w:hAnsi="宋体" w:eastAsia="宋体" w:cs="宋体"/>
                <w:szCs w:val="21"/>
              </w:rPr>
              <w:t>①高温杀菌技术：主机利用调温阀对开水与进水在不混合的结构内调整开水及进水的流通比例，手动调整到开水通道最大值时，打开出水开关将开水在温水胆、交换器、温水流经管路及龙头进行高温杀菌；提供具有CMA或CNAS标识的检验检测报告体现,加盖投标人公章。</w:t>
            </w:r>
          </w:p>
          <w:p w14:paraId="1B4ED843">
            <w:pPr>
              <w:spacing w:line="400" w:lineRule="exact"/>
              <w:rPr>
                <w:rFonts w:hint="eastAsia" w:ascii="宋体" w:hAnsi="宋体" w:eastAsia="宋体" w:cs="宋体"/>
                <w:szCs w:val="21"/>
              </w:rPr>
            </w:pPr>
            <w:r>
              <w:rPr>
                <w:rFonts w:hint="eastAsia" w:ascii="宋体" w:hAnsi="宋体" w:eastAsia="宋体" w:cs="宋体"/>
                <w:szCs w:val="21"/>
              </w:rPr>
              <w:t>②隔夜排空功能：通过遥控器或主板设置键对主板进行设置开机时间，整机通电时，排水电磁阀同步打开，对水胆内部的隔夜水排空可根据水胆容量大小设置排空时间1~10min。同时可通过远程APP一键操作；提供具有CMA或CNAS标识的检验检测报告体现,加盖投标人公章。</w:t>
            </w:r>
          </w:p>
          <w:p w14:paraId="570C6475">
            <w:pPr>
              <w:spacing w:line="400" w:lineRule="exact"/>
              <w:rPr>
                <w:rFonts w:hint="eastAsia" w:ascii="宋体" w:hAnsi="宋体" w:eastAsia="宋体" w:cs="宋体"/>
                <w:szCs w:val="21"/>
              </w:rPr>
            </w:pPr>
            <w:r>
              <w:rPr>
                <w:rFonts w:hint="eastAsia" w:ascii="宋体" w:hAnsi="宋体" w:eastAsia="宋体" w:cs="宋体"/>
                <w:szCs w:val="21"/>
              </w:rPr>
              <w:t>③滤芯管理功能：主控制系统可预设净水总量、单级滤芯水量、滤芯使用时长，在达到预设值时显示屏显示“换芯或及时更换滤芯”的警示图标或三角警示图标闪烁提示。同时同步给APP手机端或PC端，便于及时维护；提供具有CMA或CNAS标识的检验检测报告体现,加盖投标人公章。</w:t>
            </w:r>
          </w:p>
          <w:p w14:paraId="0D5CE172">
            <w:pPr>
              <w:spacing w:line="400" w:lineRule="exact"/>
              <w:rPr>
                <w:rFonts w:hint="eastAsia" w:ascii="宋体" w:hAnsi="宋体" w:eastAsia="宋体" w:cs="宋体"/>
                <w:szCs w:val="21"/>
              </w:rPr>
            </w:pPr>
            <w:r>
              <w:rPr>
                <w:rFonts w:hint="eastAsia" w:ascii="宋体" w:hAnsi="宋体" w:eastAsia="宋体" w:cs="宋体"/>
                <w:szCs w:val="21"/>
              </w:rPr>
              <w:t>④物联网管理功能：主控系统可同时通过厂家自有APP小程序及设计的联网端口，任意一种方式联网后可实现网络通讯，显示屏上显示联网状态：具备远程传输数据，显示设备运行状况、维保记录、实时水温，远程一键式开关机、锁机、远程设置设备工作参数、开关机时间、过滤自冲洗、监控水位、监控原水TDS值、净水TDS值，累计流量，滤芯更换提醒、实时推送设备故障提醒；提供具有CMA或CNAS标识的检验检测报告体现,加盖投标人公章。</w:t>
            </w:r>
          </w:p>
          <w:p w14:paraId="1DD77FF3">
            <w:pPr>
              <w:spacing w:line="400" w:lineRule="exact"/>
              <w:rPr>
                <w:rFonts w:hint="eastAsia" w:ascii="宋体" w:hAnsi="宋体" w:eastAsia="宋体" w:cs="宋体"/>
                <w:szCs w:val="21"/>
              </w:rPr>
            </w:pPr>
            <w:r>
              <w:rPr>
                <w:rFonts w:hint="eastAsia" w:ascii="宋体" w:hAnsi="宋体" w:eastAsia="宋体" w:cs="宋体"/>
                <w:szCs w:val="21"/>
              </w:rPr>
              <w:t>8.核心涉水部件：发热管、加热内胆组件、龙头、热交换器、波纹管、滤壳；应符合(GB/T 5750-2023)《生活饮用水标准检验方法》，《生活饮用水输配水设备及防护材料卫生安全评价规范》(2001)检测标准，提供具有CMA或CNAS标识的检验检测报告体现,加盖投标人公章。</w:t>
            </w:r>
          </w:p>
          <w:p w14:paraId="3AA23243">
            <w:pPr>
              <w:spacing w:line="400" w:lineRule="exact"/>
              <w:rPr>
                <w:rFonts w:hint="eastAsia" w:ascii="宋体" w:hAnsi="宋体" w:eastAsia="宋体" w:cs="宋体"/>
                <w:szCs w:val="21"/>
              </w:rPr>
            </w:pPr>
            <w:r>
              <w:rPr>
                <w:rFonts w:hint="eastAsia" w:ascii="宋体" w:hAnsi="宋体" w:eastAsia="宋体" w:cs="宋体"/>
                <w:szCs w:val="21"/>
              </w:rPr>
              <w:t>9.产品箱体金属防腐蚀符合GB/T 10125-2021《人造气氛腐蚀试验 盐雾试验》标准，试验周期≥720h。</w:t>
            </w:r>
          </w:p>
          <w:p w14:paraId="2021D0B5">
            <w:pPr>
              <w:spacing w:line="400" w:lineRule="exact"/>
              <w:rPr>
                <w:rFonts w:hint="eastAsia" w:ascii="宋体" w:hAnsi="宋体" w:eastAsia="宋体" w:cs="宋体"/>
                <w:szCs w:val="21"/>
              </w:rPr>
            </w:pPr>
            <w:r>
              <w:rPr>
                <w:rFonts w:hint="eastAsia" w:ascii="宋体" w:hAnsi="宋体" w:eastAsia="宋体" w:cs="宋体"/>
                <w:szCs w:val="21"/>
              </w:rPr>
              <w:t>10.整机符合GB/T 26572-2011《电子电气产品中限用物质的限量要求》及GB/T39560.301-2020、GB/T 39560.2-2020、GB/T39560.5-2021、GB/T39560.6-2020、GB/T39560.701-2020、GB/T39560.702-2021关于电子电气产品中物质的测定系列标准的要求；提供具有CMA或CNAS标识的检验检测报告体现,加盖投标人公章。</w:t>
            </w:r>
          </w:p>
          <w:p w14:paraId="0DA8401C">
            <w:pPr>
              <w:spacing w:line="400" w:lineRule="exact"/>
              <w:rPr>
                <w:rFonts w:ascii="宋体" w:hAnsi="宋体" w:eastAsia="宋体" w:cs="宋体"/>
                <w:szCs w:val="21"/>
              </w:rPr>
            </w:pPr>
            <w:r>
              <w:rPr>
                <w:rFonts w:hint="eastAsia" w:ascii="宋体" w:hAnsi="宋体" w:eastAsia="宋体" w:cs="宋体"/>
                <w:szCs w:val="21"/>
              </w:rPr>
              <w:t>11.主机液晶屏中文显示，显示包含：网络信号、时间、日期、星期等便利性数据；同时具备每一级滤芯寿命独立提醒、文字提醒滤芯更换提示、开水实时温度、加热温度显示、故障代码、服务时间天数、净水TDS；提供具有CMA或CNAS标识的检验检测报告体现,加盖投标人公章。</w:t>
            </w:r>
          </w:p>
        </w:tc>
        <w:tc>
          <w:tcPr>
            <w:tcW w:w="0" w:type="auto"/>
            <w:noWrap w:val="0"/>
            <w:vAlign w:val="center"/>
          </w:tcPr>
          <w:p w14:paraId="086952A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0" w:type="auto"/>
            <w:noWrap/>
            <w:vAlign w:val="center"/>
          </w:tcPr>
          <w:p w14:paraId="2385F0F6">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r>
      <w:tr w14:paraId="6907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ign w:val="center"/>
          </w:tcPr>
          <w:p w14:paraId="78CD56C3">
            <w:pPr>
              <w:rPr>
                <w:rFonts w:ascii="宋体" w:hAnsi="宋体" w:eastAsia="宋体" w:cs="宋体"/>
                <w:color w:val="000000"/>
                <w:szCs w:val="21"/>
              </w:rPr>
            </w:pPr>
            <w:r>
              <w:rPr>
                <w:rFonts w:hint="eastAsia" w:ascii="宋体" w:hAnsi="宋体" w:eastAsia="宋体" w:cs="宋体"/>
                <w:color w:val="000000"/>
                <w:szCs w:val="21"/>
              </w:rPr>
              <w:t>3</w:t>
            </w:r>
          </w:p>
        </w:tc>
        <w:tc>
          <w:tcPr>
            <w:tcW w:w="515" w:type="dxa"/>
            <w:noWrap w:val="0"/>
            <w:vAlign w:val="center"/>
          </w:tcPr>
          <w:p w14:paraId="239BF77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饮水机</w:t>
            </w:r>
          </w:p>
        </w:tc>
        <w:tc>
          <w:tcPr>
            <w:tcW w:w="6489" w:type="dxa"/>
            <w:noWrap w:val="0"/>
            <w:vAlign w:val="center"/>
          </w:tcPr>
          <w:p w14:paraId="34D9989A">
            <w:pPr>
              <w:spacing w:line="400" w:lineRule="exact"/>
              <w:rPr>
                <w:rFonts w:ascii="宋体" w:hAnsi="宋体" w:eastAsia="宋体" w:cs="宋体"/>
                <w:szCs w:val="21"/>
              </w:rPr>
            </w:pPr>
            <w:r>
              <w:rPr>
                <w:rFonts w:hint="eastAsia" w:ascii="宋体" w:hAnsi="宋体" w:eastAsia="宋体" w:cs="宋体"/>
                <w:szCs w:val="21"/>
              </w:rPr>
              <w:t>1.产品款式：净饮一体机。</w:t>
            </w:r>
          </w:p>
          <w:p w14:paraId="65617B22">
            <w:pPr>
              <w:spacing w:line="400" w:lineRule="exact"/>
              <w:jc w:val="left"/>
              <w:rPr>
                <w:rFonts w:ascii="宋体" w:hAnsi="宋体" w:eastAsia="宋体" w:cs="宋体"/>
                <w:szCs w:val="21"/>
              </w:rPr>
            </w:pPr>
            <w:r>
              <w:rPr>
                <w:rFonts w:hint="eastAsia" w:ascii="宋体" w:hAnsi="宋体" w:eastAsia="宋体" w:cs="宋体"/>
                <w:szCs w:val="21"/>
              </w:rPr>
              <w:t>2.电源380V/50Hz，功率≥4.5KW。</w:t>
            </w:r>
          </w:p>
          <w:p w14:paraId="54B77B0A">
            <w:pPr>
              <w:spacing w:line="400" w:lineRule="exact"/>
              <w:rPr>
                <w:rFonts w:ascii="宋体" w:hAnsi="宋体" w:eastAsia="宋体" w:cs="宋体"/>
                <w:szCs w:val="21"/>
              </w:rPr>
            </w:pPr>
            <w:r>
              <w:rPr>
                <w:rFonts w:hint="eastAsia" w:ascii="宋体" w:hAnsi="宋体" w:eastAsia="宋体" w:cs="宋体"/>
                <w:szCs w:val="21"/>
              </w:rPr>
              <w:t>3.出水方式：4龙头一开三温,触摸按键出水。</w:t>
            </w:r>
          </w:p>
          <w:p w14:paraId="71EC0D32">
            <w:pPr>
              <w:spacing w:line="400" w:lineRule="exact"/>
              <w:rPr>
                <w:rFonts w:hint="eastAsia" w:ascii="宋体" w:hAnsi="宋体" w:eastAsia="宋体" w:cs="宋体"/>
                <w:szCs w:val="21"/>
              </w:rPr>
            </w:pPr>
            <w:r>
              <w:rPr>
                <w:rFonts w:hint="eastAsia" w:ascii="宋体" w:hAnsi="宋体" w:eastAsia="宋体" w:cs="宋体"/>
                <w:szCs w:val="21"/>
              </w:rPr>
              <w:t>4.外形尺寸（长*宽*高）≥1080mm*480mm*1480mm。</w:t>
            </w:r>
          </w:p>
          <w:p w14:paraId="700D6227">
            <w:pPr>
              <w:spacing w:line="400" w:lineRule="exact"/>
              <w:rPr>
                <w:rFonts w:ascii="宋体" w:hAnsi="宋体" w:eastAsia="宋体" w:cs="宋体"/>
                <w:szCs w:val="21"/>
              </w:rPr>
            </w:pPr>
            <w:r>
              <w:rPr>
                <w:rFonts w:hint="eastAsia" w:ascii="宋体" w:hAnsi="宋体" w:eastAsia="宋体" w:cs="宋体"/>
                <w:kern w:val="0"/>
                <w:szCs w:val="21"/>
              </w:rPr>
              <w:t>5.材质：饮水机</w:t>
            </w:r>
            <w:r>
              <w:rPr>
                <w:rFonts w:hint="eastAsia" w:ascii="宋体" w:hAnsi="宋体" w:eastAsia="宋体" w:cs="宋体"/>
                <w:color w:val="000000"/>
                <w:kern w:val="0"/>
                <w:szCs w:val="21"/>
              </w:rPr>
              <w:t>外壳采用</w:t>
            </w:r>
            <w:r>
              <w:rPr>
                <w:rFonts w:hint="eastAsia" w:ascii="宋体" w:hAnsi="宋体" w:eastAsia="宋体" w:cs="宋体"/>
                <w:kern w:val="0"/>
                <w:szCs w:val="21"/>
              </w:rPr>
              <w:t>不锈钢材质，</w:t>
            </w:r>
            <w:r>
              <w:rPr>
                <w:rFonts w:hint="eastAsia" w:ascii="宋体" w:hAnsi="宋体" w:eastAsia="宋体" w:cs="宋体"/>
                <w:color w:val="000000"/>
                <w:kern w:val="0"/>
                <w:szCs w:val="21"/>
              </w:rPr>
              <w:t>水胆</w:t>
            </w:r>
            <w:r>
              <w:rPr>
                <w:rFonts w:hint="eastAsia" w:ascii="宋体" w:hAnsi="宋体" w:eastAsia="宋体" w:cs="宋体"/>
                <w:kern w:val="0"/>
                <w:szCs w:val="21"/>
              </w:rPr>
              <w:t>食品级不锈钢。</w:t>
            </w:r>
          </w:p>
          <w:p w14:paraId="52C244AA">
            <w:pPr>
              <w:spacing w:line="400" w:lineRule="exact"/>
              <w:rPr>
                <w:rFonts w:ascii="宋体" w:hAnsi="宋体" w:eastAsia="宋体" w:cs="宋体"/>
                <w:szCs w:val="21"/>
              </w:rPr>
            </w:pPr>
            <w:r>
              <w:rPr>
                <w:rFonts w:hint="eastAsia" w:ascii="宋体" w:hAnsi="宋体" w:eastAsia="宋体" w:cs="宋体"/>
                <w:szCs w:val="21"/>
              </w:rPr>
              <w:t>6.过滤及配置：PP炭棒复合滤芯、颗粒活性炭滤芯、炭棒滤芯、反渗透膜、颗粒活性炭滤芯，紫外线杀菌器、蓄水桶、热交换器、不锈钢波纹管，饮水机加热内胆≥30L，净水流量≥1.05L/min，提供所投饮水机型号的《涉及饮用水卫生安全产品卫生许可批件》，证件内体现注明以上主要部件,加盖投标人公章。</w:t>
            </w:r>
          </w:p>
          <w:p w14:paraId="4C684B1C">
            <w:pPr>
              <w:spacing w:line="400" w:lineRule="exact"/>
              <w:rPr>
                <w:rFonts w:hint="eastAsia" w:ascii="宋体" w:hAnsi="宋体" w:eastAsia="宋体" w:cs="宋体"/>
                <w:szCs w:val="21"/>
              </w:rPr>
            </w:pPr>
            <w:r>
              <w:rPr>
                <w:rFonts w:hint="eastAsia" w:ascii="宋体" w:hAnsi="宋体" w:eastAsia="宋体" w:cs="宋体"/>
                <w:szCs w:val="21"/>
              </w:rPr>
              <w:t>7.智能要求：</w:t>
            </w:r>
          </w:p>
          <w:p w14:paraId="0CDD91C8">
            <w:pPr>
              <w:spacing w:line="400" w:lineRule="exact"/>
              <w:rPr>
                <w:rFonts w:hint="eastAsia" w:ascii="宋体" w:hAnsi="宋体" w:eastAsia="宋体" w:cs="宋体"/>
                <w:szCs w:val="21"/>
              </w:rPr>
            </w:pPr>
            <w:r>
              <w:rPr>
                <w:rFonts w:hint="eastAsia" w:ascii="宋体" w:hAnsi="宋体" w:eastAsia="宋体" w:cs="宋体"/>
                <w:szCs w:val="21"/>
              </w:rPr>
              <w:t>①高温杀菌消毒，可定时对直饮水设备内部管路进行高温杀菌消毒，避免出水细菌超标。</w:t>
            </w:r>
          </w:p>
          <w:p w14:paraId="1D768C19">
            <w:pPr>
              <w:spacing w:line="400" w:lineRule="exact"/>
              <w:rPr>
                <w:rFonts w:hint="eastAsia" w:ascii="宋体" w:hAnsi="宋体" w:eastAsia="宋体" w:cs="宋体"/>
                <w:szCs w:val="21"/>
              </w:rPr>
            </w:pPr>
            <w:r>
              <w:rPr>
                <w:rFonts w:hint="eastAsia" w:ascii="宋体" w:hAnsi="宋体" w:eastAsia="宋体" w:cs="宋体"/>
                <w:szCs w:val="21"/>
              </w:rPr>
              <w:t>②定时开关机，客户可以自由设置当前时钟和设定开机、关机的时间；节约在设备长时间无人使用时的能耗。</w:t>
            </w:r>
          </w:p>
          <w:p w14:paraId="0711FDC4">
            <w:pPr>
              <w:spacing w:line="400" w:lineRule="exact"/>
              <w:rPr>
                <w:rFonts w:hint="eastAsia" w:ascii="宋体" w:hAnsi="宋体" w:eastAsia="宋体" w:cs="宋体"/>
                <w:szCs w:val="21"/>
              </w:rPr>
            </w:pPr>
            <w:r>
              <w:rPr>
                <w:rFonts w:hint="eastAsia" w:ascii="宋体" w:hAnsi="宋体" w:eastAsia="宋体" w:cs="宋体"/>
                <w:szCs w:val="21"/>
              </w:rPr>
              <w:t>③滤芯识别管理，能通过主机显示每一级过滤芯使用情况。智能识别更换滤芯是否为正品提醒。</w:t>
            </w:r>
          </w:p>
          <w:p w14:paraId="3A4D6D51">
            <w:pPr>
              <w:spacing w:line="400" w:lineRule="exact"/>
              <w:rPr>
                <w:rFonts w:hint="eastAsia" w:ascii="宋体" w:hAnsi="宋体" w:eastAsia="宋体" w:cs="宋体"/>
                <w:szCs w:val="21"/>
              </w:rPr>
            </w:pPr>
            <w:r>
              <w:rPr>
                <w:rFonts w:hint="eastAsia" w:ascii="宋体" w:hAnsi="宋体" w:eastAsia="宋体" w:cs="宋体"/>
                <w:szCs w:val="21"/>
              </w:rPr>
              <w:t>④配置物联网功能：可在PC或移动端设置定时开关机，监测饮水设备水温、滤芯、水质TDS值、故障状态和原因等数据；售后人员可协助用户管理饮水设备，可实时观测饮水设备运行状况，及时解决饮水设备的异常问题。</w:t>
            </w:r>
          </w:p>
          <w:p w14:paraId="73759857">
            <w:pPr>
              <w:spacing w:line="400" w:lineRule="exact"/>
              <w:rPr>
                <w:rFonts w:hint="eastAsia" w:ascii="宋体" w:hAnsi="宋体" w:eastAsia="宋体" w:cs="宋体"/>
                <w:szCs w:val="21"/>
              </w:rPr>
            </w:pPr>
            <w:r>
              <w:rPr>
                <w:rFonts w:hint="eastAsia" w:ascii="宋体" w:hAnsi="宋体" w:eastAsia="宋体" w:cs="宋体"/>
                <w:szCs w:val="21"/>
              </w:rPr>
              <w:t>⑤为确保所投饮水机物联网功能使用稳定,所投饮水机的物联网系统平台制造商具有信息系统建设和服务能力，提供第三方技术认定机构或行政部门出具的证明文件,加盖投标人公章。</w:t>
            </w:r>
          </w:p>
          <w:p w14:paraId="4A898F33">
            <w:pPr>
              <w:spacing w:line="400" w:lineRule="exact"/>
              <w:rPr>
                <w:rFonts w:hint="eastAsia" w:ascii="宋体" w:hAnsi="宋体" w:eastAsia="宋体" w:cs="宋体"/>
                <w:szCs w:val="21"/>
              </w:rPr>
            </w:pPr>
            <w:r>
              <w:rPr>
                <w:rFonts w:hint="eastAsia" w:ascii="宋体" w:hAnsi="宋体" w:eastAsia="宋体" w:cs="宋体"/>
                <w:szCs w:val="21"/>
              </w:rPr>
              <w:t>8.温开水安全要求：采用热交换器技术，热交换器内外管采用不锈钢材质。</w:t>
            </w:r>
          </w:p>
          <w:p w14:paraId="6D608C10">
            <w:pPr>
              <w:spacing w:line="400" w:lineRule="exact"/>
              <w:rPr>
                <w:rFonts w:hint="eastAsia" w:ascii="宋体" w:hAnsi="宋体" w:eastAsia="宋体" w:cs="宋体"/>
                <w:szCs w:val="21"/>
              </w:rPr>
            </w:pPr>
            <w:r>
              <w:rPr>
                <w:rFonts w:hint="eastAsia" w:ascii="宋体" w:hAnsi="宋体" w:eastAsia="宋体" w:cs="宋体"/>
                <w:szCs w:val="21"/>
              </w:rPr>
              <w:t>9.排水漏斗下水口连接的排水管须为PP-R环保健康给水管，确保排水系统耐高温不漏水，不易损坏。</w:t>
            </w:r>
          </w:p>
          <w:p w14:paraId="6F4E2EBE">
            <w:pPr>
              <w:spacing w:line="400" w:lineRule="exact"/>
              <w:rPr>
                <w:rFonts w:hint="eastAsia" w:ascii="宋体" w:hAnsi="宋体" w:eastAsia="宋体" w:cs="宋体"/>
                <w:szCs w:val="21"/>
              </w:rPr>
            </w:pPr>
            <w:r>
              <w:rPr>
                <w:rFonts w:hint="eastAsia" w:ascii="宋体" w:hAnsi="宋体" w:eastAsia="宋体" w:cs="宋体"/>
                <w:szCs w:val="21"/>
              </w:rPr>
              <w:t>10.设备采用防触电、防超压、防干烧、防超温、防蒸汽技术，保障使用安全。</w:t>
            </w:r>
          </w:p>
          <w:p w14:paraId="20510E5A">
            <w:pPr>
              <w:spacing w:line="400" w:lineRule="exact"/>
              <w:rPr>
                <w:rFonts w:hint="eastAsia" w:ascii="宋体" w:hAnsi="宋体" w:eastAsia="宋体" w:cs="宋体"/>
                <w:szCs w:val="21"/>
              </w:rPr>
            </w:pPr>
            <w:r>
              <w:rPr>
                <w:rFonts w:hint="eastAsia" w:ascii="宋体" w:hAnsi="宋体" w:eastAsia="宋体" w:cs="宋体"/>
                <w:szCs w:val="21"/>
              </w:rPr>
              <w:t>11.设有液晶显示屏，显示内容：加热状态、水位状态、即时温度、时间、设备运行技术参数、故障代码、报警显示。</w:t>
            </w:r>
          </w:p>
          <w:p w14:paraId="6A19AD70">
            <w:pPr>
              <w:jc w:val="left"/>
              <w:rPr>
                <w:rFonts w:ascii="宋体" w:hAnsi="宋体" w:eastAsia="宋体" w:cs="宋体"/>
                <w:kern w:val="0"/>
                <w:szCs w:val="21"/>
              </w:rPr>
            </w:pPr>
            <w:r>
              <w:rPr>
                <w:rFonts w:hint="eastAsia" w:ascii="宋体" w:hAnsi="宋体" w:eastAsia="宋体" w:cs="宋体"/>
                <w:szCs w:val="21"/>
              </w:rPr>
              <w:t>12.整机防水等级≥IPX4，提供具有CMA或CNAS标识的检测报告,加盖投标人公章。</w:t>
            </w:r>
          </w:p>
        </w:tc>
        <w:tc>
          <w:tcPr>
            <w:tcW w:w="0" w:type="auto"/>
            <w:noWrap w:val="0"/>
            <w:vAlign w:val="center"/>
          </w:tcPr>
          <w:p w14:paraId="08317EB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0" w:type="auto"/>
            <w:noWrap/>
            <w:vAlign w:val="center"/>
          </w:tcPr>
          <w:p w14:paraId="22B33AC6">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14:paraId="4EAD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noWrap/>
            <w:vAlign w:val="center"/>
          </w:tcPr>
          <w:p w14:paraId="146CD615">
            <w:pPr>
              <w:rPr>
                <w:rFonts w:ascii="宋体" w:hAnsi="宋体" w:eastAsia="宋体" w:cs="宋体"/>
                <w:color w:val="000000"/>
                <w:szCs w:val="21"/>
              </w:rPr>
            </w:pPr>
            <w:r>
              <w:rPr>
                <w:rFonts w:hint="eastAsia" w:ascii="宋体" w:hAnsi="宋体" w:eastAsia="宋体" w:cs="宋体"/>
                <w:color w:val="000000"/>
                <w:szCs w:val="21"/>
              </w:rPr>
              <w:t>4</w:t>
            </w:r>
          </w:p>
        </w:tc>
        <w:tc>
          <w:tcPr>
            <w:tcW w:w="515" w:type="dxa"/>
            <w:noWrap w:val="0"/>
            <w:vAlign w:val="center"/>
          </w:tcPr>
          <w:p w14:paraId="1B3FE2B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饮水机</w:t>
            </w:r>
          </w:p>
        </w:tc>
        <w:tc>
          <w:tcPr>
            <w:tcW w:w="6489" w:type="dxa"/>
            <w:noWrap w:val="0"/>
            <w:vAlign w:val="center"/>
          </w:tcPr>
          <w:p w14:paraId="54E0D7A2">
            <w:pPr>
              <w:spacing w:line="400" w:lineRule="exact"/>
              <w:rPr>
                <w:rFonts w:ascii="宋体" w:hAnsi="宋体" w:eastAsia="宋体" w:cs="宋体"/>
                <w:szCs w:val="21"/>
              </w:rPr>
            </w:pPr>
            <w:r>
              <w:rPr>
                <w:rFonts w:hint="eastAsia" w:ascii="宋体" w:hAnsi="宋体" w:eastAsia="宋体" w:cs="宋体"/>
                <w:szCs w:val="21"/>
              </w:rPr>
              <w:t>1.产品款式：净饮一体机。</w:t>
            </w:r>
          </w:p>
          <w:p w14:paraId="78242218">
            <w:pPr>
              <w:spacing w:line="400" w:lineRule="exact"/>
              <w:rPr>
                <w:rFonts w:ascii="宋体" w:hAnsi="宋体" w:eastAsia="宋体" w:cs="宋体"/>
                <w:szCs w:val="21"/>
              </w:rPr>
            </w:pPr>
            <w:r>
              <w:rPr>
                <w:rFonts w:hint="eastAsia" w:ascii="宋体" w:hAnsi="宋体" w:eastAsia="宋体" w:cs="宋体"/>
                <w:szCs w:val="21"/>
              </w:rPr>
              <w:t>2.电源220V/50Hz，功率≥2KW。</w:t>
            </w:r>
          </w:p>
          <w:p w14:paraId="6122CC5D">
            <w:pPr>
              <w:spacing w:line="400" w:lineRule="exact"/>
              <w:rPr>
                <w:rFonts w:ascii="宋体" w:hAnsi="宋体" w:eastAsia="宋体" w:cs="宋体"/>
                <w:szCs w:val="21"/>
              </w:rPr>
            </w:pPr>
            <w:r>
              <w:rPr>
                <w:rFonts w:hint="eastAsia" w:ascii="宋体" w:hAnsi="宋体" w:eastAsia="宋体" w:cs="宋体"/>
                <w:szCs w:val="21"/>
              </w:rPr>
              <w:t>3.出水方式：2龙头一开一温,触摸按键出水。</w:t>
            </w:r>
          </w:p>
          <w:p w14:paraId="060074A3">
            <w:pPr>
              <w:spacing w:line="400" w:lineRule="exact"/>
              <w:rPr>
                <w:rFonts w:ascii="宋体" w:hAnsi="宋体" w:eastAsia="宋体" w:cs="宋体"/>
                <w:szCs w:val="21"/>
              </w:rPr>
            </w:pPr>
            <w:r>
              <w:rPr>
                <w:rFonts w:hint="eastAsia" w:ascii="宋体" w:hAnsi="宋体" w:eastAsia="宋体" w:cs="宋体"/>
                <w:szCs w:val="21"/>
              </w:rPr>
              <w:t>4.外形尺寸（长*宽*高）≥</w:t>
            </w:r>
            <w:r>
              <w:rPr>
                <w:rFonts w:hint="eastAsia" w:ascii="宋体" w:hAnsi="宋体" w:eastAsia="宋体" w:cs="宋体"/>
                <w:spacing w:val="11"/>
                <w:szCs w:val="21"/>
              </w:rPr>
              <w:t>520mm×460mm×1460mm</w:t>
            </w:r>
            <w:r>
              <w:rPr>
                <w:rFonts w:hint="eastAsia" w:ascii="宋体" w:hAnsi="宋体" w:eastAsia="宋体" w:cs="宋体"/>
                <w:szCs w:val="21"/>
              </w:rPr>
              <w:t>。</w:t>
            </w:r>
          </w:p>
          <w:p w14:paraId="740F8753">
            <w:pPr>
              <w:spacing w:line="400" w:lineRule="exact"/>
              <w:rPr>
                <w:rFonts w:ascii="宋体" w:hAnsi="宋体" w:eastAsia="宋体" w:cs="宋体"/>
                <w:szCs w:val="21"/>
              </w:rPr>
            </w:pPr>
            <w:r>
              <w:rPr>
                <w:rFonts w:hint="eastAsia" w:ascii="宋体" w:hAnsi="宋体" w:eastAsia="宋体" w:cs="宋体"/>
                <w:kern w:val="0"/>
                <w:szCs w:val="21"/>
              </w:rPr>
              <w:t>5.材质：饮水机</w:t>
            </w:r>
            <w:r>
              <w:rPr>
                <w:rFonts w:hint="eastAsia" w:ascii="宋体" w:hAnsi="宋体" w:eastAsia="宋体" w:cs="宋体"/>
                <w:color w:val="000000"/>
                <w:kern w:val="0"/>
                <w:szCs w:val="21"/>
              </w:rPr>
              <w:t>外壳采用</w:t>
            </w:r>
            <w:r>
              <w:rPr>
                <w:rFonts w:hint="eastAsia" w:ascii="宋体" w:hAnsi="宋体" w:eastAsia="宋体" w:cs="宋体"/>
                <w:kern w:val="0"/>
                <w:szCs w:val="21"/>
              </w:rPr>
              <w:t>不锈钢材质，</w:t>
            </w:r>
            <w:r>
              <w:rPr>
                <w:rFonts w:hint="eastAsia" w:ascii="宋体" w:hAnsi="宋体" w:eastAsia="宋体" w:cs="宋体"/>
                <w:color w:val="000000"/>
                <w:kern w:val="0"/>
                <w:szCs w:val="21"/>
              </w:rPr>
              <w:t>水胆</w:t>
            </w:r>
            <w:r>
              <w:rPr>
                <w:rFonts w:hint="eastAsia" w:ascii="宋体" w:hAnsi="宋体" w:eastAsia="宋体" w:cs="宋体"/>
                <w:kern w:val="0"/>
                <w:szCs w:val="21"/>
              </w:rPr>
              <w:t>食品级不锈钢。</w:t>
            </w:r>
          </w:p>
          <w:p w14:paraId="20E97A27">
            <w:pPr>
              <w:spacing w:line="400" w:lineRule="exact"/>
              <w:rPr>
                <w:rFonts w:ascii="宋体" w:hAnsi="宋体" w:eastAsia="宋体" w:cs="宋体"/>
                <w:szCs w:val="21"/>
              </w:rPr>
            </w:pPr>
            <w:r>
              <w:rPr>
                <w:rFonts w:hint="eastAsia" w:ascii="宋体" w:hAnsi="宋体" w:eastAsia="宋体" w:cs="宋体"/>
                <w:szCs w:val="21"/>
              </w:rPr>
              <w:t>6.过滤及配置：聚丙烯纤维滤芯、颗粒活性炭滤芯、压缩活性炭滤芯、反渗透膜、颗粒活性炭滤芯，热交换器、不锈钢波纹管、压力储水桶，不锈钢加热内胆组件≥15L，净水流量≥0.52L/min，提供所投饮水机型号的《涉及饮用水卫生安全产品卫生许可批件》，证件内体现注明以上主要部件,加盖投标人公章。</w:t>
            </w:r>
          </w:p>
          <w:p w14:paraId="2C1F9CC4">
            <w:pPr>
              <w:spacing w:line="400" w:lineRule="exact"/>
              <w:rPr>
                <w:rFonts w:ascii="宋体" w:hAnsi="宋体" w:eastAsia="宋体" w:cs="宋体"/>
                <w:szCs w:val="21"/>
              </w:rPr>
            </w:pPr>
            <w:r>
              <w:rPr>
                <w:rFonts w:hint="eastAsia" w:ascii="宋体" w:hAnsi="宋体" w:eastAsia="宋体" w:cs="宋体"/>
                <w:szCs w:val="21"/>
              </w:rPr>
              <w:t>7.智能功能：</w:t>
            </w:r>
          </w:p>
          <w:p w14:paraId="27F51B2A">
            <w:pPr>
              <w:spacing w:line="400" w:lineRule="exact"/>
              <w:rPr>
                <w:rFonts w:ascii="宋体" w:hAnsi="宋体" w:eastAsia="宋体" w:cs="宋体"/>
                <w:szCs w:val="21"/>
              </w:rPr>
            </w:pPr>
            <w:r>
              <w:rPr>
                <w:rFonts w:hint="eastAsia" w:ascii="宋体" w:hAnsi="宋体" w:eastAsia="宋体" w:cs="宋体"/>
                <w:szCs w:val="21"/>
              </w:rPr>
              <w:t>①高温杀菌技术：主机利用调温阀对开水与进水在不混合的结构内调整开水及进水的流通比例，手动调整到开水通道最大值时，打开出水开关将开水在温水胆、交换器、温水流经管路及龙头进行高温杀菌；提供具有CMA或CNAS标识的检验检测报告体现,加盖投标人公章。</w:t>
            </w:r>
          </w:p>
          <w:p w14:paraId="041F16BB">
            <w:pPr>
              <w:spacing w:line="400" w:lineRule="exact"/>
              <w:rPr>
                <w:rFonts w:hint="eastAsia" w:ascii="宋体" w:hAnsi="宋体" w:eastAsia="宋体" w:cs="宋体"/>
                <w:szCs w:val="21"/>
              </w:rPr>
            </w:pPr>
            <w:r>
              <w:rPr>
                <w:rFonts w:hint="eastAsia" w:ascii="宋体" w:hAnsi="宋体" w:eastAsia="宋体" w:cs="宋体"/>
                <w:szCs w:val="21"/>
              </w:rPr>
              <w:t>②隔夜排空功能：通过遥控器或主板设置键对主板进行设置开机时间，整机通电时，排水电磁阀同步打开，对水胆内部的隔夜水排空可根据水胆容量大小设置排空时间1~10min。同时可通过远程APP一键操作；提供具有CMA或CNAS标识的检验检测报告体现,加盖投标人公章。</w:t>
            </w:r>
          </w:p>
          <w:p w14:paraId="318DD585">
            <w:pPr>
              <w:spacing w:line="400" w:lineRule="exact"/>
              <w:rPr>
                <w:rFonts w:hint="eastAsia" w:ascii="宋体" w:hAnsi="宋体" w:eastAsia="宋体" w:cs="宋体"/>
                <w:szCs w:val="21"/>
              </w:rPr>
            </w:pPr>
            <w:r>
              <w:rPr>
                <w:rFonts w:hint="eastAsia" w:ascii="宋体" w:hAnsi="宋体" w:eastAsia="宋体" w:cs="宋体"/>
                <w:szCs w:val="21"/>
              </w:rPr>
              <w:t>③滤芯管理功能：主控制系统可预设净水总量、单级滤芯水量、滤芯使用时长，在达到预设值时显示屏显示“换芯或及时更换滤芯”的警示图标或三角警示图标闪烁提示。同时同步给APP手机端或PC端，便于及时维护；提供具有CMA或CNAS标识的检验检测报告体现,加盖投标人公章。</w:t>
            </w:r>
          </w:p>
          <w:p w14:paraId="244F2D83">
            <w:pPr>
              <w:spacing w:line="400" w:lineRule="exact"/>
              <w:rPr>
                <w:rFonts w:hint="eastAsia" w:ascii="宋体" w:hAnsi="宋体" w:eastAsia="宋体" w:cs="宋体"/>
                <w:szCs w:val="21"/>
              </w:rPr>
            </w:pPr>
            <w:r>
              <w:rPr>
                <w:rFonts w:hint="eastAsia" w:ascii="宋体" w:hAnsi="宋体" w:eastAsia="宋体" w:cs="宋体"/>
                <w:szCs w:val="21"/>
              </w:rPr>
              <w:t>④物联网管理功能：主控系统可同时通过厂家自有APP小程序及设计的联网端口，任意一种方式联网后可实现网络通讯，显示屏上显示联网状态：具备远程传输数据，显示设备运行状况、维保记录、实时水温，远程一键式开关机、锁机、远程设置设备工作参数、开关机时间、过滤自冲洗、监控水位、监控原水TDS值、净水TDS值，累计流量，滤芯更换提醒、实时推送设备故障提醒；提供具有CMA或CNAS标识的检验检测报告体现,加盖投标人公章。</w:t>
            </w:r>
          </w:p>
          <w:p w14:paraId="1D5AD435">
            <w:pPr>
              <w:spacing w:line="400" w:lineRule="exact"/>
              <w:rPr>
                <w:rFonts w:hint="eastAsia" w:ascii="宋体" w:hAnsi="宋体" w:eastAsia="宋体" w:cs="宋体"/>
                <w:szCs w:val="21"/>
              </w:rPr>
            </w:pPr>
            <w:r>
              <w:rPr>
                <w:rFonts w:hint="eastAsia" w:ascii="宋体" w:hAnsi="宋体" w:eastAsia="宋体" w:cs="宋体"/>
                <w:szCs w:val="21"/>
              </w:rPr>
              <w:t>8.核心涉水部件：发热管、加热内胆组件、龙头、热交换器、波纹管、滤壳；应符合(GB/T 5750-2023)《生活饮用水标准检验方法》，《生活饮用水输配水设备及防护材料卫生安全评价规范》(2001)检测标准，提供具有CMA或CNAS标识的检验检测报告体现,加盖投标人公章。</w:t>
            </w:r>
          </w:p>
          <w:p w14:paraId="3D63B392">
            <w:pPr>
              <w:spacing w:line="400" w:lineRule="exact"/>
              <w:rPr>
                <w:rFonts w:hint="eastAsia" w:ascii="宋体" w:hAnsi="宋体" w:eastAsia="宋体" w:cs="宋体"/>
                <w:szCs w:val="21"/>
              </w:rPr>
            </w:pPr>
            <w:r>
              <w:rPr>
                <w:rFonts w:hint="eastAsia" w:ascii="宋体" w:hAnsi="宋体" w:eastAsia="宋体" w:cs="宋体"/>
                <w:szCs w:val="21"/>
              </w:rPr>
              <w:t>9.产品箱体金属防腐蚀符合GB/T 10125-2021《人造气氛腐蚀试验 盐雾试验》标准，试验周期≥720h。</w:t>
            </w:r>
          </w:p>
          <w:p w14:paraId="5825BA90">
            <w:pPr>
              <w:spacing w:line="400" w:lineRule="exact"/>
              <w:rPr>
                <w:rFonts w:hint="eastAsia" w:ascii="宋体" w:hAnsi="宋体" w:eastAsia="宋体" w:cs="宋体"/>
                <w:szCs w:val="21"/>
              </w:rPr>
            </w:pPr>
            <w:r>
              <w:rPr>
                <w:rFonts w:hint="eastAsia" w:ascii="宋体" w:hAnsi="宋体" w:eastAsia="宋体" w:cs="宋体"/>
                <w:szCs w:val="21"/>
              </w:rPr>
              <w:t>10.整机符合GB/T 26572-2011《电子电气产品中限用物质的限量要求》及GB/T39560.301-2020、GB/T 39560.2-2020、GB/T39560.5-2021、GB/T39560.6-2020、GB/T39560.701-2020、GB/T39560.702-2021关于电子电气产品中物质的测定系列标准的要求；提供具有CMA或CNAS标识的检验检测报告体现,加盖投标人公章。</w:t>
            </w:r>
          </w:p>
          <w:p w14:paraId="4F313D52">
            <w:pPr>
              <w:widowControl/>
              <w:jc w:val="left"/>
              <w:textAlignment w:val="center"/>
              <w:rPr>
                <w:rFonts w:ascii="宋体" w:hAnsi="宋体" w:eastAsia="宋体" w:cs="宋体"/>
                <w:szCs w:val="21"/>
              </w:rPr>
            </w:pPr>
            <w:r>
              <w:rPr>
                <w:rFonts w:hint="eastAsia" w:ascii="宋体" w:hAnsi="宋体" w:eastAsia="宋体" w:cs="宋体"/>
                <w:szCs w:val="21"/>
              </w:rPr>
              <w:t>11</w:t>
            </w:r>
            <w:r>
              <w:rPr>
                <w:rFonts w:hint="eastAsia" w:ascii="宋体" w:hAnsi="宋体" w:eastAsia="宋体" w:cs="宋体"/>
                <w:szCs w:val="21"/>
                <w:lang w:eastAsia="zh-CN"/>
              </w:rPr>
              <w:t>、</w:t>
            </w:r>
            <w:r>
              <w:rPr>
                <w:rFonts w:hint="eastAsia" w:ascii="宋体" w:hAnsi="宋体" w:eastAsia="宋体" w:cs="宋体"/>
                <w:szCs w:val="21"/>
              </w:rPr>
              <w:t>主机液晶屏中文显示，显示包含：网络信号、时间、日期、星期等便利性数据；同时具备每一级滤芯寿命独立提醒、文字提醒滤芯更换提示、开水实时温度、加热温度显示、故障代码、服务时间天数、净水TDS；提供具有CMA或CNAS标识的检验检测报告体现,加盖投标人公章。</w:t>
            </w:r>
          </w:p>
        </w:tc>
        <w:tc>
          <w:tcPr>
            <w:tcW w:w="0" w:type="auto"/>
            <w:noWrap w:val="0"/>
            <w:vAlign w:val="center"/>
          </w:tcPr>
          <w:p w14:paraId="22DF04E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0" w:type="auto"/>
            <w:noWrap/>
            <w:vAlign w:val="center"/>
          </w:tcPr>
          <w:p w14:paraId="2CE32EAD">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r>
      <w:tr w14:paraId="5E2A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noWrap/>
            <w:vAlign w:val="center"/>
          </w:tcPr>
          <w:p w14:paraId="15DE504C">
            <w:pPr>
              <w:rPr>
                <w:rFonts w:ascii="宋体" w:hAnsi="宋体" w:eastAsia="宋体" w:cs="宋体"/>
                <w:color w:val="000000"/>
                <w:szCs w:val="21"/>
              </w:rPr>
            </w:pPr>
            <w:r>
              <w:rPr>
                <w:rFonts w:hint="eastAsia" w:ascii="宋体" w:hAnsi="宋体" w:eastAsia="宋体" w:cs="宋体"/>
                <w:color w:val="000000"/>
                <w:szCs w:val="21"/>
              </w:rPr>
              <w:t>5</w:t>
            </w:r>
          </w:p>
        </w:tc>
        <w:tc>
          <w:tcPr>
            <w:tcW w:w="515" w:type="dxa"/>
            <w:noWrap w:val="0"/>
            <w:vAlign w:val="center"/>
          </w:tcPr>
          <w:p w14:paraId="6E699F1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水控机</w:t>
            </w:r>
          </w:p>
        </w:tc>
        <w:tc>
          <w:tcPr>
            <w:tcW w:w="6489" w:type="dxa"/>
            <w:noWrap w:val="0"/>
            <w:vAlign w:val="center"/>
          </w:tcPr>
          <w:p w14:paraId="618F1208">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color w:val="000000"/>
                <w:szCs w:val="21"/>
              </w:rPr>
              <w:t>类型：节水控制器</w:t>
            </w:r>
          </w:p>
          <w:p w14:paraId="53C2B898">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电源12V，功率</w:t>
            </w:r>
            <w:r>
              <w:rPr>
                <w:rFonts w:hint="eastAsia" w:ascii="宋体" w:hAnsi="宋体" w:eastAsia="宋体" w:cs="宋体"/>
                <w:szCs w:val="21"/>
              </w:rPr>
              <w:t>≤</w:t>
            </w:r>
            <w:r>
              <w:rPr>
                <w:rFonts w:hint="eastAsia" w:ascii="宋体" w:hAnsi="宋体" w:eastAsia="宋体" w:cs="宋体"/>
                <w:color w:val="000000"/>
                <w:kern w:val="0"/>
                <w:szCs w:val="21"/>
              </w:rPr>
              <w:t>6W。</w:t>
            </w:r>
          </w:p>
          <w:p w14:paraId="171AA3E2">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color w:val="000000"/>
                <w:kern w:val="0"/>
                <w:szCs w:val="21"/>
              </w:rPr>
              <w:t>结构形式：分体控制器+流量计电磁阀。</w:t>
            </w:r>
          </w:p>
          <w:p w14:paraId="271F389D">
            <w:pPr>
              <w:widowControl/>
              <w:numPr>
                <w:ilvl w:val="0"/>
                <w:numId w:val="5"/>
              </w:numPr>
              <w:jc w:val="left"/>
              <w:textAlignment w:val="center"/>
              <w:rPr>
                <w:rFonts w:ascii="宋体" w:hAnsi="宋体" w:eastAsia="宋体" w:cs="宋体"/>
                <w:color w:val="000000"/>
                <w:kern w:val="0"/>
                <w:szCs w:val="21"/>
              </w:rPr>
            </w:pPr>
            <w:r>
              <w:rPr>
                <w:rFonts w:hint="eastAsia" w:ascii="宋体" w:hAnsi="宋体" w:eastAsia="宋体" w:cs="宋体"/>
                <w:szCs w:val="21"/>
              </w:rPr>
              <w:t>使用形式：扫码、刷卡。</w:t>
            </w:r>
          </w:p>
          <w:p w14:paraId="715B1297">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具有计量器具型式批准证书；提供</w:t>
            </w:r>
            <w:r>
              <w:rPr>
                <w:rFonts w:hint="eastAsia" w:ascii="宋体" w:hAnsi="宋体" w:eastAsia="宋体" w:cs="宋体"/>
                <w:color w:val="000000"/>
                <w:szCs w:val="21"/>
              </w:rPr>
              <w:t>行政部门出具的批准证书</w:t>
            </w:r>
            <w:r>
              <w:rPr>
                <w:rFonts w:hint="eastAsia" w:ascii="宋体" w:hAnsi="宋体" w:eastAsia="宋体" w:cs="宋体"/>
                <w:szCs w:val="21"/>
              </w:rPr>
              <w:t>,加盖投标人公章</w:t>
            </w:r>
            <w:r>
              <w:rPr>
                <w:rFonts w:hint="eastAsia" w:ascii="宋体" w:hAnsi="宋体" w:eastAsia="宋体" w:cs="宋体"/>
                <w:color w:val="000000"/>
                <w:kern w:val="0"/>
                <w:szCs w:val="21"/>
              </w:rPr>
              <w:t>。</w:t>
            </w:r>
          </w:p>
          <w:p w14:paraId="37C3598D">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color w:val="000000"/>
                <w:szCs w:val="21"/>
              </w:rPr>
              <w:t>消费方式</w:t>
            </w:r>
            <w:r>
              <w:rPr>
                <w:rFonts w:hint="eastAsia" w:ascii="宋体" w:hAnsi="宋体" w:eastAsia="宋体" w:cs="宋体"/>
                <w:color w:val="000000"/>
                <w:kern w:val="0"/>
                <w:szCs w:val="21"/>
              </w:rPr>
              <w:t>：刷卡、扫码；</w:t>
            </w:r>
            <w:r>
              <w:rPr>
                <w:rFonts w:hint="eastAsia" w:ascii="宋体" w:hAnsi="宋体" w:eastAsia="宋体" w:cs="宋体"/>
                <w:szCs w:val="21"/>
              </w:rPr>
              <w:t>提供具有CMA或CNAS标识的检验检测报告体现,加盖投标人公章。</w:t>
            </w:r>
          </w:p>
          <w:p w14:paraId="1422B56F">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color w:val="000000"/>
                <w:szCs w:val="21"/>
              </w:rPr>
              <w:t>TFT彩屏或多功能低功耗点阵</w:t>
            </w:r>
            <w:r>
              <w:rPr>
                <w:rFonts w:hint="eastAsia" w:ascii="宋体" w:hAnsi="宋体" w:eastAsia="宋体" w:cs="宋体"/>
                <w:color w:val="000000"/>
                <w:kern w:val="0"/>
                <w:szCs w:val="21"/>
              </w:rPr>
              <w:t>液晶屏；</w:t>
            </w:r>
            <w:r>
              <w:rPr>
                <w:rFonts w:hint="eastAsia" w:ascii="宋体" w:hAnsi="宋体" w:eastAsia="宋体" w:cs="宋体"/>
                <w:szCs w:val="21"/>
              </w:rPr>
              <w:t>提供具有CMA或CNAS标识的检验检测报告体现,加盖投标人公章。</w:t>
            </w:r>
          </w:p>
          <w:p w14:paraId="692248D5">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color w:val="000000"/>
                <w:kern w:val="0"/>
                <w:szCs w:val="21"/>
              </w:rPr>
              <w:t>计费精度：0.001元，计量精度：2.0级。</w:t>
            </w:r>
            <w:r>
              <w:rPr>
                <w:rFonts w:hint="eastAsia" w:ascii="宋体" w:hAnsi="宋体" w:eastAsia="宋体" w:cs="宋体"/>
                <w:szCs w:val="21"/>
              </w:rPr>
              <w:t>提供具有CMA或CNAS标识的检验检测报告体现,加盖投标人公章。</w:t>
            </w:r>
          </w:p>
          <w:p w14:paraId="1948C8E7">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color w:val="000000"/>
                <w:kern w:val="0"/>
                <w:szCs w:val="21"/>
              </w:rPr>
              <w:t>通讯方式：4G、5G、蓝牙、485、TCP/IP、lora无线通讯、CAN通讯；</w:t>
            </w:r>
            <w:r>
              <w:rPr>
                <w:rFonts w:hint="eastAsia" w:ascii="宋体" w:hAnsi="宋体" w:eastAsia="宋体" w:cs="宋体"/>
                <w:szCs w:val="21"/>
              </w:rPr>
              <w:t>提供具有CMA或CNAS标识的检验检测报告体现,加盖投标人公章。</w:t>
            </w:r>
          </w:p>
          <w:p w14:paraId="1D3BB0F5">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可显示动态二维码、设备编号、温度、水量、单价、余额、消费额、用时、流量计采集脉冲数、阀门状态、中文故障等；</w:t>
            </w:r>
            <w:r>
              <w:rPr>
                <w:rFonts w:hint="eastAsia" w:ascii="宋体" w:hAnsi="宋体" w:eastAsia="宋体" w:cs="宋体"/>
                <w:szCs w:val="21"/>
              </w:rPr>
              <w:t>提供具有CMA或CNAS标识的检验检测报告体现,加盖投标人公章。</w:t>
            </w:r>
          </w:p>
          <w:p w14:paraId="129A08C1">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szCs w:val="21"/>
              </w:rPr>
              <w:t>为保证所投水控机后期使用稳定，制造商信息系统建设和服务能力须最低达到初始级；提供第三方技术认定机构或行政部门出具的证明文件体现,加盖投标人公章。</w:t>
            </w:r>
          </w:p>
          <w:p w14:paraId="34B70289">
            <w:pPr>
              <w:widowControl/>
              <w:numPr>
                <w:ilvl w:val="0"/>
                <w:numId w:val="5"/>
              </w:numPr>
              <w:jc w:val="left"/>
              <w:textAlignment w:val="center"/>
              <w:rPr>
                <w:rFonts w:ascii="宋体" w:hAnsi="宋体" w:eastAsia="宋体" w:cs="宋体"/>
                <w:color w:val="000000"/>
                <w:szCs w:val="21"/>
              </w:rPr>
            </w:pPr>
            <w:r>
              <w:rPr>
                <w:rFonts w:hint="eastAsia" w:ascii="宋体" w:hAnsi="宋体" w:eastAsia="宋体" w:cs="宋体"/>
                <w:color w:val="000000"/>
                <w:szCs w:val="21"/>
              </w:rPr>
              <w:t>其他功能：</w:t>
            </w:r>
          </w:p>
          <w:p w14:paraId="110A485E">
            <w:pPr>
              <w:widowControl/>
              <w:numPr>
                <w:ilvl w:val="0"/>
                <w:numId w:val="6"/>
              </w:numPr>
              <w:jc w:val="left"/>
              <w:textAlignment w:val="center"/>
              <w:rPr>
                <w:rFonts w:ascii="宋体" w:hAnsi="宋体" w:eastAsia="宋体" w:cs="宋体"/>
                <w:color w:val="000000"/>
                <w:szCs w:val="21"/>
              </w:rPr>
            </w:pPr>
            <w:r>
              <w:rPr>
                <w:rFonts w:hint="eastAsia" w:ascii="宋体" w:hAnsi="宋体" w:eastAsia="宋体" w:cs="宋体"/>
                <w:color w:val="000000"/>
                <w:szCs w:val="21"/>
              </w:rPr>
              <w:t>消费模式：预付、直付、先用后付；</w:t>
            </w:r>
            <w:r>
              <w:rPr>
                <w:rFonts w:hint="eastAsia" w:ascii="宋体" w:hAnsi="宋体" w:eastAsia="宋体" w:cs="宋体"/>
                <w:szCs w:val="21"/>
              </w:rPr>
              <w:t>提供具有CMA或CNAS标识的检验检测报告体现,加盖投标人公章。</w:t>
            </w:r>
          </w:p>
          <w:p w14:paraId="49DC89C5">
            <w:pPr>
              <w:widowControl/>
              <w:numPr>
                <w:ilvl w:val="0"/>
                <w:numId w:val="6"/>
              </w:numPr>
              <w:jc w:val="left"/>
              <w:textAlignment w:val="center"/>
              <w:rPr>
                <w:rFonts w:ascii="宋体" w:hAnsi="宋体" w:eastAsia="宋体" w:cs="宋体"/>
                <w:color w:val="000000"/>
                <w:szCs w:val="21"/>
              </w:rPr>
            </w:pPr>
            <w:r>
              <w:rPr>
                <w:rFonts w:hint="eastAsia" w:ascii="宋体" w:hAnsi="宋体" w:eastAsia="宋体" w:cs="宋体"/>
                <w:color w:val="000000"/>
                <w:szCs w:val="21"/>
              </w:rPr>
              <w:t>免费用量：特定客户可以免费使用设备并上传使用记录；</w:t>
            </w:r>
            <w:r>
              <w:rPr>
                <w:rFonts w:hint="eastAsia" w:ascii="宋体" w:hAnsi="宋体" w:eastAsia="宋体" w:cs="宋体"/>
                <w:szCs w:val="21"/>
              </w:rPr>
              <w:t>提供具有CMA或CNAS标识的检验检测报告体现,加盖投标人公章。</w:t>
            </w:r>
          </w:p>
          <w:p w14:paraId="7223FD36">
            <w:pPr>
              <w:widowControl/>
              <w:numPr>
                <w:ilvl w:val="0"/>
                <w:numId w:val="6"/>
              </w:numPr>
              <w:jc w:val="left"/>
              <w:textAlignment w:val="center"/>
              <w:rPr>
                <w:rFonts w:ascii="宋体" w:hAnsi="宋体" w:eastAsia="宋体" w:cs="宋体"/>
                <w:color w:val="000000"/>
                <w:szCs w:val="21"/>
              </w:rPr>
            </w:pPr>
            <w:r>
              <w:rPr>
                <w:rFonts w:hint="eastAsia" w:ascii="宋体" w:hAnsi="宋体" w:eastAsia="宋体" w:cs="宋体"/>
                <w:color w:val="000000"/>
                <w:szCs w:val="21"/>
              </w:rPr>
              <w:t>节能模式：屏幕可自动定时调节亮度或待机自动变暗，工作自动调亮；</w:t>
            </w:r>
            <w:r>
              <w:rPr>
                <w:rFonts w:hint="eastAsia" w:ascii="宋体" w:hAnsi="宋体" w:eastAsia="宋体" w:cs="宋体"/>
                <w:szCs w:val="21"/>
              </w:rPr>
              <w:t>提供具有CMA或CNAS标识的检验检测报告体现,加盖投标人公章。</w:t>
            </w:r>
          </w:p>
          <w:p w14:paraId="35045B0F">
            <w:pPr>
              <w:widowControl/>
              <w:numPr>
                <w:ilvl w:val="0"/>
                <w:numId w:val="6"/>
              </w:numPr>
              <w:jc w:val="left"/>
              <w:textAlignment w:val="center"/>
              <w:rPr>
                <w:rFonts w:ascii="宋体" w:hAnsi="宋体" w:eastAsia="宋体" w:cs="宋体"/>
                <w:color w:val="000000"/>
                <w:szCs w:val="21"/>
              </w:rPr>
            </w:pPr>
            <w:r>
              <w:rPr>
                <w:rFonts w:hint="eastAsia" w:ascii="宋体" w:hAnsi="宋体" w:eastAsia="宋体" w:cs="宋体"/>
                <w:color w:val="000000"/>
                <w:szCs w:val="21"/>
              </w:rPr>
              <w:t>电磁阀：功耗低、故障率低、可开关次数不低于30万次，掉电关闭；</w:t>
            </w:r>
            <w:r>
              <w:rPr>
                <w:rFonts w:hint="eastAsia" w:ascii="宋体" w:hAnsi="宋体" w:eastAsia="宋体" w:cs="宋体"/>
                <w:szCs w:val="21"/>
              </w:rPr>
              <w:t>提供具有CMA或CNAS标识的检验检测报告体现,加盖投标人公章。</w:t>
            </w:r>
          </w:p>
          <w:p w14:paraId="168D251F">
            <w:pPr>
              <w:widowControl/>
              <w:numPr>
                <w:ilvl w:val="0"/>
                <w:numId w:val="6"/>
              </w:numPr>
              <w:jc w:val="left"/>
              <w:textAlignment w:val="center"/>
              <w:rPr>
                <w:rFonts w:ascii="宋体" w:hAnsi="宋体" w:eastAsia="宋体" w:cs="宋体"/>
                <w:color w:val="000000"/>
                <w:szCs w:val="21"/>
              </w:rPr>
            </w:pPr>
            <w:r>
              <w:rPr>
                <w:rFonts w:hint="eastAsia" w:ascii="宋体" w:hAnsi="宋体" w:eastAsia="宋体" w:cs="宋体"/>
                <w:color w:val="000000"/>
                <w:szCs w:val="21"/>
              </w:rPr>
              <w:t>流量计故障报警关闭阀门停止出水并锁定设备；</w:t>
            </w:r>
            <w:r>
              <w:rPr>
                <w:rFonts w:hint="eastAsia" w:ascii="宋体" w:hAnsi="宋体" w:eastAsia="宋体" w:cs="宋体"/>
                <w:szCs w:val="21"/>
              </w:rPr>
              <w:t>提供具有CMA或CNAS标识的检验检测报告体现,加盖投标人公章。</w:t>
            </w:r>
          </w:p>
          <w:p w14:paraId="36288D85">
            <w:pPr>
              <w:widowControl/>
              <w:numPr>
                <w:ilvl w:val="0"/>
                <w:numId w:val="6"/>
              </w:numPr>
              <w:jc w:val="left"/>
              <w:textAlignment w:val="center"/>
              <w:rPr>
                <w:rFonts w:ascii="宋体" w:hAnsi="宋体" w:eastAsia="宋体" w:cs="宋体"/>
                <w:color w:val="000000"/>
                <w:szCs w:val="21"/>
              </w:rPr>
            </w:pPr>
            <w:r>
              <w:rPr>
                <w:rFonts w:hint="eastAsia" w:ascii="宋体" w:hAnsi="宋体" w:eastAsia="宋体" w:cs="宋体"/>
                <w:color w:val="000000"/>
                <w:szCs w:val="21"/>
              </w:rPr>
              <w:t>通讯保护：自动根据信号切换移动、电信、联通运营商及蓝牙连接；</w:t>
            </w:r>
            <w:r>
              <w:rPr>
                <w:rFonts w:hint="eastAsia" w:ascii="宋体" w:hAnsi="宋体" w:eastAsia="宋体" w:cs="宋体"/>
                <w:szCs w:val="21"/>
              </w:rPr>
              <w:t>提供具有CMA或CNAS标识的检验检测报告体现,加盖投标人公章。</w:t>
            </w:r>
          </w:p>
          <w:p w14:paraId="241DD3CB">
            <w:pPr>
              <w:widowControl/>
              <w:numPr>
                <w:ilvl w:val="0"/>
                <w:numId w:val="6"/>
              </w:numPr>
              <w:jc w:val="left"/>
              <w:textAlignment w:val="center"/>
              <w:rPr>
                <w:rFonts w:ascii="宋体" w:hAnsi="宋体" w:eastAsia="宋体" w:cs="宋体"/>
                <w:color w:val="FF0000"/>
                <w:szCs w:val="21"/>
              </w:rPr>
            </w:pPr>
            <w:r>
              <w:rPr>
                <w:rFonts w:hint="eastAsia" w:ascii="宋体" w:hAnsi="宋体" w:eastAsia="宋体" w:cs="宋体"/>
                <w:szCs w:val="21"/>
              </w:rPr>
              <w:t>数据保护：断电、掉网数据自动备份存储、存储时效可达十年；恢复后数据自动上传存储；提供具有CMA或CNAS标识的检验检测报告体现,加盖投标人公章。</w:t>
            </w:r>
          </w:p>
          <w:p w14:paraId="38E6D682">
            <w:pPr>
              <w:widowControl/>
              <w:numPr>
                <w:ilvl w:val="0"/>
                <w:numId w:val="6"/>
              </w:numPr>
              <w:jc w:val="left"/>
              <w:textAlignment w:val="center"/>
              <w:rPr>
                <w:rFonts w:ascii="宋体" w:hAnsi="宋体" w:eastAsia="宋体" w:cs="宋体"/>
                <w:color w:val="000000"/>
                <w:szCs w:val="21"/>
              </w:rPr>
            </w:pPr>
            <w:r>
              <w:rPr>
                <w:rFonts w:hint="eastAsia" w:ascii="宋体" w:hAnsi="宋体" w:eastAsia="宋体" w:cs="宋体"/>
                <w:color w:val="000000"/>
                <w:szCs w:val="21"/>
              </w:rPr>
              <w:t>水控机具有防拆卸或防盗功能，遭外力破坏打开外壳或进水口活接被非常规拆卸后，水控机会自动停止或关闭电磁阀，并通过手机端、电脑端等方式通知管理人员；</w:t>
            </w:r>
            <w:r>
              <w:rPr>
                <w:rFonts w:hint="eastAsia" w:ascii="宋体" w:hAnsi="宋体" w:eastAsia="宋体" w:cs="宋体"/>
                <w:szCs w:val="21"/>
              </w:rPr>
              <w:t>提供具有CMA或CNAS标识的检验检测报告体现,加盖投标人公章。</w:t>
            </w:r>
          </w:p>
          <w:p w14:paraId="65A28E2A">
            <w:pPr>
              <w:widowControl/>
              <w:numPr>
                <w:ilvl w:val="0"/>
                <w:numId w:val="6"/>
              </w:numPr>
              <w:jc w:val="left"/>
              <w:textAlignment w:val="center"/>
              <w:rPr>
                <w:rFonts w:ascii="宋体" w:hAnsi="宋体" w:eastAsia="宋体" w:cs="宋体"/>
                <w:color w:val="000000"/>
                <w:szCs w:val="21"/>
              </w:rPr>
            </w:pPr>
            <w:r>
              <w:rPr>
                <w:rFonts w:hint="eastAsia" w:ascii="宋体" w:hAnsi="宋体" w:eastAsia="宋体" w:cs="宋体"/>
                <w:color w:val="000000"/>
                <w:szCs w:val="21"/>
              </w:rPr>
              <w:t>脱机消费功能：水控机可以满足当系统处于升级、宕机或外部运营商断网的情况下，具备可记录脱机消费数据，恢复后自动进行扣费功能；</w:t>
            </w:r>
            <w:r>
              <w:rPr>
                <w:rFonts w:hint="eastAsia" w:ascii="宋体" w:hAnsi="宋体" w:eastAsia="宋体" w:cs="宋体"/>
                <w:szCs w:val="21"/>
              </w:rPr>
              <w:t>提供具有CMA或CNAS标识的检验检测报告体现,加盖投标人公章。</w:t>
            </w:r>
          </w:p>
          <w:p w14:paraId="134F6EDE">
            <w:pPr>
              <w:widowControl/>
              <w:numPr>
                <w:ilvl w:val="0"/>
                <w:numId w:val="5"/>
              </w:numPr>
              <w:jc w:val="left"/>
              <w:textAlignment w:val="center"/>
              <w:rPr>
                <w:rFonts w:ascii="宋体" w:hAnsi="宋体" w:eastAsia="宋体" w:cs="宋体"/>
                <w:kern w:val="0"/>
                <w:szCs w:val="21"/>
              </w:rPr>
            </w:pPr>
            <w:r>
              <w:rPr>
                <w:rFonts w:hint="eastAsia" w:ascii="宋体" w:hAnsi="宋体" w:eastAsia="宋体" w:cs="宋体"/>
                <w:kern w:val="0"/>
                <w:szCs w:val="21"/>
              </w:rPr>
              <w:t>阻燃试验：通过5V级阻燃试验，脉冲电压测试瞬时过电压6000V每极性试压3次无闪络或击穿；</w:t>
            </w:r>
            <w:r>
              <w:rPr>
                <w:rFonts w:hint="eastAsia" w:ascii="宋体" w:hAnsi="宋体" w:eastAsia="宋体" w:cs="宋体"/>
                <w:szCs w:val="21"/>
              </w:rPr>
              <w:t>提供具有CMA或CNAS标识的检验检测报告体现,加盖投标人公章。</w:t>
            </w:r>
          </w:p>
        </w:tc>
        <w:tc>
          <w:tcPr>
            <w:tcW w:w="0" w:type="auto"/>
            <w:noWrap w:val="0"/>
            <w:vAlign w:val="center"/>
          </w:tcPr>
          <w:p w14:paraId="41657D3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0" w:type="auto"/>
            <w:noWrap/>
            <w:vAlign w:val="center"/>
          </w:tcPr>
          <w:p w14:paraId="22CD4D9C">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190</w:t>
            </w:r>
          </w:p>
        </w:tc>
      </w:tr>
      <w:tr w14:paraId="5C68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0" w:type="auto"/>
            <w:noWrap/>
            <w:vAlign w:val="center"/>
          </w:tcPr>
          <w:p w14:paraId="7E502E4D">
            <w:pPr>
              <w:jc w:val="center"/>
              <w:rPr>
                <w:rFonts w:ascii="宋体" w:hAnsi="宋体" w:eastAsia="宋体" w:cs="宋体"/>
                <w:color w:val="000000"/>
                <w:szCs w:val="21"/>
              </w:rPr>
            </w:pPr>
            <w:r>
              <w:rPr>
                <w:rFonts w:hint="eastAsia" w:ascii="宋体" w:hAnsi="宋体" w:eastAsia="宋体" w:cs="宋体"/>
                <w:color w:val="000000"/>
                <w:szCs w:val="21"/>
              </w:rPr>
              <w:t>6</w:t>
            </w:r>
          </w:p>
        </w:tc>
        <w:tc>
          <w:tcPr>
            <w:tcW w:w="515" w:type="dxa"/>
            <w:noWrap w:val="0"/>
            <w:vAlign w:val="center"/>
          </w:tcPr>
          <w:p w14:paraId="130B58B5">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水控</w:t>
            </w:r>
          </w:p>
          <w:p w14:paraId="7E3D636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管理平台</w:t>
            </w:r>
          </w:p>
        </w:tc>
        <w:tc>
          <w:tcPr>
            <w:tcW w:w="6489" w:type="dxa"/>
            <w:noWrap w:val="0"/>
            <w:vAlign w:val="top"/>
          </w:tcPr>
          <w:p w14:paraId="67FC65D2">
            <w:pPr>
              <w:widowControl/>
              <w:numPr>
                <w:ilvl w:val="0"/>
                <w:numId w:val="7"/>
              </w:numPr>
              <w:jc w:val="left"/>
              <w:textAlignment w:val="top"/>
              <w:rPr>
                <w:rFonts w:ascii="宋体" w:hAnsi="宋体" w:eastAsia="宋体" w:cs="宋体"/>
                <w:szCs w:val="21"/>
              </w:rPr>
            </w:pPr>
            <w:r>
              <w:rPr>
                <w:rFonts w:hint="eastAsia" w:ascii="宋体" w:hAnsi="宋体" w:eastAsia="宋体" w:cs="宋体"/>
                <w:color w:val="000000"/>
                <w:kern w:val="0"/>
                <w:szCs w:val="21"/>
              </w:rPr>
              <w:t>功能：水控管理系统具有信息录入、开户、充值、挂失、补卡、信息查看、报表查看等功能。</w:t>
            </w:r>
          </w:p>
          <w:p w14:paraId="01624AC6">
            <w:pPr>
              <w:widowControl/>
              <w:numPr>
                <w:ilvl w:val="0"/>
                <w:numId w:val="7"/>
              </w:numPr>
              <w:jc w:val="left"/>
              <w:textAlignment w:val="top"/>
              <w:rPr>
                <w:rFonts w:ascii="宋体" w:hAnsi="宋体" w:eastAsia="宋体" w:cs="宋体"/>
                <w:szCs w:val="21"/>
              </w:rPr>
            </w:pPr>
            <w:r>
              <w:rPr>
                <w:rFonts w:hint="eastAsia" w:ascii="宋体" w:hAnsi="宋体" w:eastAsia="宋体" w:cs="宋体"/>
                <w:szCs w:val="21"/>
              </w:rPr>
              <w:t>平台可以下发紧急通知或迎新活动通知到每台终端设备上，中文显示。</w:t>
            </w:r>
          </w:p>
          <w:p w14:paraId="0DD71566">
            <w:pPr>
              <w:widowControl/>
              <w:numPr>
                <w:ilvl w:val="0"/>
                <w:numId w:val="7"/>
              </w:numPr>
              <w:jc w:val="left"/>
              <w:textAlignment w:val="top"/>
              <w:rPr>
                <w:rFonts w:ascii="宋体" w:hAnsi="宋体" w:eastAsia="宋体" w:cs="宋体"/>
                <w:szCs w:val="21"/>
              </w:rPr>
            </w:pPr>
            <w:r>
              <w:rPr>
                <w:rFonts w:hint="eastAsia" w:ascii="宋体" w:hAnsi="宋体" w:eastAsia="宋体" w:cs="宋体"/>
                <w:color w:val="000000"/>
                <w:kern w:val="0"/>
                <w:szCs w:val="21"/>
              </w:rPr>
              <w:t>为了确保平台数据安全性，平台可以增加登录验证码验证需求，提高平台管理的安全性；可以设置平台登录的IP白名单，避免外部人员用其他电脑登录平台操作用户数据。</w:t>
            </w:r>
          </w:p>
          <w:p w14:paraId="02C174F5">
            <w:pPr>
              <w:widowControl/>
              <w:numPr>
                <w:ilvl w:val="0"/>
                <w:numId w:val="7"/>
              </w:numPr>
              <w:jc w:val="left"/>
              <w:textAlignment w:val="top"/>
              <w:rPr>
                <w:rFonts w:ascii="宋体" w:hAnsi="宋体" w:eastAsia="宋体" w:cs="宋体"/>
                <w:szCs w:val="21"/>
              </w:rPr>
            </w:pPr>
            <w:r>
              <w:rPr>
                <w:rFonts w:hint="eastAsia" w:ascii="宋体" w:hAnsi="宋体" w:eastAsia="宋体" w:cs="宋体"/>
                <w:szCs w:val="21"/>
              </w:rPr>
              <w:t>为保证平台信息安全性和后期使用稳定，</w:t>
            </w:r>
            <w:r>
              <w:rPr>
                <w:rFonts w:hint="eastAsia" w:ascii="宋体" w:hAnsi="宋体" w:eastAsia="宋体" w:cs="宋体"/>
                <w:color w:val="000000"/>
                <w:kern w:val="0"/>
                <w:szCs w:val="21"/>
              </w:rPr>
              <w:t>信息系统建设和服务能力</w:t>
            </w:r>
            <w:r>
              <w:rPr>
                <w:rFonts w:hint="eastAsia" w:ascii="宋体" w:hAnsi="宋体" w:eastAsia="宋体" w:cs="宋体"/>
                <w:szCs w:val="21"/>
              </w:rPr>
              <w:t>须最低达到初始</w:t>
            </w:r>
            <w:r>
              <w:rPr>
                <w:rFonts w:hint="eastAsia" w:ascii="宋体" w:hAnsi="宋体" w:eastAsia="宋体" w:cs="宋体"/>
                <w:color w:val="000000"/>
                <w:kern w:val="0"/>
                <w:szCs w:val="21"/>
              </w:rPr>
              <w:t>级；</w:t>
            </w:r>
            <w:r>
              <w:rPr>
                <w:rFonts w:hint="eastAsia" w:ascii="宋体" w:hAnsi="宋体" w:eastAsia="宋体" w:cs="宋体"/>
                <w:szCs w:val="21"/>
              </w:rPr>
              <w:t>提供第三方技术认定机构或行政部门出具的证明文件体现,加盖投标人公章。</w:t>
            </w:r>
          </w:p>
        </w:tc>
        <w:tc>
          <w:tcPr>
            <w:tcW w:w="0" w:type="auto"/>
            <w:noWrap w:val="0"/>
            <w:vAlign w:val="center"/>
          </w:tcPr>
          <w:p w14:paraId="764AADE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0" w:type="auto"/>
            <w:noWrap w:val="0"/>
            <w:vAlign w:val="center"/>
          </w:tcPr>
          <w:p w14:paraId="72F5B07D">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r>
      <w:tr w14:paraId="5F45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0" w:type="auto"/>
            <w:noWrap/>
            <w:vAlign w:val="center"/>
          </w:tcPr>
          <w:p w14:paraId="1ADAF077">
            <w:pPr>
              <w:jc w:val="center"/>
              <w:rPr>
                <w:rFonts w:ascii="宋体" w:hAnsi="宋体" w:eastAsia="宋体" w:cs="宋体"/>
                <w:color w:val="000000"/>
                <w:szCs w:val="21"/>
              </w:rPr>
            </w:pPr>
            <w:r>
              <w:rPr>
                <w:rFonts w:hint="eastAsia" w:ascii="宋体" w:hAnsi="宋体" w:eastAsia="宋体" w:cs="宋体"/>
                <w:color w:val="000000"/>
                <w:szCs w:val="21"/>
              </w:rPr>
              <w:t>7</w:t>
            </w:r>
          </w:p>
        </w:tc>
        <w:tc>
          <w:tcPr>
            <w:tcW w:w="515" w:type="dxa"/>
            <w:noWrap w:val="0"/>
            <w:vAlign w:val="center"/>
          </w:tcPr>
          <w:p w14:paraId="0D5281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卡片</w:t>
            </w:r>
          </w:p>
        </w:tc>
        <w:tc>
          <w:tcPr>
            <w:tcW w:w="6489" w:type="dxa"/>
            <w:noWrap w:val="0"/>
            <w:vAlign w:val="top"/>
          </w:tcPr>
          <w:p w14:paraId="7A5DD063">
            <w:pPr>
              <w:widowControl/>
              <w:numPr>
                <w:ilvl w:val="0"/>
                <w:numId w:val="8"/>
              </w:numPr>
              <w:jc w:val="left"/>
              <w:textAlignment w:val="top"/>
              <w:rPr>
                <w:rFonts w:ascii="宋体" w:hAnsi="宋体" w:eastAsia="宋体" w:cs="宋体"/>
                <w:szCs w:val="21"/>
              </w:rPr>
            </w:pPr>
            <w:r>
              <w:rPr>
                <w:rFonts w:hint="eastAsia" w:ascii="宋体" w:hAnsi="宋体" w:eastAsia="宋体" w:cs="宋体"/>
                <w:color w:val="000000"/>
                <w:kern w:val="0"/>
                <w:szCs w:val="21"/>
              </w:rPr>
              <w:t>类型：水控机卡片</w:t>
            </w:r>
            <w:r>
              <w:rPr>
                <w:rFonts w:hint="eastAsia" w:ascii="宋体" w:hAnsi="宋体" w:eastAsia="宋体" w:cs="宋体"/>
                <w:szCs w:val="21"/>
              </w:rPr>
              <w:t>。</w:t>
            </w:r>
          </w:p>
          <w:p w14:paraId="35D9CBDA">
            <w:pPr>
              <w:widowControl/>
              <w:numPr>
                <w:ilvl w:val="0"/>
                <w:numId w:val="8"/>
              </w:numPr>
              <w:jc w:val="left"/>
              <w:textAlignment w:val="top"/>
              <w:rPr>
                <w:rFonts w:ascii="宋体" w:hAnsi="宋体" w:eastAsia="宋体" w:cs="宋体"/>
                <w:szCs w:val="21"/>
              </w:rPr>
            </w:pPr>
            <w:r>
              <w:rPr>
                <w:rFonts w:hint="eastAsia" w:ascii="宋体" w:hAnsi="宋体" w:eastAsia="宋体" w:cs="宋体"/>
                <w:szCs w:val="21"/>
              </w:rPr>
              <w:t>要求：便于日常携带，满足水控机的使用需求。</w:t>
            </w:r>
          </w:p>
        </w:tc>
        <w:tc>
          <w:tcPr>
            <w:tcW w:w="0" w:type="auto"/>
            <w:noWrap w:val="0"/>
            <w:vAlign w:val="top"/>
          </w:tcPr>
          <w:p w14:paraId="53233F18">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rPr>
              <w:t>张</w:t>
            </w:r>
          </w:p>
        </w:tc>
        <w:tc>
          <w:tcPr>
            <w:tcW w:w="0" w:type="auto"/>
            <w:noWrap w:val="0"/>
            <w:vAlign w:val="top"/>
          </w:tcPr>
          <w:p w14:paraId="7865ED8E">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3000</w:t>
            </w:r>
          </w:p>
        </w:tc>
      </w:tr>
      <w:tr w14:paraId="7B49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ign w:val="center"/>
          </w:tcPr>
          <w:p w14:paraId="6B055F3E">
            <w:pPr>
              <w:jc w:val="center"/>
              <w:rPr>
                <w:rFonts w:ascii="宋体" w:hAnsi="宋体" w:eastAsia="宋体" w:cs="宋体"/>
                <w:color w:val="000000"/>
                <w:szCs w:val="21"/>
              </w:rPr>
            </w:pPr>
            <w:r>
              <w:rPr>
                <w:rFonts w:hint="eastAsia" w:ascii="宋体" w:hAnsi="宋体" w:eastAsia="宋体" w:cs="宋体"/>
                <w:color w:val="000000"/>
                <w:szCs w:val="21"/>
              </w:rPr>
              <w:t>8</w:t>
            </w:r>
          </w:p>
        </w:tc>
        <w:tc>
          <w:tcPr>
            <w:tcW w:w="515" w:type="dxa"/>
            <w:noWrap w:val="0"/>
            <w:vAlign w:val="center"/>
          </w:tcPr>
          <w:p w14:paraId="485997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管道</w:t>
            </w:r>
          </w:p>
        </w:tc>
        <w:tc>
          <w:tcPr>
            <w:tcW w:w="6489" w:type="dxa"/>
            <w:noWrap w:val="0"/>
            <w:vAlign w:val="center"/>
          </w:tcPr>
          <w:p w14:paraId="4E5FFA50">
            <w:pPr>
              <w:pStyle w:val="55"/>
              <w:widowControl/>
              <w:ind w:firstLine="0" w:firstLineChars="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1.规格≥PPR20管；壁厚：2.8±0.2mm（含打孔、切槽、施工等）。2.规格≥PVC50管；壁厚：2.0±0.2mm（含打孔、切槽、施工等）。</w:t>
            </w:r>
          </w:p>
        </w:tc>
        <w:tc>
          <w:tcPr>
            <w:tcW w:w="0" w:type="auto"/>
            <w:noWrap w:val="0"/>
            <w:vAlign w:val="center"/>
          </w:tcPr>
          <w:p w14:paraId="2792D19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批</w:t>
            </w:r>
          </w:p>
        </w:tc>
        <w:tc>
          <w:tcPr>
            <w:tcW w:w="0" w:type="auto"/>
            <w:noWrap/>
            <w:vAlign w:val="center"/>
          </w:tcPr>
          <w:p w14:paraId="6E4243DB">
            <w:pPr>
              <w:widowControl/>
              <w:jc w:val="right"/>
              <w:textAlignment w:val="center"/>
              <w:rPr>
                <w:rFonts w:ascii="宋体" w:hAnsi="宋体" w:eastAsia="宋体" w:cs="宋体"/>
                <w:color w:val="000000"/>
                <w:szCs w:val="21"/>
              </w:rPr>
            </w:pPr>
            <w:r>
              <w:rPr>
                <w:rFonts w:hint="eastAsia" w:ascii="宋体" w:hAnsi="宋体" w:eastAsia="宋体" w:cs="宋体"/>
                <w:color w:val="000000"/>
                <w:szCs w:val="21"/>
              </w:rPr>
              <w:t>1</w:t>
            </w:r>
          </w:p>
        </w:tc>
      </w:tr>
      <w:tr w14:paraId="444A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0" w:type="auto"/>
            <w:noWrap/>
            <w:vAlign w:val="center"/>
          </w:tcPr>
          <w:p w14:paraId="75DFB6A8">
            <w:pPr>
              <w:jc w:val="center"/>
              <w:rPr>
                <w:rFonts w:ascii="宋体" w:hAnsi="宋体" w:eastAsia="宋体" w:cs="宋体"/>
                <w:color w:val="000000"/>
                <w:szCs w:val="21"/>
              </w:rPr>
            </w:pPr>
            <w:r>
              <w:rPr>
                <w:rFonts w:hint="eastAsia" w:ascii="宋体" w:hAnsi="宋体" w:eastAsia="宋体" w:cs="宋体"/>
                <w:color w:val="000000"/>
                <w:szCs w:val="21"/>
              </w:rPr>
              <w:t>9</w:t>
            </w:r>
          </w:p>
        </w:tc>
        <w:tc>
          <w:tcPr>
            <w:tcW w:w="515" w:type="dxa"/>
            <w:noWrap w:val="0"/>
            <w:vAlign w:val="center"/>
          </w:tcPr>
          <w:p w14:paraId="2AB81264">
            <w:pPr>
              <w:jc w:val="center"/>
              <w:rPr>
                <w:rFonts w:ascii="宋体" w:hAnsi="宋体" w:eastAsia="宋体" w:cs="宋体"/>
                <w:color w:val="000000"/>
                <w:szCs w:val="21"/>
              </w:rPr>
            </w:pPr>
            <w:r>
              <w:rPr>
                <w:rFonts w:hint="eastAsia" w:ascii="宋体" w:hAnsi="宋体" w:eastAsia="宋体" w:cs="宋体"/>
                <w:color w:val="000000"/>
                <w:szCs w:val="21"/>
              </w:rPr>
              <w:t>电料</w:t>
            </w:r>
          </w:p>
        </w:tc>
        <w:tc>
          <w:tcPr>
            <w:tcW w:w="6489" w:type="dxa"/>
            <w:noWrap w:val="0"/>
            <w:vAlign w:val="center"/>
          </w:tcPr>
          <w:p w14:paraId="46969C8C">
            <w:pPr>
              <w:pStyle w:val="55"/>
              <w:widowControl/>
              <w:ind w:firstLine="0" w:firstLineChars="0"/>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1.规格≥2.5mm²国标铜线</w:t>
            </w:r>
            <w:r>
              <w:rPr>
                <w:rFonts w:hint="eastAsia" w:ascii="宋体" w:hAnsi="宋体" w:eastAsia="宋体" w:cs="宋体"/>
                <w:color w:val="000000"/>
                <w:szCs w:val="21"/>
              </w:rPr>
              <w:t>；2.</w:t>
            </w:r>
            <w:r>
              <w:rPr>
                <w:rFonts w:hint="eastAsia" w:ascii="宋体" w:hAnsi="宋体" w:eastAsia="宋体" w:cs="宋体"/>
                <w:color w:val="000000"/>
                <w:kern w:val="0"/>
                <w:szCs w:val="21"/>
              </w:rPr>
              <w:t>规格≥4mm²国标铜线。</w:t>
            </w:r>
          </w:p>
        </w:tc>
        <w:tc>
          <w:tcPr>
            <w:tcW w:w="0" w:type="auto"/>
            <w:noWrap w:val="0"/>
            <w:vAlign w:val="center"/>
          </w:tcPr>
          <w:p w14:paraId="06C83B3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批</w:t>
            </w:r>
          </w:p>
        </w:tc>
        <w:tc>
          <w:tcPr>
            <w:tcW w:w="0" w:type="auto"/>
            <w:noWrap/>
            <w:vAlign w:val="center"/>
          </w:tcPr>
          <w:p w14:paraId="054D79A5">
            <w:pPr>
              <w:widowControl/>
              <w:jc w:val="right"/>
              <w:textAlignment w:val="center"/>
              <w:rPr>
                <w:rFonts w:ascii="宋体" w:hAnsi="宋体" w:eastAsia="宋体" w:cs="宋体"/>
                <w:color w:val="000000"/>
                <w:szCs w:val="21"/>
              </w:rPr>
            </w:pPr>
            <w:r>
              <w:rPr>
                <w:rFonts w:hint="eastAsia" w:ascii="宋体" w:hAnsi="宋体" w:eastAsia="宋体" w:cs="宋体"/>
                <w:color w:val="000000"/>
                <w:szCs w:val="21"/>
              </w:rPr>
              <w:t>1</w:t>
            </w:r>
          </w:p>
        </w:tc>
      </w:tr>
    </w:tbl>
    <w:p w14:paraId="0C4C6E70">
      <w:pPr>
        <w:widowControl/>
        <w:shd w:val="clear" w:color="auto" w:fill="FFFFFF"/>
        <w:spacing w:line="560" w:lineRule="exact"/>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注：以上要求为最低要求，投标人不能低于此要求，否则为无效响应文件 。</w:t>
      </w:r>
    </w:p>
    <w:p w14:paraId="7E7B62D9">
      <w:pPr>
        <w:pStyle w:val="16"/>
        <w:spacing w:line="360" w:lineRule="auto"/>
        <w:ind w:firstLine="422"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（三）采购标的执行标准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：需执行的国家相关标准、规范。 </w:t>
      </w:r>
    </w:p>
    <w:p w14:paraId="50382290">
      <w:p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（四）服务标准、期限、效率等要求：</w:t>
      </w:r>
    </w:p>
    <w:p w14:paraId="62BEE7C8">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1、响应文件中须有详细完整的实施（技术）方案。</w:t>
      </w:r>
    </w:p>
    <w:p w14:paraId="39E5DA2E">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2、产品必须符合国家相关标准和本</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谈判</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文件规定标准。</w:t>
      </w:r>
    </w:p>
    <w:p w14:paraId="29EFDACA">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3、本项目为交钥匙工程，采购方不再承当费用。</w:t>
      </w:r>
    </w:p>
    <w:p w14:paraId="5D6FEDD4">
      <w:pPr>
        <w:numPr>
          <w:ilvl w:val="0"/>
          <w:numId w:val="9"/>
        </w:num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采购标的其他技术、服务等要求</w:t>
      </w:r>
    </w:p>
    <w:p w14:paraId="14860190">
      <w:pPr>
        <w:tabs>
          <w:tab w:val="left" w:pos="312"/>
        </w:tabs>
        <w:spacing w:after="120" w:line="360" w:lineRule="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    1.投标商须明确投标产品的厂家、品牌、型号</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及</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详细参数（序号</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7</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除外），否则为无效响应文件。</w:t>
      </w:r>
    </w:p>
    <w:p w14:paraId="070102BB">
      <w:pPr>
        <w:numPr>
          <w:ilvl w:val="0"/>
          <w:numId w:val="0"/>
        </w:numPr>
        <w:spacing w:after="120"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2.投标商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应就该项目完整投标（报价包括但不限于完成本项目材料费、人工费、管理费、维护费、保险费、利润、税费等所有费用），否则为无效</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响应文件</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p>
    <w:p w14:paraId="00B1086F">
      <w:pPr>
        <w:widowControl/>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3.所投产品要求质保三年，供应商接到通知后30分钟进行响应，</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小时到达，</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12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小时内处理问题，否则需提供备用机直至原设备修好为止。</w:t>
      </w:r>
    </w:p>
    <w:p w14:paraId="1BEA8D1A">
      <w:pPr>
        <w:pStyle w:val="68"/>
        <w:keepNext w:val="0"/>
        <w:keepLines w:val="0"/>
        <w:pageBreakBefore w:val="0"/>
        <w:kinsoku/>
        <w:wordWrap/>
        <w:overflowPunct/>
        <w:topLinePunct w:val="0"/>
        <w:autoSpaceDE/>
        <w:autoSpaceDN w:val="0"/>
        <w:bidi w:val="0"/>
        <w:adjustRightInd/>
        <w:snapToGrid w:val="0"/>
        <w:spacing w:line="480" w:lineRule="exact"/>
        <w:ind w:firstLine="420" w:firstLineChars="200"/>
        <w:textAlignment w:val="baseline"/>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投标</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应具有完善的的售后服务，免费负责设备的安装及调试，</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有履行合同所需的专业技术人员，提供具有电气安装所必须的技术能力证书，否则为无效响应。</w:t>
      </w:r>
    </w:p>
    <w:p w14:paraId="697BB3AC">
      <w:pPr>
        <w:widowControl/>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5</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中标商于中标后第三日上午09:00向禹州市教育体育局提供投标文件中所有资质原件。不符合或不能提供的，取消其中标资格并列入不良记录及信用中国。</w:t>
      </w: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en-US" w:eastAsia="zh-CN"/>
        </w:rPr>
        <w:t>ztbjyglzx</w:t>
      </w:r>
      <w:r>
        <w:rPr>
          <w:rStyle w:val="31"/>
          <w:rFonts w:hint="eastAsia" w:ascii="宋体" w:cs="宋体"/>
          <w:b/>
          <w:bCs/>
          <w:color w:val="auto"/>
          <w:sz w:val="24"/>
          <w:lang w:val="zh-CN"/>
        </w:rPr>
        <w:t>@163.com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4DEABFC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AD3898D">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1、项目质量按照国家相关标准、行业标准、地方标准或者其他标准、规范验收；</w:t>
      </w:r>
    </w:p>
    <w:p w14:paraId="4332D2AE">
      <w:pPr>
        <w:tabs>
          <w:tab w:val="left" w:pos="7095"/>
        </w:tabs>
        <w:spacing w:line="440" w:lineRule="exact"/>
        <w:ind w:firstLine="420" w:firstLineChars="200"/>
        <w:rPr>
          <w:rFonts w:hint="eastAsia" w:ascii="宋体" w:hAnsi="宋体" w:eastAsia="宋体"/>
          <w:szCs w:val="21"/>
          <w:lang w:eastAsia="zh-CN"/>
        </w:rPr>
      </w:pPr>
      <w:r>
        <w:rPr>
          <w:rFonts w:hint="eastAsia" w:ascii="宋体" w:hAnsi="宋体" w:eastAsia="宋体"/>
          <w:szCs w:val="21"/>
        </w:rPr>
        <w:t>2、按照招标文件要求、投标文件响应和承诺验收</w:t>
      </w:r>
      <w:r>
        <w:rPr>
          <w:rFonts w:hint="eastAsia" w:ascii="宋体" w:hAnsi="宋体" w:eastAsia="宋体"/>
          <w:szCs w:val="21"/>
          <w:lang w:eastAsia="zh-CN"/>
        </w:rPr>
        <w:t>。</w:t>
      </w:r>
    </w:p>
    <w:p w14:paraId="2C691AF6">
      <w:pPr>
        <w:tabs>
          <w:tab w:val="left" w:pos="7095"/>
        </w:tabs>
        <w:spacing w:line="440" w:lineRule="exact"/>
        <w:ind w:firstLine="420" w:firstLineChars="200"/>
        <w:rPr>
          <w:rFonts w:hint="default"/>
          <w:lang w:val="en-US" w:eastAsia="zh-CN"/>
        </w:rPr>
      </w:pPr>
      <w:r>
        <w:rPr>
          <w:rFonts w:hint="eastAsia" w:ascii="宋体" w:hAnsi="宋体" w:eastAsia="宋体"/>
          <w:szCs w:val="21"/>
          <w:lang w:val="en-US" w:eastAsia="zh-CN"/>
        </w:rPr>
        <w:t xml:space="preserve"> </w:t>
      </w:r>
      <w:r>
        <w:rPr>
          <w:rFonts w:hint="eastAsia" w:ascii="宋体" w:hAnsi="宋体" w:eastAsia="宋体"/>
          <w:szCs w:val="21"/>
        </w:rPr>
        <w:t>3.</w:t>
      </w:r>
      <w:r>
        <w:rPr>
          <w:rFonts w:hint="eastAsia" w:ascii="宋体" w:hAnsi="宋体" w:eastAsia="宋体"/>
          <w:szCs w:val="21"/>
          <w:lang w:val="zh-CN"/>
        </w:rPr>
        <w:t>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财政支付，银行转账。</w:t>
      </w:r>
    </w:p>
    <w:p w14:paraId="7FE9959A">
      <w:pPr>
        <w:widowControl/>
        <w:shd w:val="clear" w:color="auto" w:fill="FFFFFF"/>
        <w:spacing w:line="560" w:lineRule="exact"/>
        <w:ind w:firstLine="420" w:firstLineChars="200"/>
        <w:jc w:val="left"/>
        <w:rPr>
          <w:rFonts w:hint="eastAsia" w:ascii="宋体" w:hAnsi="宋体" w:eastAsia="宋体"/>
          <w:szCs w:val="21"/>
          <w:lang w:val="zh-CN" w:eastAsia="zh-CN"/>
        </w:rPr>
      </w:pPr>
      <w:r>
        <w:rPr>
          <w:rFonts w:hint="eastAsia" w:ascii="宋体" w:hAnsi="宋体" w:eastAsia="宋体"/>
          <w:szCs w:val="21"/>
        </w:rPr>
        <w:t>（二）支付时间及条件：</w:t>
      </w:r>
      <w:r>
        <w:rPr>
          <w:rFonts w:hint="eastAsia" w:ascii="宋体" w:hAnsi="宋体" w:eastAsia="宋体"/>
          <w:szCs w:val="21"/>
          <w:lang w:val="en-US" w:eastAsia="zh-CN"/>
        </w:rPr>
        <w:t>经验收合格后，收到发票后五个工作日内一次性支付</w:t>
      </w:r>
      <w:r>
        <w:rPr>
          <w:rFonts w:hint="eastAsia" w:ascii="宋体" w:hAnsi="宋体" w:eastAsia="宋体"/>
          <w:szCs w:val="21"/>
          <w:lang w:val="zh-CN" w:eastAsia="zh-CN"/>
        </w:rPr>
        <w:t>。</w:t>
      </w:r>
    </w:p>
    <w:p w14:paraId="5527F51C">
      <w:pPr>
        <w:widowControl/>
        <w:shd w:val="clear" w:color="auto" w:fill="FFFFFF"/>
        <w:spacing w:line="560" w:lineRule="exact"/>
        <w:ind w:firstLine="420" w:firstLineChars="200"/>
        <w:jc w:val="left"/>
        <w:rPr>
          <w:rFonts w:hint="eastAsia" w:ascii="宋体" w:hAnsi="宋体" w:eastAsia="宋体"/>
          <w:szCs w:val="21"/>
          <w:lang w:val="en-US" w:eastAsia="zh-CN"/>
        </w:rPr>
      </w:pPr>
    </w:p>
    <w:p w14:paraId="23BDBE6C">
      <w:pPr>
        <w:widowControl/>
        <w:shd w:val="clear" w:color="auto" w:fill="FFFFFF"/>
        <w:spacing w:line="440" w:lineRule="exact"/>
        <w:ind w:firstLine="420" w:firstLineChars="200"/>
        <w:jc w:val="left"/>
        <w:rPr>
          <w:rFonts w:hint="eastAsia" w:ascii="宋体" w:hAnsi="宋体" w:eastAsia="宋体"/>
          <w:szCs w:val="21"/>
          <w:lang w:val="en-US" w:eastAsia="zh-CN"/>
        </w:rPr>
      </w:pPr>
    </w:p>
    <w:p w14:paraId="35E59D91">
      <w:pPr>
        <w:tabs>
          <w:tab w:val="left" w:pos="7095"/>
        </w:tabs>
        <w:spacing w:line="440" w:lineRule="exact"/>
        <w:ind w:firstLine="420" w:firstLineChars="200"/>
        <w:rPr>
          <w:rFonts w:ascii="宋体" w:hAnsi="宋体" w:eastAsia="宋体"/>
          <w:szCs w:val="21"/>
        </w:rPr>
      </w:pPr>
    </w:p>
    <w:p w14:paraId="60185310">
      <w:pPr>
        <w:pStyle w:val="35"/>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widowControl/>
              <w:shd w:val="clear" w:color="auto" w:fill="FFFFFF"/>
              <w:spacing w:line="56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禹州市第六实验学校</w:t>
            </w:r>
            <w:r>
              <w:rPr>
                <w:rFonts w:hint="eastAsia" w:asciiTheme="minorEastAsia" w:hAnsiTheme="minorEastAsia" w:cstheme="minorEastAsia"/>
                <w:kern w:val="2"/>
                <w:sz w:val="21"/>
                <w:szCs w:val="21"/>
                <w:lang w:val="en-US" w:eastAsia="zh-CN" w:bidi="ar-SA"/>
              </w:rPr>
              <w:t>校园饮水</w:t>
            </w:r>
            <w:r>
              <w:rPr>
                <w:rFonts w:hint="eastAsia" w:asciiTheme="minorEastAsia" w:hAnsiTheme="minorEastAsia" w:eastAsiaTheme="minorEastAsia" w:cstheme="minorEastAsia"/>
                <w:kern w:val="2"/>
                <w:sz w:val="21"/>
                <w:szCs w:val="21"/>
                <w:lang w:val="en-US" w:eastAsia="zh-CN" w:bidi="ar-SA"/>
              </w:rPr>
              <w:t>设备采购项目</w:t>
            </w:r>
            <w:r>
              <w:rPr>
                <w:rFonts w:hint="eastAsia" w:cs="仿宋_GB2312" w:asciiTheme="minorEastAsia" w:hAnsiTheme="minorEastAsia"/>
                <w:color w:val="000000"/>
                <w:szCs w:val="21"/>
                <w:shd w:val="clear" w:color="auto" w:fill="FFFFFF"/>
              </w:rPr>
              <w:t>（不见面开标）</w:t>
            </w:r>
          </w:p>
          <w:p w14:paraId="2E408C53">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5020</w:t>
            </w:r>
          </w:p>
          <w:p w14:paraId="06702FF3">
            <w:pPr>
              <w:autoSpaceDE w:val="0"/>
              <w:autoSpaceDN w:val="0"/>
              <w:adjustRightInd w:val="0"/>
              <w:spacing w:line="360" w:lineRule="auto"/>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交付（服务、完工）时间：合同签订后15日历天内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履约地点：禹州市第六实验学校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E176EF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59216A7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地址：禹州市禹王大道111号</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w:t>
            </w:r>
            <w:r>
              <w:rPr>
                <w:rFonts w:hint="eastAsia" w:asciiTheme="minorEastAsia" w:hAnsiTheme="minorEastAsia" w:eastAsiaTheme="minorEastAsia" w:cstheme="minorEastAsia"/>
                <w:color w:val="000000"/>
                <w:szCs w:val="21"/>
                <w:shd w:val="clear" w:color="auto" w:fill="FFFFFF"/>
                <w:lang w:val="en-US" w:eastAsia="zh-CN"/>
              </w:rPr>
              <w:t>先生</w:t>
            </w:r>
            <w:r>
              <w:rPr>
                <w:rFonts w:hint="eastAsia" w:asciiTheme="minorEastAsia" w:hAnsiTheme="minorEastAsia" w:eastAsiaTheme="minorEastAsia" w:cstheme="minorEastAsia"/>
                <w:color w:val="000000"/>
                <w:szCs w:val="21"/>
                <w:shd w:val="clear" w:color="auto" w:fill="FFFFFF"/>
              </w:rPr>
              <w:t xml:space="preserve">  </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8880023</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color w:val="000000" w:themeColor="text1"/>
                <w:szCs w:val="21"/>
                <w:lang w:val="en-US" w:eastAsia="zh-CN"/>
                <w14:textFill>
                  <w14:solidFill>
                    <w14:schemeClr w14:val="tx1"/>
                  </w14:solidFill>
                </w14:textFill>
              </w:rPr>
              <w:t>600000.00元</w:t>
            </w:r>
            <w:r>
              <w:rPr>
                <w:rFonts w:hint="eastAsia" w:cs="宋体" w:asciiTheme="minorEastAsia" w:hAnsiTheme="minorEastAsia"/>
                <w:color w:val="000000" w:themeColor="text1"/>
                <w:szCs w:val="21"/>
                <w:lang w:val="zh-CN"/>
                <w14:textFill>
                  <w14:solidFill>
                    <w14:schemeClr w14:val="tx1"/>
                  </w14:solidFill>
                </w14:textFill>
              </w:rPr>
              <w:t>，超出</w:t>
            </w:r>
            <w:r>
              <w:rPr>
                <w:rFonts w:hint="eastAsia" w:cs="宋体" w:asciiTheme="minorEastAsia" w:hAnsiTheme="minorEastAsia"/>
                <w:bCs/>
                <w:szCs w:val="21"/>
                <w:lang w:val="zh-CN"/>
              </w:rPr>
              <w:t>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hint="eastAsia" w:cs="仿宋_GB2312" w:asciiTheme="minorEastAsia" w:hAnsiTheme="minorEastAsia" w:eastAsiaTheme="minorEastAsia"/>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r>
              <w:rPr>
                <w:rFonts w:hint="eastAsia" w:cs="仿宋_GB2312" w:asciiTheme="minorEastAsia" w:hAnsiTheme="minorEastAsia"/>
                <w:szCs w:val="21"/>
                <w:lang w:val="en-US" w:eastAsia="zh-CN"/>
              </w:rPr>
              <w:t xml:space="preserve"> </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D1A2F7D">
            <w:pPr>
              <w:numPr>
                <w:ilvl w:val="0"/>
                <w:numId w:val="10"/>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5C72F8C5">
            <w:pPr>
              <w:numPr>
                <w:ilvl w:val="0"/>
                <w:numId w:val="10"/>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工业</w:t>
            </w:r>
          </w:p>
          <w:p w14:paraId="516F2350">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59714E13">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7967A099">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6021091E">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186507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00EBF1F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5C931452">
      <w:pPr>
        <w:pStyle w:val="2"/>
        <w:rPr>
          <w:rFonts w:hint="eastAsia" w:cs="宋体" w:asciiTheme="majorEastAsia" w:hAnsiTheme="majorEastAsia" w:eastAsiaTheme="majorEastAsia"/>
          <w:b/>
          <w:kern w:val="0"/>
          <w:sz w:val="32"/>
          <w:szCs w:val="32"/>
        </w:rPr>
      </w:pPr>
    </w:p>
    <w:p w14:paraId="1542447D">
      <w:pPr>
        <w:pStyle w:val="2"/>
        <w:rPr>
          <w:rFonts w:hint="eastAsia" w:cs="宋体" w:asciiTheme="majorEastAsia" w:hAnsiTheme="majorEastAsia" w:eastAsiaTheme="majorEastAsia"/>
          <w:b/>
          <w:kern w:val="0"/>
          <w:sz w:val="32"/>
          <w:szCs w:val="32"/>
        </w:rPr>
      </w:pPr>
    </w:p>
    <w:p w14:paraId="190D5E6B">
      <w:pPr>
        <w:pStyle w:val="2"/>
        <w:rPr>
          <w:rFonts w:hint="eastAsia" w:cs="宋体" w:asciiTheme="majorEastAsia" w:hAnsiTheme="majorEastAsia" w:eastAsiaTheme="majorEastAsia"/>
          <w:b/>
          <w:kern w:val="0"/>
          <w:sz w:val="32"/>
          <w:szCs w:val="32"/>
        </w:rPr>
      </w:pPr>
    </w:p>
    <w:p w14:paraId="613A7873">
      <w:pPr>
        <w:pStyle w:val="2"/>
        <w:rPr>
          <w:rFonts w:hint="eastAsia" w:cs="宋体" w:asciiTheme="majorEastAsia" w:hAnsiTheme="majorEastAsia" w:eastAsiaTheme="majorEastAsia"/>
          <w:b/>
          <w:kern w:val="0"/>
          <w:sz w:val="32"/>
          <w:szCs w:val="32"/>
        </w:rPr>
      </w:pPr>
    </w:p>
    <w:p w14:paraId="0004661A">
      <w:pPr>
        <w:pStyle w:val="2"/>
        <w:rPr>
          <w:rFonts w:hint="eastAsia" w:cs="宋体" w:asciiTheme="majorEastAsia" w:hAnsiTheme="majorEastAsia" w:eastAsiaTheme="majorEastAsia"/>
          <w:b/>
          <w:kern w:val="0"/>
          <w:sz w:val="32"/>
          <w:szCs w:val="32"/>
        </w:rPr>
      </w:pPr>
    </w:p>
    <w:p w14:paraId="698958B6">
      <w:pPr>
        <w:pStyle w:val="2"/>
        <w:rPr>
          <w:rFonts w:hint="eastAsia" w:cs="宋体" w:asciiTheme="majorEastAsia" w:hAnsiTheme="majorEastAsia" w:eastAsiaTheme="majorEastAsia"/>
          <w:b/>
          <w:kern w:val="0"/>
          <w:sz w:val="32"/>
          <w:szCs w:val="32"/>
        </w:rPr>
      </w:pPr>
    </w:p>
    <w:p w14:paraId="3DB800BE">
      <w:pPr>
        <w:pStyle w:val="2"/>
        <w:rPr>
          <w:rFonts w:hint="eastAsia" w:cs="宋体" w:asciiTheme="majorEastAsia" w:hAnsiTheme="majorEastAsia" w:eastAsiaTheme="majorEastAsia"/>
          <w:b/>
          <w:kern w:val="0"/>
          <w:sz w:val="32"/>
          <w:szCs w:val="32"/>
        </w:rPr>
      </w:pPr>
    </w:p>
    <w:p w14:paraId="52CA652A">
      <w:pPr>
        <w:pStyle w:val="2"/>
        <w:rPr>
          <w:rFonts w:hint="eastAsia" w:cs="宋体" w:asciiTheme="majorEastAsia" w:hAnsiTheme="majorEastAsia" w:eastAsiaTheme="majorEastAsia"/>
          <w:b/>
          <w:kern w:val="0"/>
          <w:sz w:val="32"/>
          <w:szCs w:val="32"/>
        </w:rPr>
      </w:pPr>
    </w:p>
    <w:p w14:paraId="4EBE7DDE">
      <w:pPr>
        <w:pStyle w:val="2"/>
        <w:rPr>
          <w:rFonts w:hint="eastAsia" w:cs="宋体" w:asciiTheme="majorEastAsia" w:hAnsiTheme="majorEastAsia" w:eastAsiaTheme="majorEastAsia"/>
          <w:b/>
          <w:kern w:val="0"/>
          <w:sz w:val="32"/>
          <w:szCs w:val="32"/>
        </w:rPr>
      </w:pPr>
    </w:p>
    <w:p w14:paraId="20F7F1A5">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1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4"/>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7"/>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20"/>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7"/>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7"/>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8"/>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30"/>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6"/>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3"/>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8"/>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6"/>
        </w:numPr>
        <w:autoSpaceDE w:val="0"/>
        <w:autoSpaceDN w:val="0"/>
        <w:spacing w:line="360" w:lineRule="auto"/>
        <w:ind w:firstLineChars="0"/>
        <w:contextualSpacing/>
        <w:rPr>
          <w:rFonts w:ascii="ˎ̥" w:hAnsi="ˎ̥"/>
          <w:vanish/>
        </w:rPr>
      </w:pPr>
    </w:p>
    <w:p w14:paraId="1DEFB98E">
      <w:pPr>
        <w:pStyle w:val="55"/>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9"/>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9"/>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9"/>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6"/>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6"/>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6"/>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42"/>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3"/>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4"/>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50"/>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5"/>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60"/>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4"/>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4"/>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61"/>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61"/>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61"/>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4"/>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62"/>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3"/>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3"/>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7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7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5"/>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5"/>
      </w:pPr>
    </w:p>
    <w:p w14:paraId="4A2EB72F">
      <w:pPr>
        <w:pStyle w:val="55"/>
        <w:numPr>
          <w:ilvl w:val="0"/>
          <w:numId w:val="66"/>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6"/>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1"/>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635F6FFB">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5"/>
        <w:ind w:left="0" w:leftChars="0" w:firstLine="0" w:firstLineChars="0"/>
        <w:rPr>
          <w:rFonts w:ascii="宋体" w:hAnsi="宋体" w:eastAsia="宋体" w:cs="宋体"/>
          <w:sz w:val="24"/>
          <w:szCs w:val="24"/>
        </w:rPr>
      </w:pPr>
    </w:p>
    <w:p w14:paraId="342445F6">
      <w:pPr>
        <w:pStyle w:val="10"/>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numPr>
          <w:ilvl w:val="0"/>
          <w:numId w:val="72"/>
        </w:numPr>
        <w:autoSpaceDE w:val="0"/>
        <w:autoSpaceDN w:val="0"/>
        <w:spacing w:line="360" w:lineRule="auto"/>
        <w:ind w:left="964"/>
        <w:contextualSpacing/>
        <w:jc w:val="center"/>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政府采购政策功能</w:t>
      </w:r>
    </w:p>
    <w:p w14:paraId="443F4A14">
      <w:pPr>
        <w:pStyle w:val="2"/>
        <w:rPr>
          <w:rFonts w:hint="eastAsia"/>
        </w:rPr>
      </w:pPr>
    </w:p>
    <w:p w14:paraId="5E195BF7">
      <w:pPr>
        <w:pStyle w:val="1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1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58C98EE2">
      <w:pPr>
        <w:pStyle w:val="16"/>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8909588">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D8AFD16">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0D01582">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C67CB8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9" w:name="OLE_LINK6"/>
      <w:r>
        <w:rPr>
          <w:rFonts w:hint="eastAsia" w:cs="仿宋_GB2312" w:asciiTheme="minorEastAsia" w:hAnsiTheme="minorEastAsia"/>
          <w:szCs w:val="21"/>
          <w:lang w:val="zh-CN"/>
        </w:rPr>
        <w:t>财库[2014]68号</w:t>
      </w:r>
      <w:bookmarkEnd w:id="9"/>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3200F13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3B8A6B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16443D2">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14:paraId="6178CCC2">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14:paraId="6609AA6E">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9D5A589">
      <w:pPr>
        <w:pStyle w:val="2"/>
        <w:numPr>
          <w:ilvl w:val="0"/>
          <w:numId w:val="0"/>
        </w:num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6"/>
        <w:spacing w:line="360" w:lineRule="auto"/>
        <w:contextualSpacing/>
        <w:rPr>
          <w:rFonts w:cs="仿宋_GB2312" w:asciiTheme="minorEastAsia" w:hAnsiTheme="minorEastAsia"/>
          <w:lang w:val="zh-CN"/>
        </w:rPr>
      </w:pPr>
    </w:p>
    <w:p w14:paraId="48F134FB">
      <w:pPr>
        <w:pStyle w:val="16"/>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5EC2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DD7AE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68BB9516">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中小企业声明函</w:t>
            </w:r>
          </w:p>
        </w:tc>
        <w:tc>
          <w:tcPr>
            <w:tcW w:w="5954" w:type="dxa"/>
            <w:vAlign w:val="center"/>
          </w:tcPr>
          <w:p w14:paraId="3226C63D">
            <w:pPr>
              <w:spacing w:line="360" w:lineRule="auto"/>
              <w:rPr>
                <w:rFonts w:hint="eastAsia" w:ascii="宋体" w:hAnsi="宋体" w:cs="微软雅黑" w:eastAsiaTheme="minorEastAsia"/>
                <w:bCs/>
                <w:szCs w:val="21"/>
                <w:lang w:val="en-US" w:eastAsia="zh-CN"/>
              </w:rPr>
            </w:pPr>
            <w:r>
              <w:rPr>
                <w:rFonts w:hint="eastAsia" w:ascii="宋体" w:hAnsi="宋体" w:cs="微软雅黑"/>
                <w:bCs/>
                <w:szCs w:val="21"/>
              </w:rPr>
              <w:t>按照谈判文件第八章</w:t>
            </w:r>
            <w:r>
              <w:rPr>
                <w:rFonts w:hint="eastAsia" w:ascii="宋体" w:hAnsi="宋体" w:cs="微软雅黑"/>
                <w:bCs/>
                <w:szCs w:val="21"/>
                <w:lang w:val="en-US" w:eastAsia="zh-CN"/>
              </w:rPr>
              <w:t>3.6</w:t>
            </w:r>
            <w:r>
              <w:rPr>
                <w:rFonts w:hint="eastAsia" w:ascii="宋体" w:hAnsi="宋体" w:cs="微软雅黑"/>
                <w:bCs/>
                <w:szCs w:val="21"/>
              </w:rPr>
              <w:t>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6"/>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6"/>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6"/>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6"/>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73"/>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6"/>
        <w:spacing w:line="360" w:lineRule="auto"/>
        <w:contextualSpacing/>
        <w:jc w:val="center"/>
        <w:rPr>
          <w:rFonts w:cs="宋体" w:asciiTheme="majorEastAsia" w:hAnsiTheme="majorEastAsia" w:eastAsiaTheme="majorEastAsia"/>
          <w:b/>
          <w:kern w:val="0"/>
          <w:sz w:val="36"/>
          <w:szCs w:val="36"/>
        </w:rPr>
      </w:pPr>
    </w:p>
    <w:p w14:paraId="41147F8D">
      <w:pPr>
        <w:pStyle w:val="16"/>
        <w:spacing w:line="360" w:lineRule="auto"/>
        <w:contextualSpacing/>
        <w:jc w:val="center"/>
        <w:rPr>
          <w:rFonts w:cs="宋体" w:asciiTheme="majorEastAsia" w:hAnsiTheme="majorEastAsia" w:eastAsiaTheme="majorEastAsia"/>
          <w:b/>
          <w:kern w:val="0"/>
          <w:sz w:val="36"/>
          <w:szCs w:val="36"/>
        </w:rPr>
      </w:pPr>
    </w:p>
    <w:p w14:paraId="42EDA41E">
      <w:pPr>
        <w:pStyle w:val="16"/>
        <w:spacing w:line="360" w:lineRule="auto"/>
        <w:contextualSpacing/>
        <w:jc w:val="center"/>
        <w:rPr>
          <w:rFonts w:cs="宋体" w:asciiTheme="majorEastAsia" w:hAnsiTheme="majorEastAsia" w:eastAsiaTheme="majorEastAsia"/>
          <w:b/>
          <w:kern w:val="0"/>
          <w:sz w:val="36"/>
          <w:szCs w:val="36"/>
        </w:rPr>
      </w:pPr>
    </w:p>
    <w:p w14:paraId="34602ECD">
      <w:pPr>
        <w:pStyle w:val="16"/>
        <w:spacing w:line="360" w:lineRule="auto"/>
        <w:contextualSpacing/>
        <w:jc w:val="center"/>
        <w:rPr>
          <w:rFonts w:cs="宋体" w:asciiTheme="majorEastAsia" w:hAnsiTheme="majorEastAsia" w:eastAsiaTheme="majorEastAsia"/>
          <w:b/>
          <w:kern w:val="0"/>
          <w:sz w:val="36"/>
          <w:szCs w:val="36"/>
        </w:rPr>
      </w:pPr>
    </w:p>
    <w:p w14:paraId="21DFEA62">
      <w:pPr>
        <w:pStyle w:val="16"/>
        <w:spacing w:line="360" w:lineRule="auto"/>
        <w:contextualSpacing/>
        <w:jc w:val="center"/>
        <w:rPr>
          <w:rFonts w:cs="宋体" w:asciiTheme="majorEastAsia" w:hAnsiTheme="majorEastAsia" w:eastAsiaTheme="majorEastAsia"/>
          <w:b/>
          <w:kern w:val="0"/>
          <w:sz w:val="36"/>
          <w:szCs w:val="36"/>
        </w:rPr>
      </w:pPr>
    </w:p>
    <w:p w14:paraId="192A30AF">
      <w:pPr>
        <w:pStyle w:val="16"/>
        <w:spacing w:line="360" w:lineRule="auto"/>
        <w:contextualSpacing/>
        <w:jc w:val="center"/>
        <w:rPr>
          <w:rFonts w:cs="宋体" w:asciiTheme="majorEastAsia" w:hAnsiTheme="majorEastAsia" w:eastAsiaTheme="majorEastAsia"/>
          <w:b/>
          <w:kern w:val="0"/>
          <w:sz w:val="36"/>
          <w:szCs w:val="36"/>
        </w:rPr>
      </w:pPr>
    </w:p>
    <w:p w14:paraId="19A41FDA">
      <w:pPr>
        <w:pStyle w:val="16"/>
        <w:spacing w:line="360" w:lineRule="auto"/>
        <w:contextualSpacing/>
        <w:jc w:val="center"/>
        <w:rPr>
          <w:rFonts w:cs="宋体" w:asciiTheme="majorEastAsia" w:hAnsiTheme="majorEastAsia" w:eastAsiaTheme="majorEastAsia"/>
          <w:b/>
          <w:kern w:val="0"/>
          <w:sz w:val="36"/>
          <w:szCs w:val="36"/>
        </w:rPr>
      </w:pPr>
    </w:p>
    <w:p w14:paraId="07C6DA82">
      <w:pPr>
        <w:pStyle w:val="16"/>
        <w:spacing w:line="360" w:lineRule="auto"/>
        <w:contextualSpacing/>
        <w:jc w:val="center"/>
        <w:rPr>
          <w:rFonts w:cs="宋体" w:asciiTheme="majorEastAsia" w:hAnsiTheme="majorEastAsia" w:eastAsiaTheme="majorEastAsia"/>
          <w:b/>
          <w:kern w:val="0"/>
          <w:sz w:val="36"/>
          <w:szCs w:val="36"/>
        </w:rPr>
      </w:pPr>
    </w:p>
    <w:p w14:paraId="49844736">
      <w:pPr>
        <w:pStyle w:val="16"/>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6"/>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6"/>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6"/>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5"/>
        <w:rPr>
          <w:lang w:val="zh-CN"/>
        </w:rPr>
      </w:pPr>
    </w:p>
    <w:p w14:paraId="6418E7B1">
      <w:pPr>
        <w:pStyle w:val="35"/>
        <w:rPr>
          <w:lang w:val="zh-CN"/>
        </w:rPr>
      </w:pPr>
    </w:p>
    <w:p w14:paraId="6834617F">
      <w:pPr>
        <w:pStyle w:val="35"/>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6"/>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6"/>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4"/>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4"/>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6"/>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6"/>
        <w:adjustRightInd w:val="0"/>
        <w:snapToGrid w:val="0"/>
        <w:spacing w:line="360" w:lineRule="auto"/>
        <w:rPr>
          <w:rFonts w:asciiTheme="minorEastAsia" w:hAnsiTheme="minorEastAsia" w:eastAsiaTheme="minorEastAsia"/>
          <w:sz w:val="21"/>
          <w:szCs w:val="21"/>
        </w:rPr>
      </w:pPr>
    </w:p>
    <w:p w14:paraId="7F85629C">
      <w:pPr>
        <w:pStyle w:val="16"/>
        <w:adjustRightInd w:val="0"/>
        <w:snapToGrid w:val="0"/>
        <w:spacing w:line="360" w:lineRule="auto"/>
        <w:rPr>
          <w:rFonts w:asciiTheme="minorEastAsia" w:hAnsiTheme="minorEastAsia" w:eastAsiaTheme="minorEastAsia"/>
          <w:sz w:val="21"/>
          <w:szCs w:val="21"/>
        </w:rPr>
      </w:pPr>
    </w:p>
    <w:p w14:paraId="203D096D">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3"/>
        <w:rPr>
          <w:rFonts w:ascii="宋体" w:cs="宋体"/>
          <w:sz w:val="24"/>
          <w:lang w:val="zh-CN"/>
        </w:rPr>
      </w:pPr>
    </w:p>
    <w:p w14:paraId="00CBE165">
      <w:pPr>
        <w:pStyle w:val="3"/>
        <w:rPr>
          <w:rFonts w:ascii="宋体" w:cs="宋体"/>
          <w:sz w:val="24"/>
          <w:lang w:val="zh-CN"/>
        </w:rPr>
      </w:pPr>
    </w:p>
    <w:p w14:paraId="21A4412C">
      <w:pPr>
        <w:pStyle w:val="3"/>
        <w:rPr>
          <w:rFonts w:ascii="宋体" w:cs="宋体"/>
          <w:sz w:val="24"/>
          <w:lang w:val="zh-CN"/>
        </w:rPr>
      </w:pPr>
    </w:p>
    <w:p w14:paraId="12DFDE5F">
      <w:pPr>
        <w:spacing w:line="360" w:lineRule="auto"/>
        <w:jc w:val="center"/>
        <w:rPr>
          <w:rFonts w:ascii="宋体" w:hAnsi="宋体"/>
          <w:b/>
          <w:bCs/>
          <w:sz w:val="24"/>
          <w:szCs w:val="24"/>
        </w:rPr>
      </w:pPr>
    </w:p>
    <w:p w14:paraId="3218004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 xml:space="preserve">3.6 </w:t>
      </w:r>
      <w:r>
        <w:rPr>
          <w:rFonts w:hint="eastAsia" w:ascii="宋体" w:hAnsi="宋体"/>
          <w:b/>
          <w:bCs/>
          <w:sz w:val="24"/>
          <w:szCs w:val="24"/>
        </w:rPr>
        <w:t xml:space="preserve"> </w:t>
      </w:r>
      <w:r>
        <w:rPr>
          <w:rFonts w:ascii="宋体" w:hAnsi="宋体"/>
          <w:b/>
          <w:bCs/>
          <w:sz w:val="24"/>
          <w:szCs w:val="24"/>
        </w:rPr>
        <w:t>中小企业声明函（货物）</w:t>
      </w:r>
    </w:p>
    <w:p w14:paraId="57CE2A35">
      <w:pPr>
        <w:spacing w:line="360" w:lineRule="auto"/>
        <w:jc w:val="center"/>
        <w:rPr>
          <w:rFonts w:ascii="宋体" w:hAnsi="宋体"/>
          <w:b/>
          <w:bCs/>
          <w:szCs w:val="21"/>
        </w:rPr>
      </w:pPr>
    </w:p>
    <w:p w14:paraId="005AF8AF">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286308D">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EEEC860">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17A6A99C">
      <w:pPr>
        <w:spacing w:line="360" w:lineRule="auto"/>
        <w:ind w:firstLine="707" w:firstLineChars="337"/>
        <w:jc w:val="left"/>
      </w:pPr>
      <w:r>
        <w:t xml:space="preserve">…… </w:t>
      </w:r>
    </w:p>
    <w:p w14:paraId="253905B2">
      <w:pPr>
        <w:spacing w:line="360" w:lineRule="auto"/>
        <w:ind w:firstLine="707" w:firstLineChars="337"/>
        <w:jc w:val="left"/>
      </w:pPr>
      <w:r>
        <w:t>以上企业，不属于大企业的分支机构，不存在控股股东为大企业的情形，也不存在与大企业的负责人为同一人的情形。</w:t>
      </w:r>
    </w:p>
    <w:p w14:paraId="5326FAEE">
      <w:pPr>
        <w:spacing w:line="360" w:lineRule="auto"/>
        <w:ind w:firstLine="707" w:firstLineChars="337"/>
        <w:jc w:val="left"/>
      </w:pPr>
      <w:r>
        <w:t>本企业对上述声明内容的真实性负责。如有虚假，将依法承担相应责任。</w:t>
      </w:r>
    </w:p>
    <w:p w14:paraId="370F3BDF">
      <w:pPr>
        <w:spacing w:line="360" w:lineRule="auto"/>
        <w:ind w:firstLine="707" w:firstLineChars="337"/>
        <w:jc w:val="left"/>
      </w:pPr>
    </w:p>
    <w:p w14:paraId="7097F1A4">
      <w:pPr>
        <w:spacing w:line="360" w:lineRule="auto"/>
        <w:ind w:firstLine="707" w:firstLineChars="337"/>
        <w:jc w:val="left"/>
      </w:pPr>
    </w:p>
    <w:p w14:paraId="57F8B2FE">
      <w:pPr>
        <w:spacing w:line="480" w:lineRule="auto"/>
        <w:ind w:firstLine="5957" w:firstLineChars="2837"/>
        <w:jc w:val="left"/>
      </w:pPr>
      <w:r>
        <w:t>企业名称（盖章）：</w:t>
      </w:r>
    </w:p>
    <w:p w14:paraId="7CF09EAD">
      <w:pPr>
        <w:spacing w:line="480" w:lineRule="auto"/>
        <w:ind w:firstLine="5957" w:firstLineChars="2837"/>
        <w:jc w:val="left"/>
        <w:rPr>
          <w:rFonts w:cs="Arial" w:asciiTheme="minorEastAsia" w:hAnsiTheme="minorEastAsia"/>
          <w:szCs w:val="21"/>
        </w:rPr>
      </w:pPr>
      <w:r>
        <w:t>日期：</w:t>
      </w:r>
    </w:p>
    <w:p w14:paraId="31EFD7E8">
      <w:pPr>
        <w:spacing w:line="480" w:lineRule="auto"/>
        <w:ind w:left="4358" w:leftChars="2075"/>
        <w:rPr>
          <w:rFonts w:cs="Arial" w:asciiTheme="minorEastAsia" w:hAnsiTheme="minorEastAsia"/>
          <w:szCs w:val="21"/>
        </w:rPr>
      </w:pPr>
    </w:p>
    <w:p w14:paraId="7819A273">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74FB3F5">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120242E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47E843C5">
      <w:pPr>
        <w:widowControl/>
        <w:spacing w:before="100" w:beforeAutospacing="1" w:after="100" w:afterAutospacing="1" w:line="360" w:lineRule="auto"/>
        <w:contextualSpacing/>
        <w:jc w:val="left"/>
        <w:rPr>
          <w:rFonts w:ascii="宋体" w:hAnsi="宋体" w:cs="Arial"/>
          <w:kern w:val="0"/>
          <w:szCs w:val="21"/>
        </w:rPr>
      </w:pPr>
    </w:p>
    <w:p w14:paraId="1B4141A2">
      <w:pPr>
        <w:widowControl/>
        <w:jc w:val="left"/>
        <w:rPr>
          <w:rFonts w:ascii="宋体" w:hAnsi="宋体"/>
          <w:b/>
          <w:bCs/>
          <w:sz w:val="24"/>
          <w:szCs w:val="24"/>
        </w:rPr>
      </w:pPr>
      <w:r>
        <w:rPr>
          <w:rFonts w:ascii="宋体" w:hAnsi="宋体"/>
          <w:b/>
          <w:bCs/>
          <w:sz w:val="24"/>
          <w:szCs w:val="24"/>
        </w:rPr>
        <w:br w:type="page"/>
      </w:r>
    </w:p>
    <w:p w14:paraId="138747A6">
      <w:pPr>
        <w:spacing w:line="360" w:lineRule="auto"/>
        <w:jc w:val="center"/>
        <w:rPr>
          <w:rFonts w:hint="eastAsia"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7</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 xml:space="preserve">9  </w:t>
      </w:r>
      <w:r>
        <w:rPr>
          <w:rFonts w:hint="eastAsia" w:ascii="宋体" w:hAnsi="宋体"/>
          <w:b/>
          <w:bCs/>
          <w:sz w:val="24"/>
          <w:szCs w:val="24"/>
        </w:rPr>
        <w:t xml:space="preserve">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9"/>
              <w:spacing w:line="360" w:lineRule="auto"/>
              <w:rPr>
                <w:rFonts w:ascii="宋体" w:hAnsi="宋体" w:eastAsia="宋体" w:cs="Times New Roman"/>
                <w:sz w:val="21"/>
                <w:szCs w:val="21"/>
              </w:rPr>
            </w:pPr>
          </w:p>
        </w:tc>
        <w:tc>
          <w:tcPr>
            <w:tcW w:w="3579" w:type="dxa"/>
            <w:vAlign w:val="center"/>
          </w:tcPr>
          <w:p w14:paraId="6BE38495">
            <w:pPr>
              <w:pStyle w:val="9"/>
              <w:spacing w:line="360" w:lineRule="auto"/>
              <w:rPr>
                <w:rFonts w:ascii="宋体" w:hAnsi="宋体" w:eastAsia="宋体" w:cs="Times New Roman"/>
                <w:sz w:val="21"/>
                <w:szCs w:val="21"/>
              </w:rPr>
            </w:pPr>
          </w:p>
        </w:tc>
        <w:tc>
          <w:tcPr>
            <w:tcW w:w="1440" w:type="dxa"/>
            <w:vAlign w:val="center"/>
          </w:tcPr>
          <w:p w14:paraId="587EAB21">
            <w:pPr>
              <w:pStyle w:val="9"/>
              <w:spacing w:line="360" w:lineRule="auto"/>
              <w:rPr>
                <w:rFonts w:ascii="宋体" w:hAnsi="宋体" w:eastAsia="宋体" w:cs="Times New Roman"/>
                <w:sz w:val="21"/>
                <w:szCs w:val="21"/>
              </w:rPr>
            </w:pPr>
          </w:p>
        </w:tc>
        <w:tc>
          <w:tcPr>
            <w:tcW w:w="1706" w:type="dxa"/>
            <w:vAlign w:val="center"/>
          </w:tcPr>
          <w:p w14:paraId="22315D90">
            <w:pPr>
              <w:pStyle w:val="9"/>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9"/>
              <w:spacing w:line="360" w:lineRule="auto"/>
              <w:rPr>
                <w:rFonts w:ascii="宋体" w:hAnsi="宋体" w:eastAsia="宋体" w:cs="Times New Roman"/>
                <w:sz w:val="21"/>
                <w:szCs w:val="21"/>
              </w:rPr>
            </w:pPr>
          </w:p>
        </w:tc>
        <w:tc>
          <w:tcPr>
            <w:tcW w:w="3579" w:type="dxa"/>
            <w:vAlign w:val="center"/>
          </w:tcPr>
          <w:p w14:paraId="19532459">
            <w:pPr>
              <w:pStyle w:val="9"/>
              <w:spacing w:line="360" w:lineRule="auto"/>
              <w:rPr>
                <w:rFonts w:ascii="宋体" w:hAnsi="宋体" w:eastAsia="宋体" w:cs="Times New Roman"/>
                <w:sz w:val="21"/>
                <w:szCs w:val="21"/>
              </w:rPr>
            </w:pPr>
          </w:p>
        </w:tc>
        <w:tc>
          <w:tcPr>
            <w:tcW w:w="1440" w:type="dxa"/>
            <w:vAlign w:val="center"/>
          </w:tcPr>
          <w:p w14:paraId="74A3CD0B">
            <w:pPr>
              <w:pStyle w:val="9"/>
              <w:spacing w:line="360" w:lineRule="auto"/>
              <w:rPr>
                <w:rFonts w:ascii="宋体" w:hAnsi="宋体" w:eastAsia="宋体" w:cs="Times New Roman"/>
                <w:sz w:val="21"/>
                <w:szCs w:val="21"/>
              </w:rPr>
            </w:pPr>
          </w:p>
        </w:tc>
        <w:tc>
          <w:tcPr>
            <w:tcW w:w="1706" w:type="dxa"/>
            <w:vAlign w:val="center"/>
          </w:tcPr>
          <w:p w14:paraId="07BBCB1A">
            <w:pPr>
              <w:pStyle w:val="9"/>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9"/>
              <w:spacing w:line="360" w:lineRule="auto"/>
              <w:rPr>
                <w:rFonts w:ascii="宋体" w:hAnsi="宋体" w:eastAsia="宋体" w:cs="Times New Roman"/>
                <w:sz w:val="21"/>
                <w:szCs w:val="21"/>
              </w:rPr>
            </w:pPr>
          </w:p>
        </w:tc>
        <w:tc>
          <w:tcPr>
            <w:tcW w:w="3579" w:type="dxa"/>
            <w:vAlign w:val="center"/>
          </w:tcPr>
          <w:p w14:paraId="609A503B">
            <w:pPr>
              <w:pStyle w:val="9"/>
              <w:spacing w:line="360" w:lineRule="auto"/>
              <w:rPr>
                <w:rFonts w:ascii="宋体" w:hAnsi="宋体" w:eastAsia="宋体" w:cs="Times New Roman"/>
                <w:sz w:val="21"/>
                <w:szCs w:val="21"/>
              </w:rPr>
            </w:pPr>
          </w:p>
        </w:tc>
        <w:tc>
          <w:tcPr>
            <w:tcW w:w="1440" w:type="dxa"/>
            <w:vAlign w:val="center"/>
          </w:tcPr>
          <w:p w14:paraId="1A21A8E6">
            <w:pPr>
              <w:pStyle w:val="9"/>
              <w:spacing w:line="360" w:lineRule="auto"/>
              <w:rPr>
                <w:rFonts w:ascii="宋体" w:hAnsi="宋体" w:eastAsia="宋体" w:cs="Times New Roman"/>
                <w:sz w:val="21"/>
                <w:szCs w:val="21"/>
              </w:rPr>
            </w:pPr>
          </w:p>
        </w:tc>
        <w:tc>
          <w:tcPr>
            <w:tcW w:w="1706" w:type="dxa"/>
            <w:vAlign w:val="center"/>
          </w:tcPr>
          <w:p w14:paraId="1AF7E261">
            <w:pPr>
              <w:pStyle w:val="9"/>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9"/>
              <w:spacing w:line="360" w:lineRule="auto"/>
              <w:rPr>
                <w:rFonts w:ascii="宋体" w:hAnsi="宋体" w:eastAsia="宋体" w:cs="Times New Roman"/>
                <w:sz w:val="21"/>
                <w:szCs w:val="21"/>
              </w:rPr>
            </w:pPr>
          </w:p>
        </w:tc>
        <w:tc>
          <w:tcPr>
            <w:tcW w:w="814" w:type="pct"/>
            <w:vAlign w:val="center"/>
          </w:tcPr>
          <w:p w14:paraId="51DC7484">
            <w:pPr>
              <w:pStyle w:val="9"/>
              <w:spacing w:line="360" w:lineRule="auto"/>
              <w:rPr>
                <w:rFonts w:ascii="宋体" w:hAnsi="宋体" w:eastAsia="宋体" w:cs="Times New Roman"/>
                <w:sz w:val="21"/>
                <w:szCs w:val="21"/>
              </w:rPr>
            </w:pPr>
          </w:p>
        </w:tc>
        <w:tc>
          <w:tcPr>
            <w:tcW w:w="665" w:type="pct"/>
          </w:tcPr>
          <w:p w14:paraId="62A1160F">
            <w:pPr>
              <w:pStyle w:val="9"/>
              <w:spacing w:line="360" w:lineRule="auto"/>
              <w:rPr>
                <w:rFonts w:ascii="宋体" w:hAnsi="宋体" w:eastAsia="宋体" w:cs="Times New Roman"/>
                <w:sz w:val="21"/>
                <w:szCs w:val="21"/>
              </w:rPr>
            </w:pPr>
          </w:p>
        </w:tc>
        <w:tc>
          <w:tcPr>
            <w:tcW w:w="884" w:type="pct"/>
          </w:tcPr>
          <w:p w14:paraId="621A2FA7">
            <w:pPr>
              <w:pStyle w:val="9"/>
              <w:spacing w:line="360" w:lineRule="auto"/>
              <w:rPr>
                <w:rFonts w:ascii="宋体" w:hAnsi="宋体" w:eastAsia="宋体" w:cs="Times New Roman"/>
                <w:sz w:val="21"/>
                <w:szCs w:val="21"/>
              </w:rPr>
            </w:pPr>
          </w:p>
        </w:tc>
        <w:tc>
          <w:tcPr>
            <w:tcW w:w="858" w:type="pct"/>
          </w:tcPr>
          <w:p w14:paraId="30F1839F">
            <w:pPr>
              <w:pStyle w:val="9"/>
              <w:spacing w:line="360" w:lineRule="auto"/>
              <w:rPr>
                <w:rFonts w:ascii="宋体" w:hAnsi="宋体" w:eastAsia="宋体" w:cs="Times New Roman"/>
                <w:sz w:val="21"/>
                <w:szCs w:val="21"/>
              </w:rPr>
            </w:pPr>
          </w:p>
        </w:tc>
        <w:tc>
          <w:tcPr>
            <w:tcW w:w="760" w:type="pct"/>
          </w:tcPr>
          <w:p w14:paraId="1F59D518">
            <w:pPr>
              <w:pStyle w:val="9"/>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9"/>
              <w:spacing w:line="360" w:lineRule="auto"/>
              <w:rPr>
                <w:rFonts w:ascii="宋体" w:hAnsi="宋体" w:eastAsia="宋体" w:cs="Times New Roman"/>
                <w:sz w:val="21"/>
                <w:szCs w:val="21"/>
              </w:rPr>
            </w:pPr>
          </w:p>
        </w:tc>
        <w:tc>
          <w:tcPr>
            <w:tcW w:w="814" w:type="pct"/>
            <w:vAlign w:val="center"/>
          </w:tcPr>
          <w:p w14:paraId="6DCDD4C5">
            <w:pPr>
              <w:pStyle w:val="9"/>
              <w:spacing w:line="360" w:lineRule="auto"/>
              <w:rPr>
                <w:rFonts w:ascii="宋体" w:hAnsi="宋体" w:eastAsia="宋体" w:cs="Times New Roman"/>
                <w:sz w:val="21"/>
                <w:szCs w:val="21"/>
              </w:rPr>
            </w:pPr>
          </w:p>
        </w:tc>
        <w:tc>
          <w:tcPr>
            <w:tcW w:w="665" w:type="pct"/>
          </w:tcPr>
          <w:p w14:paraId="7DB7A326">
            <w:pPr>
              <w:pStyle w:val="9"/>
              <w:spacing w:line="360" w:lineRule="auto"/>
              <w:rPr>
                <w:rFonts w:ascii="宋体" w:hAnsi="宋体" w:eastAsia="宋体" w:cs="Times New Roman"/>
                <w:sz w:val="21"/>
                <w:szCs w:val="21"/>
              </w:rPr>
            </w:pPr>
          </w:p>
        </w:tc>
        <w:tc>
          <w:tcPr>
            <w:tcW w:w="884" w:type="pct"/>
          </w:tcPr>
          <w:p w14:paraId="2F998864">
            <w:pPr>
              <w:pStyle w:val="9"/>
              <w:spacing w:line="360" w:lineRule="auto"/>
              <w:rPr>
                <w:rFonts w:ascii="宋体" w:hAnsi="宋体" w:eastAsia="宋体" w:cs="Times New Roman"/>
                <w:sz w:val="21"/>
                <w:szCs w:val="21"/>
              </w:rPr>
            </w:pPr>
          </w:p>
        </w:tc>
        <w:tc>
          <w:tcPr>
            <w:tcW w:w="858" w:type="pct"/>
          </w:tcPr>
          <w:p w14:paraId="0E071A88">
            <w:pPr>
              <w:pStyle w:val="9"/>
              <w:spacing w:line="360" w:lineRule="auto"/>
              <w:rPr>
                <w:rFonts w:ascii="宋体" w:hAnsi="宋体" w:eastAsia="宋体" w:cs="Times New Roman"/>
                <w:sz w:val="21"/>
                <w:szCs w:val="21"/>
              </w:rPr>
            </w:pPr>
          </w:p>
        </w:tc>
        <w:tc>
          <w:tcPr>
            <w:tcW w:w="760" w:type="pct"/>
          </w:tcPr>
          <w:p w14:paraId="779FC184">
            <w:pPr>
              <w:pStyle w:val="9"/>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9"/>
              <w:spacing w:line="360" w:lineRule="auto"/>
              <w:rPr>
                <w:rFonts w:ascii="宋体" w:hAnsi="宋体" w:eastAsia="宋体" w:cs="Times New Roman"/>
                <w:sz w:val="21"/>
                <w:szCs w:val="21"/>
              </w:rPr>
            </w:pPr>
          </w:p>
        </w:tc>
        <w:tc>
          <w:tcPr>
            <w:tcW w:w="814" w:type="pct"/>
            <w:vAlign w:val="center"/>
          </w:tcPr>
          <w:p w14:paraId="3D5E031F">
            <w:pPr>
              <w:pStyle w:val="9"/>
              <w:spacing w:line="360" w:lineRule="auto"/>
              <w:rPr>
                <w:rFonts w:ascii="宋体" w:hAnsi="宋体" w:eastAsia="宋体" w:cs="Times New Roman"/>
                <w:sz w:val="21"/>
                <w:szCs w:val="21"/>
              </w:rPr>
            </w:pPr>
          </w:p>
        </w:tc>
        <w:tc>
          <w:tcPr>
            <w:tcW w:w="665" w:type="pct"/>
          </w:tcPr>
          <w:p w14:paraId="1571D391">
            <w:pPr>
              <w:pStyle w:val="9"/>
              <w:spacing w:line="360" w:lineRule="auto"/>
              <w:rPr>
                <w:rFonts w:ascii="宋体" w:hAnsi="宋体" w:eastAsia="宋体" w:cs="Times New Roman"/>
                <w:sz w:val="21"/>
                <w:szCs w:val="21"/>
              </w:rPr>
            </w:pPr>
          </w:p>
        </w:tc>
        <w:tc>
          <w:tcPr>
            <w:tcW w:w="884" w:type="pct"/>
          </w:tcPr>
          <w:p w14:paraId="13C3F957">
            <w:pPr>
              <w:pStyle w:val="9"/>
              <w:spacing w:line="360" w:lineRule="auto"/>
              <w:rPr>
                <w:rFonts w:ascii="宋体" w:hAnsi="宋体" w:eastAsia="宋体" w:cs="Times New Roman"/>
                <w:sz w:val="21"/>
                <w:szCs w:val="21"/>
              </w:rPr>
            </w:pPr>
          </w:p>
        </w:tc>
        <w:tc>
          <w:tcPr>
            <w:tcW w:w="858" w:type="pct"/>
          </w:tcPr>
          <w:p w14:paraId="6D5EC009">
            <w:pPr>
              <w:pStyle w:val="9"/>
              <w:spacing w:line="360" w:lineRule="auto"/>
              <w:rPr>
                <w:rFonts w:ascii="宋体" w:hAnsi="宋体" w:eastAsia="宋体" w:cs="Times New Roman"/>
                <w:sz w:val="21"/>
                <w:szCs w:val="21"/>
              </w:rPr>
            </w:pPr>
          </w:p>
        </w:tc>
        <w:tc>
          <w:tcPr>
            <w:tcW w:w="760" w:type="pct"/>
          </w:tcPr>
          <w:p w14:paraId="27F805C0">
            <w:pPr>
              <w:pStyle w:val="9"/>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9"/>
              <w:spacing w:line="360" w:lineRule="auto"/>
              <w:rPr>
                <w:rFonts w:ascii="宋体" w:hAnsi="宋体" w:eastAsia="宋体" w:cs="Times New Roman"/>
                <w:sz w:val="21"/>
                <w:szCs w:val="21"/>
              </w:rPr>
            </w:pPr>
          </w:p>
        </w:tc>
        <w:tc>
          <w:tcPr>
            <w:tcW w:w="814" w:type="pct"/>
            <w:vAlign w:val="center"/>
          </w:tcPr>
          <w:p w14:paraId="02C32D16">
            <w:pPr>
              <w:pStyle w:val="9"/>
              <w:spacing w:line="360" w:lineRule="auto"/>
              <w:rPr>
                <w:rFonts w:ascii="宋体" w:hAnsi="宋体" w:eastAsia="宋体" w:cs="Times New Roman"/>
                <w:sz w:val="21"/>
                <w:szCs w:val="21"/>
              </w:rPr>
            </w:pPr>
          </w:p>
        </w:tc>
        <w:tc>
          <w:tcPr>
            <w:tcW w:w="665" w:type="pct"/>
          </w:tcPr>
          <w:p w14:paraId="6EEEC2EE">
            <w:pPr>
              <w:pStyle w:val="9"/>
              <w:spacing w:line="360" w:lineRule="auto"/>
              <w:rPr>
                <w:rFonts w:ascii="宋体" w:hAnsi="宋体" w:eastAsia="宋体" w:cs="Times New Roman"/>
                <w:sz w:val="21"/>
                <w:szCs w:val="21"/>
              </w:rPr>
            </w:pPr>
          </w:p>
        </w:tc>
        <w:tc>
          <w:tcPr>
            <w:tcW w:w="884" w:type="pct"/>
          </w:tcPr>
          <w:p w14:paraId="458AEE36">
            <w:pPr>
              <w:pStyle w:val="9"/>
              <w:spacing w:line="360" w:lineRule="auto"/>
              <w:rPr>
                <w:rFonts w:ascii="宋体" w:hAnsi="宋体" w:eastAsia="宋体" w:cs="Times New Roman"/>
                <w:sz w:val="21"/>
                <w:szCs w:val="21"/>
              </w:rPr>
            </w:pPr>
          </w:p>
        </w:tc>
        <w:tc>
          <w:tcPr>
            <w:tcW w:w="858" w:type="pct"/>
          </w:tcPr>
          <w:p w14:paraId="5F919222">
            <w:pPr>
              <w:pStyle w:val="9"/>
              <w:spacing w:line="360" w:lineRule="auto"/>
              <w:rPr>
                <w:rFonts w:ascii="宋体" w:hAnsi="宋体" w:eastAsia="宋体" w:cs="Times New Roman"/>
                <w:sz w:val="21"/>
                <w:szCs w:val="21"/>
              </w:rPr>
            </w:pPr>
          </w:p>
        </w:tc>
        <w:tc>
          <w:tcPr>
            <w:tcW w:w="760" w:type="pct"/>
          </w:tcPr>
          <w:p w14:paraId="0691C10A">
            <w:pPr>
              <w:pStyle w:val="9"/>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9"/>
              <w:spacing w:line="360" w:lineRule="auto"/>
              <w:rPr>
                <w:rFonts w:ascii="宋体" w:hAnsi="宋体" w:eastAsia="宋体" w:cs="Times New Roman"/>
                <w:sz w:val="21"/>
                <w:szCs w:val="21"/>
              </w:rPr>
            </w:pPr>
          </w:p>
        </w:tc>
        <w:tc>
          <w:tcPr>
            <w:tcW w:w="814" w:type="pct"/>
            <w:vAlign w:val="center"/>
          </w:tcPr>
          <w:p w14:paraId="723FDDF8">
            <w:pPr>
              <w:pStyle w:val="9"/>
              <w:spacing w:line="360" w:lineRule="auto"/>
              <w:rPr>
                <w:rFonts w:ascii="宋体" w:hAnsi="宋体" w:eastAsia="宋体" w:cs="Times New Roman"/>
                <w:sz w:val="21"/>
                <w:szCs w:val="21"/>
              </w:rPr>
            </w:pPr>
          </w:p>
        </w:tc>
        <w:tc>
          <w:tcPr>
            <w:tcW w:w="665" w:type="pct"/>
          </w:tcPr>
          <w:p w14:paraId="422145C6">
            <w:pPr>
              <w:pStyle w:val="9"/>
              <w:spacing w:line="360" w:lineRule="auto"/>
              <w:rPr>
                <w:rFonts w:ascii="宋体" w:hAnsi="宋体" w:eastAsia="宋体" w:cs="Times New Roman"/>
                <w:sz w:val="21"/>
                <w:szCs w:val="21"/>
              </w:rPr>
            </w:pPr>
          </w:p>
        </w:tc>
        <w:tc>
          <w:tcPr>
            <w:tcW w:w="884" w:type="pct"/>
          </w:tcPr>
          <w:p w14:paraId="256302B1">
            <w:pPr>
              <w:pStyle w:val="9"/>
              <w:spacing w:line="360" w:lineRule="auto"/>
              <w:rPr>
                <w:rFonts w:ascii="宋体" w:hAnsi="宋体" w:eastAsia="宋体" w:cs="Times New Roman"/>
                <w:sz w:val="21"/>
                <w:szCs w:val="21"/>
              </w:rPr>
            </w:pPr>
          </w:p>
        </w:tc>
        <w:tc>
          <w:tcPr>
            <w:tcW w:w="858" w:type="pct"/>
          </w:tcPr>
          <w:p w14:paraId="477793E6">
            <w:pPr>
              <w:pStyle w:val="9"/>
              <w:spacing w:line="360" w:lineRule="auto"/>
              <w:rPr>
                <w:rFonts w:ascii="宋体" w:hAnsi="宋体" w:eastAsia="宋体" w:cs="Times New Roman"/>
                <w:sz w:val="21"/>
                <w:szCs w:val="21"/>
              </w:rPr>
            </w:pPr>
          </w:p>
        </w:tc>
        <w:tc>
          <w:tcPr>
            <w:tcW w:w="760" w:type="pct"/>
          </w:tcPr>
          <w:p w14:paraId="0B8493E5">
            <w:pPr>
              <w:pStyle w:val="9"/>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9"/>
              <w:spacing w:line="360" w:lineRule="auto"/>
              <w:rPr>
                <w:rFonts w:ascii="宋体" w:hAnsi="宋体" w:eastAsia="宋体" w:cs="Times New Roman"/>
                <w:sz w:val="21"/>
                <w:szCs w:val="21"/>
              </w:rPr>
            </w:pPr>
          </w:p>
        </w:tc>
        <w:tc>
          <w:tcPr>
            <w:tcW w:w="814" w:type="pct"/>
            <w:vAlign w:val="center"/>
          </w:tcPr>
          <w:p w14:paraId="74C13E84">
            <w:pPr>
              <w:pStyle w:val="9"/>
              <w:spacing w:line="360" w:lineRule="auto"/>
              <w:rPr>
                <w:rFonts w:ascii="宋体" w:hAnsi="宋体" w:eastAsia="宋体" w:cs="Times New Roman"/>
                <w:sz w:val="21"/>
                <w:szCs w:val="21"/>
              </w:rPr>
            </w:pPr>
          </w:p>
        </w:tc>
        <w:tc>
          <w:tcPr>
            <w:tcW w:w="665" w:type="pct"/>
          </w:tcPr>
          <w:p w14:paraId="0EE31D6C">
            <w:pPr>
              <w:pStyle w:val="9"/>
              <w:spacing w:line="360" w:lineRule="auto"/>
              <w:rPr>
                <w:rFonts w:ascii="宋体" w:hAnsi="宋体" w:eastAsia="宋体" w:cs="Times New Roman"/>
                <w:sz w:val="21"/>
                <w:szCs w:val="21"/>
              </w:rPr>
            </w:pPr>
          </w:p>
        </w:tc>
        <w:tc>
          <w:tcPr>
            <w:tcW w:w="884" w:type="pct"/>
          </w:tcPr>
          <w:p w14:paraId="119F68FA">
            <w:pPr>
              <w:pStyle w:val="9"/>
              <w:spacing w:line="360" w:lineRule="auto"/>
              <w:rPr>
                <w:rFonts w:ascii="宋体" w:hAnsi="宋体" w:eastAsia="宋体" w:cs="Times New Roman"/>
                <w:sz w:val="21"/>
                <w:szCs w:val="21"/>
              </w:rPr>
            </w:pPr>
          </w:p>
        </w:tc>
        <w:tc>
          <w:tcPr>
            <w:tcW w:w="858" w:type="pct"/>
          </w:tcPr>
          <w:p w14:paraId="679D98E0">
            <w:pPr>
              <w:pStyle w:val="9"/>
              <w:spacing w:line="360" w:lineRule="auto"/>
              <w:rPr>
                <w:rFonts w:ascii="宋体" w:hAnsi="宋体" w:eastAsia="宋体" w:cs="Times New Roman"/>
                <w:sz w:val="21"/>
                <w:szCs w:val="21"/>
              </w:rPr>
            </w:pPr>
          </w:p>
        </w:tc>
        <w:tc>
          <w:tcPr>
            <w:tcW w:w="760" w:type="pct"/>
          </w:tcPr>
          <w:p w14:paraId="3B16CC48">
            <w:pPr>
              <w:pStyle w:val="9"/>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9"/>
              <w:spacing w:line="360" w:lineRule="auto"/>
              <w:rPr>
                <w:rFonts w:ascii="宋体" w:hAnsi="宋体" w:eastAsia="宋体" w:cs="Times New Roman"/>
                <w:sz w:val="21"/>
                <w:szCs w:val="21"/>
              </w:rPr>
            </w:pPr>
          </w:p>
        </w:tc>
        <w:tc>
          <w:tcPr>
            <w:tcW w:w="814" w:type="pct"/>
            <w:vAlign w:val="center"/>
          </w:tcPr>
          <w:p w14:paraId="3F1D3D64">
            <w:pPr>
              <w:pStyle w:val="9"/>
              <w:spacing w:line="360" w:lineRule="auto"/>
              <w:rPr>
                <w:rFonts w:ascii="宋体" w:hAnsi="宋体" w:eastAsia="宋体" w:cs="Times New Roman"/>
                <w:sz w:val="21"/>
                <w:szCs w:val="21"/>
              </w:rPr>
            </w:pPr>
          </w:p>
        </w:tc>
        <w:tc>
          <w:tcPr>
            <w:tcW w:w="665" w:type="pct"/>
          </w:tcPr>
          <w:p w14:paraId="4A3550F0">
            <w:pPr>
              <w:pStyle w:val="9"/>
              <w:spacing w:line="360" w:lineRule="auto"/>
              <w:rPr>
                <w:rFonts w:ascii="宋体" w:hAnsi="宋体" w:eastAsia="宋体" w:cs="Times New Roman"/>
                <w:sz w:val="21"/>
                <w:szCs w:val="21"/>
              </w:rPr>
            </w:pPr>
          </w:p>
        </w:tc>
        <w:tc>
          <w:tcPr>
            <w:tcW w:w="884" w:type="pct"/>
          </w:tcPr>
          <w:p w14:paraId="1E6A429C">
            <w:pPr>
              <w:pStyle w:val="9"/>
              <w:spacing w:line="360" w:lineRule="auto"/>
              <w:rPr>
                <w:rFonts w:ascii="宋体" w:hAnsi="宋体" w:eastAsia="宋体" w:cs="Times New Roman"/>
                <w:sz w:val="21"/>
                <w:szCs w:val="21"/>
              </w:rPr>
            </w:pPr>
          </w:p>
        </w:tc>
        <w:tc>
          <w:tcPr>
            <w:tcW w:w="858" w:type="pct"/>
          </w:tcPr>
          <w:p w14:paraId="605B6D65">
            <w:pPr>
              <w:pStyle w:val="9"/>
              <w:spacing w:line="360" w:lineRule="auto"/>
              <w:rPr>
                <w:rFonts w:ascii="宋体" w:hAnsi="宋体" w:eastAsia="宋体" w:cs="Times New Roman"/>
                <w:sz w:val="21"/>
                <w:szCs w:val="21"/>
              </w:rPr>
            </w:pPr>
          </w:p>
        </w:tc>
        <w:tc>
          <w:tcPr>
            <w:tcW w:w="760" w:type="pct"/>
          </w:tcPr>
          <w:p w14:paraId="6F1F61DC">
            <w:pPr>
              <w:pStyle w:val="9"/>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9"/>
              <w:spacing w:line="360" w:lineRule="auto"/>
              <w:rPr>
                <w:rFonts w:ascii="宋体" w:hAnsi="宋体" w:eastAsia="宋体" w:cs="Times New Roman"/>
                <w:sz w:val="21"/>
                <w:szCs w:val="21"/>
              </w:rPr>
            </w:pPr>
          </w:p>
        </w:tc>
        <w:tc>
          <w:tcPr>
            <w:tcW w:w="814" w:type="pct"/>
            <w:vAlign w:val="center"/>
          </w:tcPr>
          <w:p w14:paraId="016A9A5B">
            <w:pPr>
              <w:pStyle w:val="9"/>
              <w:spacing w:line="360" w:lineRule="auto"/>
              <w:rPr>
                <w:rFonts w:ascii="宋体" w:hAnsi="宋体" w:eastAsia="宋体" w:cs="Times New Roman"/>
                <w:sz w:val="21"/>
                <w:szCs w:val="21"/>
              </w:rPr>
            </w:pPr>
          </w:p>
        </w:tc>
        <w:tc>
          <w:tcPr>
            <w:tcW w:w="665" w:type="pct"/>
          </w:tcPr>
          <w:p w14:paraId="05004B4F">
            <w:pPr>
              <w:pStyle w:val="9"/>
              <w:spacing w:line="360" w:lineRule="auto"/>
              <w:rPr>
                <w:rFonts w:ascii="宋体" w:hAnsi="宋体" w:eastAsia="宋体" w:cs="Times New Roman"/>
                <w:sz w:val="21"/>
                <w:szCs w:val="21"/>
              </w:rPr>
            </w:pPr>
          </w:p>
        </w:tc>
        <w:tc>
          <w:tcPr>
            <w:tcW w:w="884" w:type="pct"/>
          </w:tcPr>
          <w:p w14:paraId="1B64F57E">
            <w:pPr>
              <w:pStyle w:val="9"/>
              <w:spacing w:line="360" w:lineRule="auto"/>
              <w:rPr>
                <w:rFonts w:ascii="宋体" w:hAnsi="宋体" w:eastAsia="宋体" w:cs="Times New Roman"/>
                <w:sz w:val="21"/>
                <w:szCs w:val="21"/>
              </w:rPr>
            </w:pPr>
          </w:p>
        </w:tc>
        <w:tc>
          <w:tcPr>
            <w:tcW w:w="858" w:type="pct"/>
          </w:tcPr>
          <w:p w14:paraId="1DAF397A">
            <w:pPr>
              <w:pStyle w:val="9"/>
              <w:spacing w:line="360" w:lineRule="auto"/>
              <w:rPr>
                <w:rFonts w:ascii="宋体" w:hAnsi="宋体" w:eastAsia="宋体" w:cs="Times New Roman"/>
                <w:sz w:val="21"/>
                <w:szCs w:val="21"/>
              </w:rPr>
            </w:pPr>
          </w:p>
        </w:tc>
        <w:tc>
          <w:tcPr>
            <w:tcW w:w="760" w:type="pct"/>
          </w:tcPr>
          <w:p w14:paraId="05168403">
            <w:pPr>
              <w:pStyle w:val="9"/>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9"/>
              <w:spacing w:line="360" w:lineRule="auto"/>
              <w:rPr>
                <w:rFonts w:ascii="宋体" w:hAnsi="宋体" w:eastAsia="宋体" w:cs="Times New Roman"/>
                <w:sz w:val="21"/>
                <w:szCs w:val="21"/>
              </w:rPr>
            </w:pPr>
          </w:p>
        </w:tc>
        <w:tc>
          <w:tcPr>
            <w:tcW w:w="814" w:type="pct"/>
            <w:vAlign w:val="center"/>
          </w:tcPr>
          <w:p w14:paraId="0E4A8A62">
            <w:pPr>
              <w:pStyle w:val="9"/>
              <w:spacing w:line="360" w:lineRule="auto"/>
              <w:rPr>
                <w:rFonts w:ascii="宋体" w:hAnsi="宋体" w:eastAsia="宋体" w:cs="Times New Roman"/>
                <w:sz w:val="21"/>
                <w:szCs w:val="21"/>
              </w:rPr>
            </w:pPr>
          </w:p>
        </w:tc>
        <w:tc>
          <w:tcPr>
            <w:tcW w:w="665" w:type="pct"/>
          </w:tcPr>
          <w:p w14:paraId="2221091E">
            <w:pPr>
              <w:pStyle w:val="9"/>
              <w:spacing w:line="360" w:lineRule="auto"/>
              <w:rPr>
                <w:rFonts w:ascii="宋体" w:hAnsi="宋体" w:eastAsia="宋体" w:cs="Times New Roman"/>
                <w:sz w:val="21"/>
                <w:szCs w:val="21"/>
              </w:rPr>
            </w:pPr>
          </w:p>
        </w:tc>
        <w:tc>
          <w:tcPr>
            <w:tcW w:w="884" w:type="pct"/>
          </w:tcPr>
          <w:p w14:paraId="3FDA271B">
            <w:pPr>
              <w:pStyle w:val="9"/>
              <w:spacing w:line="360" w:lineRule="auto"/>
              <w:rPr>
                <w:rFonts w:ascii="宋体" w:hAnsi="宋体" w:eastAsia="宋体" w:cs="Times New Roman"/>
                <w:sz w:val="21"/>
                <w:szCs w:val="21"/>
              </w:rPr>
            </w:pPr>
          </w:p>
        </w:tc>
        <w:tc>
          <w:tcPr>
            <w:tcW w:w="858" w:type="pct"/>
          </w:tcPr>
          <w:p w14:paraId="5EE86661">
            <w:pPr>
              <w:pStyle w:val="9"/>
              <w:spacing w:line="360" w:lineRule="auto"/>
              <w:rPr>
                <w:rFonts w:ascii="宋体" w:hAnsi="宋体" w:eastAsia="宋体" w:cs="Times New Roman"/>
                <w:sz w:val="21"/>
                <w:szCs w:val="21"/>
              </w:rPr>
            </w:pPr>
          </w:p>
        </w:tc>
        <w:tc>
          <w:tcPr>
            <w:tcW w:w="760" w:type="pct"/>
          </w:tcPr>
          <w:p w14:paraId="2A6A54E6">
            <w:pPr>
              <w:pStyle w:val="9"/>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9</w:t>
      </w:r>
      <w:r>
        <w:rPr>
          <w:rFonts w:hint="eastAsia" w:ascii="宋体" w:hAnsi="宋体"/>
          <w:b/>
          <w:bCs/>
          <w:sz w:val="24"/>
          <w:szCs w:val="24"/>
        </w:rPr>
        <w:t xml:space="preserve">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9"/>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EA6CD"/>
    <w:multiLevelType w:val="singleLevel"/>
    <w:tmpl w:val="A4EEA6CD"/>
    <w:lvl w:ilvl="0" w:tentative="0">
      <w:start w:val="5"/>
      <w:numFmt w:val="chineseCounting"/>
      <w:suff w:val="space"/>
      <w:lvlText w:val="第%1章"/>
      <w:lvlJc w:val="left"/>
      <w:rPr>
        <w:rFonts w:hint="eastAsia"/>
      </w:rPr>
    </w:lvl>
  </w:abstractNum>
  <w:abstractNum w:abstractNumId="1">
    <w:nsid w:val="BE525062"/>
    <w:multiLevelType w:val="singleLevel"/>
    <w:tmpl w:val="BE525062"/>
    <w:lvl w:ilvl="0" w:tentative="0">
      <w:start w:val="5"/>
      <w:numFmt w:val="chineseCounting"/>
      <w:suff w:val="nothing"/>
      <w:lvlText w:val="（%1）"/>
      <w:lvlJc w:val="left"/>
      <w:rPr>
        <w:rFonts w:hint="eastAsia"/>
      </w:rPr>
    </w:lvl>
  </w:abstractNum>
  <w:abstractNum w:abstractNumId="2">
    <w:nsid w:val="C62B0283"/>
    <w:multiLevelType w:val="singleLevel"/>
    <w:tmpl w:val="C62B0283"/>
    <w:lvl w:ilvl="0" w:tentative="0">
      <w:start w:val="1"/>
      <w:numFmt w:val="decimal"/>
      <w:suff w:val="nothing"/>
      <w:lvlText w:val="%1、"/>
      <w:lvlJc w:val="left"/>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53208E"/>
    <w:multiLevelType w:val="singleLevel"/>
    <w:tmpl w:val="0053208E"/>
    <w:lvl w:ilvl="0" w:tentative="0">
      <w:start w:val="1"/>
      <w:numFmt w:val="decimal"/>
      <w:lvlText w:val="%1."/>
      <w:lvlJc w:val="left"/>
      <w:pPr>
        <w:tabs>
          <w:tab w:val="left" w:pos="312"/>
        </w:tabs>
      </w:pPr>
      <w:rPr>
        <w:rFonts w:hint="default"/>
        <w:sz w:val="24"/>
        <w:szCs w:val="24"/>
      </w:rPr>
    </w:lvl>
  </w:abstractNum>
  <w:abstractNum w:abstractNumId="7">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8">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3">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4">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8">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9">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1907421"/>
    <w:multiLevelType w:val="singleLevel"/>
    <w:tmpl w:val="21907421"/>
    <w:lvl w:ilvl="0" w:tentative="0">
      <w:start w:val="1"/>
      <w:numFmt w:val="decimal"/>
      <w:suff w:val="nothing"/>
      <w:lvlText w:val="（%1）"/>
      <w:lvlJc w:val="left"/>
      <w:rPr>
        <w:rFonts w:hint="default"/>
        <w:color w:val="auto"/>
      </w:rPr>
    </w:lvl>
  </w:abstractNum>
  <w:abstractNum w:abstractNumId="22">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34D46EC"/>
    <w:multiLevelType w:val="singleLevel"/>
    <w:tmpl w:val="234D46EC"/>
    <w:lvl w:ilvl="0" w:tentative="0">
      <w:start w:val="1"/>
      <w:numFmt w:val="chineseCounting"/>
      <w:suff w:val="space"/>
      <w:lvlText w:val="第%1章"/>
      <w:lvlJc w:val="left"/>
      <w:rPr>
        <w:rFonts w:hint="eastAsia"/>
      </w:rPr>
    </w:lvl>
  </w:abstractNum>
  <w:abstractNum w:abstractNumId="2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1">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7">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9">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9F817E8"/>
    <w:multiLevelType w:val="singleLevel"/>
    <w:tmpl w:val="59F817E8"/>
    <w:lvl w:ilvl="0" w:tentative="0">
      <w:start w:val="1"/>
      <w:numFmt w:val="chineseCounting"/>
      <w:pStyle w:val="65"/>
      <w:suff w:val="nothing"/>
      <w:lvlText w:val="%1、"/>
      <w:lvlJc w:val="left"/>
    </w:lvl>
  </w:abstractNum>
  <w:abstractNum w:abstractNumId="51">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7">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9">
    <w:nsid w:val="7C774CEF"/>
    <w:multiLevelType w:val="singleLevel"/>
    <w:tmpl w:val="7C774CEF"/>
    <w:lvl w:ilvl="0" w:tentative="0">
      <w:start w:val="1"/>
      <w:numFmt w:val="decimal"/>
      <w:suff w:val="nothing"/>
      <w:lvlText w:val="%1、"/>
      <w:lvlJc w:val="left"/>
    </w:lvl>
  </w:abstractNum>
  <w:abstractNum w:abstractNumId="70">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5"/>
  </w:num>
  <w:num w:numId="3">
    <w:abstractNumId w:val="50"/>
  </w:num>
  <w:num w:numId="4">
    <w:abstractNumId w:val="24"/>
  </w:num>
  <w:num w:numId="5">
    <w:abstractNumId w:val="3"/>
  </w:num>
  <w:num w:numId="6">
    <w:abstractNumId w:val="21"/>
  </w:num>
  <w:num w:numId="7">
    <w:abstractNumId w:val="6"/>
  </w:num>
  <w:num w:numId="8">
    <w:abstractNumId w:val="69"/>
  </w:num>
  <w:num w:numId="9">
    <w:abstractNumId w:val="1"/>
  </w:num>
  <w:num w:numId="10">
    <w:abstractNumId w:val="2"/>
  </w:num>
  <w:num w:numId="11">
    <w:abstractNumId w:val="20"/>
  </w:num>
  <w:num w:numId="12">
    <w:abstractNumId w:val="22"/>
  </w:num>
  <w:num w:numId="13">
    <w:abstractNumId w:val="56"/>
  </w:num>
  <w:num w:numId="14">
    <w:abstractNumId w:val="68"/>
  </w:num>
  <w:num w:numId="15">
    <w:abstractNumId w:val="65"/>
  </w:num>
  <w:num w:numId="16">
    <w:abstractNumId w:val="55"/>
  </w:num>
  <w:num w:numId="17">
    <w:abstractNumId w:val="30"/>
  </w:num>
  <w:num w:numId="18">
    <w:abstractNumId w:val="23"/>
  </w:num>
  <w:num w:numId="19">
    <w:abstractNumId w:val="58"/>
  </w:num>
  <w:num w:numId="20">
    <w:abstractNumId w:val="52"/>
  </w:num>
  <w:num w:numId="21">
    <w:abstractNumId w:val="64"/>
  </w:num>
  <w:num w:numId="22">
    <w:abstractNumId w:val="42"/>
  </w:num>
  <w:num w:numId="23">
    <w:abstractNumId w:val="17"/>
  </w:num>
  <w:num w:numId="24">
    <w:abstractNumId w:val="47"/>
  </w:num>
  <w:num w:numId="25">
    <w:abstractNumId w:val="10"/>
  </w:num>
  <w:num w:numId="26">
    <w:abstractNumId w:val="28"/>
  </w:num>
  <w:num w:numId="27">
    <w:abstractNumId w:val="44"/>
  </w:num>
  <w:num w:numId="28">
    <w:abstractNumId w:val="9"/>
  </w:num>
  <w:num w:numId="29">
    <w:abstractNumId w:val="61"/>
  </w:num>
  <w:num w:numId="30">
    <w:abstractNumId w:val="16"/>
  </w:num>
  <w:num w:numId="31">
    <w:abstractNumId w:val="33"/>
  </w:num>
  <w:num w:numId="32">
    <w:abstractNumId w:val="37"/>
  </w:num>
  <w:num w:numId="33">
    <w:abstractNumId w:val="25"/>
  </w:num>
  <w:num w:numId="34">
    <w:abstractNumId w:val="51"/>
  </w:num>
  <w:num w:numId="35">
    <w:abstractNumId w:val="31"/>
  </w:num>
  <w:num w:numId="36">
    <w:abstractNumId w:val="60"/>
  </w:num>
  <w:num w:numId="37">
    <w:abstractNumId w:val="38"/>
  </w:num>
  <w:num w:numId="38">
    <w:abstractNumId w:val="63"/>
  </w:num>
  <w:num w:numId="39">
    <w:abstractNumId w:val="18"/>
  </w:num>
  <w:num w:numId="40">
    <w:abstractNumId w:val="8"/>
  </w:num>
  <w:num w:numId="41">
    <w:abstractNumId w:val="14"/>
  </w:num>
  <w:num w:numId="42">
    <w:abstractNumId w:val="11"/>
  </w:num>
  <w:num w:numId="43">
    <w:abstractNumId w:val="35"/>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45"/>
  </w:num>
  <w:num w:numId="58">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62"/>
  </w:num>
  <w:num w:numId="63">
    <w:abstractNumId w:val="46"/>
  </w:num>
  <w:num w:numId="64">
    <w:abstractNumId w:val="26"/>
  </w:num>
  <w:num w:numId="65">
    <w:abstractNumId w:val="32"/>
  </w:num>
  <w:num w:numId="66">
    <w:abstractNumId w:val="40"/>
  </w:num>
  <w:num w:numId="67">
    <w:abstractNumId w:val="54"/>
  </w:num>
  <w:num w:numId="68">
    <w:abstractNumId w:val="71"/>
  </w:num>
  <w:num w:numId="69">
    <w:abstractNumId w:val="15"/>
  </w:num>
  <w:num w:numId="70">
    <w:abstractNumId w:val="41"/>
  </w:num>
  <w:num w:numId="71">
    <w:abstractNumId w:val="66"/>
  </w:num>
  <w:num w:numId="72">
    <w:abstractNumId w:val="0"/>
  </w:num>
  <w:num w:numId="7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CE57B8"/>
    <w:rsid w:val="01EE71A0"/>
    <w:rsid w:val="020044B1"/>
    <w:rsid w:val="02184C85"/>
    <w:rsid w:val="02F42009"/>
    <w:rsid w:val="03B207B6"/>
    <w:rsid w:val="03B44E81"/>
    <w:rsid w:val="03E7460F"/>
    <w:rsid w:val="04D37589"/>
    <w:rsid w:val="05921AC4"/>
    <w:rsid w:val="05A76A4C"/>
    <w:rsid w:val="05CD222A"/>
    <w:rsid w:val="060269B6"/>
    <w:rsid w:val="067F52D3"/>
    <w:rsid w:val="06A72A7B"/>
    <w:rsid w:val="07140111"/>
    <w:rsid w:val="0765096C"/>
    <w:rsid w:val="07B83B6F"/>
    <w:rsid w:val="081E3533"/>
    <w:rsid w:val="08E34143"/>
    <w:rsid w:val="091742F7"/>
    <w:rsid w:val="097D7536"/>
    <w:rsid w:val="09FC30DE"/>
    <w:rsid w:val="0B002E5D"/>
    <w:rsid w:val="0BC6115D"/>
    <w:rsid w:val="0BF56037"/>
    <w:rsid w:val="0C436DA2"/>
    <w:rsid w:val="0C4F2BA9"/>
    <w:rsid w:val="0C6A5094"/>
    <w:rsid w:val="0CA75583"/>
    <w:rsid w:val="0CC57239"/>
    <w:rsid w:val="0CD923C2"/>
    <w:rsid w:val="0D097FEC"/>
    <w:rsid w:val="0D30650C"/>
    <w:rsid w:val="0D38442D"/>
    <w:rsid w:val="0D4258E7"/>
    <w:rsid w:val="0D5A03EC"/>
    <w:rsid w:val="0DC31AF9"/>
    <w:rsid w:val="0DDC125D"/>
    <w:rsid w:val="0E8652B6"/>
    <w:rsid w:val="0EF16F8A"/>
    <w:rsid w:val="0F0547E3"/>
    <w:rsid w:val="0F2904D1"/>
    <w:rsid w:val="0F4B00B9"/>
    <w:rsid w:val="0FBD6E6C"/>
    <w:rsid w:val="100E1475"/>
    <w:rsid w:val="102B0279"/>
    <w:rsid w:val="108A31F2"/>
    <w:rsid w:val="110A68BF"/>
    <w:rsid w:val="12103BD7"/>
    <w:rsid w:val="121E4214"/>
    <w:rsid w:val="132E651F"/>
    <w:rsid w:val="137419B4"/>
    <w:rsid w:val="13B62550"/>
    <w:rsid w:val="14292D22"/>
    <w:rsid w:val="14885D40"/>
    <w:rsid w:val="1520048F"/>
    <w:rsid w:val="1534197E"/>
    <w:rsid w:val="15AE2BE6"/>
    <w:rsid w:val="162E62FE"/>
    <w:rsid w:val="1661121E"/>
    <w:rsid w:val="166C5148"/>
    <w:rsid w:val="182F467F"/>
    <w:rsid w:val="18F558C8"/>
    <w:rsid w:val="19306900"/>
    <w:rsid w:val="19483C4A"/>
    <w:rsid w:val="19C71013"/>
    <w:rsid w:val="1A02204B"/>
    <w:rsid w:val="1A367F46"/>
    <w:rsid w:val="1A6F007A"/>
    <w:rsid w:val="1B85380A"/>
    <w:rsid w:val="1BD17ACD"/>
    <w:rsid w:val="1BEC2FB3"/>
    <w:rsid w:val="1C566820"/>
    <w:rsid w:val="1CA73630"/>
    <w:rsid w:val="1CBB2985"/>
    <w:rsid w:val="1D22566A"/>
    <w:rsid w:val="1D332DC8"/>
    <w:rsid w:val="1D46139B"/>
    <w:rsid w:val="1D48392C"/>
    <w:rsid w:val="1D7403AC"/>
    <w:rsid w:val="1D7A073C"/>
    <w:rsid w:val="1DC835AB"/>
    <w:rsid w:val="1DC846D2"/>
    <w:rsid w:val="1E116D00"/>
    <w:rsid w:val="1E3B1FCF"/>
    <w:rsid w:val="1E934ADA"/>
    <w:rsid w:val="1E9E5F3D"/>
    <w:rsid w:val="1ED6635C"/>
    <w:rsid w:val="1F016D75"/>
    <w:rsid w:val="1F81420A"/>
    <w:rsid w:val="20762B03"/>
    <w:rsid w:val="20916509"/>
    <w:rsid w:val="210A3EE5"/>
    <w:rsid w:val="218C669E"/>
    <w:rsid w:val="21AD0AEE"/>
    <w:rsid w:val="23E10F23"/>
    <w:rsid w:val="251A6AD4"/>
    <w:rsid w:val="27101F3C"/>
    <w:rsid w:val="27895B59"/>
    <w:rsid w:val="27C546B8"/>
    <w:rsid w:val="27CB1FDF"/>
    <w:rsid w:val="28A47E0D"/>
    <w:rsid w:val="2974579E"/>
    <w:rsid w:val="29842A7C"/>
    <w:rsid w:val="29B02CBC"/>
    <w:rsid w:val="2A7F3244"/>
    <w:rsid w:val="2A87268B"/>
    <w:rsid w:val="2B1C2A88"/>
    <w:rsid w:val="2B3C1135"/>
    <w:rsid w:val="2CF25D23"/>
    <w:rsid w:val="2CF33A75"/>
    <w:rsid w:val="2EE8585B"/>
    <w:rsid w:val="2F0A3A24"/>
    <w:rsid w:val="2F0F2DE8"/>
    <w:rsid w:val="2FCC2A87"/>
    <w:rsid w:val="304D13E0"/>
    <w:rsid w:val="307A7AF5"/>
    <w:rsid w:val="30BA3228"/>
    <w:rsid w:val="31AC0DC2"/>
    <w:rsid w:val="31BE3656"/>
    <w:rsid w:val="322D0C63"/>
    <w:rsid w:val="32342B66"/>
    <w:rsid w:val="32C61A89"/>
    <w:rsid w:val="330662B0"/>
    <w:rsid w:val="335E6B36"/>
    <w:rsid w:val="33F56325"/>
    <w:rsid w:val="34256C0A"/>
    <w:rsid w:val="3487669F"/>
    <w:rsid w:val="353926C2"/>
    <w:rsid w:val="358A766C"/>
    <w:rsid w:val="35D61E88"/>
    <w:rsid w:val="361E1B63"/>
    <w:rsid w:val="36CD3FAC"/>
    <w:rsid w:val="36D13079"/>
    <w:rsid w:val="37285044"/>
    <w:rsid w:val="37803F47"/>
    <w:rsid w:val="37F47148"/>
    <w:rsid w:val="38097051"/>
    <w:rsid w:val="38404966"/>
    <w:rsid w:val="38AB7314"/>
    <w:rsid w:val="39231D25"/>
    <w:rsid w:val="392D778D"/>
    <w:rsid w:val="39761CB6"/>
    <w:rsid w:val="39E82BB3"/>
    <w:rsid w:val="3A306505"/>
    <w:rsid w:val="3A410516"/>
    <w:rsid w:val="3ADE3FB6"/>
    <w:rsid w:val="3AE66A84"/>
    <w:rsid w:val="3BD056AD"/>
    <w:rsid w:val="3CDC3488"/>
    <w:rsid w:val="3CFD6976"/>
    <w:rsid w:val="3D18555E"/>
    <w:rsid w:val="3D391317"/>
    <w:rsid w:val="3D4A148F"/>
    <w:rsid w:val="3E706AA3"/>
    <w:rsid w:val="3EB2553E"/>
    <w:rsid w:val="3ECC70E8"/>
    <w:rsid w:val="3F4441CA"/>
    <w:rsid w:val="3F536D21"/>
    <w:rsid w:val="3FEF631E"/>
    <w:rsid w:val="404228F2"/>
    <w:rsid w:val="40A94EAD"/>
    <w:rsid w:val="416036D4"/>
    <w:rsid w:val="41A24945"/>
    <w:rsid w:val="41C03354"/>
    <w:rsid w:val="41D279A9"/>
    <w:rsid w:val="41EC6AFB"/>
    <w:rsid w:val="42127FFC"/>
    <w:rsid w:val="422340D2"/>
    <w:rsid w:val="423053ED"/>
    <w:rsid w:val="42994282"/>
    <w:rsid w:val="42DF08CC"/>
    <w:rsid w:val="432163BA"/>
    <w:rsid w:val="437234EE"/>
    <w:rsid w:val="437B23A2"/>
    <w:rsid w:val="43833B65"/>
    <w:rsid w:val="43C114AA"/>
    <w:rsid w:val="444906F3"/>
    <w:rsid w:val="44C91833"/>
    <w:rsid w:val="44D04970"/>
    <w:rsid w:val="44D159A7"/>
    <w:rsid w:val="454B049A"/>
    <w:rsid w:val="457A54F1"/>
    <w:rsid w:val="457F41B2"/>
    <w:rsid w:val="458E2F8D"/>
    <w:rsid w:val="45B46B5A"/>
    <w:rsid w:val="46794B93"/>
    <w:rsid w:val="46B61944"/>
    <w:rsid w:val="470923BB"/>
    <w:rsid w:val="47576F7C"/>
    <w:rsid w:val="477525EB"/>
    <w:rsid w:val="477D6972"/>
    <w:rsid w:val="478C4B44"/>
    <w:rsid w:val="47BB0A1B"/>
    <w:rsid w:val="48094372"/>
    <w:rsid w:val="483E7E42"/>
    <w:rsid w:val="48DA43E6"/>
    <w:rsid w:val="48F86243"/>
    <w:rsid w:val="49A56FB8"/>
    <w:rsid w:val="49D26A89"/>
    <w:rsid w:val="4A8415A5"/>
    <w:rsid w:val="4AE72B77"/>
    <w:rsid w:val="4B616322"/>
    <w:rsid w:val="4B9F6E4A"/>
    <w:rsid w:val="4C23418A"/>
    <w:rsid w:val="4C3E6663"/>
    <w:rsid w:val="4CDB65A8"/>
    <w:rsid w:val="4D7E765F"/>
    <w:rsid w:val="4D7F33D7"/>
    <w:rsid w:val="4D812CAB"/>
    <w:rsid w:val="4D9036ED"/>
    <w:rsid w:val="4F172EB2"/>
    <w:rsid w:val="4F1F277C"/>
    <w:rsid w:val="4F381A8F"/>
    <w:rsid w:val="4F552641"/>
    <w:rsid w:val="4F923A7B"/>
    <w:rsid w:val="4FA40ED3"/>
    <w:rsid w:val="50067238"/>
    <w:rsid w:val="50B1220C"/>
    <w:rsid w:val="51452242"/>
    <w:rsid w:val="52322221"/>
    <w:rsid w:val="529E7E5B"/>
    <w:rsid w:val="52A35472"/>
    <w:rsid w:val="53670B95"/>
    <w:rsid w:val="53980D4F"/>
    <w:rsid w:val="53D578AD"/>
    <w:rsid w:val="53E2021C"/>
    <w:rsid w:val="542919A7"/>
    <w:rsid w:val="55733821"/>
    <w:rsid w:val="56231A34"/>
    <w:rsid w:val="565C6063"/>
    <w:rsid w:val="565D1DDC"/>
    <w:rsid w:val="56A7383F"/>
    <w:rsid w:val="574A05B2"/>
    <w:rsid w:val="577367A5"/>
    <w:rsid w:val="57AC4DC9"/>
    <w:rsid w:val="57C6703C"/>
    <w:rsid w:val="57FA3D86"/>
    <w:rsid w:val="584774D4"/>
    <w:rsid w:val="58B220EB"/>
    <w:rsid w:val="58E862D4"/>
    <w:rsid w:val="592856EA"/>
    <w:rsid w:val="59374B66"/>
    <w:rsid w:val="595C281E"/>
    <w:rsid w:val="596F2F5E"/>
    <w:rsid w:val="59883613"/>
    <w:rsid w:val="59D5489E"/>
    <w:rsid w:val="59E265EA"/>
    <w:rsid w:val="59FB3DE5"/>
    <w:rsid w:val="5A025174"/>
    <w:rsid w:val="5A3C1E2C"/>
    <w:rsid w:val="5A620455"/>
    <w:rsid w:val="5ABA40EA"/>
    <w:rsid w:val="5ACC7530"/>
    <w:rsid w:val="5B2F24B5"/>
    <w:rsid w:val="5BC433D0"/>
    <w:rsid w:val="5C4557EC"/>
    <w:rsid w:val="5CDE4FBC"/>
    <w:rsid w:val="5DC76A50"/>
    <w:rsid w:val="5E27164D"/>
    <w:rsid w:val="5E4A70E9"/>
    <w:rsid w:val="5F0C25F1"/>
    <w:rsid w:val="5F1D65AC"/>
    <w:rsid w:val="5F5B083F"/>
    <w:rsid w:val="601A422B"/>
    <w:rsid w:val="60912DAE"/>
    <w:rsid w:val="612E5306"/>
    <w:rsid w:val="613F280A"/>
    <w:rsid w:val="619F774C"/>
    <w:rsid w:val="61B72CE8"/>
    <w:rsid w:val="61BC5600"/>
    <w:rsid w:val="61D70C94"/>
    <w:rsid w:val="61EF2482"/>
    <w:rsid w:val="625B7B17"/>
    <w:rsid w:val="63040D4E"/>
    <w:rsid w:val="636B1FDC"/>
    <w:rsid w:val="63800A16"/>
    <w:rsid w:val="63E92F01"/>
    <w:rsid w:val="63FF44D2"/>
    <w:rsid w:val="6446136F"/>
    <w:rsid w:val="64C51278"/>
    <w:rsid w:val="64C9644F"/>
    <w:rsid w:val="650575AA"/>
    <w:rsid w:val="65624252"/>
    <w:rsid w:val="65965B7A"/>
    <w:rsid w:val="65B25CA0"/>
    <w:rsid w:val="667016B7"/>
    <w:rsid w:val="66A001EE"/>
    <w:rsid w:val="67130CEB"/>
    <w:rsid w:val="672957C5"/>
    <w:rsid w:val="676F7BC1"/>
    <w:rsid w:val="679E5E52"/>
    <w:rsid w:val="68580655"/>
    <w:rsid w:val="68613E1C"/>
    <w:rsid w:val="68701E42"/>
    <w:rsid w:val="68A86442"/>
    <w:rsid w:val="68C77CB4"/>
    <w:rsid w:val="68F6059A"/>
    <w:rsid w:val="690C519B"/>
    <w:rsid w:val="694A2730"/>
    <w:rsid w:val="69C81336"/>
    <w:rsid w:val="6A16113C"/>
    <w:rsid w:val="6AAE0F26"/>
    <w:rsid w:val="6B851761"/>
    <w:rsid w:val="6BDD2BA4"/>
    <w:rsid w:val="6C6972D4"/>
    <w:rsid w:val="6C9C4317"/>
    <w:rsid w:val="6CC7316E"/>
    <w:rsid w:val="6CF3231D"/>
    <w:rsid w:val="6D1045AC"/>
    <w:rsid w:val="6E13574A"/>
    <w:rsid w:val="6E3336F6"/>
    <w:rsid w:val="6E6B10E2"/>
    <w:rsid w:val="6F082DD5"/>
    <w:rsid w:val="6F586836"/>
    <w:rsid w:val="70BA1EAD"/>
    <w:rsid w:val="70F94A85"/>
    <w:rsid w:val="71072C18"/>
    <w:rsid w:val="71593931"/>
    <w:rsid w:val="7202032D"/>
    <w:rsid w:val="72B72A29"/>
    <w:rsid w:val="72E04F19"/>
    <w:rsid w:val="736B376C"/>
    <w:rsid w:val="742650CC"/>
    <w:rsid w:val="74D15349"/>
    <w:rsid w:val="74D8656F"/>
    <w:rsid w:val="755747BE"/>
    <w:rsid w:val="75C50DBF"/>
    <w:rsid w:val="75D05B45"/>
    <w:rsid w:val="761F3B91"/>
    <w:rsid w:val="764804B7"/>
    <w:rsid w:val="765A0A00"/>
    <w:rsid w:val="76AE24B4"/>
    <w:rsid w:val="77470212"/>
    <w:rsid w:val="778925D9"/>
    <w:rsid w:val="77B574A4"/>
    <w:rsid w:val="77E6121F"/>
    <w:rsid w:val="78746DE5"/>
    <w:rsid w:val="78AF42C1"/>
    <w:rsid w:val="78DD498A"/>
    <w:rsid w:val="790C1713"/>
    <w:rsid w:val="793B3DA7"/>
    <w:rsid w:val="79D3446D"/>
    <w:rsid w:val="79E7681A"/>
    <w:rsid w:val="79EF706B"/>
    <w:rsid w:val="79F74636"/>
    <w:rsid w:val="7B67425B"/>
    <w:rsid w:val="7BB97537"/>
    <w:rsid w:val="7BE92A89"/>
    <w:rsid w:val="7BE97AEA"/>
    <w:rsid w:val="7C482A62"/>
    <w:rsid w:val="7D0C3A90"/>
    <w:rsid w:val="7D3C1A3B"/>
    <w:rsid w:val="7D407EEB"/>
    <w:rsid w:val="7DF74D1C"/>
    <w:rsid w:val="7DFC1D56"/>
    <w:rsid w:val="7E2D0162"/>
    <w:rsid w:val="7E3E411D"/>
    <w:rsid w:val="7E4533AF"/>
    <w:rsid w:val="7E631E79"/>
    <w:rsid w:val="7EF464FF"/>
    <w:rsid w:val="7F605DAE"/>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1"/>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index 5"/>
    <w:basedOn w:val="1"/>
    <w:next w:val="1"/>
    <w:unhideWhenUsed/>
    <w:qFormat/>
    <w:uiPriority w:val="99"/>
    <w:pPr>
      <w:ind w:left="800" w:leftChars="800"/>
    </w:p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Body Text Indent"/>
    <w:basedOn w:val="1"/>
    <w:next w:val="13"/>
    <w:link w:val="43"/>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link w:val="66"/>
    <w:semiHidden/>
    <w:unhideWhenUsed/>
    <w:qFormat/>
    <w:uiPriority w:val="99"/>
    <w:pPr>
      <w:spacing w:after="120" w:line="480" w:lineRule="auto"/>
    </w:pPr>
  </w:style>
  <w:style w:type="paragraph" w:styleId="23">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2"/>
    <w:basedOn w:val="12"/>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style4"/>
    <w:basedOn w:val="1"/>
    <w:next w:val="33"/>
    <w:qFormat/>
    <w:uiPriority w:val="99"/>
    <w:pPr>
      <w:widowControl/>
      <w:spacing w:before="280" w:after="280"/>
    </w:pPr>
    <w:rPr>
      <w:rFonts w:ascii="宋体" w:hAnsi="Times New Roman" w:eastAsia="宋体" w:cs="Times New Roman"/>
      <w:sz w:val="18"/>
    </w:rPr>
  </w:style>
  <w:style w:type="paragraph" w:customStyle="1" w:styleId="33">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4">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5">
    <w:name w:val="列出段落1"/>
    <w:basedOn w:val="1"/>
    <w:qFormat/>
    <w:uiPriority w:val="99"/>
    <w:pPr>
      <w:ind w:firstLine="420" w:firstLineChars="200"/>
    </w:pPr>
  </w:style>
  <w:style w:type="character" w:customStyle="1" w:styleId="36">
    <w:name w:val="标题 1 Char"/>
    <w:basedOn w:val="28"/>
    <w:link w:val="4"/>
    <w:qFormat/>
    <w:uiPriority w:val="0"/>
    <w:rPr>
      <w:rFonts w:ascii="Calibri" w:hAnsi="Calibri" w:eastAsia="宋体" w:cs="Times New Roman"/>
      <w:b/>
      <w:bCs/>
      <w:kern w:val="44"/>
      <w:sz w:val="44"/>
      <w:szCs w:val="44"/>
    </w:rPr>
  </w:style>
  <w:style w:type="character" w:customStyle="1" w:styleId="37">
    <w:name w:val="标题 2 Char"/>
    <w:basedOn w:val="28"/>
    <w:link w:val="5"/>
    <w:qFormat/>
    <w:uiPriority w:val="0"/>
    <w:rPr>
      <w:rFonts w:ascii="Arial" w:hAnsi="Arial" w:eastAsia="黑体" w:cs="Times New Roman"/>
      <w:b/>
      <w:bCs/>
      <w:sz w:val="32"/>
      <w:szCs w:val="32"/>
    </w:rPr>
  </w:style>
  <w:style w:type="character" w:customStyle="1" w:styleId="38">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7"/>
    <w:qFormat/>
    <w:uiPriority w:val="0"/>
    <w:rPr>
      <w:rFonts w:ascii="Arial" w:hAnsi="Arial" w:eastAsia="黑体" w:cs="Times New Roman"/>
      <w:b/>
      <w:bCs/>
      <w:sz w:val="28"/>
      <w:szCs w:val="28"/>
    </w:rPr>
  </w:style>
  <w:style w:type="character" w:customStyle="1" w:styleId="40">
    <w:name w:val="正文文本 3 Char"/>
    <w:basedOn w:val="28"/>
    <w:link w:val="11"/>
    <w:qFormat/>
    <w:uiPriority w:val="0"/>
    <w:rPr>
      <w:rFonts w:ascii="Times New Roman" w:hAnsi="Times New Roman" w:eastAsia="宋体" w:cs="Times New Roman"/>
      <w:color w:val="FF0000"/>
      <w:sz w:val="24"/>
      <w:szCs w:val="24"/>
    </w:rPr>
  </w:style>
  <w:style w:type="character" w:customStyle="1" w:styleId="41">
    <w:name w:val="正文文本 Char"/>
    <w:basedOn w:val="28"/>
    <w:link w:val="3"/>
    <w:qFormat/>
    <w:uiPriority w:val="99"/>
  </w:style>
  <w:style w:type="character" w:customStyle="1" w:styleId="42">
    <w:name w:val="正文文本缩进 Char"/>
    <w:basedOn w:val="28"/>
    <w:qFormat/>
    <w:uiPriority w:val="0"/>
  </w:style>
  <w:style w:type="character" w:customStyle="1" w:styleId="43">
    <w:name w:val="正文文本缩进 Char1"/>
    <w:basedOn w:val="28"/>
    <w:link w:val="12"/>
    <w:qFormat/>
    <w:uiPriority w:val="0"/>
    <w:rPr>
      <w:kern w:val="0"/>
      <w:sz w:val="24"/>
      <w:szCs w:val="20"/>
    </w:rPr>
  </w:style>
  <w:style w:type="character" w:customStyle="1" w:styleId="44">
    <w:name w:val="纯文本 Char"/>
    <w:basedOn w:val="28"/>
    <w:link w:val="16"/>
    <w:qFormat/>
    <w:uiPriority w:val="0"/>
    <w:rPr>
      <w:rFonts w:eastAsia="宋体"/>
      <w:sz w:val="24"/>
    </w:rPr>
  </w:style>
  <w:style w:type="character" w:customStyle="1" w:styleId="45">
    <w:name w:val="日期 Char"/>
    <w:basedOn w:val="28"/>
    <w:link w:val="17"/>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8"/>
    <w:semiHidden/>
    <w:qFormat/>
    <w:uiPriority w:val="99"/>
    <w:rPr>
      <w:sz w:val="18"/>
      <w:szCs w:val="18"/>
    </w:rPr>
  </w:style>
  <w:style w:type="character" w:customStyle="1" w:styleId="48">
    <w:name w:val="页脚 Char"/>
    <w:basedOn w:val="28"/>
    <w:link w:val="19"/>
    <w:qFormat/>
    <w:uiPriority w:val="99"/>
    <w:rPr>
      <w:sz w:val="18"/>
      <w:szCs w:val="18"/>
    </w:rPr>
  </w:style>
  <w:style w:type="character" w:customStyle="1" w:styleId="49">
    <w:name w:val="页眉 Char"/>
    <w:basedOn w:val="28"/>
    <w:link w:val="20"/>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3"/>
    <w:semiHidden/>
    <w:qFormat/>
    <w:uiPriority w:val="99"/>
    <w:rPr>
      <w:rFonts w:ascii="Courier New" w:hAnsi="Courier New" w:cs="Courier New"/>
      <w:sz w:val="20"/>
      <w:szCs w:val="20"/>
    </w:rPr>
  </w:style>
  <w:style w:type="character" w:customStyle="1" w:styleId="52">
    <w:name w:val="正文首行缩进 Char"/>
    <w:basedOn w:val="41"/>
    <w:link w:val="2"/>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22"/>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 w:type="paragraph" w:customStyle="1" w:styleId="68">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8076</Words>
  <Characters>8976</Characters>
  <Lines>319</Lines>
  <Paragraphs>89</Paragraphs>
  <TotalTime>8</TotalTime>
  <ScaleCrop>false</ScaleCrop>
  <LinksUpToDate>false</LinksUpToDate>
  <CharactersWithSpaces>9033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空白的空白的空白_</cp:lastModifiedBy>
  <cp:lastPrinted>2021-05-12T07:15:00Z</cp:lastPrinted>
  <dcterms:modified xsi:type="dcterms:W3CDTF">2025-07-22T08:21:21Z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FBF453DA7B104E3185D27B8DDE5540B6_13</vt:lpwstr>
  </property>
  <property fmtid="{D5CDD505-2E9C-101B-9397-08002B2CF9AE}" pid="4" name="KSOTemplateDocerSaveRecord">
    <vt:lpwstr>eyJoZGlkIjoiMDhkODY3N2EzODAyZWJiZjgzMjVjMGIyMjY2YTY3OTYiLCJ1c2VySWQiOiI0MDk3MDc1NzQifQ==</vt:lpwstr>
  </property>
</Properties>
</file>