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FA551">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黑体" w:hAnsi="黑体" w:eastAsia="黑体" w:cs="黑体"/>
          <w:b/>
          <w:bCs/>
          <w:kern w:val="2"/>
          <w:sz w:val="44"/>
          <w:szCs w:val="44"/>
          <w:lang w:val="en-US" w:eastAsia="zh-CN" w:bidi="ar-SA"/>
        </w:rPr>
      </w:pPr>
      <w:r>
        <w:rPr>
          <w:rFonts w:hint="eastAsia" w:ascii="黑体" w:hAnsi="黑体" w:eastAsia="黑体" w:cs="黑体"/>
          <w:b/>
          <w:bCs/>
          <w:kern w:val="2"/>
          <w:sz w:val="44"/>
          <w:szCs w:val="44"/>
          <w:lang w:val="en-US" w:eastAsia="zh-CN" w:bidi="ar-SA"/>
        </w:rPr>
        <w:t>禹州市中医院数据中心紧急扩容项目</w:t>
      </w:r>
    </w:p>
    <w:p w14:paraId="6F249195">
      <w:pPr>
        <w:jc w:val="center"/>
        <w:rPr>
          <w:rFonts w:hint="eastAsia" w:ascii="黑体" w:hAnsi="黑体" w:eastAsia="黑体" w:cstheme="majorEastAsia"/>
          <w:b/>
          <w:bCs/>
          <w:sz w:val="44"/>
          <w:szCs w:val="44"/>
        </w:rPr>
      </w:pPr>
      <w:r>
        <w:rPr>
          <w:rFonts w:hint="eastAsia" w:ascii="黑体" w:hAnsi="黑体" w:eastAsia="黑体" w:cstheme="majorEastAsia"/>
          <w:b/>
          <w:bCs/>
          <w:sz w:val="44"/>
          <w:szCs w:val="44"/>
          <w:lang w:eastAsia="zh-CN"/>
        </w:rPr>
        <w:t>（</w:t>
      </w:r>
      <w:r>
        <w:rPr>
          <w:rFonts w:hint="eastAsia" w:ascii="黑体" w:hAnsi="黑体" w:eastAsia="黑体" w:cstheme="majorEastAsia"/>
          <w:b/>
          <w:bCs/>
          <w:sz w:val="44"/>
          <w:szCs w:val="44"/>
          <w:lang w:val="en-US" w:eastAsia="zh-CN"/>
        </w:rPr>
        <w:t>二次</w:t>
      </w:r>
      <w:r>
        <w:rPr>
          <w:rFonts w:hint="eastAsia" w:ascii="黑体" w:hAnsi="黑体" w:eastAsia="黑体" w:cstheme="majorEastAsia"/>
          <w:b/>
          <w:bCs/>
          <w:sz w:val="44"/>
          <w:szCs w:val="44"/>
          <w:lang w:eastAsia="zh-CN"/>
        </w:rPr>
        <w:t>）</w:t>
      </w:r>
      <w:r>
        <w:rPr>
          <w:rFonts w:hint="eastAsia" w:ascii="黑体" w:hAnsi="黑体" w:eastAsia="黑体" w:cstheme="majorEastAsia"/>
          <w:b/>
          <w:bCs/>
          <w:sz w:val="44"/>
          <w:szCs w:val="44"/>
        </w:rPr>
        <w:t>（不见面开标）</w:t>
      </w:r>
    </w:p>
    <w:p w14:paraId="1325EA6B">
      <w:pPr>
        <w:jc w:val="center"/>
        <w:rPr>
          <w:rFonts w:hint="eastAsia" w:ascii="黑体" w:hAnsi="黑体" w:eastAsia="黑体" w:cstheme="majorEastAsia"/>
          <w:b/>
          <w:bCs/>
          <w:sz w:val="44"/>
          <w:szCs w:val="44"/>
        </w:rPr>
      </w:pPr>
    </w:p>
    <w:p w14:paraId="2DBA3044">
      <w:pPr>
        <w:rPr>
          <w:rFonts w:ascii="微软简隶书" w:eastAsia="微软简隶书"/>
        </w:rPr>
      </w:pPr>
    </w:p>
    <w:p w14:paraId="6CAE04DB">
      <w:pPr>
        <w:rPr>
          <w:rFonts w:ascii="微软简隶书" w:eastAsia="微软简隶书"/>
        </w:rPr>
      </w:pPr>
    </w:p>
    <w:p w14:paraId="34C6F4ED">
      <w:pPr>
        <w:rPr>
          <w:rFonts w:ascii="微软简隶书" w:eastAsia="微软简隶书"/>
        </w:rPr>
      </w:pPr>
    </w:p>
    <w:p w14:paraId="1AC3341E">
      <w:pPr>
        <w:rPr>
          <w:rFonts w:ascii="微软简隶书" w:eastAsia="微软简隶书"/>
        </w:rPr>
      </w:pPr>
    </w:p>
    <w:p w14:paraId="5AD57DC6">
      <w:pPr>
        <w:rPr>
          <w:rFonts w:ascii="微软简隶书" w:eastAsia="微软简隶书"/>
        </w:rPr>
      </w:pPr>
    </w:p>
    <w:p w14:paraId="45078420">
      <w:pPr>
        <w:jc w:val="center"/>
        <w:rPr>
          <w:rFonts w:hint="eastAsia" w:ascii="华文细黑" w:hAnsi="华文细黑" w:eastAsia="华文细黑" w:cs="华文细黑"/>
          <w:b/>
          <w:bCs w:val="0"/>
          <w:w w:val="90"/>
          <w:sz w:val="96"/>
        </w:rPr>
      </w:pPr>
      <w:r>
        <w:rPr>
          <w:rFonts w:hint="eastAsia" w:ascii="华文细黑" w:hAnsi="华文细黑" w:eastAsia="华文细黑" w:cs="华文细黑"/>
          <w:b/>
          <w:bCs w:val="0"/>
          <w:w w:val="90"/>
          <w:sz w:val="96"/>
        </w:rPr>
        <w:t>竞争性谈判文件</w:t>
      </w:r>
    </w:p>
    <w:p w14:paraId="334C5DF7">
      <w:pPr>
        <w:rPr>
          <w:rFonts w:ascii="微软简隶书" w:eastAsia="微软简隶书"/>
        </w:rPr>
      </w:pPr>
    </w:p>
    <w:p w14:paraId="3F3C6203">
      <w:pPr>
        <w:rPr>
          <w:rFonts w:ascii="微软简隶书" w:eastAsia="微软简隶书"/>
        </w:rPr>
      </w:pPr>
    </w:p>
    <w:p w14:paraId="4BDEFFC2">
      <w:pPr>
        <w:rPr>
          <w:rFonts w:ascii="微软简隶书" w:eastAsia="微软简隶书"/>
        </w:rPr>
      </w:pPr>
    </w:p>
    <w:p w14:paraId="75F0BDDA">
      <w:pPr>
        <w:rPr>
          <w:rFonts w:ascii="微软简隶书" w:eastAsia="微软简隶书"/>
        </w:rPr>
      </w:pPr>
    </w:p>
    <w:p w14:paraId="45F8944E">
      <w:pPr>
        <w:rPr>
          <w:rFonts w:ascii="微软简隶书" w:eastAsia="微软简隶书"/>
        </w:rPr>
      </w:pPr>
    </w:p>
    <w:p w14:paraId="5DDC0CCC">
      <w:pPr>
        <w:rPr>
          <w:rFonts w:ascii="微软简隶书" w:eastAsia="微软简隶书"/>
        </w:rPr>
      </w:pPr>
    </w:p>
    <w:p w14:paraId="748D240C">
      <w:pPr>
        <w:rPr>
          <w:rFonts w:ascii="微软简隶书" w:eastAsia="微软简隶书"/>
        </w:rPr>
      </w:pPr>
    </w:p>
    <w:p w14:paraId="44F6704E">
      <w:pPr>
        <w:rPr>
          <w:rFonts w:ascii="微软简隶书" w:eastAsia="微软简隶书"/>
        </w:rPr>
      </w:pPr>
    </w:p>
    <w:p w14:paraId="761DC65A">
      <w:pPr>
        <w:rPr>
          <w:rFonts w:ascii="微软简隶书" w:eastAsia="微软简隶书"/>
        </w:rPr>
      </w:pPr>
    </w:p>
    <w:p w14:paraId="6B12C1D9">
      <w:pPr>
        <w:rPr>
          <w:rFonts w:ascii="微软简隶书" w:eastAsia="微软简隶书"/>
        </w:rPr>
      </w:pPr>
    </w:p>
    <w:p w14:paraId="6B0FC36A">
      <w:pPr>
        <w:outlineLvl w:val="0"/>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采购编号：YZCG-T202</w:t>
      </w:r>
      <w:r>
        <w:rPr>
          <w:rFonts w:hint="eastAsia" w:asciiTheme="majorEastAsia" w:hAnsiTheme="majorEastAsia" w:eastAsiaTheme="majorEastAsia" w:cstheme="majorEastAsia"/>
          <w:b/>
          <w:bCs/>
          <w:sz w:val="36"/>
          <w:szCs w:val="36"/>
          <w:lang w:val="en-US" w:eastAsia="zh-CN"/>
        </w:rPr>
        <w:t>5026-1</w:t>
      </w:r>
    </w:p>
    <w:p w14:paraId="503052F3">
      <w:pPr>
        <w:ind w:firstLine="1084" w:firstLineChars="300"/>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采购单位：禹州市</w:t>
      </w:r>
      <w:r>
        <w:rPr>
          <w:rFonts w:hint="eastAsia" w:asciiTheme="majorEastAsia" w:hAnsiTheme="majorEastAsia" w:eastAsiaTheme="majorEastAsia" w:cstheme="majorEastAsia"/>
          <w:b/>
          <w:bCs/>
          <w:sz w:val="36"/>
          <w:szCs w:val="36"/>
          <w:lang w:val="en-US" w:eastAsia="zh-CN"/>
        </w:rPr>
        <w:t>中医院</w:t>
      </w:r>
    </w:p>
    <w:p w14:paraId="1DA116CB">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14:paraId="7E1A6713">
      <w:pPr>
        <w:rPr>
          <w:rFonts w:asciiTheme="majorEastAsia" w:hAnsiTheme="majorEastAsia" w:eastAsiaTheme="majorEastAsia" w:cstheme="majorEastAsia"/>
          <w:b/>
          <w:bCs/>
          <w:sz w:val="36"/>
          <w:szCs w:val="36"/>
        </w:rPr>
      </w:pPr>
    </w:p>
    <w:p w14:paraId="633DBA61">
      <w:pPr>
        <w:jc w:val="center"/>
        <w:rPr>
          <w:rFonts w:hint="eastAsia" w:asciiTheme="majorEastAsia" w:hAnsiTheme="majorEastAsia" w:eastAsiaTheme="majorEastAsia" w:cstheme="majorEastAsia"/>
          <w:b/>
          <w:bCs/>
          <w:sz w:val="36"/>
          <w:szCs w:val="36"/>
        </w:rPr>
      </w:pPr>
    </w:p>
    <w:p w14:paraId="77166D23">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val="en-US" w:eastAsia="zh-CN"/>
        </w:rPr>
        <w:t>五</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九</w:t>
      </w:r>
      <w:r>
        <w:rPr>
          <w:rFonts w:hint="eastAsia" w:asciiTheme="majorEastAsia" w:hAnsiTheme="majorEastAsia" w:eastAsiaTheme="majorEastAsia" w:cstheme="majorEastAsia"/>
          <w:b/>
          <w:bCs/>
          <w:sz w:val="36"/>
          <w:szCs w:val="36"/>
        </w:rPr>
        <w:t>月</w:t>
      </w:r>
    </w:p>
    <w:p w14:paraId="1F2A770F">
      <w:pPr>
        <w:rPr>
          <w:rFonts w:asciiTheme="majorEastAsia" w:hAnsiTheme="majorEastAsia" w:eastAsiaTheme="majorEastAsia" w:cstheme="majorEastAsia"/>
          <w:b/>
          <w:bCs/>
          <w:sz w:val="36"/>
          <w:szCs w:val="36"/>
        </w:rPr>
      </w:pPr>
    </w:p>
    <w:p w14:paraId="215B43D1">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14:paraId="114516B4">
      <w:pPr>
        <w:autoSpaceDE w:val="0"/>
        <w:autoSpaceDN w:val="0"/>
        <w:adjustRightInd w:val="0"/>
        <w:spacing w:line="700" w:lineRule="exact"/>
        <w:jc w:val="center"/>
        <w:outlineLvl w:val="0"/>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14:paraId="13CED735">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14:paraId="40893BB4">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14:paraId="4B43C4A9">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14:paraId="6EBD350A">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14:paraId="16851133">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14:paraId="05D05DEB">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2E6B2981">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14:paraId="34E1F402">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14:paraId="2CC883FF">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14:paraId="6C176FBB">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14:paraId="2D3AF9EF">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14:paraId="70A43F76">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14:paraId="4F18D90D">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14:paraId="7B7034F3">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14:paraId="7AEDCC14">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14:paraId="3E98E809">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14:paraId="752236DA">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14:paraId="4C80E817">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14:paraId="4AB04370">
      <w:pPr>
        <w:numPr>
          <w:ilvl w:val="0"/>
          <w:numId w:val="0"/>
        </w:numPr>
        <w:jc w:val="both"/>
        <w:rPr>
          <w:rFonts w:hint="eastAsia" w:cs="宋体" w:asciiTheme="majorEastAsia" w:hAnsiTheme="majorEastAsia" w:eastAsiaTheme="majorEastAsia"/>
          <w:b/>
          <w:kern w:val="0"/>
          <w:sz w:val="32"/>
          <w:szCs w:val="32"/>
        </w:rPr>
      </w:pPr>
    </w:p>
    <w:p w14:paraId="3ED8F3B8">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禹州市政府采购中心受禹州市中医院的委托，对“禹州市中医院数据中心紧急扩容项目（二次）（不见面开标）”进行竞争性谈判，现邀请符合本文件规定条件的供应商前来投标。</w:t>
      </w:r>
    </w:p>
    <w:p w14:paraId="7B258189">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2"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一、采购编号</w:t>
      </w:r>
      <w:r>
        <w:rPr>
          <w:rFonts w:hint="eastAsia" w:asciiTheme="minorEastAsia" w:hAnsiTheme="minorEastAsia" w:eastAsiaTheme="minorEastAsia" w:cstheme="minorEastAsia"/>
          <w:kern w:val="2"/>
          <w:sz w:val="21"/>
          <w:szCs w:val="21"/>
          <w:lang w:val="en-US" w:eastAsia="zh-CN" w:bidi="ar-SA"/>
        </w:rPr>
        <w:t>：YZCG-T202</w:t>
      </w:r>
      <w:r>
        <w:rPr>
          <w:rFonts w:hint="eastAsia" w:asciiTheme="minorEastAsia" w:hAnsiTheme="minorEastAsia" w:cstheme="minorEastAsia"/>
          <w:kern w:val="2"/>
          <w:sz w:val="21"/>
          <w:szCs w:val="21"/>
          <w:lang w:val="en-US" w:eastAsia="zh-CN" w:bidi="ar-SA"/>
        </w:rPr>
        <w:t>5026-1</w:t>
      </w:r>
    </w:p>
    <w:p w14:paraId="6BDA9900">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二、项目名称：</w:t>
      </w:r>
      <w:r>
        <w:rPr>
          <w:rFonts w:hint="eastAsia" w:asciiTheme="minorEastAsia" w:hAnsiTheme="minorEastAsia" w:eastAsiaTheme="minorEastAsia" w:cstheme="minorEastAsia"/>
          <w:kern w:val="2"/>
          <w:sz w:val="21"/>
          <w:szCs w:val="21"/>
          <w:lang w:val="en-US" w:eastAsia="zh-CN" w:bidi="ar-SA"/>
        </w:rPr>
        <w:t>禹州市中医院数据中心紧急扩容项目（二次）（不见面开标）</w:t>
      </w:r>
    </w:p>
    <w:p w14:paraId="63E9D62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三、采购方式：</w:t>
      </w:r>
      <w:r>
        <w:rPr>
          <w:rFonts w:hint="eastAsia" w:asciiTheme="minorEastAsia" w:hAnsiTheme="minorEastAsia" w:eastAsiaTheme="minorEastAsia" w:cstheme="minorEastAsia"/>
          <w:kern w:val="2"/>
          <w:sz w:val="21"/>
          <w:szCs w:val="21"/>
          <w:lang w:val="en-US" w:eastAsia="zh-CN" w:bidi="ar-SA"/>
        </w:rPr>
        <w:t>竞争性谈判</w:t>
      </w:r>
    </w:p>
    <w:p w14:paraId="24934BF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四、项目属性：</w:t>
      </w:r>
      <w:r>
        <w:rPr>
          <w:rFonts w:hint="eastAsia" w:asciiTheme="minorEastAsia" w:hAnsiTheme="minorEastAsia" w:eastAsiaTheme="minorEastAsia" w:cstheme="minorEastAsia"/>
          <w:kern w:val="2"/>
          <w:sz w:val="21"/>
          <w:szCs w:val="21"/>
          <w:lang w:val="en-US" w:eastAsia="zh-CN" w:bidi="ar-SA"/>
        </w:rPr>
        <w:t>货物</w:t>
      </w:r>
    </w:p>
    <w:p w14:paraId="1FC8F2D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五、项目基本情况：</w:t>
      </w:r>
    </w:p>
    <w:p w14:paraId="27BFAC48">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1、采购人：禹州市中医院</w:t>
      </w:r>
    </w:p>
    <w:p w14:paraId="3E390CD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2、项目主要内容、数量及要求：添加数据库服务器、超融合服务器等共16项软硬件（详见谈判文件）</w:t>
      </w:r>
    </w:p>
    <w:p w14:paraId="550E39E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3、预算金额：1960000.00元 </w:t>
      </w:r>
    </w:p>
    <w:p w14:paraId="3AE94D28">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4、最高限价：1960000.00元 </w:t>
      </w:r>
    </w:p>
    <w:p w14:paraId="04FDEAE8">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5、履约时间：合同签订后15日历天内 </w:t>
      </w:r>
    </w:p>
    <w:p w14:paraId="347F10A5">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6、履约地点：禹州市中医院</w:t>
      </w:r>
    </w:p>
    <w:p w14:paraId="65CF337A">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7、分包：不允许</w:t>
      </w:r>
    </w:p>
    <w:p w14:paraId="53BDC194">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8、是否面向中小企业采购：否</w:t>
      </w:r>
    </w:p>
    <w:p w14:paraId="0B3FBC4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六、申请人的资格要求：</w:t>
      </w:r>
    </w:p>
    <w:p w14:paraId="57602B3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1、满足《中华人民共和国政府采购法》第二十二条规定；</w:t>
      </w:r>
    </w:p>
    <w:p w14:paraId="5C8D5427">
      <w:pPr>
        <w:widowControl/>
        <w:shd w:val="clear" w:color="auto" w:fill="FFFFFF"/>
        <w:spacing w:line="440" w:lineRule="exact"/>
        <w:ind w:firstLine="420" w:firstLineChars="200"/>
        <w:jc w:val="left"/>
        <w:rPr>
          <w:rFonts w:hint="eastAsia" w:ascii="仿宋" w:hAnsi="仿宋" w:eastAsia="仿宋" w:cs="仿宋"/>
          <w:kern w:val="0"/>
          <w:sz w:val="28"/>
          <w:szCs w:val="28"/>
          <w:lang w:val="en-US" w:eastAsia="zh-CN"/>
        </w:rPr>
      </w:pPr>
      <w:r>
        <w:rPr>
          <w:rFonts w:hint="eastAsia" w:asciiTheme="minorEastAsia" w:hAnsiTheme="minorEastAsia" w:eastAsiaTheme="minorEastAsia" w:cstheme="minorEastAsia"/>
          <w:kern w:val="2"/>
          <w:sz w:val="21"/>
          <w:szCs w:val="21"/>
          <w:lang w:val="en-US" w:eastAsia="zh-CN" w:bidi="ar-SA"/>
        </w:rPr>
        <w:t>2、本项目落实节约能源、保护环境、扶持不发达地区和少数民族地区、促进中小企业、监狱企业发展等政府采购政策。</w:t>
      </w:r>
    </w:p>
    <w:p w14:paraId="75871E5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3、本项目的特定资格要求：无。</w:t>
      </w:r>
    </w:p>
    <w:p w14:paraId="2AE796A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七、谈判文件的获取：</w:t>
      </w:r>
    </w:p>
    <w:p w14:paraId="2621FDE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即日起至投标截止时间，供应商使用CA数字证书或移动数字证书登录“全国公共资源交易平台（河南省·许昌市）”（下文所述“全国公共资源交易平台（河南省·许昌市）”的地址均为</w:t>
      </w:r>
      <w:r>
        <w:rPr>
          <w:rFonts w:hint="eastAsia" w:asciiTheme="minorEastAsia" w:hAnsiTheme="minorEastAsia" w:eastAsiaTheme="minorEastAsia" w:cstheme="minorEastAsia"/>
          <w:color w:val="FF0000"/>
          <w:kern w:val="2"/>
          <w:sz w:val="21"/>
          <w:szCs w:val="21"/>
          <w:u w:val="single"/>
          <w:lang w:val="en-US" w:eastAsia="zh-CN" w:bidi="ar-SA"/>
        </w:rPr>
        <w:t>https://ggzy.xuchang.gov.cn</w:t>
      </w:r>
      <w:r>
        <w:rPr>
          <w:rFonts w:hint="eastAsia" w:asciiTheme="minorEastAsia" w:hAnsiTheme="minorEastAsia" w:eastAsiaTheme="minorEastAsia" w:cstheme="minorEastAsia"/>
          <w:color w:val="FF0000"/>
          <w:kern w:val="2"/>
          <w:sz w:val="21"/>
          <w:szCs w:val="21"/>
          <w:lang w:val="en-US" w:eastAsia="zh-CN" w:bidi="ar-SA"/>
        </w:rPr>
        <w:t>）的“投标人”登录入口免费获取本项目采购文件。</w:t>
      </w:r>
    </w:p>
    <w:p w14:paraId="0529D23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0" w:right="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八、响应文件的提交方式及注意事项：</w:t>
      </w:r>
    </w:p>
    <w:p w14:paraId="6F4E829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19B14A1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九、谈判截止时间、谈判时间及地点：</w:t>
      </w:r>
    </w:p>
    <w:p w14:paraId="5D98F174">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1、谈判截止及谈判时间： 2025年9月12日8 时30分（北京时间），逾期提交或不符合规定的响应文件不予接受。</w:t>
      </w:r>
    </w:p>
    <w:p w14:paraId="4F021CC8">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2、谈判文件开启地点：禹州市公共资源交易中心九楼第二开标室。（本项目采用远程不见面开标方式，投标人无须到现场）。</w:t>
      </w:r>
    </w:p>
    <w:p w14:paraId="2E06C295">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十、开标注意事项：</w:t>
      </w:r>
    </w:p>
    <w:p w14:paraId="4A70C64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252BA69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十一、本次采购公告同时在《中国政府采购网》《河南省政府采购网》《许昌市政府采购网》、《全国公共资源交易平台（河南省·许昌市）》发布。</w:t>
      </w:r>
    </w:p>
    <w:p w14:paraId="4BB0F2F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十二、联系方式：</w:t>
      </w:r>
    </w:p>
    <w:p w14:paraId="0052145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采购人名称：禹州市中医院</w:t>
      </w:r>
    </w:p>
    <w:p w14:paraId="4F3002FA">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地址：禹州市钧官窑路69号</w:t>
      </w:r>
    </w:p>
    <w:p w14:paraId="190F9BBB">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840" w:firstLineChars="4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cstheme="minorEastAsia"/>
          <w:color w:val="000000"/>
          <w:szCs w:val="21"/>
          <w:shd w:val="clear" w:color="auto" w:fill="FFFFFF"/>
          <w:lang w:eastAsia="zh-CN"/>
        </w:rPr>
        <w:t>：</w:t>
      </w:r>
      <w:r>
        <w:rPr>
          <w:rFonts w:hint="eastAsia" w:asciiTheme="minorEastAsia" w:hAnsiTheme="minorEastAsia" w:eastAsiaTheme="minorEastAsia" w:cstheme="minorEastAsia"/>
          <w:kern w:val="2"/>
          <w:sz w:val="21"/>
          <w:szCs w:val="21"/>
          <w:lang w:val="en-US" w:eastAsia="zh-CN" w:bidi="ar-SA"/>
        </w:rPr>
        <w:t xml:space="preserve">董先生 </w:t>
      </w:r>
      <w:r>
        <w:rPr>
          <w:rFonts w:hint="eastAsia" w:asciiTheme="minorEastAsia" w:hAnsiTheme="minorEastAsia" w:cstheme="minorEastAsia"/>
          <w:color w:val="000000"/>
          <w:szCs w:val="21"/>
          <w:shd w:val="clear" w:color="auto" w:fill="FFFFFF"/>
          <w:lang w:val="en-US" w:eastAsia="zh-CN"/>
        </w:rPr>
        <w:t xml:space="preserve">  </w:t>
      </w:r>
      <w:r>
        <w:rPr>
          <w:rFonts w:hint="eastAsia" w:asciiTheme="minorEastAsia" w:hAnsiTheme="minorEastAsia" w:eastAsiaTheme="minorEastAsia" w:cstheme="minorEastAsia"/>
          <w:color w:val="000000"/>
          <w:szCs w:val="21"/>
          <w:shd w:val="clear" w:color="auto" w:fill="FFFFFF"/>
        </w:rPr>
        <w:t>联系电话：</w:t>
      </w:r>
      <w:r>
        <w:rPr>
          <w:rFonts w:hint="eastAsia" w:asciiTheme="minorEastAsia" w:hAnsiTheme="minorEastAsia" w:eastAsiaTheme="minorEastAsia" w:cstheme="minorEastAsia"/>
          <w:color w:val="000000"/>
          <w:szCs w:val="21"/>
          <w:shd w:val="clear" w:color="auto" w:fill="FFFFFF"/>
          <w:lang w:val="en-US" w:eastAsia="zh-CN"/>
        </w:rPr>
        <w:t>0374-8816966</w:t>
      </w:r>
    </w:p>
    <w:p w14:paraId="3BF059E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集中采购机构：禹州市政府采购中心 </w:t>
      </w:r>
    </w:p>
    <w:p w14:paraId="66195AF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地址：禹州市行政服务中心楼8楼820室</w:t>
      </w:r>
    </w:p>
    <w:p w14:paraId="5FC8131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w:t>
      </w:r>
      <w:r>
        <w:rPr>
          <w:rFonts w:hint="eastAsia" w:asciiTheme="minorEastAsia" w:hAnsiTheme="minorEastAsia" w:eastAsiaTheme="minorEastAsia" w:cstheme="minorEastAsia"/>
          <w:color w:val="000000"/>
          <w:kern w:val="2"/>
          <w:sz w:val="21"/>
          <w:szCs w:val="21"/>
          <w:shd w:val="clear" w:color="auto" w:fill="FFFFFF"/>
          <w:lang w:val="en-US" w:eastAsia="zh-CN" w:bidi="ar-SA"/>
        </w:rPr>
        <w:t>人：朱先生</w:t>
      </w:r>
      <w:r>
        <w:rPr>
          <w:rFonts w:hint="eastAsia" w:asciiTheme="minorEastAsia" w:hAnsiTheme="minorEastAsia" w:eastAsiaTheme="minorEastAsia" w:cstheme="minorEastAsia"/>
          <w:kern w:val="2"/>
          <w:sz w:val="21"/>
          <w:szCs w:val="21"/>
          <w:lang w:val="en-US" w:eastAsia="zh-CN" w:bidi="ar-SA"/>
        </w:rPr>
        <w:t xml:space="preserve">   联系电话：0374-2077111</w:t>
      </w:r>
    </w:p>
    <w:p w14:paraId="7353DEA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监督单位：禹州市政府采购监督管理办公室</w:t>
      </w:r>
    </w:p>
    <w:p w14:paraId="3079C6D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联系人：赵先生   联系电话：0374-8112523</w:t>
      </w:r>
    </w:p>
    <w:p w14:paraId="70732CDC">
      <w:pPr>
        <w:pStyle w:val="23"/>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b/>
          <w:bCs/>
          <w:i w:val="0"/>
          <w:iCs w:val="0"/>
          <w:color w:val="000000"/>
          <w:spacing w:val="0"/>
          <w:w w:val="100"/>
          <w:sz w:val="28"/>
          <w:szCs w:val="28"/>
          <w:vertAlign w:val="baseline"/>
        </w:rPr>
      </w:pPr>
    </w:p>
    <w:p w14:paraId="20430A59">
      <w:pPr>
        <w:pStyle w:val="23"/>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b/>
          <w:bCs/>
          <w:i w:val="0"/>
          <w:iCs w:val="0"/>
          <w:color w:val="000000"/>
          <w:spacing w:val="0"/>
          <w:w w:val="100"/>
          <w:sz w:val="28"/>
          <w:szCs w:val="28"/>
          <w:vertAlign w:val="baseline"/>
        </w:rPr>
      </w:pPr>
    </w:p>
    <w:p w14:paraId="4EC5BF7C">
      <w:pPr>
        <w:pStyle w:val="23"/>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b/>
          <w:bCs/>
          <w:i w:val="0"/>
          <w:iCs w:val="0"/>
          <w:color w:val="000000"/>
          <w:spacing w:val="0"/>
          <w:w w:val="100"/>
          <w:sz w:val="28"/>
          <w:szCs w:val="28"/>
          <w:vertAlign w:val="baseline"/>
        </w:rPr>
      </w:pPr>
    </w:p>
    <w:p w14:paraId="235367F0">
      <w:pPr>
        <w:pStyle w:val="23"/>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8"/>
          <w:szCs w:val="28"/>
          <w:vertAlign w:val="baseline"/>
        </w:rPr>
        <w:t>温馨提示：</w:t>
      </w:r>
    </w:p>
    <w:p w14:paraId="4D7D8C10">
      <w:pPr>
        <w:pStyle w:val="23"/>
        <w:keepNext w:val="0"/>
        <w:keepLines w:val="0"/>
        <w:widowControl/>
        <w:suppressLineNumbers w:val="0"/>
        <w:spacing w:before="0" w:beforeAutospacing="0" w:after="0" w:afterAutospacing="0" w:line="23" w:lineRule="atLeast"/>
        <w:ind w:left="0" w:right="0" w:firstLine="42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8"/>
          <w:szCs w:val="28"/>
          <w:vertAlign w:val="baseline"/>
        </w:rPr>
        <w:t>本项目为全流程电子化交易项目，请注意以下事项。</w:t>
      </w:r>
    </w:p>
    <w:p w14:paraId="71714BA3">
      <w:pPr>
        <w:pStyle w:val="23"/>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供应商参加本项目投标，需提前自行联系CA数字证书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服务机构办理数字认证证书并进行电子签章。</w:t>
      </w:r>
    </w:p>
    <w:p w14:paraId="78CCCD06">
      <w:pPr>
        <w:pStyle w:val="23"/>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文件下载、响应文件制作、提交、远程不见面开标（电子投标文件的解密）环节，供应商须使用同一个CA数字证书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（证书须在有效期内并可正常使用）。</w:t>
      </w:r>
    </w:p>
    <w:p w14:paraId="6201CB9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1"/>
          <w:szCs w:val="21"/>
          <w:vertAlign w:val="baseline"/>
        </w:rPr>
        <w:t>3.电子响应文件的制作</w:t>
      </w:r>
    </w:p>
    <w:p w14:paraId="54618C4E">
      <w:pPr>
        <w:pStyle w:val="23"/>
        <w:keepNext w:val="0"/>
        <w:keepLines w:val="0"/>
        <w:pageBreakBefore w:val="0"/>
        <w:widowControl/>
        <w:numPr>
          <w:ilvl w:val="1"/>
          <w:numId w:val="6"/>
        </w:numPr>
        <w:suppressLineNumbers w:val="0"/>
        <w:kinsoku/>
        <w:wordWrap/>
        <w:overflowPunct/>
        <w:topLinePunct w:val="0"/>
        <w:autoSpaceDE/>
        <w:autoSpaceDN/>
        <w:bidi w:val="0"/>
        <w:adjustRightInd/>
        <w:snapToGrid/>
        <w:spacing w:before="0" w:beforeAutospacing="0" w:after="0" w:afterAutospacing="0" w:line="440" w:lineRule="exact"/>
        <w:ind w:left="840" w:leftChars="200" w:right="0" w:hanging="42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供应商登录“</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下载</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“新点投标文件制作软件（河南省版）”的最新版本制作电子响应文件</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p>
    <w:p w14:paraId="68AE3F9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FF0000"/>
          <w:lang w:val="en-US" w:eastAsia="zh-CN"/>
        </w:rPr>
        <w:t>1.2</w:t>
      </w:r>
      <w:r>
        <w:rPr>
          <w:rFonts w:hint="eastAsia" w:asciiTheme="minorEastAsia" w:hAnsiTheme="minorEastAsia" w:eastAsiaTheme="minorEastAsia" w:cstheme="minorEastAsia"/>
          <w:color w:val="FF0000"/>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供应商对同一项目多个标段进行响应的，应分别下载所投标段的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文件，按标段制作响应文件。一个标段对应生成2份电子响应文件（后缀格式为.XCSTF和.nXCSTF）,其中后缀格式为“.XCSTF”的加密电子响应文件用于上传至交易系统中投标。</w:t>
      </w:r>
    </w:p>
    <w:p w14:paraId="1FAF90E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加密电子响应文件的提交</w:t>
      </w:r>
    </w:p>
    <w:p w14:paraId="6A92E36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供应商对同一项目多个标段进行响应的，加密电子响应文件应按标段分别提交。</w:t>
      </w:r>
    </w:p>
    <w:p w14:paraId="5ED6C4F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加密电子响应文件成功上传至“</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后，应在上传页面进行模拟解密，以验证是否能够成功解密。</w:t>
      </w:r>
    </w:p>
    <w:p w14:paraId="20C535A4">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远程不见面开标（电子响应文件的解密）</w:t>
      </w:r>
    </w:p>
    <w:p w14:paraId="28566F76">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lang w:val="en-US" w:eastAsia="zh-CN"/>
        </w:rPr>
        <w:t>5.1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本项目采用远程不见面开标方式，投标前请详细阅读“</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vertAlign w:val="baseline"/>
        </w:rPr>
        <w:t>“服务指南”栏目下《必看！新交易平台使用手册》中的相关内容。</w:t>
      </w:r>
    </w:p>
    <w:p w14:paraId="6A2FED2D">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供应商应按新交易平台使用手册提前设置好浏览器，并于开标时间前登录本项目网上开标大厅，按照规定的开标时间准时参加网上开标。</w:t>
      </w:r>
    </w:p>
    <w:p w14:paraId="3B2B1AB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5.3</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根据开标大厅界面右侧“公告栏”中的系统提示，供应商应在“标书解密”环节完成解密操作。供应商未解密或因供应商原因解密失败的，其响应文件将被退回。</w:t>
      </w:r>
    </w:p>
    <w:p w14:paraId="50D031A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在“唱标”环节，供应商应对唱标信息进行确认，供应商未进行唱标确认操作的，视同认可唱标结果。</w:t>
      </w:r>
    </w:p>
    <w:p w14:paraId="3971F16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5.5</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在“开标结束”环节，供应商应在《开标情况记录表》上进行电子签章。供应商未签章的，视同认可开标结果。</w:t>
      </w:r>
    </w:p>
    <w:p w14:paraId="17C3B67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p>
    <w:p w14:paraId="62ED2F9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5.6</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供应商对开标过程和开标记录如有异议，可在本项目开标大厅界面右下方“发起异议”中提出提出异议。</w:t>
      </w:r>
    </w:p>
    <w:p w14:paraId="1437E6FC">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评标依据</w:t>
      </w:r>
    </w:p>
    <w:p w14:paraId="76FB3002">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全流程电子化交易（不见面开标）项目，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小组以成功上传、解密的电子响应文件为评审依据。</w:t>
      </w:r>
    </w:p>
    <w:p w14:paraId="64954BE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评审期间，供应商（参加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的法定代表人或其授权代表）应保持通讯手机畅通，并根据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小组要求在规定时间内提供：</w:t>
      </w:r>
    </w:p>
    <w:p w14:paraId="59C44E9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51"/>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（1）最后报价（加盖公章，或者由法定代表人或其授权的代表签字）；</w:t>
      </w:r>
    </w:p>
    <w:p w14:paraId="020C8DC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0" w:firstLine="1"/>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提交方式：供应商须使用CA数字证书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登录“</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进行最后报价，最后报价应包括：①总报价②分项报价。</w:t>
      </w:r>
    </w:p>
    <w:p w14:paraId="1F7DB0B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4"/>
          <w:szCs w:val="24"/>
          <w:vertAlign w:val="baseline"/>
        </w:rPr>
        <w:t>注：①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小组要求供应商提交最后报价时，在</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小组规定时间内，供应商应提交最后报价（包括总报价及分项报价）。最后报价是供应商响应文件的有效组成部分。</w:t>
      </w:r>
    </w:p>
    <w:p w14:paraId="6365DD0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②</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文件第二章“采购需求”中“采购清单”以工程量清单提供的，供应商应以工程量清单方式提交最后报价。</w:t>
      </w:r>
    </w:p>
    <w:p w14:paraId="7331FAB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③请供应商根据项目情况，可提前准备分项报价。</w:t>
      </w:r>
    </w:p>
    <w:p w14:paraId="58E8D4D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49" w:leftChars="404" w:right="0" w:hanging="1"/>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（2）</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小组如要求供应商提供“澄清、说明或者更正”；“按照</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文件的变动情况和</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小组的要求重新提交响应文件”；“最终设计方案或解决方案”的，供应商提供的书面材料应加盖公章，或者由法定代表人或其授权的代表签字后通过电子邮件形式提供。</w:t>
      </w:r>
    </w:p>
    <w:p w14:paraId="598C912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47" w:leftChars="202" w:right="0" w:hanging="423"/>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6.3 </w:t>
      </w:r>
      <w:r>
        <w:rPr>
          <w:rFonts w:hint="eastAsia" w:asciiTheme="minorEastAsia" w:hAnsiTheme="minorEastAsia" w:eastAsiaTheme="minorEastAsia" w:cstheme="minorEastAsia"/>
          <w:b w:val="0"/>
          <w:bCs w:val="0"/>
          <w:i w:val="0"/>
          <w:iCs w:val="0"/>
          <w:color w:val="000000"/>
          <w:spacing w:val="0"/>
          <w:w w:val="100"/>
          <w:sz w:val="21"/>
          <w:szCs w:val="21"/>
          <w:vertAlign w:val="baseline"/>
        </w:rPr>
        <w:t>如因供应商（参加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的法定代表人或其授权代表）未按照本项目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文件第八章“响应文件有关格式”二“报价一览表”要求，在响应文件中未预留手机号码或因供应商自身原因导致</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小组无法联系供应商参加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最后报价）的，其风险由供应商自行承担，采购人与集中采购机构不承担任何责任。</w:t>
      </w:r>
    </w:p>
    <w:p w14:paraId="402C92B3">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FF0000"/>
          <w:spacing w:val="0"/>
          <w:w w:val="100"/>
          <w:sz w:val="21"/>
          <w:szCs w:val="21"/>
          <w:vertAlign w:val="baseline"/>
        </w:rPr>
        <w:t>相关事项</w:t>
      </w:r>
    </w:p>
    <w:p w14:paraId="2518266A">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b w:val="0"/>
          <w:bCs w:val="0"/>
          <w:i w:val="0"/>
          <w:iCs w:val="0"/>
          <w:color w:val="FF0000"/>
          <w:spacing w:val="0"/>
          <w:w w:val="100"/>
          <w:sz w:val="21"/>
          <w:szCs w:val="21"/>
          <w:vertAlign w:val="baseline"/>
        </w:rPr>
      </w:pPr>
      <w:r>
        <w:rPr>
          <w:rFonts w:hint="eastAsia" w:asciiTheme="minorEastAsia" w:hAnsiTheme="minorEastAsia" w:eastAsiaTheme="minorEastAsia" w:cstheme="minorEastAsia"/>
          <w:lang w:val="en-US" w:eastAsia="zh-CN"/>
        </w:rPr>
        <w:t>7.1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为使更多供应商能参加投标，本项目招标文件公告期限届满后仍允许下载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文件参加投标，但为提高采购效率，在公告期限届满之后下载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文件的质疑期限从公告期限届满之日起计算；在公告期限届满之前下载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文件的质疑期限从下载之日起计算。</w:t>
      </w:r>
    </w:p>
    <w:p w14:paraId="7F502B1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lang w:val="en-US" w:eastAsia="zh-CN"/>
        </w:rPr>
        <w:t>7.2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采购公告栏提供的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文件仅供浏览。供应商下载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文件应使用 CA 数字证书</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FF0000"/>
          <w:spacing w:val="0"/>
          <w:w w:val="100"/>
          <w:sz w:val="21"/>
          <w:szCs w:val="21"/>
          <w:vertAlign w:val="baseline"/>
        </w:rPr>
        <w:t>从</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lang w:eastAsia="zh-CN"/>
        </w:rPr>
        <w:t>供应商</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”登录入口获取本项目招标文件。</w:t>
      </w:r>
    </w:p>
    <w:p w14:paraId="487B5C5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color w:val="FF0000"/>
          <w:kern w:val="0"/>
          <w:sz w:val="32"/>
          <w:szCs w:val="32"/>
        </w:rPr>
      </w:pPr>
    </w:p>
    <w:p w14:paraId="49552F38">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641E501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05CAF084">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8D5BEC8">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62B600A">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67B043A">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F252807">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1FD0A11E">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C38684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6284B59">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BD18D99">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453C172C">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8365C58">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4771966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DC36A2A">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5ADD7F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9C7A939">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1462D95">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0F1A4A30">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385AD8A5">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51A6CF9E">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1D132E04">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4336CBB3">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09598B73">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34508A45">
      <w:pPr>
        <w:pStyle w:val="55"/>
        <w:widowControl/>
        <w:numPr>
          <w:ilvl w:val="0"/>
          <w:numId w:val="0"/>
        </w:numPr>
        <w:ind w:leftChars="0" w:firstLine="3213" w:firstLineChars="1000"/>
        <w:outlineLvl w:val="0"/>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val="en-US" w:eastAsia="zh-CN"/>
        </w:rPr>
        <w:t xml:space="preserve">第二章  </w:t>
      </w:r>
      <w:r>
        <w:rPr>
          <w:rFonts w:hint="eastAsia" w:cs="宋体" w:asciiTheme="majorEastAsia" w:hAnsiTheme="majorEastAsia" w:eastAsiaTheme="majorEastAsia"/>
          <w:b/>
          <w:kern w:val="0"/>
          <w:sz w:val="32"/>
          <w:szCs w:val="32"/>
        </w:rPr>
        <w:t>采购需求</w:t>
      </w:r>
    </w:p>
    <w:p w14:paraId="78584948">
      <w:pPr>
        <w:pStyle w:val="55"/>
        <w:widowControl/>
        <w:numPr>
          <w:ilvl w:val="0"/>
          <w:numId w:val="0"/>
        </w:numPr>
        <w:ind w:leftChars="0" w:firstLine="3213" w:firstLineChars="1000"/>
        <w:outlineLvl w:val="0"/>
        <w:rPr>
          <w:rFonts w:hint="eastAsia" w:cs="宋体" w:asciiTheme="majorEastAsia" w:hAnsiTheme="majorEastAsia" w:eastAsiaTheme="majorEastAsia"/>
          <w:b/>
          <w:kern w:val="0"/>
          <w:sz w:val="32"/>
          <w:szCs w:val="32"/>
        </w:rPr>
      </w:pPr>
    </w:p>
    <w:p w14:paraId="2A1A9322">
      <w:pPr>
        <w:widowControl/>
        <w:shd w:val="clear" w:color="auto" w:fill="FFFFFF"/>
        <w:spacing w:line="560" w:lineRule="exact"/>
        <w:ind w:firstLine="482" w:firstLineChars="2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宋体" w:hAnsi="宋体" w:eastAsia="宋体" w:cs="黑体"/>
          <w:b/>
          <w:bCs/>
          <w:sz w:val="24"/>
          <w:szCs w:val="24"/>
          <w:shd w:val="clear" w:color="auto" w:fill="FFFFFF"/>
        </w:rPr>
        <w:t>一、本项目需实现的功能或者目标</w:t>
      </w:r>
      <w:r>
        <w:rPr>
          <w:rFonts w:hint="eastAsia" w:ascii="宋体" w:hAnsi="宋体" w:eastAsia="宋体" w:cs="黑体"/>
          <w:b/>
          <w:bCs/>
          <w:sz w:val="24"/>
          <w:szCs w:val="24"/>
          <w:shd w:val="clear" w:color="auto" w:fill="FFFFFF"/>
          <w:lang w:eastAsia="zh-CN"/>
        </w:rPr>
        <w:t>：</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1</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对本次所有软硬件进行集成部署</w:t>
      </w:r>
    </w:p>
    <w:p w14:paraId="60BC4181">
      <w:pPr>
        <w:widowControl/>
        <w:shd w:val="clear" w:color="auto" w:fill="FFFFFF"/>
        <w:spacing w:line="560" w:lineRule="exact"/>
        <w:ind w:firstLine="420" w:firstLineChars="2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2.</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数据库数据迁移至本次采购数据库设备</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3.</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业务虚拟机迁移至本次采购虚拟化设备4</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利旧设备并入本次采购虚拟化环境中5</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应用虚拟机迁移至本次采购超融合服务器</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6.</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提供以上服务的实施方案。</w:t>
      </w:r>
    </w:p>
    <w:p w14:paraId="4D24EA2A">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黑体"/>
          <w:b/>
          <w:bCs/>
          <w:sz w:val="24"/>
          <w:szCs w:val="24"/>
          <w:shd w:val="clear" w:color="auto" w:fill="FFFFFF"/>
          <w:lang w:eastAsia="zh-CN"/>
        </w:rPr>
      </w:pPr>
      <w:r>
        <w:rPr>
          <w:rFonts w:hint="eastAsia" w:ascii="宋体" w:hAnsi="宋体" w:eastAsia="宋体" w:cs="黑体"/>
          <w:b/>
          <w:bCs/>
          <w:sz w:val="24"/>
          <w:szCs w:val="24"/>
          <w:shd w:val="clear" w:color="auto" w:fill="FFFFFF"/>
          <w:lang w:val="en-US" w:eastAsia="zh-CN"/>
        </w:rPr>
        <w:t>二、</w:t>
      </w:r>
      <w:r>
        <w:rPr>
          <w:rFonts w:hint="eastAsia" w:ascii="宋体" w:hAnsi="宋体" w:eastAsia="宋体" w:cs="黑体"/>
          <w:b/>
          <w:bCs/>
          <w:sz w:val="24"/>
          <w:szCs w:val="24"/>
          <w:shd w:val="clear" w:color="auto" w:fill="FFFFFF"/>
        </w:rPr>
        <w:t>采购清单</w:t>
      </w:r>
      <w:r>
        <w:rPr>
          <w:rFonts w:hint="eastAsia" w:ascii="宋体" w:hAnsi="宋体" w:eastAsia="宋体" w:cs="黑体"/>
          <w:b/>
          <w:bCs/>
          <w:sz w:val="24"/>
          <w:szCs w:val="24"/>
          <w:shd w:val="clear" w:color="auto" w:fill="FFFFFF"/>
          <w:lang w:eastAsia="zh-CN"/>
        </w:rPr>
        <w:t>：</w:t>
      </w:r>
    </w:p>
    <w:tbl>
      <w:tblPr>
        <w:tblStyle w:val="26"/>
        <w:tblW w:w="9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517"/>
        <w:gridCol w:w="5472"/>
        <w:gridCol w:w="660"/>
        <w:gridCol w:w="961"/>
      </w:tblGrid>
      <w:tr w14:paraId="0E48C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05" w:type="dxa"/>
            <w:shd w:val="clear" w:color="auto" w:fill="auto"/>
            <w:vAlign w:val="top"/>
          </w:tcPr>
          <w:p w14:paraId="15622F01">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序号</w:t>
            </w:r>
          </w:p>
        </w:tc>
        <w:tc>
          <w:tcPr>
            <w:tcW w:w="1517" w:type="dxa"/>
            <w:shd w:val="clear" w:color="auto" w:fill="auto"/>
            <w:vAlign w:val="top"/>
          </w:tcPr>
          <w:p w14:paraId="6BEFED94">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名称</w:t>
            </w:r>
          </w:p>
        </w:tc>
        <w:tc>
          <w:tcPr>
            <w:tcW w:w="5472" w:type="dxa"/>
            <w:shd w:val="clear" w:color="auto" w:fill="auto"/>
            <w:vAlign w:val="top"/>
          </w:tcPr>
          <w:p w14:paraId="1803EC06">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参数</w:t>
            </w:r>
          </w:p>
        </w:tc>
        <w:tc>
          <w:tcPr>
            <w:tcW w:w="660" w:type="dxa"/>
            <w:shd w:val="clear" w:color="auto" w:fill="auto"/>
            <w:vAlign w:val="top"/>
          </w:tcPr>
          <w:p w14:paraId="31168C2D">
            <w:pPr>
              <w:keepNext w:val="0"/>
              <w:keepLines w:val="0"/>
              <w:pageBreakBefore w:val="0"/>
              <w:kinsoku/>
              <w:overflowPunct/>
              <w:topLinePunct w:val="0"/>
              <w:autoSpaceDE/>
              <w:autoSpaceDN/>
              <w:bidi w:val="0"/>
              <w:adjustRightInd/>
              <w:snapToGrid/>
              <w:spacing w:line="596" w:lineRule="exact"/>
              <w:jc w:val="left"/>
              <w:textAlignment w:val="auto"/>
              <w:rPr>
                <w:rFonts w:hint="eastAsia" w:ascii="仿宋" w:hAnsi="仿宋" w:eastAsia="仿宋" w:cs="仿宋"/>
                <w:sz w:val="21"/>
                <w:szCs w:val="21"/>
              </w:rPr>
            </w:pPr>
            <w:r>
              <w:rPr>
                <w:rFonts w:hint="eastAsia" w:ascii="仿宋" w:hAnsi="仿宋" w:eastAsia="仿宋" w:cs="仿宋"/>
                <w:sz w:val="21"/>
                <w:szCs w:val="21"/>
              </w:rPr>
              <w:t>数量</w:t>
            </w:r>
          </w:p>
        </w:tc>
        <w:tc>
          <w:tcPr>
            <w:tcW w:w="961" w:type="dxa"/>
            <w:shd w:val="clear" w:color="auto" w:fill="auto"/>
            <w:vAlign w:val="top"/>
          </w:tcPr>
          <w:p w14:paraId="124B60ED">
            <w:pPr>
              <w:keepNext w:val="0"/>
              <w:keepLines w:val="0"/>
              <w:pageBreakBefore w:val="0"/>
              <w:kinsoku/>
              <w:overflowPunct/>
              <w:topLinePunct w:val="0"/>
              <w:autoSpaceDE/>
              <w:autoSpaceDN/>
              <w:bidi w:val="0"/>
              <w:adjustRightInd/>
              <w:snapToGrid/>
              <w:spacing w:line="596" w:lineRule="exact"/>
              <w:jc w:val="left"/>
              <w:textAlignment w:val="auto"/>
              <w:rPr>
                <w:rFonts w:hint="eastAsia" w:ascii="仿宋" w:hAnsi="仿宋" w:eastAsia="仿宋" w:cs="仿宋"/>
                <w:sz w:val="21"/>
                <w:szCs w:val="21"/>
              </w:rPr>
            </w:pPr>
            <w:r>
              <w:rPr>
                <w:rFonts w:hint="eastAsia" w:ascii="仿宋" w:hAnsi="仿宋" w:eastAsia="仿宋" w:cs="仿宋"/>
                <w:sz w:val="21"/>
                <w:szCs w:val="21"/>
              </w:rPr>
              <w:t>备注</w:t>
            </w:r>
          </w:p>
        </w:tc>
      </w:tr>
      <w:tr w14:paraId="52F5D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dxa"/>
            <w:shd w:val="clear" w:color="auto" w:fill="auto"/>
            <w:vAlign w:val="top"/>
          </w:tcPr>
          <w:p w14:paraId="502EDB81">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1517" w:type="dxa"/>
            <w:shd w:val="clear" w:color="auto" w:fill="auto"/>
            <w:vAlign w:val="top"/>
          </w:tcPr>
          <w:p w14:paraId="05BD1F34">
            <w:pPr>
              <w:keepNext w:val="0"/>
              <w:keepLines w:val="0"/>
              <w:pageBreakBefore w:val="0"/>
              <w:kinsoku/>
              <w:overflowPunct/>
              <w:topLinePunct w:val="0"/>
              <w:autoSpaceDE/>
              <w:autoSpaceDN/>
              <w:bidi w:val="0"/>
              <w:adjustRightInd/>
              <w:snapToGrid/>
              <w:spacing w:line="596" w:lineRule="exact"/>
              <w:jc w:val="left"/>
              <w:textAlignment w:val="auto"/>
              <w:rPr>
                <w:rFonts w:hint="eastAsia" w:ascii="仿宋" w:hAnsi="仿宋" w:eastAsia="仿宋" w:cs="仿宋"/>
                <w:sz w:val="21"/>
                <w:szCs w:val="21"/>
              </w:rPr>
            </w:pPr>
            <w:r>
              <w:rPr>
                <w:rFonts w:hint="eastAsia" w:ascii="仿宋" w:hAnsi="仿宋" w:eastAsia="仿宋" w:cs="仿宋"/>
                <w:sz w:val="21"/>
                <w:szCs w:val="21"/>
              </w:rPr>
              <w:t>超融合服务器</w:t>
            </w:r>
          </w:p>
        </w:tc>
        <w:tc>
          <w:tcPr>
            <w:tcW w:w="5472" w:type="dxa"/>
            <w:shd w:val="clear" w:color="auto" w:fill="auto"/>
            <w:vAlign w:val="top"/>
          </w:tcPr>
          <w:p w14:paraId="3490225C">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1、≥2U高度，标准机架式服务器，标配原厂导轨；</w:t>
            </w:r>
          </w:p>
          <w:p w14:paraId="55B10260">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2、≥2颗X86架构处理器， 主频≥2.0GHz，核数≥28核每颗；</w:t>
            </w:r>
          </w:p>
          <w:p w14:paraId="7885A90E">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3、≥8条32GB DDR4-3200内存，支持≥32个DDR4内存槽位；</w:t>
            </w:r>
          </w:p>
          <w:p w14:paraId="41C5F850">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color w:val="FF0000"/>
                <w:sz w:val="21"/>
                <w:szCs w:val="21"/>
              </w:rPr>
            </w:pPr>
            <w:r>
              <w:rPr>
                <w:rFonts w:hint="eastAsia" w:ascii="仿宋" w:hAnsi="仿宋" w:eastAsia="仿宋" w:cs="仿宋"/>
                <w:sz w:val="21"/>
                <w:szCs w:val="21"/>
              </w:rPr>
              <w:t>4、配置≥2 块480GB SSD 系统盘，≥2块1.92TB NVMe 缓存盘，≥4 块4TB HDD 数据盘；支持SAS/SATA HDD/SSD硬盘，支持≥35个普通硬盘或者≥24块NVMe硬盘。</w:t>
            </w:r>
          </w:p>
          <w:p w14:paraId="63535CB7">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5、配置≥1 块独立PCIe RAID卡，≥4GB缓存，带掉电保护装置;</w:t>
            </w:r>
          </w:p>
          <w:p w14:paraId="4B7CB409">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6、提供≥10个PCIe4.0标准槽位和1个OCP 3.0槽位；</w:t>
            </w:r>
          </w:p>
          <w:p w14:paraId="1C67E4F8">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7、配置≥4个千兆电网口，≥4个万兆光网口；</w:t>
            </w:r>
          </w:p>
          <w:p w14:paraId="5C9B7044">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8、配置≥2块冗余电源和风扇；</w:t>
            </w:r>
          </w:p>
          <w:p w14:paraId="08E50A98">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9、免费提供的服务器集群管理软件，可统一管理服务器（含海光、鲲鹏、飞腾、X86架构），可管理节点数不小于100；</w:t>
            </w:r>
          </w:p>
          <w:p w14:paraId="45AF6924">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10、通过传感器实现对服务器的温度、电压状态全面监控，可通过BMC页面查看温度、电流、电压、风扇转速传感器的历史曲线信息；</w:t>
            </w:r>
          </w:p>
          <w:p w14:paraId="3EC2A12D">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11、支持将一台服务器的操作系统（含应用、驱动、分区）批量复制到多台服务器，支持克隆Linux、VMware ESXi操作系统以及支持(克隆)镜像管理；</w:t>
            </w:r>
          </w:p>
          <w:p w14:paraId="6A5E1C82">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12、支持固件&amp;驱动版本自动同步以及对版本进行合规性检测，免费更新，提升服务器版本管理效率。</w:t>
            </w:r>
          </w:p>
          <w:p w14:paraId="63D43085">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p>
          <w:p w14:paraId="79FE04E8">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软件需求：</w:t>
            </w:r>
          </w:p>
          <w:p w14:paraId="29F747D3">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1、通过超融合服务器管理平台即可实现对计算、存储、网络等资源进行统一管理，所有功能无需界面跳转即可实现全部操作，真正融合、简化管理。</w:t>
            </w:r>
          </w:p>
          <w:p w14:paraId="1BB2C273">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针对超融合整体软硬件故障问题，提供统一的可视的监控管理软件，可视化实时监控软件从硬件可靠性（包括CPU、内存、磁盘、物理网卡和Raid卡）、系统可靠性（包括集群主机、分布式存储、集群网络配置状态和集群资源过载状态）、服务可靠性（包括站点容灾、集群可靠性HA、应用HA、计算资源DRS、虚拟机运行状态和虚拟机备份）三大层面进行实时监控、分层展示，运维人员可以直观查看集群的整体运行情况，可以快速诊断集群的健康状态，同时支持对无需关注的检测异常启用屏蔽功能，启用屏蔽功能的检测异常将不会上报显示，可视、可控、可管，简化运维。</w:t>
            </w:r>
          </w:p>
          <w:p w14:paraId="53C8A82B">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3、超融合管理平台集成融合在线的p2v、v2v迁移工具，支持业界主流的操作系统、虚拟化平台、公有云。包括但不限于原项目中的VMware、华为、H3C 、深信服等厂商平台的迁移，提升被迁移业务平台的普适性、提升业务迁移的便捷性，降低业务迁移的工作量。</w:t>
            </w:r>
          </w:p>
          <w:p w14:paraId="792AA0A1">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4、支持对整个平台实现网络拓扑管理，支持在网络拓扑页面查看当前网络配置、增删虚拟交换机、增删虚拟网卡、增删虚拟防火墙、操作虚拟机、防火墙关联虚拟机网卡，提供功能彩页截图或官网截图证明。</w:t>
            </w:r>
          </w:p>
          <w:p w14:paraId="0B249FE6">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5、支持快速查看、启动、删除、批量启动和批量删除长时间未使用且处于关闭状态的虚拟机，进行资源利用率统计，降低运维工作量与难度，保障投资。</w:t>
            </w:r>
          </w:p>
          <w:p w14:paraId="1202956D">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6、虚拟机可以实现物理机的全部功能，如具有自己的资源（内存、CPU、网卡、存储），可以指定单独的IP地址、MAC地址等。支持虚拟机规格的在线和离线调整，包括CPU、内存、硬盘、网卡等资源，在虚拟机操作系统本身的前提下，热添加的CPU/内存可以即时生效。</w:t>
            </w:r>
          </w:p>
          <w:p w14:paraId="45CCC0A7">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color w:val="FF0000"/>
                <w:sz w:val="21"/>
                <w:szCs w:val="21"/>
              </w:rPr>
            </w:pPr>
            <w:r>
              <w:rPr>
                <w:rFonts w:hint="eastAsia" w:ascii="仿宋" w:hAnsi="仿宋" w:eastAsia="仿宋" w:cs="仿宋"/>
                <w:sz w:val="21"/>
                <w:szCs w:val="21"/>
              </w:rPr>
              <w:t>7、支持虚拟机迁移历史记录功能，记录中包含迁移的操作员、迁移方式、源主机、目的主机、开始时间、迁移耗时等信息，便于对虚拟机的迁移路径进行回溯；</w:t>
            </w:r>
          </w:p>
          <w:p w14:paraId="1C64E76E">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8、支持集群动态资源调度功能，可基于主机的CPU利用率、内存利用率、磁盘I/O、存储利用率、磁盘请求、网络流量等资源对虚拟机进行动态资源调度，实现自动化的存储资源分配和负载均衡功能，主动确保云环境的服务水平，为业务系统提供健康可用的资源环境；</w:t>
            </w:r>
          </w:p>
          <w:p w14:paraId="77BC1A30">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9、投标人应提供超融合产品制造厂商售后技术支持服务(免费三年以上及终身有偿服务)。</w:t>
            </w:r>
          </w:p>
          <w:p w14:paraId="241086C6">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10、超融合服务器需出厂即预装软件，开箱即用，硬件和软件为同一品牌。</w:t>
            </w:r>
          </w:p>
        </w:tc>
        <w:tc>
          <w:tcPr>
            <w:tcW w:w="660" w:type="dxa"/>
            <w:shd w:val="clear" w:color="auto" w:fill="auto"/>
            <w:vAlign w:val="top"/>
          </w:tcPr>
          <w:p w14:paraId="72CA4D7B">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961" w:type="dxa"/>
            <w:shd w:val="clear" w:color="auto" w:fill="auto"/>
            <w:vAlign w:val="top"/>
          </w:tcPr>
          <w:p w14:paraId="434D1421">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p>
        </w:tc>
      </w:tr>
      <w:tr w14:paraId="2BD0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dxa"/>
            <w:shd w:val="clear" w:color="auto" w:fill="auto"/>
            <w:vAlign w:val="top"/>
          </w:tcPr>
          <w:p w14:paraId="1F6B5360">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1517" w:type="dxa"/>
            <w:shd w:val="clear" w:color="auto" w:fill="auto"/>
            <w:vAlign w:val="top"/>
          </w:tcPr>
          <w:p w14:paraId="2AD225F2">
            <w:pPr>
              <w:keepNext w:val="0"/>
              <w:keepLines w:val="0"/>
              <w:pageBreakBefore w:val="0"/>
              <w:kinsoku/>
              <w:overflowPunct/>
              <w:topLinePunct w:val="0"/>
              <w:autoSpaceDE/>
              <w:autoSpaceDN/>
              <w:bidi w:val="0"/>
              <w:adjustRightInd/>
              <w:snapToGrid/>
              <w:spacing w:line="596" w:lineRule="exact"/>
              <w:jc w:val="left"/>
              <w:textAlignment w:val="auto"/>
              <w:rPr>
                <w:rFonts w:hint="eastAsia" w:ascii="仿宋" w:hAnsi="仿宋" w:eastAsia="仿宋" w:cs="仿宋"/>
                <w:sz w:val="21"/>
                <w:szCs w:val="21"/>
              </w:rPr>
            </w:pPr>
            <w:r>
              <w:rPr>
                <w:rFonts w:hint="eastAsia" w:ascii="仿宋" w:hAnsi="仿宋" w:eastAsia="仿宋" w:cs="仿宋"/>
                <w:sz w:val="21"/>
                <w:szCs w:val="21"/>
              </w:rPr>
              <w:t>超融合交换机</w:t>
            </w:r>
          </w:p>
        </w:tc>
        <w:tc>
          <w:tcPr>
            <w:tcW w:w="5472" w:type="dxa"/>
            <w:shd w:val="clear" w:color="auto" w:fill="auto"/>
            <w:vAlign w:val="top"/>
          </w:tcPr>
          <w:p w14:paraId="1CEBC144">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1、交换容量≥2.56Tbps，包转发率≥360Mpps；</w:t>
            </w:r>
          </w:p>
          <w:p w14:paraId="102AF5DA">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2、提供≥24个1/10G SFP端口；</w:t>
            </w:r>
          </w:p>
          <w:p w14:paraId="237853FD">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3、支持链路聚合和虚拟化技术；</w:t>
            </w:r>
          </w:p>
          <w:p w14:paraId="6D942F00">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4、支持VRRP、OSPFv1/v2、OSPF v3、BGP、ISIS等增强三层路由协议；</w:t>
            </w:r>
          </w:p>
          <w:p w14:paraId="6D2687EC">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5、支持CPU保护功能；</w:t>
            </w:r>
          </w:p>
          <w:p w14:paraId="4873702D">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6、支持内置智能图形化管理功能，能够实现通过图形化界面设备配置及命令一键下发和版本智能升级，全局配置及网管口配置，设备升级备份、监控及设备故障替换，组网拓扑可视及管理、设备列表展示等功能，提供功能彩页截图或官网截图证明。</w:t>
            </w:r>
          </w:p>
          <w:p w14:paraId="510640AE">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7、为保证兼容性</w:t>
            </w:r>
            <w:r>
              <w:rPr>
                <w:rFonts w:hint="eastAsia" w:ascii="仿宋" w:hAnsi="仿宋" w:eastAsia="仿宋" w:cs="仿宋"/>
                <w:bCs/>
                <w:sz w:val="21"/>
                <w:szCs w:val="21"/>
              </w:rPr>
              <w:t>，超融合交换机需与超融合服务器同一品牌。</w:t>
            </w:r>
          </w:p>
        </w:tc>
        <w:tc>
          <w:tcPr>
            <w:tcW w:w="660" w:type="dxa"/>
            <w:shd w:val="clear" w:color="auto" w:fill="auto"/>
            <w:vAlign w:val="top"/>
          </w:tcPr>
          <w:p w14:paraId="5BAC0C41">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961" w:type="dxa"/>
            <w:shd w:val="clear" w:color="auto" w:fill="auto"/>
            <w:vAlign w:val="top"/>
          </w:tcPr>
          <w:p w14:paraId="01097360">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p>
        </w:tc>
      </w:tr>
      <w:tr w14:paraId="0818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dxa"/>
            <w:shd w:val="clear" w:color="auto" w:fill="auto"/>
            <w:vAlign w:val="top"/>
          </w:tcPr>
          <w:p w14:paraId="401618FA">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1517" w:type="dxa"/>
            <w:shd w:val="clear" w:color="auto" w:fill="auto"/>
            <w:vAlign w:val="top"/>
          </w:tcPr>
          <w:p w14:paraId="439965B0">
            <w:pPr>
              <w:keepNext w:val="0"/>
              <w:keepLines w:val="0"/>
              <w:pageBreakBefore w:val="0"/>
              <w:kinsoku/>
              <w:overflowPunct/>
              <w:topLinePunct w:val="0"/>
              <w:autoSpaceDE/>
              <w:autoSpaceDN/>
              <w:bidi w:val="0"/>
              <w:adjustRightInd/>
              <w:snapToGrid/>
              <w:spacing w:line="596" w:lineRule="exact"/>
              <w:jc w:val="left"/>
              <w:textAlignment w:val="auto"/>
              <w:rPr>
                <w:rFonts w:hint="eastAsia" w:ascii="仿宋" w:hAnsi="仿宋" w:eastAsia="仿宋" w:cs="仿宋"/>
                <w:sz w:val="21"/>
                <w:szCs w:val="21"/>
              </w:rPr>
            </w:pPr>
            <w:r>
              <w:rPr>
                <w:rFonts w:hint="eastAsia" w:ascii="仿宋" w:hAnsi="仿宋" w:eastAsia="仿宋" w:cs="仿宋"/>
                <w:sz w:val="21"/>
                <w:szCs w:val="21"/>
              </w:rPr>
              <w:t>虚拟化服务器</w:t>
            </w:r>
          </w:p>
        </w:tc>
        <w:tc>
          <w:tcPr>
            <w:tcW w:w="5472" w:type="dxa"/>
            <w:shd w:val="clear" w:color="auto" w:fill="auto"/>
            <w:vAlign w:val="top"/>
          </w:tcPr>
          <w:p w14:paraId="458B0C3F">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1、设备高度≥2U，标配原厂导轨；</w:t>
            </w:r>
          </w:p>
          <w:p w14:paraId="3CA56CAA">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2、配置≥2颗X86架构处理器， 主频≥2.0GHz，核数≥28核每颗；</w:t>
            </w:r>
          </w:p>
          <w:p w14:paraId="4B2FD657">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3、配置≥16 根 32GB DDR4-3200内存条，支持≥32个DDR4内存槽位；</w:t>
            </w:r>
          </w:p>
          <w:p w14:paraId="523C1BCB">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4、配置≥2 块480GB SSD 硬盘，支持SAS/SATA HDD/SSD硬盘，支持≥35个普通硬盘或者≥24块NVMe硬盘，提供功能彩页截图或官网截图证明；</w:t>
            </w:r>
          </w:p>
          <w:p w14:paraId="54D1D09C">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5、配置≥1 块独立PCIe RAID卡，</w:t>
            </w:r>
            <w:r>
              <w:rPr>
                <w:rFonts w:hint="eastAsia" w:ascii="仿宋" w:hAnsi="仿宋" w:eastAsia="仿宋" w:cs="仿宋"/>
                <w:color w:val="000000" w:themeColor="text1"/>
                <w:sz w:val="21"/>
                <w:szCs w:val="21"/>
                <w14:textFill>
                  <w14:solidFill>
                    <w14:schemeClr w14:val="tx1"/>
                  </w14:solidFill>
                </w14:textFill>
              </w:rPr>
              <w:t>≥4GB缓存</w:t>
            </w:r>
            <w:r>
              <w:rPr>
                <w:rFonts w:hint="eastAsia" w:ascii="仿宋" w:hAnsi="仿宋" w:eastAsia="仿宋" w:cs="仿宋"/>
                <w:sz w:val="21"/>
                <w:szCs w:val="21"/>
              </w:rPr>
              <w:t>，支持缓存数据保护，且后备保护不受时间限制;</w:t>
            </w:r>
          </w:p>
          <w:p w14:paraId="4369903D">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6、提供≥10个PCIe4.0标准槽位和1个OCP 3.0槽位，提供功能彩页截图或官网截图证明；</w:t>
            </w:r>
          </w:p>
          <w:p w14:paraId="2993D0C3">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7、配置≥4个千兆电网口，≥4个万兆光网口；</w:t>
            </w:r>
          </w:p>
          <w:p w14:paraId="762F5024">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8、配置≥2块冗余电源和冗余风扇；</w:t>
            </w:r>
          </w:p>
          <w:p w14:paraId="782505C9">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9、配置LCD可触控智能管理模块，可显示服务器基本情况，</w:t>
            </w:r>
            <w:r>
              <w:rPr>
                <w:rFonts w:hint="eastAsia" w:ascii="仿宋" w:hAnsi="仿宋" w:eastAsia="仿宋" w:cs="仿宋"/>
                <w:bCs/>
                <w:sz w:val="21"/>
                <w:szCs w:val="21"/>
              </w:rPr>
              <w:t>支持各部件通过不同颜色展示健康状态；</w:t>
            </w:r>
          </w:p>
          <w:p w14:paraId="6E9A9D37">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b/>
                <w:bCs/>
                <w:color w:val="FF0000"/>
                <w:sz w:val="21"/>
                <w:szCs w:val="21"/>
              </w:rPr>
            </w:pPr>
            <w:r>
              <w:rPr>
                <w:rFonts w:hint="eastAsia" w:ascii="仿宋" w:hAnsi="仿宋" w:eastAsia="仿宋" w:cs="仿宋"/>
                <w:sz w:val="21"/>
                <w:szCs w:val="21"/>
              </w:rPr>
              <w:t>10、支持通过服务U盘下载服务器设备故障诊断日志，BM</w:t>
            </w:r>
            <w:r>
              <w:rPr>
                <w:rFonts w:hint="eastAsia" w:ascii="仿宋" w:hAnsi="仿宋" w:eastAsia="仿宋" w:cs="仿宋"/>
                <w:bCs/>
                <w:sz w:val="21"/>
                <w:szCs w:val="21"/>
              </w:rPr>
              <w:t>C支持监控主机状态进程信息，提供彩页或官网截图证明；</w:t>
            </w:r>
          </w:p>
          <w:p w14:paraId="098A51B5">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11、免费提供的服务器集群管理软件，可统一管理服务器（含海光、鲲鹏、飞腾、X86架构），可管理节点数不小于100；</w:t>
            </w:r>
          </w:p>
          <w:p w14:paraId="3884E92F">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12、通过传感器实现对服务器的温度、电压状态全面监控，可通过BMC页面查看温度、电流、电压、风扇转速传感器的历史曲线信息；</w:t>
            </w:r>
          </w:p>
          <w:p w14:paraId="4A8EE0CE">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13、支持将一台服务器的操作系统（含应用、驱动、分区）批量复制到多台服务器，支持克隆Linux、VMware ESXi操作系统以及支持(克隆)镜像管理；</w:t>
            </w:r>
          </w:p>
          <w:p w14:paraId="7B439E9A">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14、支持固件&amp;驱动版本自动同步以及对版本进行合规性检测，免费更新，提升服务器版本管理效率。</w:t>
            </w:r>
          </w:p>
          <w:p w14:paraId="6DAE15A8">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15、为保证软件兼容性，</w:t>
            </w:r>
            <w:r>
              <w:rPr>
                <w:rFonts w:hint="eastAsia" w:ascii="仿宋" w:hAnsi="仿宋" w:eastAsia="仿宋" w:cs="仿宋"/>
                <w:bCs/>
                <w:sz w:val="21"/>
                <w:szCs w:val="21"/>
              </w:rPr>
              <w:t>需与序号4中的虚拟化软件为同一品牌</w:t>
            </w:r>
            <w:r>
              <w:rPr>
                <w:rFonts w:hint="eastAsia" w:ascii="仿宋" w:hAnsi="仿宋" w:eastAsia="仿宋" w:cs="仿宋"/>
                <w:sz w:val="21"/>
                <w:szCs w:val="21"/>
              </w:rPr>
              <w:t>。</w:t>
            </w:r>
          </w:p>
        </w:tc>
        <w:tc>
          <w:tcPr>
            <w:tcW w:w="660" w:type="dxa"/>
            <w:shd w:val="clear" w:color="auto" w:fill="auto"/>
            <w:vAlign w:val="top"/>
          </w:tcPr>
          <w:p w14:paraId="68AB5B23">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961" w:type="dxa"/>
            <w:shd w:val="clear" w:color="auto" w:fill="auto"/>
            <w:vAlign w:val="top"/>
          </w:tcPr>
          <w:p w14:paraId="6BB142E8">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p>
        </w:tc>
      </w:tr>
      <w:tr w14:paraId="1989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dxa"/>
            <w:shd w:val="clear" w:color="auto" w:fill="auto"/>
            <w:vAlign w:val="top"/>
          </w:tcPr>
          <w:p w14:paraId="697D092E">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4</w:t>
            </w:r>
          </w:p>
        </w:tc>
        <w:tc>
          <w:tcPr>
            <w:tcW w:w="1517" w:type="dxa"/>
            <w:shd w:val="clear" w:color="auto" w:fill="auto"/>
            <w:vAlign w:val="top"/>
          </w:tcPr>
          <w:p w14:paraId="27E8E584">
            <w:pPr>
              <w:keepNext w:val="0"/>
              <w:keepLines w:val="0"/>
              <w:pageBreakBefore w:val="0"/>
              <w:kinsoku/>
              <w:overflowPunct/>
              <w:topLinePunct w:val="0"/>
              <w:autoSpaceDE/>
              <w:autoSpaceDN/>
              <w:bidi w:val="0"/>
              <w:adjustRightInd/>
              <w:snapToGrid/>
              <w:spacing w:line="596" w:lineRule="exact"/>
              <w:jc w:val="left"/>
              <w:textAlignment w:val="auto"/>
              <w:rPr>
                <w:rFonts w:hint="eastAsia" w:ascii="仿宋" w:hAnsi="仿宋" w:eastAsia="仿宋" w:cs="仿宋"/>
                <w:sz w:val="21"/>
                <w:szCs w:val="21"/>
              </w:rPr>
            </w:pPr>
            <w:r>
              <w:rPr>
                <w:rFonts w:hint="eastAsia" w:ascii="仿宋" w:hAnsi="仿宋" w:eastAsia="仿宋" w:cs="仿宋"/>
                <w:sz w:val="21"/>
                <w:szCs w:val="21"/>
              </w:rPr>
              <w:t>虚拟化软件</w:t>
            </w:r>
          </w:p>
        </w:tc>
        <w:tc>
          <w:tcPr>
            <w:tcW w:w="5472" w:type="dxa"/>
            <w:shd w:val="clear" w:color="auto" w:fill="auto"/>
            <w:vAlign w:val="top"/>
          </w:tcPr>
          <w:p w14:paraId="36D5A091">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1、虚拟化软件提供知识自主产权证明，以保证功能的可靠性和安全性。</w:t>
            </w:r>
          </w:p>
          <w:p w14:paraId="14716DA4">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2、虚拟机支持市场上主流的国内外操作系统，包括Windows、RedHat、CentOS、Ubuntu、SUSE、Fedora、FreeBSD、统信、银河麒麟、中标麒麟、普华、深度、一铭、凝思等。</w:t>
            </w:r>
          </w:p>
          <w:p w14:paraId="433F9A9B">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虚拟化平台提供统一的虚拟化管理界面，支持管理所有虚拟化计算节点，在同一界面上提供虚拟机启动、休眠、恢复、重启、安全关闭、关闭电源、迁移、备份、快照、克隆、克隆为模板、修改等生命周期管理功能。</w:t>
            </w:r>
          </w:p>
          <w:p w14:paraId="15440C22">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4、虚拟机可以实现物理机的全部功能，如具有自己的资源（内存、CPU、网卡、存储），可以指定单独的IP地址、MAC地址等。</w:t>
            </w:r>
          </w:p>
          <w:p w14:paraId="798122CF">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bCs/>
                <w:sz w:val="21"/>
                <w:szCs w:val="21"/>
              </w:rPr>
            </w:pPr>
            <w:r>
              <w:rPr>
                <w:rFonts w:hint="eastAsia" w:ascii="仿宋" w:hAnsi="仿宋" w:eastAsia="仿宋" w:cs="仿宋"/>
                <w:sz w:val="21"/>
                <w:szCs w:val="21"/>
              </w:rPr>
              <w:t>5、支持虚拟机规格的在线和离线调整，包括CPU、内存、硬盘、网卡等资源，在虚拟机操作系统本身支持的前提下，热添加</w:t>
            </w:r>
            <w:r>
              <w:rPr>
                <w:rFonts w:hint="eastAsia" w:ascii="仿宋" w:hAnsi="仿宋" w:eastAsia="仿宋" w:cs="仿宋"/>
                <w:bCs/>
                <w:sz w:val="21"/>
                <w:szCs w:val="21"/>
              </w:rPr>
              <w:t>的CPU/内存可以即时生效。</w:t>
            </w:r>
          </w:p>
          <w:p w14:paraId="654162B2">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6、支持</w:t>
            </w:r>
            <w:r>
              <w:rPr>
                <w:rFonts w:hint="eastAsia" w:ascii="仿宋" w:hAnsi="仿宋" w:eastAsia="仿宋" w:cs="仿宋"/>
                <w:bCs/>
                <w:sz w:val="21"/>
                <w:szCs w:val="21"/>
              </w:rPr>
              <w:t>查看宿主机正在使用的服务及端口号，并设置访问端口的IP范围，防止未授权的访问和攻击。</w:t>
            </w:r>
          </w:p>
          <w:p w14:paraId="055E59E3">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7、支持批量修改虚拟机的配置参数，包括：I/O优先级、启动优先级、是否自动迁移、CPU调度优先级、CPU个数、内存大小、自动启动、VM启动设备、tools自动升级等；支持虚拟机桌面预览功能，无需登录虚拟机即可在虚拟化管理平台上看到虚拟机当前桌面的状态，降低用户运维工作量，提</w:t>
            </w:r>
            <w:r>
              <w:rPr>
                <w:rFonts w:hint="eastAsia" w:ascii="仿宋" w:hAnsi="仿宋" w:eastAsia="仿宋" w:cs="仿宋"/>
                <w:bCs/>
                <w:sz w:val="21"/>
                <w:szCs w:val="21"/>
              </w:rPr>
              <w:t>升运维效率。</w:t>
            </w:r>
          </w:p>
          <w:p w14:paraId="0A037B28">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8、虚拟化管理平台内置在线p2v、v2v迁移工具，支持业界主流的操作系统、公有云平台、虚拟化平台，包括但不限于原项目中的VMware、H3C、华为等平台的迁移功能，提升被迁移业</w:t>
            </w:r>
            <w:r>
              <w:rPr>
                <w:rFonts w:hint="eastAsia" w:ascii="仿宋" w:hAnsi="仿宋" w:eastAsia="仿宋" w:cs="仿宋"/>
                <w:bCs/>
                <w:sz w:val="21"/>
                <w:szCs w:val="21"/>
              </w:rPr>
              <w:t>务平台的普适性、降低业务上云的难度，降低运维工作量。</w:t>
            </w:r>
          </w:p>
          <w:p w14:paraId="434F9A60">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9、支持当虚拟机的CPU、内存利用率超过设置的阈值时，在虚拟机操作系统本身支持资源热添加的前提下，系统将自动为该虚拟机增加相应的CPU和内存资源，无需人工干预。</w:t>
            </w:r>
          </w:p>
          <w:p w14:paraId="4301856C">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10、支持vGPU虚拟机热迁移功能，无需中断或停机即可将正在运行的vGPU虚拟机从一台服务器迁移到另一台服务</w:t>
            </w:r>
            <w:r>
              <w:rPr>
                <w:rFonts w:hint="eastAsia" w:ascii="仿宋" w:hAnsi="仿宋" w:eastAsia="仿宋" w:cs="仿宋"/>
                <w:bCs/>
                <w:sz w:val="21"/>
                <w:szCs w:val="21"/>
              </w:rPr>
              <w:t>器，提高业务连续性。</w:t>
            </w:r>
          </w:p>
          <w:p w14:paraId="1809E106">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11、支持监控虚拟机应用进程的运行状态，在虚拟机应用进程故障时，重启应用或重启虚拟机，最小化业务宕机时间，支持Tomcat、IIS、HTTP Server、SharePoint等应用。</w:t>
            </w:r>
          </w:p>
          <w:p w14:paraId="0A7BA839">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12、虚拟化软件授权（配置16个CPU的授权）含集成部署服务，软件技术支持服务(三年以上免费及终身有偿服务)</w:t>
            </w:r>
          </w:p>
        </w:tc>
        <w:tc>
          <w:tcPr>
            <w:tcW w:w="660" w:type="dxa"/>
            <w:shd w:val="clear" w:color="auto" w:fill="auto"/>
            <w:vAlign w:val="top"/>
          </w:tcPr>
          <w:p w14:paraId="559D45FD">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961" w:type="dxa"/>
            <w:shd w:val="clear" w:color="auto" w:fill="auto"/>
            <w:vAlign w:val="top"/>
          </w:tcPr>
          <w:p w14:paraId="1B15BD40">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p>
        </w:tc>
      </w:tr>
      <w:tr w14:paraId="773D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dxa"/>
            <w:shd w:val="clear" w:color="auto" w:fill="auto"/>
            <w:vAlign w:val="top"/>
          </w:tcPr>
          <w:p w14:paraId="7BD20661">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1517" w:type="dxa"/>
            <w:shd w:val="clear" w:color="auto" w:fill="auto"/>
            <w:vAlign w:val="top"/>
          </w:tcPr>
          <w:p w14:paraId="0A2D53A2">
            <w:pPr>
              <w:keepNext w:val="0"/>
              <w:keepLines w:val="0"/>
              <w:pageBreakBefore w:val="0"/>
              <w:kinsoku/>
              <w:overflowPunct/>
              <w:topLinePunct w:val="0"/>
              <w:autoSpaceDE/>
              <w:autoSpaceDN/>
              <w:bidi w:val="0"/>
              <w:adjustRightInd/>
              <w:snapToGrid/>
              <w:spacing w:line="596" w:lineRule="exact"/>
              <w:jc w:val="left"/>
              <w:textAlignment w:val="auto"/>
              <w:rPr>
                <w:rFonts w:hint="eastAsia" w:ascii="仿宋" w:hAnsi="仿宋" w:eastAsia="仿宋" w:cs="仿宋"/>
                <w:sz w:val="21"/>
                <w:szCs w:val="21"/>
              </w:rPr>
            </w:pPr>
            <w:r>
              <w:rPr>
                <w:rFonts w:hint="eastAsia" w:ascii="仿宋" w:hAnsi="仿宋" w:eastAsia="仿宋" w:cs="仿宋"/>
                <w:sz w:val="21"/>
                <w:szCs w:val="21"/>
              </w:rPr>
              <w:t>双活SAN存储</w:t>
            </w:r>
          </w:p>
        </w:tc>
        <w:tc>
          <w:tcPr>
            <w:tcW w:w="5472" w:type="dxa"/>
            <w:shd w:val="clear" w:color="auto" w:fill="auto"/>
            <w:vAlign w:val="top"/>
          </w:tcPr>
          <w:p w14:paraId="23B93EA3">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1、≥4U高度，双控高可用全冗余盘控一体架构设计，单控制器故障、更换、升级、自动切换，存储系统性能都完全不会受到影响。</w:t>
            </w:r>
          </w:p>
          <w:p w14:paraId="6040748C">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b/>
                <w:bCs/>
                <w:color w:val="FF0000"/>
                <w:sz w:val="21"/>
                <w:szCs w:val="21"/>
              </w:rPr>
            </w:pPr>
            <w:r>
              <w:rPr>
                <w:rFonts w:hint="eastAsia" w:ascii="仿宋" w:hAnsi="仿宋" w:eastAsia="仿宋" w:cs="仿宋"/>
                <w:sz w:val="21"/>
                <w:szCs w:val="21"/>
              </w:rPr>
              <w:t>2、支持三盘校验，同一RAID组内任意三块数据磁盘(不含热备盘</w:t>
            </w:r>
            <w:r>
              <w:rPr>
                <w:rFonts w:hint="eastAsia" w:ascii="仿宋" w:hAnsi="仿宋" w:eastAsia="仿宋" w:cs="仿宋"/>
                <w:bCs/>
                <w:sz w:val="21"/>
                <w:szCs w:val="21"/>
              </w:rPr>
              <w:t>)失效时，数据不丢失。</w:t>
            </w:r>
          </w:p>
          <w:p w14:paraId="6DA67842">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3、满足服务稳定性要求，单一存储控制器故障时，系统IOPS性能数值≥140000 IOPS，访问延迟≤0.5ms，提供功能彩页截图或官网截图证明；</w:t>
            </w:r>
          </w:p>
          <w:p w14:paraId="2AE240BA">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4、配置2个存储控制器，最大可以扩展到8个控制器引擎。采用Intel Cascade Lake及以上处理器，双控存储系统X86 CPU核心总数≥12；</w:t>
            </w:r>
          </w:p>
          <w:p w14:paraId="32E21DC5">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5、双控实际配置缓存80GB（缓存不包含SSD磁盘、PCI-E SSD、闪存和NAS控制器缓存），采用NVDIMM非易失性缓存，对写入时不同大小的数据块进行整理和聚合，以条带顺序写入后端介质，极速提升随机写入效率；</w:t>
            </w:r>
          </w:p>
          <w:p w14:paraId="5F6C6B1F">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6、配置万兆电口≥6，16Gb FC端口含模块≥8，支持32Gb FC/16Gb FC/25Gb /10Gb /1Gb iSCSI 等主机接口；</w:t>
            </w:r>
          </w:p>
          <w:p w14:paraId="50A71927">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7、实际配置≥21块2TB HDD，配置≥6块480GB SSD，非压缩非去重可用空间≥30TB；</w:t>
            </w:r>
          </w:p>
          <w:p w14:paraId="20255455">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8、配置无容量限制快照、克隆、二级缓存、重删、压缩、容灾复制、双活、智能运维许可；</w:t>
            </w:r>
          </w:p>
          <w:p w14:paraId="425F0E8E">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9、具有开启重删、压缩、快照功能，存储系统性能都完全不会受</w:t>
            </w:r>
            <w:r>
              <w:rPr>
                <w:rFonts w:hint="eastAsia" w:ascii="仿宋" w:hAnsi="仿宋" w:eastAsia="仿宋" w:cs="仿宋"/>
                <w:bCs/>
                <w:sz w:val="21"/>
                <w:szCs w:val="21"/>
              </w:rPr>
              <w:t>到影响；</w:t>
            </w:r>
          </w:p>
          <w:p w14:paraId="3E85714F">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10、支持根据应用类型，智能创建不同的数据缩减策略，提供不</w:t>
            </w:r>
            <w:r>
              <w:rPr>
                <w:rFonts w:hint="eastAsia" w:ascii="仿宋" w:hAnsi="仿宋" w:eastAsia="仿宋" w:cs="仿宋"/>
                <w:b/>
                <w:bCs/>
                <w:sz w:val="21"/>
                <w:szCs w:val="21"/>
              </w:rPr>
              <w:t>少于</w:t>
            </w:r>
            <w:r>
              <w:rPr>
                <w:rFonts w:hint="eastAsia" w:ascii="仿宋" w:hAnsi="仿宋" w:eastAsia="仿宋" w:cs="仿宋"/>
                <w:bCs/>
                <w:sz w:val="21"/>
                <w:szCs w:val="21"/>
              </w:rPr>
              <w:t>20种应用策略</w:t>
            </w:r>
            <w:r>
              <w:rPr>
                <w:rFonts w:hint="eastAsia" w:ascii="仿宋" w:hAnsi="仿宋" w:eastAsia="仿宋" w:cs="仿宋"/>
                <w:sz w:val="21"/>
                <w:szCs w:val="21"/>
              </w:rPr>
              <w:t>；</w:t>
            </w:r>
          </w:p>
          <w:p w14:paraId="47701E67">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11、支持预测存储满盘时间，能够显示 CPU 饱和度、Cache 饱和度、存储容量当前已用容量、存储总容量、性能降级</w:t>
            </w:r>
            <w:r>
              <w:rPr>
                <w:rFonts w:hint="eastAsia" w:ascii="仿宋" w:hAnsi="仿宋" w:eastAsia="仿宋" w:cs="仿宋"/>
                <w:bCs/>
                <w:sz w:val="21"/>
                <w:szCs w:val="21"/>
              </w:rPr>
              <w:t>阈值和存储池容量使用预测值；</w:t>
            </w:r>
          </w:p>
          <w:p w14:paraId="3B56713A">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12、配置云化资源供给功能，在存储云服务平台下输入应用场景、容量、性能需求等信息，存储云服务平台可基于需求自动化分配合适的资源来供给，提供不少于15种业务应用类型进行资源供给；</w:t>
            </w:r>
          </w:p>
          <w:p w14:paraId="43309B8D">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13、为保证业务对接兼容，需与</w:t>
            </w:r>
            <w:r>
              <w:rPr>
                <w:rFonts w:hint="eastAsia" w:ascii="仿宋" w:hAnsi="仿宋" w:eastAsia="仿宋" w:cs="仿宋"/>
                <w:bCs/>
                <w:sz w:val="21"/>
                <w:szCs w:val="21"/>
              </w:rPr>
              <w:t>虚拟化服务器同一品牌</w:t>
            </w:r>
            <w:r>
              <w:rPr>
                <w:rFonts w:hint="eastAsia" w:ascii="仿宋" w:hAnsi="仿宋" w:eastAsia="仿宋" w:cs="仿宋"/>
                <w:sz w:val="21"/>
                <w:szCs w:val="21"/>
              </w:rPr>
              <w:t>。</w:t>
            </w:r>
          </w:p>
        </w:tc>
        <w:tc>
          <w:tcPr>
            <w:tcW w:w="660" w:type="dxa"/>
            <w:shd w:val="clear" w:color="auto" w:fill="auto"/>
            <w:vAlign w:val="top"/>
          </w:tcPr>
          <w:p w14:paraId="4642F558">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961" w:type="dxa"/>
            <w:shd w:val="clear" w:color="auto" w:fill="auto"/>
            <w:vAlign w:val="top"/>
          </w:tcPr>
          <w:p w14:paraId="487DCF94">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p>
        </w:tc>
      </w:tr>
      <w:tr w14:paraId="6CE7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dxa"/>
            <w:shd w:val="clear" w:color="auto" w:fill="auto"/>
            <w:vAlign w:val="top"/>
          </w:tcPr>
          <w:p w14:paraId="3F5E1951">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6</w:t>
            </w:r>
          </w:p>
        </w:tc>
        <w:tc>
          <w:tcPr>
            <w:tcW w:w="1517" w:type="dxa"/>
            <w:shd w:val="clear" w:color="auto" w:fill="auto"/>
            <w:vAlign w:val="top"/>
          </w:tcPr>
          <w:p w14:paraId="22019A3A">
            <w:pPr>
              <w:keepNext w:val="0"/>
              <w:keepLines w:val="0"/>
              <w:pageBreakBefore w:val="0"/>
              <w:kinsoku/>
              <w:overflowPunct/>
              <w:topLinePunct w:val="0"/>
              <w:autoSpaceDE/>
              <w:autoSpaceDN/>
              <w:bidi w:val="0"/>
              <w:adjustRightInd/>
              <w:snapToGrid/>
              <w:spacing w:line="596" w:lineRule="exact"/>
              <w:jc w:val="left"/>
              <w:textAlignment w:val="auto"/>
              <w:rPr>
                <w:rFonts w:hint="eastAsia" w:ascii="仿宋" w:hAnsi="仿宋" w:eastAsia="仿宋" w:cs="仿宋"/>
                <w:sz w:val="21"/>
                <w:szCs w:val="21"/>
              </w:rPr>
            </w:pPr>
            <w:r>
              <w:rPr>
                <w:rFonts w:hint="eastAsia" w:ascii="仿宋" w:hAnsi="仿宋" w:eastAsia="仿宋" w:cs="仿宋"/>
                <w:sz w:val="21"/>
                <w:szCs w:val="21"/>
              </w:rPr>
              <w:t>数据库服</w:t>
            </w:r>
            <w:r>
              <w:rPr>
                <w:rFonts w:hint="eastAsia" w:ascii="仿宋" w:hAnsi="仿宋" w:eastAsia="仿宋" w:cs="仿宋"/>
                <w:sz w:val="21"/>
                <w:szCs w:val="21"/>
                <w:lang w:val="en-US" w:eastAsia="zh-CN"/>
              </w:rPr>
              <w:t>务</w:t>
            </w:r>
            <w:r>
              <w:rPr>
                <w:rFonts w:hint="eastAsia" w:ascii="仿宋" w:hAnsi="仿宋" w:eastAsia="仿宋" w:cs="仿宋"/>
                <w:sz w:val="21"/>
                <w:szCs w:val="21"/>
              </w:rPr>
              <w:t>器</w:t>
            </w:r>
          </w:p>
        </w:tc>
        <w:tc>
          <w:tcPr>
            <w:tcW w:w="5472" w:type="dxa"/>
            <w:shd w:val="clear" w:color="auto" w:fill="auto"/>
            <w:vAlign w:val="top"/>
          </w:tcPr>
          <w:p w14:paraId="71171D1A">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1、设备高度≥4U，标配原厂导轨；</w:t>
            </w:r>
          </w:p>
          <w:p w14:paraId="56635EC2">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2、配置≥4颗X86架构处理器， 主频≥2.1GHz，核数≥24核每颗；</w:t>
            </w:r>
          </w:p>
          <w:p w14:paraId="22EAFE05">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3、实配≥16条32GB DDR5 内存，提供≥64个内存槽位；</w:t>
            </w:r>
          </w:p>
          <w:p w14:paraId="00DFB8A9">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4、配置≥2块480GB SSD硬盘，≥8块1.92TB SSD硬盘。支持2.5"热插拔 SAS/SATA/SSD/NVMe硬盘，支持≥48块2.5寸热插拔硬盘，支持≥24个可热插拔NVMe 硬盘；</w:t>
            </w:r>
          </w:p>
          <w:p w14:paraId="3EA4CF9C">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5、配置≥1个独立PCIe阵列卡，支持Raid0/1/10/5/50/6/60，≥8GB缓存。支持缓存数据保护，且后备保护不受时间限制；</w:t>
            </w:r>
          </w:p>
          <w:p w14:paraId="4D8F851C">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b/>
                <w:bCs/>
                <w:color w:val="FF0000"/>
                <w:sz w:val="21"/>
                <w:szCs w:val="21"/>
              </w:rPr>
            </w:pPr>
            <w:r>
              <w:rPr>
                <w:rFonts w:hint="eastAsia" w:ascii="仿宋" w:hAnsi="仿宋" w:eastAsia="仿宋" w:cs="仿宋"/>
                <w:sz w:val="21"/>
                <w:szCs w:val="21"/>
              </w:rPr>
              <w:t>6、</w:t>
            </w:r>
            <w:r>
              <w:rPr>
                <w:rFonts w:hint="eastAsia" w:ascii="仿宋" w:hAnsi="仿宋" w:eastAsia="仿宋" w:cs="仿宋"/>
                <w:bCs/>
                <w:sz w:val="21"/>
                <w:szCs w:val="21"/>
              </w:rPr>
              <w:t>支持≥20个PCIe 5.0 标准插槽，≥2个OCP 3.0 插槽；</w:t>
            </w:r>
          </w:p>
          <w:p w14:paraId="5DC87B40">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7、配置≥4个千兆电网口，≥4个万兆光网口；</w:t>
            </w:r>
          </w:p>
          <w:p w14:paraId="6E678471">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8、标配1个前置专用管理接口，配置≥4块热插拔冗余电源，支持1+1/N+N冗余；</w:t>
            </w:r>
          </w:p>
          <w:p w14:paraId="108F6601">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9、配置LCD可触控智能管理模块，可显示服务器基本情况，支持各部件通过不</w:t>
            </w:r>
            <w:r>
              <w:rPr>
                <w:rFonts w:hint="eastAsia" w:ascii="仿宋" w:hAnsi="仿宋" w:eastAsia="仿宋" w:cs="仿宋"/>
                <w:b/>
                <w:bCs/>
                <w:sz w:val="21"/>
                <w:szCs w:val="21"/>
              </w:rPr>
              <w:t>同颜色展示健康状态</w:t>
            </w:r>
            <w:r>
              <w:rPr>
                <w:rFonts w:hint="eastAsia" w:ascii="仿宋" w:hAnsi="仿宋" w:eastAsia="仿宋" w:cs="仿宋"/>
                <w:sz w:val="21"/>
                <w:szCs w:val="21"/>
              </w:rPr>
              <w:t>；</w:t>
            </w:r>
          </w:p>
          <w:p w14:paraId="3202760E">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10、支持通过服务U盘下载服务器设备故障诊断日志，BMC支持监控主机状态进程信息；</w:t>
            </w:r>
          </w:p>
          <w:p w14:paraId="596F8C79">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11、免费提供的服务器集群管理软件，可统一管理服务器（含海光、鲲鹏、飞腾、X86架构），可管理节点数不小于100；</w:t>
            </w:r>
          </w:p>
          <w:p w14:paraId="628FFC61">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12、通过传感器实现对服务器的温度、电压状态全面监控，可通过BMC页面查看温度、电流、电压、风扇转速传感器的历史曲线信息；</w:t>
            </w:r>
          </w:p>
          <w:p w14:paraId="6E791A11">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13、支持将一台服务器的操作系统（含应用、驱动、分区）批量复制到多台服务器，支持克隆Linux、VMware ESXi操作系统以及支持(克隆)镜像管理，提供功能彩页截图或官网截图证明；</w:t>
            </w:r>
          </w:p>
          <w:p w14:paraId="45479D21">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14、支持固件&amp;驱动版本自动同步以及对版本进行合规性检测，免费更新，提升服务器版本管理效率。</w:t>
            </w:r>
          </w:p>
        </w:tc>
        <w:tc>
          <w:tcPr>
            <w:tcW w:w="660" w:type="dxa"/>
            <w:shd w:val="clear" w:color="auto" w:fill="auto"/>
            <w:vAlign w:val="top"/>
          </w:tcPr>
          <w:p w14:paraId="77B4BDD6">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961" w:type="dxa"/>
            <w:shd w:val="clear" w:color="auto" w:fill="auto"/>
            <w:vAlign w:val="top"/>
          </w:tcPr>
          <w:p w14:paraId="327056C3">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p>
        </w:tc>
      </w:tr>
      <w:tr w14:paraId="461AF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05" w:type="dxa"/>
            <w:shd w:val="clear" w:color="auto" w:fill="auto"/>
            <w:vAlign w:val="top"/>
          </w:tcPr>
          <w:p w14:paraId="17A2CF10">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7</w:t>
            </w:r>
          </w:p>
        </w:tc>
        <w:tc>
          <w:tcPr>
            <w:tcW w:w="1517" w:type="dxa"/>
            <w:shd w:val="clear" w:color="auto" w:fill="auto"/>
            <w:vAlign w:val="top"/>
          </w:tcPr>
          <w:p w14:paraId="7E3F5205">
            <w:pPr>
              <w:keepNext w:val="0"/>
              <w:keepLines w:val="0"/>
              <w:pageBreakBefore w:val="0"/>
              <w:kinsoku/>
              <w:overflowPunct/>
              <w:topLinePunct w:val="0"/>
              <w:autoSpaceDE/>
              <w:autoSpaceDN/>
              <w:bidi w:val="0"/>
              <w:adjustRightInd/>
              <w:snapToGrid/>
              <w:spacing w:line="596" w:lineRule="exact"/>
              <w:jc w:val="left"/>
              <w:textAlignment w:val="auto"/>
              <w:rPr>
                <w:rFonts w:hint="eastAsia" w:ascii="仿宋" w:hAnsi="仿宋" w:eastAsia="仿宋" w:cs="仿宋"/>
                <w:sz w:val="21"/>
                <w:szCs w:val="21"/>
              </w:rPr>
            </w:pPr>
            <w:r>
              <w:rPr>
                <w:rFonts w:hint="eastAsia" w:ascii="仿宋" w:hAnsi="仿宋" w:eastAsia="仿宋" w:cs="仿宋"/>
                <w:sz w:val="21"/>
                <w:szCs w:val="21"/>
              </w:rPr>
              <w:t>备份服务器</w:t>
            </w:r>
          </w:p>
        </w:tc>
        <w:tc>
          <w:tcPr>
            <w:tcW w:w="5472" w:type="dxa"/>
            <w:shd w:val="clear" w:color="auto" w:fill="auto"/>
            <w:vAlign w:val="top"/>
          </w:tcPr>
          <w:p w14:paraId="4F849782">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1、设备高度≥2U，标配原厂导轨；</w:t>
            </w:r>
          </w:p>
          <w:p w14:paraId="75118702">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2、配置≥2颗X86架构处理器， 主频≥2.4GHz，核数≥16核每颗；</w:t>
            </w:r>
          </w:p>
          <w:p w14:paraId="084C75CE">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3、配置≥4 根 32GB DDR4-3200内存条，支持≥32个DDR4内存槽位；</w:t>
            </w:r>
          </w:p>
          <w:p w14:paraId="7E1F01A4">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4、配置≥2 块960GB SSD 硬盘，≥6 块8TB HDD硬盘，支持SAS</w:t>
            </w:r>
            <w:r>
              <w:rPr>
                <w:rFonts w:hint="eastAsia" w:ascii="仿宋" w:hAnsi="仿宋" w:eastAsia="仿宋" w:cs="仿宋"/>
                <w:bCs/>
                <w:sz w:val="21"/>
                <w:szCs w:val="21"/>
              </w:rPr>
              <w:t>/SATA HDD/SSD硬盘，支持≥35个普通硬盘或者≥24块NVMe硬盘；</w:t>
            </w:r>
          </w:p>
          <w:p w14:paraId="6676BF87">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5、配置≥1 块独立PCIe RAID卡，≥4GB缓存，支持缓存数据保护，且后备保护不受时间限制;</w:t>
            </w:r>
          </w:p>
          <w:p w14:paraId="59A0632E">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b/>
                <w:bCs/>
                <w:color w:val="FF0000"/>
                <w:sz w:val="21"/>
                <w:szCs w:val="21"/>
              </w:rPr>
            </w:pPr>
            <w:r>
              <w:rPr>
                <w:rFonts w:hint="eastAsia" w:ascii="仿宋" w:hAnsi="仿宋" w:eastAsia="仿宋" w:cs="仿宋"/>
                <w:sz w:val="21"/>
                <w:szCs w:val="21"/>
              </w:rPr>
              <w:t>6、提供≥10个PCIe4.0标准槽位和1个</w:t>
            </w:r>
            <w:r>
              <w:rPr>
                <w:rFonts w:hint="eastAsia" w:ascii="仿宋" w:hAnsi="仿宋" w:eastAsia="仿宋" w:cs="仿宋"/>
                <w:bCs/>
                <w:sz w:val="21"/>
                <w:szCs w:val="21"/>
              </w:rPr>
              <w:t>OCP 3.0槽位；</w:t>
            </w:r>
          </w:p>
          <w:p w14:paraId="470D3E6F">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7、配置≥4个千兆电网口，≥2个万兆光网口；</w:t>
            </w:r>
          </w:p>
          <w:p w14:paraId="54B8E6BC">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8、配置≥2块冗余电源和冗余风扇；</w:t>
            </w:r>
          </w:p>
          <w:p w14:paraId="0D152760">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b/>
                <w:bCs/>
                <w:color w:val="FF0000"/>
                <w:sz w:val="21"/>
                <w:szCs w:val="21"/>
              </w:rPr>
            </w:pPr>
            <w:r>
              <w:rPr>
                <w:rFonts w:hint="eastAsia" w:ascii="仿宋" w:hAnsi="仿宋" w:eastAsia="仿宋" w:cs="仿宋"/>
                <w:sz w:val="21"/>
                <w:szCs w:val="21"/>
              </w:rPr>
              <w:t>9、配置LCD可触控智能管理模块，可显示服务器基本情况，支持各部件通过不同颜色</w:t>
            </w:r>
            <w:r>
              <w:rPr>
                <w:rFonts w:hint="eastAsia" w:ascii="仿宋" w:hAnsi="仿宋" w:eastAsia="仿宋" w:cs="仿宋"/>
                <w:bCs/>
                <w:sz w:val="21"/>
                <w:szCs w:val="21"/>
              </w:rPr>
              <w:t>展示健康状态；</w:t>
            </w:r>
          </w:p>
          <w:p w14:paraId="52674DD8">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10、支持通过服务U盘下载服务器设备故障诊断日志，BMC支持监控主机状态进程信息；</w:t>
            </w:r>
          </w:p>
          <w:p w14:paraId="3E8FB390">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11、免费提供的服务器集群管理软件，可统一管理服务器（含海光、鲲鹏、飞腾、X86架构），可管理节点数不小于100；</w:t>
            </w:r>
          </w:p>
          <w:p w14:paraId="08D0DEE5">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12、通过传感器实现对服务器的温度、电压状态全面监控，可通过BMC页面查看温度、电流、电压、风扇转速传感器的历史曲线信息；</w:t>
            </w:r>
          </w:p>
          <w:p w14:paraId="517B2632">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13、支持将一台服务器的操作系统（含应用、驱动、分区）批量复制到多台服务器，支持克隆Linux、VMware ESXi操作系统以及支持(克隆)镜像管理；</w:t>
            </w:r>
          </w:p>
          <w:p w14:paraId="54B45CA5">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14、支持固件&amp;驱动版本自动同步以及对版本进行合规性检测，免费更新，提升服务器版本管理效率。</w:t>
            </w:r>
          </w:p>
        </w:tc>
        <w:tc>
          <w:tcPr>
            <w:tcW w:w="660" w:type="dxa"/>
            <w:shd w:val="clear" w:color="auto" w:fill="auto"/>
            <w:vAlign w:val="top"/>
          </w:tcPr>
          <w:p w14:paraId="16C79920">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961" w:type="dxa"/>
            <w:shd w:val="clear" w:color="auto" w:fill="auto"/>
            <w:vAlign w:val="top"/>
          </w:tcPr>
          <w:p w14:paraId="6D8BCD22">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p>
        </w:tc>
      </w:tr>
      <w:tr w14:paraId="5607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05" w:type="dxa"/>
            <w:shd w:val="clear" w:color="auto" w:fill="auto"/>
            <w:vAlign w:val="top"/>
          </w:tcPr>
          <w:p w14:paraId="37BA04D3">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8</w:t>
            </w:r>
          </w:p>
        </w:tc>
        <w:tc>
          <w:tcPr>
            <w:tcW w:w="1517" w:type="dxa"/>
            <w:shd w:val="clear" w:color="auto" w:fill="auto"/>
            <w:vAlign w:val="top"/>
          </w:tcPr>
          <w:p w14:paraId="11FC4E9E">
            <w:pPr>
              <w:keepNext w:val="0"/>
              <w:keepLines w:val="0"/>
              <w:pageBreakBefore w:val="0"/>
              <w:kinsoku/>
              <w:overflowPunct/>
              <w:topLinePunct w:val="0"/>
              <w:autoSpaceDE/>
              <w:autoSpaceDN/>
              <w:bidi w:val="0"/>
              <w:adjustRightInd/>
              <w:snapToGrid/>
              <w:spacing w:line="596" w:lineRule="exact"/>
              <w:jc w:val="left"/>
              <w:textAlignment w:val="auto"/>
              <w:rPr>
                <w:rFonts w:hint="eastAsia" w:ascii="仿宋" w:hAnsi="仿宋" w:eastAsia="仿宋" w:cs="仿宋"/>
                <w:sz w:val="21"/>
                <w:szCs w:val="21"/>
              </w:rPr>
            </w:pPr>
            <w:r>
              <w:rPr>
                <w:rFonts w:hint="eastAsia" w:ascii="仿宋" w:hAnsi="仿宋" w:eastAsia="仿宋" w:cs="仿宋"/>
                <w:sz w:val="21"/>
                <w:szCs w:val="21"/>
              </w:rPr>
              <w:t>备份软件</w:t>
            </w:r>
          </w:p>
        </w:tc>
        <w:tc>
          <w:tcPr>
            <w:tcW w:w="5472" w:type="dxa"/>
            <w:shd w:val="clear" w:color="auto" w:fill="auto"/>
            <w:vAlign w:val="top"/>
          </w:tcPr>
          <w:p w14:paraId="35B7804C">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1、备份系统的管理平台支持B/S架构，通过浏览器访问备份平台对定时备份、CDP、数据库复制等相关功能进行统一管理。</w:t>
            </w:r>
          </w:p>
          <w:p w14:paraId="20CC0BDD">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2、备份系统可部署在X86和ARM架构的服务器上，支持海光、鲲鹏、飞腾、龙芯、兆芯、申威等国产化服务器。</w:t>
            </w:r>
          </w:p>
          <w:p w14:paraId="542A023B">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3、支持管理员、安全员和审计员的管理，登录账号可自定义密码长度和复杂度，可设置登录失败次数和密码更换周期。</w:t>
            </w:r>
          </w:p>
          <w:p w14:paraId="4C439C57">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4、支持RAID卡管理，可以创建、删除RAID磁盘组，并可查看RAID卡、磁盘的温度、配置参数等信息。</w:t>
            </w:r>
          </w:p>
          <w:p w14:paraId="7DCC76F2">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5、支持将块存储、文件存储、对象存储、物理/虚拟磁带库、光盘等作为备份数据的存储介质。</w:t>
            </w:r>
          </w:p>
          <w:p w14:paraId="2901EC1D">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6、支持采用LAN-Free方式对文件、数据库、操作系统和虚拟化平台进行数据备份，节省网络流量开销，LAN-Free的网络协议必须能支持iSCSI和FC。</w:t>
            </w:r>
          </w:p>
          <w:p w14:paraId="3BDBC49B">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7、支持NAT穿透技术，在保障数据通信安全的前提下，可同时对内网和外网的数据进行备份。提供相应界面功能截图；</w:t>
            </w:r>
          </w:p>
          <w:p w14:paraId="4AF87776">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8、支持源端/目的端重删，并行重删技术，提升备份数据的去重率，满足海量数据的去重需求。</w:t>
            </w:r>
          </w:p>
          <w:p w14:paraId="4B86689F">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9、提供文件模拟备份和数据库模拟备份功能，不需要通过执行备份任务来获取到备份目标的文件数量和数据大小等信息，以便更合理地规划备份策略。</w:t>
            </w:r>
          </w:p>
          <w:p w14:paraId="1414B8DA">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10、支持对VMware vSphere、XenServer、FusionComputer和CAS等主流虚拟化平台的无代理备份，可以以资源池、集群、主机为单位进行虚拟机的备份保护，无需在虚拟机内部安装任何代理软件。</w:t>
            </w:r>
          </w:p>
          <w:p w14:paraId="5676C443">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11、支持对虚拟化/超融合平台虚拟机文件细粒度的恢复，在恢复时可指定虚拟机中的某个文件夹或文件。</w:t>
            </w:r>
          </w:p>
          <w:p w14:paraId="0EB72EE6">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12、内置公有云备份功能，只需增加混合云备份授权，即可轻松实现备份数据上云，并且从云上恢复数据不限次数，不限流量，不另行收取下行流量费用。</w:t>
            </w:r>
          </w:p>
          <w:p w14:paraId="19B3A6EB">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b/>
                <w:bCs/>
                <w:color w:val="FF0000"/>
                <w:sz w:val="21"/>
                <w:szCs w:val="21"/>
                <w:highlight w:val="green"/>
              </w:rPr>
            </w:pPr>
            <w:r>
              <w:rPr>
                <w:rFonts w:hint="eastAsia" w:ascii="仿宋" w:hAnsi="仿宋" w:eastAsia="仿宋" w:cs="仿宋"/>
                <w:sz w:val="21"/>
                <w:szCs w:val="21"/>
              </w:rPr>
              <w:t>13、</w:t>
            </w:r>
            <w:r>
              <w:rPr>
                <w:rFonts w:hint="eastAsia" w:ascii="仿宋" w:hAnsi="仿宋" w:eastAsia="仿宋" w:cs="仿宋"/>
                <w:bCs/>
                <w:sz w:val="21"/>
                <w:szCs w:val="21"/>
              </w:rPr>
              <w:t>国产自主品牌。</w:t>
            </w:r>
          </w:p>
          <w:p w14:paraId="1205A214">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14、投标人提供原厂制造商通过ISO9001质量体系认证和ISO14001环境管理体系认证的证明书。</w:t>
            </w:r>
          </w:p>
          <w:p w14:paraId="55A6BFB5">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bCs/>
                <w:sz w:val="21"/>
                <w:szCs w:val="21"/>
              </w:rPr>
              <w:t>15、本次提供≥24TB备份容量免费授权。</w:t>
            </w:r>
          </w:p>
        </w:tc>
        <w:tc>
          <w:tcPr>
            <w:tcW w:w="660" w:type="dxa"/>
            <w:shd w:val="clear" w:color="auto" w:fill="auto"/>
            <w:vAlign w:val="top"/>
          </w:tcPr>
          <w:p w14:paraId="46E18919">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961" w:type="dxa"/>
            <w:shd w:val="clear" w:color="auto" w:fill="auto"/>
            <w:vAlign w:val="top"/>
          </w:tcPr>
          <w:p w14:paraId="785DB0DB">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p>
        </w:tc>
      </w:tr>
      <w:tr w14:paraId="3CA3B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05" w:type="dxa"/>
            <w:shd w:val="clear" w:color="auto" w:fill="auto"/>
            <w:vAlign w:val="top"/>
          </w:tcPr>
          <w:p w14:paraId="35EF869A">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9</w:t>
            </w:r>
          </w:p>
        </w:tc>
        <w:tc>
          <w:tcPr>
            <w:tcW w:w="1517" w:type="dxa"/>
            <w:shd w:val="clear" w:color="auto" w:fill="auto"/>
            <w:vAlign w:val="top"/>
          </w:tcPr>
          <w:p w14:paraId="2EE7AE61">
            <w:pPr>
              <w:keepNext w:val="0"/>
              <w:keepLines w:val="0"/>
              <w:pageBreakBefore w:val="0"/>
              <w:kinsoku/>
              <w:overflowPunct/>
              <w:topLinePunct w:val="0"/>
              <w:autoSpaceDE/>
              <w:autoSpaceDN/>
              <w:bidi w:val="0"/>
              <w:adjustRightInd/>
              <w:snapToGrid/>
              <w:spacing w:line="596" w:lineRule="exact"/>
              <w:jc w:val="left"/>
              <w:textAlignment w:val="auto"/>
              <w:rPr>
                <w:rFonts w:hint="eastAsia" w:ascii="仿宋" w:hAnsi="仿宋" w:eastAsia="仿宋" w:cs="仿宋"/>
                <w:sz w:val="21"/>
                <w:szCs w:val="21"/>
              </w:rPr>
            </w:pPr>
            <w:r>
              <w:rPr>
                <w:rFonts w:hint="eastAsia" w:ascii="仿宋" w:hAnsi="仿宋" w:eastAsia="仿宋" w:cs="仿宋"/>
                <w:sz w:val="21"/>
                <w:szCs w:val="21"/>
              </w:rPr>
              <w:t>万兆交换机</w:t>
            </w:r>
          </w:p>
        </w:tc>
        <w:tc>
          <w:tcPr>
            <w:tcW w:w="5472" w:type="dxa"/>
            <w:shd w:val="clear" w:color="auto" w:fill="auto"/>
            <w:vAlign w:val="top"/>
          </w:tcPr>
          <w:p w14:paraId="5D92F9F5">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 支持并实配10G/2.5G/1G接口数≥20，25G/10G接口数量≥4，40G接口数≥2，整机可扩展支持10G接口数≥32。</w:t>
            </w:r>
          </w:p>
          <w:p w14:paraId="40DAD44B">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2、支持并实配可拔插双模块化电源，可拔插双模块化风扇，前后风道。</w:t>
            </w:r>
          </w:p>
          <w:p w14:paraId="40EE13BC">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3、交换容量≥2.56Tbps， 包转发率≥720Mpps，提供官网截图和链接证明。</w:t>
            </w:r>
          </w:p>
          <w:p w14:paraId="5EADEDB8">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b/>
                <w:bCs/>
                <w:color w:val="FF0000"/>
                <w:sz w:val="21"/>
                <w:szCs w:val="21"/>
                <w:highlight w:val="green"/>
              </w:rPr>
            </w:pPr>
            <w:r>
              <w:rPr>
                <w:rFonts w:hint="eastAsia" w:ascii="仿宋" w:hAnsi="仿宋" w:eastAsia="仿宋" w:cs="仿宋"/>
                <w:sz w:val="21"/>
                <w:szCs w:val="21"/>
              </w:rPr>
              <w:t>4、支持硬件层级双boot，采用两个FLASH芯片存储boot软件（系统引导程序），实现硬件级boot冗余备份，避免因FLASH芯片故障导致交换机无法启动。</w:t>
            </w:r>
          </w:p>
          <w:p w14:paraId="496E9CAB">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b/>
                <w:bCs/>
                <w:color w:val="FF0000"/>
                <w:sz w:val="21"/>
                <w:szCs w:val="21"/>
                <w:highlight w:val="green"/>
              </w:rPr>
            </w:pPr>
            <w:r>
              <w:rPr>
                <w:rFonts w:hint="eastAsia" w:ascii="仿宋" w:hAnsi="仿宋" w:eastAsia="仿宋" w:cs="仿宋"/>
                <w:sz w:val="21"/>
                <w:szCs w:val="21"/>
              </w:rPr>
              <w:t>5、支持专门基础网络保护机制，能够限制用户向网络中发送数据包的速率，对有攻击行为的用户进行隔离，保证设备和整网的安全稳定运行。</w:t>
            </w:r>
          </w:p>
          <w:p w14:paraId="1FE91380">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6、 支持专门基础网络保护机制，能够限制用户向网络中发送数据包的速率，对有攻击行为的用户进行隔离，保证设备和整网的安全稳定运行。</w:t>
            </w:r>
          </w:p>
        </w:tc>
        <w:tc>
          <w:tcPr>
            <w:tcW w:w="660" w:type="dxa"/>
            <w:shd w:val="clear" w:color="auto" w:fill="auto"/>
            <w:vAlign w:val="top"/>
          </w:tcPr>
          <w:p w14:paraId="53F2A511">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961" w:type="dxa"/>
            <w:shd w:val="clear" w:color="auto" w:fill="auto"/>
            <w:vAlign w:val="top"/>
          </w:tcPr>
          <w:p w14:paraId="563D5D8E">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p>
        </w:tc>
      </w:tr>
      <w:tr w14:paraId="0A00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05" w:type="dxa"/>
            <w:shd w:val="clear" w:color="auto" w:fill="auto"/>
            <w:vAlign w:val="top"/>
          </w:tcPr>
          <w:p w14:paraId="0B468BC3">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1517" w:type="dxa"/>
            <w:shd w:val="clear" w:color="auto" w:fill="auto"/>
            <w:vAlign w:val="top"/>
          </w:tcPr>
          <w:p w14:paraId="5BEA670E">
            <w:pPr>
              <w:keepNext w:val="0"/>
              <w:keepLines w:val="0"/>
              <w:pageBreakBefore w:val="0"/>
              <w:kinsoku/>
              <w:overflowPunct/>
              <w:topLinePunct w:val="0"/>
              <w:autoSpaceDE/>
              <w:autoSpaceDN/>
              <w:bidi w:val="0"/>
              <w:adjustRightInd/>
              <w:snapToGrid/>
              <w:spacing w:line="596" w:lineRule="exact"/>
              <w:jc w:val="left"/>
              <w:textAlignment w:val="auto"/>
              <w:rPr>
                <w:rFonts w:hint="eastAsia" w:ascii="仿宋" w:hAnsi="仿宋" w:eastAsia="仿宋" w:cs="仿宋"/>
                <w:sz w:val="21"/>
                <w:szCs w:val="21"/>
              </w:rPr>
            </w:pPr>
            <w:r>
              <w:rPr>
                <w:rFonts w:hint="eastAsia" w:ascii="仿宋" w:hAnsi="仿宋" w:eastAsia="仿宋" w:cs="仿宋"/>
                <w:sz w:val="21"/>
                <w:szCs w:val="21"/>
              </w:rPr>
              <w:t>万兆交换机</w:t>
            </w:r>
          </w:p>
        </w:tc>
        <w:tc>
          <w:tcPr>
            <w:tcW w:w="5472" w:type="dxa"/>
            <w:shd w:val="clear" w:color="auto" w:fill="auto"/>
            <w:vAlign w:val="top"/>
          </w:tcPr>
          <w:p w14:paraId="714C4699">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1、固化端口：≥48个10/100/1000Mbps电口，≥4个SFP+光口 。设备提供1个扩展槽。</w:t>
            </w:r>
          </w:p>
          <w:p w14:paraId="2AE19346">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2、交换容量≥1.28Tbps， 包转发率≥252Mpps，提供官网截图证明。</w:t>
            </w:r>
          </w:p>
          <w:p w14:paraId="6E86EA6B">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3、设备MAC地址≥64K，ARP表项≥20K</w:t>
            </w:r>
          </w:p>
          <w:p w14:paraId="12C7E7E2">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4、支持 IGMP v1/v2/v3，IGMP v1/v2/v3 Snooping，支持RIP，OSPF，BGP，RIPng，OSPFv3，BGP4+。</w:t>
            </w:r>
          </w:p>
          <w:p w14:paraId="4FFA870D">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5、支持专门针对CPU的保护机制，能够针对发往CPU处理的各种报文进行流量控制和优先级处理，保护交换机在各种环境下稳定工作。</w:t>
            </w:r>
          </w:p>
          <w:p w14:paraId="028EF7FE">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6、提供工信部IPv4/IPv6 三层设备进网许可证复印件,且必须提供运营商Ipv4/IP</w:t>
            </w:r>
            <w:r>
              <w:rPr>
                <w:rFonts w:hint="eastAsia" w:ascii="仿宋" w:hAnsi="仿宋" w:eastAsia="仿宋" w:cs="仿宋"/>
                <w:bCs/>
                <w:sz w:val="21"/>
                <w:szCs w:val="21"/>
              </w:rPr>
              <w:t>v6入网测试报告；</w:t>
            </w:r>
          </w:p>
        </w:tc>
        <w:tc>
          <w:tcPr>
            <w:tcW w:w="660" w:type="dxa"/>
            <w:shd w:val="clear" w:color="auto" w:fill="auto"/>
            <w:vAlign w:val="top"/>
          </w:tcPr>
          <w:p w14:paraId="5AFD9413">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961" w:type="dxa"/>
            <w:shd w:val="clear" w:color="auto" w:fill="auto"/>
            <w:vAlign w:val="top"/>
          </w:tcPr>
          <w:p w14:paraId="10A96C39">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p>
        </w:tc>
      </w:tr>
      <w:tr w14:paraId="5B9D2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05" w:type="dxa"/>
            <w:shd w:val="clear" w:color="auto" w:fill="auto"/>
            <w:vAlign w:val="top"/>
          </w:tcPr>
          <w:p w14:paraId="3757E9B5">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11</w:t>
            </w:r>
          </w:p>
        </w:tc>
        <w:tc>
          <w:tcPr>
            <w:tcW w:w="1517" w:type="dxa"/>
            <w:shd w:val="clear" w:color="auto" w:fill="auto"/>
            <w:vAlign w:val="top"/>
          </w:tcPr>
          <w:p w14:paraId="1C15E2A9">
            <w:pPr>
              <w:keepNext w:val="0"/>
              <w:keepLines w:val="0"/>
              <w:pageBreakBefore w:val="0"/>
              <w:kinsoku/>
              <w:overflowPunct/>
              <w:topLinePunct w:val="0"/>
              <w:autoSpaceDE/>
              <w:autoSpaceDN/>
              <w:bidi w:val="0"/>
              <w:adjustRightInd/>
              <w:snapToGrid/>
              <w:spacing w:line="596" w:lineRule="exact"/>
              <w:jc w:val="left"/>
              <w:textAlignment w:val="auto"/>
              <w:rPr>
                <w:rFonts w:hint="eastAsia" w:ascii="仿宋" w:hAnsi="仿宋" w:eastAsia="仿宋" w:cs="仿宋"/>
                <w:sz w:val="21"/>
                <w:szCs w:val="21"/>
              </w:rPr>
            </w:pPr>
            <w:r>
              <w:rPr>
                <w:rFonts w:hint="eastAsia" w:ascii="仿宋" w:hAnsi="仿宋" w:eastAsia="仿宋" w:cs="仿宋"/>
                <w:sz w:val="21"/>
                <w:szCs w:val="21"/>
              </w:rPr>
              <w:t>服务器硬盘</w:t>
            </w:r>
          </w:p>
        </w:tc>
        <w:tc>
          <w:tcPr>
            <w:tcW w:w="5472" w:type="dxa"/>
            <w:shd w:val="clear" w:color="auto" w:fill="auto"/>
            <w:vAlign w:val="top"/>
          </w:tcPr>
          <w:p w14:paraId="3660DF3D">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1、1.92TB固态硬盘：硬盘容量： 1.92TB ，</w:t>
            </w:r>
          </w:p>
          <w:p w14:paraId="4B7F66D9">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2、成熟稳定接口： 使用广泛兼容的 SATA III 接口，理论速度上限 600 MB/s。</w:t>
            </w:r>
          </w:p>
          <w:p w14:paraId="53644236">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3、标准服务器尺寸： 采用 2.5 英寸外形（注意通常是 15mm 厚），方便部署在服务器和存储系统中。</w:t>
            </w:r>
          </w:p>
          <w:p w14:paraId="247B75D2">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企业级；</w:t>
            </w:r>
          </w:p>
          <w:p w14:paraId="37A614A4">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4、硬盘为原项目扩容，需与原项目匹配。</w:t>
            </w:r>
          </w:p>
        </w:tc>
        <w:tc>
          <w:tcPr>
            <w:tcW w:w="660" w:type="dxa"/>
            <w:shd w:val="clear" w:color="auto" w:fill="auto"/>
            <w:vAlign w:val="top"/>
          </w:tcPr>
          <w:p w14:paraId="233158AD">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6</w:t>
            </w:r>
          </w:p>
        </w:tc>
        <w:tc>
          <w:tcPr>
            <w:tcW w:w="961" w:type="dxa"/>
            <w:shd w:val="clear" w:color="auto" w:fill="auto"/>
            <w:vAlign w:val="top"/>
          </w:tcPr>
          <w:p w14:paraId="3BBB07DE">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p>
        </w:tc>
      </w:tr>
      <w:tr w14:paraId="3BAB3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05" w:type="dxa"/>
            <w:shd w:val="clear" w:color="auto" w:fill="auto"/>
            <w:vAlign w:val="top"/>
          </w:tcPr>
          <w:p w14:paraId="4F68C9A6">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12</w:t>
            </w:r>
          </w:p>
        </w:tc>
        <w:tc>
          <w:tcPr>
            <w:tcW w:w="1517" w:type="dxa"/>
            <w:shd w:val="clear" w:color="auto" w:fill="auto"/>
            <w:vAlign w:val="top"/>
          </w:tcPr>
          <w:p w14:paraId="5B5000E2">
            <w:pPr>
              <w:keepNext w:val="0"/>
              <w:keepLines w:val="0"/>
              <w:pageBreakBefore w:val="0"/>
              <w:kinsoku/>
              <w:overflowPunct/>
              <w:topLinePunct w:val="0"/>
              <w:autoSpaceDE/>
              <w:autoSpaceDN/>
              <w:bidi w:val="0"/>
              <w:adjustRightInd/>
              <w:snapToGrid/>
              <w:spacing w:line="596" w:lineRule="exact"/>
              <w:jc w:val="left"/>
              <w:textAlignment w:val="auto"/>
              <w:rPr>
                <w:rFonts w:hint="eastAsia" w:ascii="仿宋" w:hAnsi="仿宋" w:eastAsia="仿宋" w:cs="仿宋"/>
                <w:sz w:val="21"/>
                <w:szCs w:val="21"/>
              </w:rPr>
            </w:pPr>
            <w:r>
              <w:rPr>
                <w:rFonts w:hint="eastAsia" w:ascii="仿宋" w:hAnsi="仿宋" w:eastAsia="仿宋" w:cs="仿宋"/>
                <w:sz w:val="21"/>
                <w:szCs w:val="21"/>
              </w:rPr>
              <w:t>服务器内存</w:t>
            </w:r>
          </w:p>
        </w:tc>
        <w:tc>
          <w:tcPr>
            <w:tcW w:w="5472" w:type="dxa"/>
            <w:shd w:val="clear" w:color="auto" w:fill="auto"/>
            <w:vAlign w:val="top"/>
          </w:tcPr>
          <w:p w14:paraId="30B182D6">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1、32G DDR4内存：容量： 单条32GB，适合高性能计算、大型应用、虚拟化等需求。</w:t>
            </w:r>
          </w:p>
          <w:p w14:paraId="3062C76A">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2、现代标准： 采用 DDR4 技术。</w:t>
            </w:r>
          </w:p>
          <w:p w14:paraId="7CD4453E">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3、主流速度： 数据传输速率 2666 MT/s (DDR4-2666)。</w:t>
            </w:r>
          </w:p>
          <w:p w14:paraId="59D53AD0">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4、标准低电压： 工作电压为 1.2V。</w:t>
            </w:r>
          </w:p>
          <w:p w14:paraId="1E1450B8">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5、高性能结构： 双 Rank (2R) 设计，有助于提升内存访问效率。</w:t>
            </w:r>
          </w:p>
          <w:p w14:paraId="165E6CF2">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6、内存为原项目扩容，需与原项目匹配。</w:t>
            </w:r>
          </w:p>
        </w:tc>
        <w:tc>
          <w:tcPr>
            <w:tcW w:w="660" w:type="dxa"/>
            <w:shd w:val="clear" w:color="auto" w:fill="auto"/>
            <w:vAlign w:val="top"/>
          </w:tcPr>
          <w:p w14:paraId="6F3DDDF8">
            <w:pPr>
              <w:keepNext w:val="0"/>
              <w:keepLines w:val="0"/>
              <w:pageBreakBefore w:val="0"/>
              <w:kinsoku/>
              <w:overflowPunct/>
              <w:topLinePunct w:val="0"/>
              <w:autoSpaceDE/>
              <w:autoSpaceDN/>
              <w:bidi w:val="0"/>
              <w:adjustRightInd/>
              <w:snapToGrid/>
              <w:spacing w:line="59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16</w:t>
            </w:r>
          </w:p>
        </w:tc>
        <w:tc>
          <w:tcPr>
            <w:tcW w:w="961" w:type="dxa"/>
            <w:shd w:val="clear" w:color="auto" w:fill="auto"/>
            <w:vAlign w:val="top"/>
          </w:tcPr>
          <w:p w14:paraId="0DC3EB7C">
            <w:pPr>
              <w:keepNext w:val="0"/>
              <w:keepLines w:val="0"/>
              <w:pageBreakBefore w:val="0"/>
              <w:kinsoku/>
              <w:overflowPunct/>
              <w:topLinePunct w:val="0"/>
              <w:autoSpaceDE/>
              <w:autoSpaceDN/>
              <w:bidi w:val="0"/>
              <w:adjustRightInd/>
              <w:snapToGrid/>
              <w:spacing w:line="596" w:lineRule="exact"/>
              <w:ind w:firstLine="420" w:firstLineChars="200"/>
              <w:jc w:val="left"/>
              <w:textAlignment w:val="auto"/>
              <w:rPr>
                <w:rFonts w:hint="eastAsia" w:ascii="仿宋" w:hAnsi="仿宋" w:eastAsia="仿宋" w:cs="仿宋"/>
                <w:sz w:val="21"/>
                <w:szCs w:val="21"/>
              </w:rPr>
            </w:pPr>
          </w:p>
        </w:tc>
      </w:tr>
    </w:tbl>
    <w:p w14:paraId="6DBAC987">
      <w:pPr>
        <w:widowControl/>
        <w:shd w:val="clear" w:color="auto" w:fill="FFFFFF"/>
        <w:spacing w:line="560" w:lineRule="exact"/>
        <w:ind w:firstLine="420" w:firstLineChars="200"/>
        <w:jc w:val="left"/>
        <w:rPr>
          <w:rFonts w:hint="eastAsia"/>
          <w:color w:val="FF0000"/>
          <w:lang w:eastAsia="zh-CN"/>
        </w:rPr>
      </w:pPr>
      <w:r>
        <w:rPr>
          <w:rFonts w:hint="eastAsia" w:asciiTheme="minorEastAsia" w:hAnsiTheme="minorEastAsia" w:cstheme="minorEastAsia"/>
          <w:b w:val="0"/>
          <w:bCs w:val="0"/>
          <w:i w:val="0"/>
          <w:iCs w:val="0"/>
          <w:color w:val="FF0000"/>
          <w:spacing w:val="0"/>
          <w:w w:val="100"/>
          <w:kern w:val="2"/>
          <w:sz w:val="21"/>
          <w:szCs w:val="21"/>
          <w:vertAlign w:val="baseline"/>
          <w:lang w:val="en-US" w:eastAsia="zh-CN" w:bidi="ar-SA"/>
        </w:rPr>
        <w:t>注：由于本项目牵涉数据迁移，需与原设备兼容匹配，现将原设备参数（见附件）供参考。</w:t>
      </w:r>
    </w:p>
    <w:p w14:paraId="6B290635">
      <w:pPr>
        <w:keepNext w:val="0"/>
        <w:keepLines w:val="0"/>
        <w:pageBreakBefore w:val="0"/>
        <w:kinsoku/>
        <w:overflowPunct/>
        <w:topLinePunct w:val="0"/>
        <w:autoSpaceDE/>
        <w:autoSpaceDN/>
        <w:bidi w:val="0"/>
        <w:adjustRightInd/>
        <w:snapToGrid/>
        <w:spacing w:line="596" w:lineRule="exact"/>
        <w:ind w:firstLine="482" w:firstLineChars="200"/>
        <w:contextualSpacing/>
        <w:textAlignment w:val="auto"/>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bCs/>
          <w:i w:val="0"/>
          <w:iCs w:val="0"/>
          <w:color w:val="000000"/>
          <w:spacing w:val="0"/>
          <w:w w:val="100"/>
          <w:kern w:val="2"/>
          <w:sz w:val="24"/>
          <w:szCs w:val="24"/>
          <w:vertAlign w:val="baseline"/>
          <w:lang w:val="en-US" w:eastAsia="zh-CN" w:bidi="ar-SA"/>
        </w:rPr>
        <w:t>三</w:t>
      </w:r>
      <w:r>
        <w:rPr>
          <w:rFonts w:hint="eastAsia" w:asciiTheme="minorEastAsia" w:hAnsiTheme="minorEastAsia" w:cstheme="minorEastAsia"/>
          <w:b/>
          <w:bCs/>
          <w:i w:val="0"/>
          <w:iCs w:val="0"/>
          <w:color w:val="000000"/>
          <w:spacing w:val="0"/>
          <w:w w:val="100"/>
          <w:kern w:val="2"/>
          <w:sz w:val="24"/>
          <w:szCs w:val="24"/>
          <w:vertAlign w:val="baseline"/>
          <w:lang w:val="en-US" w:eastAsia="zh-CN" w:bidi="ar-SA"/>
        </w:rPr>
        <w:t>、</w:t>
      </w:r>
      <w:r>
        <w:rPr>
          <w:rFonts w:hint="eastAsia" w:asciiTheme="minorEastAsia" w:hAnsiTheme="minorEastAsia" w:eastAsiaTheme="minorEastAsia" w:cstheme="minorEastAsia"/>
          <w:b/>
          <w:bCs/>
          <w:i w:val="0"/>
          <w:iCs w:val="0"/>
          <w:color w:val="000000"/>
          <w:spacing w:val="0"/>
          <w:w w:val="100"/>
          <w:kern w:val="2"/>
          <w:sz w:val="24"/>
          <w:szCs w:val="24"/>
          <w:vertAlign w:val="baseline"/>
          <w:lang w:val="en-US" w:eastAsia="zh-CN" w:bidi="ar-SA"/>
        </w:rPr>
        <w:t>采购标的执行标准：</w:t>
      </w:r>
    </w:p>
    <w:p w14:paraId="0ABE4AA8">
      <w:pPr>
        <w:keepNext w:val="0"/>
        <w:keepLines w:val="0"/>
        <w:pageBreakBefore w:val="0"/>
        <w:kinsoku/>
        <w:overflowPunct/>
        <w:topLinePunct w:val="0"/>
        <w:autoSpaceDE/>
        <w:autoSpaceDN/>
        <w:bidi w:val="0"/>
        <w:adjustRightInd/>
        <w:snapToGrid/>
        <w:spacing w:line="596" w:lineRule="exact"/>
        <w:ind w:firstLine="420" w:firstLineChars="200"/>
        <w:contextualSpacing/>
        <w:textAlignment w:val="auto"/>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1、国家标准：</w:t>
      </w:r>
    </w:p>
    <w:p w14:paraId="70FD7B71">
      <w:pPr>
        <w:keepNext w:val="0"/>
        <w:keepLines w:val="0"/>
        <w:pageBreakBefore w:val="0"/>
        <w:kinsoku/>
        <w:overflowPunct/>
        <w:topLinePunct w:val="0"/>
        <w:autoSpaceDE/>
        <w:autoSpaceDN/>
        <w:bidi w:val="0"/>
        <w:adjustRightInd/>
        <w:snapToGrid/>
        <w:spacing w:line="596" w:lineRule="exact"/>
        <w:ind w:firstLine="420" w:firstLineChars="200"/>
        <w:contextualSpacing/>
        <w:textAlignment w:val="auto"/>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（1）强制性产品认证</w:t>
      </w:r>
    </w:p>
    <w:p w14:paraId="6A5A0F1E">
      <w:pPr>
        <w:keepNext w:val="0"/>
        <w:keepLines w:val="0"/>
        <w:pageBreakBefore w:val="0"/>
        <w:kinsoku/>
        <w:overflowPunct/>
        <w:topLinePunct w:val="0"/>
        <w:autoSpaceDE/>
        <w:autoSpaceDN/>
        <w:bidi w:val="0"/>
        <w:adjustRightInd/>
        <w:snapToGrid/>
        <w:spacing w:line="596" w:lineRule="exact"/>
        <w:ind w:firstLine="420" w:firstLineChars="200"/>
        <w:contextualSpacing/>
        <w:textAlignment w:val="auto"/>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14:paraId="3641ED43">
      <w:pPr>
        <w:keepNext w:val="0"/>
        <w:keepLines w:val="0"/>
        <w:pageBreakBefore w:val="0"/>
        <w:kinsoku/>
        <w:overflowPunct/>
        <w:topLinePunct w:val="0"/>
        <w:autoSpaceDE/>
        <w:autoSpaceDN/>
        <w:bidi w:val="0"/>
        <w:adjustRightInd/>
        <w:snapToGrid/>
        <w:spacing w:line="596" w:lineRule="exact"/>
        <w:ind w:firstLine="420" w:firstLineChars="200"/>
        <w:contextualSpacing/>
        <w:textAlignment w:val="auto"/>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（2）信息安全产品强制性认证</w:t>
      </w:r>
    </w:p>
    <w:p w14:paraId="667AF8F3">
      <w:pPr>
        <w:keepNext w:val="0"/>
        <w:keepLines w:val="0"/>
        <w:pageBreakBefore w:val="0"/>
        <w:kinsoku/>
        <w:overflowPunct/>
        <w:topLinePunct w:val="0"/>
        <w:autoSpaceDE/>
        <w:autoSpaceDN/>
        <w:bidi w:val="0"/>
        <w:adjustRightInd/>
        <w:snapToGrid/>
        <w:spacing w:line="596" w:lineRule="exact"/>
        <w:ind w:firstLine="420" w:firstLineChars="200"/>
        <w:contextualSpacing/>
        <w:textAlignment w:val="auto"/>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如供应商所投产品</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属于《信息安全产品强制性认证目录》，供应商不能提供超出此目录范畴外的替代品并须在响应文件中提供：</w:t>
      </w:r>
    </w:p>
    <w:p w14:paraId="18CD9BCF">
      <w:pPr>
        <w:keepNext w:val="0"/>
        <w:keepLines w:val="0"/>
        <w:pageBreakBefore w:val="0"/>
        <w:kinsoku/>
        <w:wordWrap w:val="0"/>
        <w:overflowPunct/>
        <w:topLinePunct w:val="0"/>
        <w:autoSpaceDE/>
        <w:autoSpaceDN/>
        <w:bidi w:val="0"/>
        <w:adjustRightInd/>
        <w:snapToGrid/>
        <w:spacing w:line="596" w:lineRule="exact"/>
        <w:ind w:firstLine="420" w:firstLineChars="200"/>
        <w:contextualSpacing/>
        <w:textAlignment w:val="auto"/>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①</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中国信息安全认证中心官网</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（http://www.isccc.gov.cn/index.shtml）</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产品查询结果截图并加盖供应商公章</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w:t>
      </w:r>
    </w:p>
    <w:p w14:paraId="49F3F415">
      <w:pPr>
        <w:keepNext w:val="0"/>
        <w:keepLines w:val="0"/>
        <w:pageBreakBefore w:val="0"/>
        <w:kinsoku/>
        <w:wordWrap w:val="0"/>
        <w:overflowPunct/>
        <w:topLinePunct w:val="0"/>
        <w:autoSpaceDE/>
        <w:autoSpaceDN/>
        <w:bidi w:val="0"/>
        <w:adjustRightInd/>
        <w:snapToGrid/>
        <w:spacing w:line="596" w:lineRule="exact"/>
        <w:ind w:firstLine="420" w:firstLineChars="200"/>
        <w:contextualSpacing/>
        <w:textAlignment w:val="auto"/>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②中国信息安全认证中心颁发的《</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fldChar w:fldCharType="begin"/>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instrText xml:space="preserve"> HYPERLINK "http://www.cnca.gov.cn/cnca/zwxx/ggxx/images/2010/07/19/A6C32D2A507AC2A38326896013A67542.doc" \t "_blank"</w:instrTex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fldChar w:fldCharType="separate"/>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中国国家信息安全产品认证证书</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fldChar w:fldCharType="end"/>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》的原件扫描件（或图片）并加盖供应商公章。</w:t>
      </w:r>
    </w:p>
    <w:p w14:paraId="2741D367">
      <w:pPr>
        <w:keepNext w:val="0"/>
        <w:keepLines w:val="0"/>
        <w:pageBreakBefore w:val="0"/>
        <w:kinsoku/>
        <w:wordWrap w:val="0"/>
        <w:overflowPunct/>
        <w:topLinePunct w:val="0"/>
        <w:autoSpaceDE/>
        <w:autoSpaceDN/>
        <w:bidi w:val="0"/>
        <w:adjustRightInd/>
        <w:snapToGrid/>
        <w:spacing w:line="596" w:lineRule="exact"/>
        <w:ind w:firstLine="420" w:firstLineChars="200"/>
        <w:contextualSpacing/>
        <w:textAlignment w:val="auto"/>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注：仅需提供序号</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①～②其中之一即可。</w:t>
      </w:r>
    </w:p>
    <w:p w14:paraId="50382290">
      <w:pPr>
        <w:shd w:val="clear" w:color="auto" w:fill="FFFFFF"/>
        <w:spacing w:line="360" w:lineRule="auto"/>
        <w:ind w:firstLine="482" w:firstLineChars="200"/>
        <w:jc w:val="left"/>
        <w:rPr>
          <w:rFonts w:hint="eastAsia" w:asciiTheme="minorEastAsia" w:hAnsiTheme="minorEastAsia" w:eastAsiaTheme="minorEastAsia" w:cstheme="minorEastAsia"/>
          <w:b/>
          <w:bCs/>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bCs/>
          <w:i w:val="0"/>
          <w:iCs w:val="0"/>
          <w:color w:val="000000"/>
          <w:spacing w:val="0"/>
          <w:w w:val="100"/>
          <w:kern w:val="2"/>
          <w:sz w:val="24"/>
          <w:szCs w:val="24"/>
          <w:vertAlign w:val="baseline"/>
          <w:lang w:val="en-US" w:eastAsia="zh-CN" w:bidi="ar-SA"/>
        </w:rPr>
        <w:t>四</w:t>
      </w:r>
      <w:r>
        <w:rPr>
          <w:rFonts w:hint="eastAsia" w:asciiTheme="minorEastAsia" w:hAnsiTheme="minorEastAsia" w:cstheme="minorEastAsia"/>
          <w:b/>
          <w:bCs/>
          <w:i w:val="0"/>
          <w:iCs w:val="0"/>
          <w:color w:val="000000"/>
          <w:spacing w:val="0"/>
          <w:w w:val="100"/>
          <w:kern w:val="2"/>
          <w:sz w:val="24"/>
          <w:szCs w:val="24"/>
          <w:vertAlign w:val="baseline"/>
          <w:lang w:val="en-US" w:eastAsia="zh-CN" w:bidi="ar-SA"/>
        </w:rPr>
        <w:t>、</w:t>
      </w:r>
      <w:r>
        <w:rPr>
          <w:rFonts w:hint="eastAsia" w:asciiTheme="minorEastAsia" w:hAnsiTheme="minorEastAsia" w:eastAsiaTheme="minorEastAsia" w:cstheme="minorEastAsia"/>
          <w:b/>
          <w:bCs/>
          <w:i w:val="0"/>
          <w:iCs w:val="0"/>
          <w:color w:val="000000"/>
          <w:spacing w:val="0"/>
          <w:w w:val="100"/>
          <w:kern w:val="2"/>
          <w:sz w:val="24"/>
          <w:szCs w:val="24"/>
          <w:vertAlign w:val="baseline"/>
          <w:lang w:val="en-US" w:eastAsia="zh-CN" w:bidi="ar-SA"/>
        </w:rPr>
        <w:t>服务标准、期限、效率等要求：</w:t>
      </w:r>
    </w:p>
    <w:p w14:paraId="30010D1A">
      <w:pPr>
        <w:keepNext w:val="0"/>
        <w:keepLines w:val="0"/>
        <w:pageBreakBefore w:val="0"/>
        <w:kinsoku/>
        <w:wordWrap w:val="0"/>
        <w:overflowPunct/>
        <w:topLinePunct w:val="0"/>
        <w:autoSpaceDE/>
        <w:autoSpaceDN/>
        <w:bidi w:val="0"/>
        <w:adjustRightInd/>
        <w:snapToGrid/>
        <w:spacing w:line="596" w:lineRule="exact"/>
        <w:ind w:firstLine="420" w:firstLineChars="200"/>
        <w:contextualSpacing/>
        <w:textAlignment w:val="auto"/>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1、质保期为设备安装调试验收合格后1年，质保期内发生故障或质量问题，卖方在接到通知后</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30</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分钟进行响应，</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2</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小时到达，</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12</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小时内处理问题，否则需提供备用机直至原设备修好为止。</w:t>
      </w:r>
    </w:p>
    <w:p w14:paraId="470EA963">
      <w:pPr>
        <w:keepNext w:val="0"/>
        <w:keepLines w:val="0"/>
        <w:pageBreakBefore w:val="0"/>
        <w:kinsoku/>
        <w:wordWrap w:val="0"/>
        <w:overflowPunct/>
        <w:topLinePunct w:val="0"/>
        <w:autoSpaceDE/>
        <w:autoSpaceDN/>
        <w:bidi w:val="0"/>
        <w:adjustRightInd/>
        <w:snapToGrid/>
        <w:spacing w:line="596" w:lineRule="exact"/>
        <w:ind w:firstLine="420" w:firstLineChars="200"/>
        <w:contextualSpacing/>
        <w:textAlignment w:val="auto"/>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2、所投产品必须符合国家质量检测标准和本招标文件规定的全新正品现货；本项目为交钥匙工程，采购方不再</w:t>
      </w:r>
      <w:r>
        <w:rPr>
          <w:rFonts w:hint="eastAsia" w:asciiTheme="minorEastAsia" w:hAnsiTheme="minorEastAsia" w:cstheme="minorEastAsia"/>
          <w:b w:val="0"/>
          <w:bCs w:val="0"/>
          <w:i w:val="0"/>
          <w:iCs w:val="0"/>
          <w:color w:val="000000"/>
          <w:spacing w:val="0"/>
          <w:w w:val="100"/>
          <w:kern w:val="2"/>
          <w:sz w:val="21"/>
          <w:szCs w:val="21"/>
          <w:vertAlign w:val="baseline"/>
          <w:lang w:val="en-US" w:eastAsia="zh-CN" w:bidi="ar-SA"/>
        </w:rPr>
        <w:t>承担</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费用。</w:t>
      </w:r>
    </w:p>
    <w:p w14:paraId="5E81CE5D">
      <w:pPr>
        <w:keepNext w:val="0"/>
        <w:keepLines w:val="0"/>
        <w:pageBreakBefore w:val="0"/>
        <w:kinsoku/>
        <w:wordWrap w:val="0"/>
        <w:overflowPunct/>
        <w:topLinePunct w:val="0"/>
        <w:autoSpaceDE/>
        <w:autoSpaceDN/>
        <w:bidi w:val="0"/>
        <w:adjustRightInd/>
        <w:snapToGrid/>
        <w:spacing w:line="596" w:lineRule="exact"/>
        <w:ind w:firstLine="420" w:firstLineChars="200"/>
        <w:contextualSpacing/>
        <w:textAlignment w:val="auto"/>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3、投标商所投产品须符合国家环保要求。</w:t>
      </w:r>
    </w:p>
    <w:p w14:paraId="3537B7DC">
      <w:pPr>
        <w:keepNext w:val="0"/>
        <w:keepLines w:val="0"/>
        <w:pageBreakBefore w:val="0"/>
        <w:kinsoku/>
        <w:wordWrap w:val="0"/>
        <w:overflowPunct/>
        <w:topLinePunct w:val="0"/>
        <w:autoSpaceDE/>
        <w:autoSpaceDN/>
        <w:bidi w:val="0"/>
        <w:adjustRightInd/>
        <w:snapToGrid/>
        <w:spacing w:line="596" w:lineRule="exact"/>
        <w:ind w:firstLine="420" w:firstLineChars="200"/>
        <w:contextualSpacing/>
        <w:textAlignment w:val="auto"/>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4、投标商应负责对买方操作人员进行使用培训，使其能够独立操作，并可以简单的维护和保养。</w:t>
      </w:r>
    </w:p>
    <w:p w14:paraId="028EBA39">
      <w:pPr>
        <w:shd w:val="clear" w:color="auto" w:fill="FFFFFF"/>
        <w:spacing w:line="360" w:lineRule="auto"/>
        <w:ind w:firstLine="482" w:firstLineChars="200"/>
        <w:jc w:val="left"/>
        <w:rPr>
          <w:rFonts w:hint="eastAsia" w:asciiTheme="minorEastAsia" w:hAnsiTheme="minorEastAsia" w:eastAsiaTheme="minorEastAsia" w:cstheme="minorEastAsia"/>
          <w:b/>
          <w:bCs/>
          <w:i w:val="0"/>
          <w:iCs w:val="0"/>
          <w:color w:val="000000"/>
          <w:spacing w:val="0"/>
          <w:w w:val="100"/>
          <w:kern w:val="2"/>
          <w:sz w:val="24"/>
          <w:szCs w:val="24"/>
          <w:vertAlign w:val="baseline"/>
          <w:lang w:val="en-US" w:eastAsia="zh-CN" w:bidi="ar-SA"/>
        </w:rPr>
      </w:pPr>
      <w:r>
        <w:rPr>
          <w:rFonts w:hint="eastAsia" w:asciiTheme="minorEastAsia" w:hAnsiTheme="minorEastAsia" w:eastAsiaTheme="minorEastAsia" w:cstheme="minorEastAsia"/>
          <w:b/>
          <w:bCs/>
          <w:i w:val="0"/>
          <w:iCs w:val="0"/>
          <w:color w:val="000000"/>
          <w:spacing w:val="0"/>
          <w:w w:val="100"/>
          <w:kern w:val="2"/>
          <w:sz w:val="24"/>
          <w:szCs w:val="24"/>
          <w:vertAlign w:val="baseline"/>
          <w:lang w:val="en-US" w:eastAsia="zh-CN" w:bidi="ar-SA"/>
        </w:rPr>
        <w:t>五、采购标的其他技术、服务等要求</w:t>
      </w:r>
    </w:p>
    <w:p w14:paraId="38C93D33">
      <w:pPr>
        <w:shd w:val="clear" w:color="auto" w:fill="FFFFFF"/>
        <w:spacing w:line="360" w:lineRule="auto"/>
        <w:ind w:firstLine="420" w:firstLineChars="2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1、投标方须明确投标产品的厂家、产地、品牌、型号等参数，</w:t>
      </w:r>
      <w:r>
        <w:rPr>
          <w:rFonts w:hint="eastAsia" w:asciiTheme="minorEastAsia" w:hAnsiTheme="minorEastAsia" w:eastAsiaTheme="minorEastAsia" w:cstheme="minorEastAsia"/>
          <w:b/>
          <w:bCs/>
          <w:i w:val="0"/>
          <w:iCs w:val="0"/>
          <w:color w:val="000000"/>
          <w:spacing w:val="0"/>
          <w:w w:val="100"/>
          <w:kern w:val="2"/>
          <w:sz w:val="21"/>
          <w:szCs w:val="21"/>
          <w:vertAlign w:val="baseline"/>
          <w:lang w:val="zh-CN" w:eastAsia="zh-CN" w:bidi="ar-SA"/>
        </w:rPr>
        <w:t>否则为无效投标。</w:t>
      </w:r>
    </w:p>
    <w:p w14:paraId="2E49A09E">
      <w:pPr>
        <w:spacing w:line="360" w:lineRule="auto"/>
        <w:ind w:firstLine="420" w:firstLineChars="2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2、投标人应就本项目完整投标，报价含税费、设备、材料、元件等购置、安装调试、验收、与其它施工单位协作所产生的费用等综合费用，</w:t>
      </w:r>
      <w:r>
        <w:rPr>
          <w:rFonts w:hint="eastAsia" w:asciiTheme="minorEastAsia" w:hAnsiTheme="minorEastAsia" w:eastAsiaTheme="minorEastAsia" w:cstheme="minorEastAsia"/>
          <w:b/>
          <w:bCs/>
          <w:i w:val="0"/>
          <w:iCs w:val="0"/>
          <w:color w:val="000000"/>
          <w:spacing w:val="0"/>
          <w:w w:val="100"/>
          <w:kern w:val="2"/>
          <w:sz w:val="21"/>
          <w:szCs w:val="21"/>
          <w:vertAlign w:val="baseline"/>
          <w:lang w:val="zh-CN" w:eastAsia="zh-CN" w:bidi="ar-SA"/>
        </w:rPr>
        <w:t>否则为无效投标。</w:t>
      </w:r>
    </w:p>
    <w:p w14:paraId="7389E50C">
      <w:pPr>
        <w:spacing w:line="360" w:lineRule="auto"/>
        <w:ind w:firstLine="420" w:firstLineChars="200"/>
        <w:jc w:val="left"/>
        <w:rPr>
          <w:rFonts w:hint="eastAsia" w:asciiTheme="minorEastAsia" w:hAnsiTheme="minorEastAsia" w:eastAsiaTheme="minorEastAsia" w:cstheme="minorEastAsia"/>
          <w:b w:val="0"/>
          <w:bCs w:val="0"/>
          <w:i w:val="0"/>
          <w:iCs w:val="0"/>
          <w:color w:val="FF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3、投标人须有完整的技术方案，</w:t>
      </w:r>
      <w:r>
        <w:rPr>
          <w:rFonts w:hint="eastAsia" w:asciiTheme="minorEastAsia" w:hAnsiTheme="minorEastAsia" w:eastAsiaTheme="minorEastAsia" w:cstheme="minorEastAsia"/>
          <w:b/>
          <w:bCs/>
          <w:i w:val="0"/>
          <w:iCs w:val="0"/>
          <w:color w:val="000000"/>
          <w:spacing w:val="0"/>
          <w:w w:val="100"/>
          <w:kern w:val="2"/>
          <w:sz w:val="21"/>
          <w:szCs w:val="21"/>
          <w:vertAlign w:val="baseline"/>
          <w:lang w:val="zh-CN" w:eastAsia="zh-CN" w:bidi="ar-SA"/>
        </w:rPr>
        <w:t>否则为无效投标。</w:t>
      </w:r>
    </w:p>
    <w:p w14:paraId="0B4F8D5D">
      <w:pPr>
        <w:widowControl/>
        <w:shd w:val="clear" w:color="auto" w:fill="FFFFFF"/>
        <w:spacing w:line="360" w:lineRule="auto"/>
        <w:ind w:firstLine="422" w:firstLineChars="200"/>
        <w:contextualSpacing/>
        <w:jc w:val="left"/>
        <w:rPr>
          <w:rFonts w:hint="eastAsia" w:ascii="新宋体" w:hAnsi="新宋体" w:eastAsia="新宋体" w:cs="新宋体"/>
          <w:b/>
          <w:bCs/>
          <w:szCs w:val="21"/>
        </w:rPr>
      </w:pPr>
    </w:p>
    <w:p w14:paraId="3B05EABC">
      <w:pPr>
        <w:widowControl/>
        <w:shd w:val="clear" w:color="auto" w:fill="FFFFFF"/>
        <w:spacing w:line="360" w:lineRule="auto"/>
        <w:ind w:firstLine="422" w:firstLineChars="200"/>
        <w:contextualSpacing/>
        <w:jc w:val="left"/>
        <w:rPr>
          <w:rFonts w:hint="default" w:asciiTheme="minorEastAsia" w:hAnsiTheme="minorEastAsia" w:eastAsiaTheme="minorEastAsia" w:cstheme="minorEastAsia"/>
          <w:kern w:val="2"/>
          <w:sz w:val="21"/>
          <w:szCs w:val="21"/>
          <w:lang w:val="en-US" w:eastAsia="zh-CN" w:bidi="ar-SA"/>
        </w:rPr>
      </w:pPr>
      <w:r>
        <w:rPr>
          <w:rFonts w:hint="eastAsia" w:ascii="新宋体" w:hAnsi="新宋体" w:eastAsia="新宋体" w:cs="新宋体"/>
          <w:b/>
          <w:bCs/>
          <w:szCs w:val="21"/>
        </w:rPr>
        <w:t>注：</w:t>
      </w:r>
      <w:r>
        <w:rPr>
          <w:rFonts w:hint="eastAsia" w:ascii="新宋体" w:hAnsi="新宋体" w:eastAsia="新宋体" w:cs="新宋体"/>
          <w:b/>
          <w:bCs/>
          <w:szCs w:val="21"/>
          <w:lang w:val="zh-CN"/>
        </w:rPr>
        <w:t>中标人须向禹州市政府采购中心发送投</w:t>
      </w:r>
      <w:r>
        <w:rPr>
          <w:rFonts w:hint="eastAsia" w:ascii="宋体" w:hAnsi="宋体" w:eastAsia="宋体"/>
          <w:b/>
          <w:bCs/>
          <w:szCs w:val="21"/>
          <w:lang w:val="zh-CN"/>
        </w:rPr>
        <w:t>标报价及分项报价（如果货物需求中有分项的话）一览表电子档，并同时通知采购中心。邮箱：</w:t>
      </w:r>
      <w:r>
        <w:rPr>
          <w:b/>
          <w:bCs/>
        </w:rPr>
        <w:fldChar w:fldCharType="begin"/>
      </w:r>
      <w:r>
        <w:rPr>
          <w:b/>
          <w:bCs/>
        </w:rPr>
        <w:instrText xml:space="preserve"> HYPERLINK "mailto:YZGGZY2076770@163.com。" </w:instrText>
      </w:r>
      <w:r>
        <w:rPr>
          <w:b/>
          <w:bCs/>
        </w:rPr>
        <w:fldChar w:fldCharType="separate"/>
      </w:r>
      <w:r>
        <w:rPr>
          <w:rStyle w:val="31"/>
          <w:rFonts w:hint="eastAsia" w:ascii="宋体" w:cs="宋体"/>
          <w:b/>
          <w:bCs/>
          <w:color w:val="auto"/>
          <w:sz w:val="24"/>
          <w:lang w:val="en-US" w:eastAsia="zh-CN"/>
        </w:rPr>
        <w:t xml:space="preserve"> </w:t>
      </w:r>
      <w:r>
        <w:rPr>
          <w:b/>
          <w:bCs/>
        </w:rPr>
        <w:fldChar w:fldCharType="begin"/>
      </w:r>
      <w:r>
        <w:rPr>
          <w:b/>
          <w:bCs/>
        </w:rPr>
        <w:instrText xml:space="preserve"> HYPERLINK "mailto:YZGGZY2076770@163.com。" </w:instrText>
      </w:r>
      <w:r>
        <w:rPr>
          <w:b/>
          <w:bCs/>
        </w:rPr>
        <w:fldChar w:fldCharType="separate"/>
      </w:r>
      <w:r>
        <w:rPr>
          <w:rStyle w:val="31"/>
          <w:rFonts w:hint="eastAsia" w:ascii="宋体" w:cs="宋体"/>
          <w:b/>
          <w:bCs/>
          <w:sz w:val="24"/>
          <w:lang w:val="en-US" w:eastAsia="zh-CN"/>
        </w:rPr>
        <w:t>ztbjyglzx</w:t>
      </w:r>
      <w:r>
        <w:rPr>
          <w:rStyle w:val="31"/>
          <w:rFonts w:hint="eastAsia" w:ascii="宋体" w:cs="宋体"/>
          <w:b/>
          <w:bCs/>
          <w:sz w:val="24"/>
          <w:lang w:val="zh-CN"/>
        </w:rPr>
        <w:t>@163.com</w:t>
      </w:r>
      <w:r>
        <w:rPr>
          <w:rStyle w:val="31"/>
          <w:rFonts w:hint="eastAsia" w:ascii="宋体" w:cs="宋体"/>
          <w:b/>
          <w:bCs/>
          <w:color w:val="auto"/>
          <w:sz w:val="24"/>
          <w:lang w:val="zh-CN"/>
        </w:rPr>
        <w:fldChar w:fldCharType="end"/>
      </w:r>
      <w:r>
        <w:rPr>
          <w:rStyle w:val="31"/>
          <w:rFonts w:hint="eastAsia" w:ascii="宋体" w:cs="宋体"/>
          <w:b/>
          <w:bCs/>
          <w:color w:val="auto"/>
          <w:sz w:val="24"/>
          <w:lang w:val="zh-CN"/>
        </w:rPr>
        <w:fldChar w:fldCharType="end"/>
      </w:r>
      <w:r>
        <w:rPr>
          <w:rStyle w:val="31"/>
          <w:rFonts w:hint="eastAsia" w:ascii="宋体" w:cs="宋体"/>
          <w:b/>
          <w:bCs/>
          <w:color w:val="auto"/>
          <w:sz w:val="24"/>
          <w:lang w:val="zh-CN"/>
        </w:rPr>
        <w:t>。</w:t>
      </w:r>
    </w:p>
    <w:p w14:paraId="49FBD2DC">
      <w:pPr>
        <w:tabs>
          <w:tab w:val="left" w:pos="7095"/>
        </w:tabs>
        <w:spacing w:line="440" w:lineRule="exact"/>
        <w:ind w:firstLine="482" w:firstLineChars="200"/>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六、验收标准：</w:t>
      </w:r>
    </w:p>
    <w:p w14:paraId="29D3E705">
      <w:pPr>
        <w:spacing w:line="360" w:lineRule="auto"/>
        <w:ind w:firstLine="420" w:firstLineChars="2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37020A2B">
      <w:pPr>
        <w:spacing w:line="360" w:lineRule="auto"/>
        <w:ind w:firstLine="420" w:firstLineChars="2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1、项目质量按照国家相关标准、行业标准、地方标准或者其他标准、规范验收；</w:t>
      </w:r>
    </w:p>
    <w:p w14:paraId="562C9AD6">
      <w:pPr>
        <w:spacing w:line="360" w:lineRule="auto"/>
        <w:ind w:firstLine="420" w:firstLineChars="2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2、按照招标文件要求、投标文件响应和承诺验收；</w:t>
      </w:r>
    </w:p>
    <w:p w14:paraId="1580A204">
      <w:pPr>
        <w:spacing w:line="360" w:lineRule="auto"/>
        <w:ind w:firstLine="420" w:firstLineChars="2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3.本项目验收如需要第三方验收，中标方将承担所有产生的费用。</w:t>
      </w:r>
    </w:p>
    <w:p w14:paraId="72EBB446">
      <w:pPr>
        <w:tabs>
          <w:tab w:val="left" w:pos="7095"/>
        </w:tabs>
        <w:spacing w:line="440" w:lineRule="exact"/>
        <w:ind w:firstLine="482" w:firstLineChars="200"/>
        <w:outlineLvl w:val="1"/>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七、采购资金支付</w:t>
      </w:r>
    </w:p>
    <w:p w14:paraId="617F9667">
      <w:pPr>
        <w:spacing w:line="360" w:lineRule="auto"/>
        <w:ind w:firstLine="420" w:firstLineChars="2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（一）支付方式：按照合同约定，经验收合格后申请支付。</w:t>
      </w:r>
    </w:p>
    <w:p w14:paraId="23BDBE6C">
      <w:pPr>
        <w:spacing w:line="360" w:lineRule="auto"/>
        <w:ind w:firstLine="420" w:firstLineChars="200"/>
        <w:jc w:val="left"/>
        <w:rPr>
          <w:rFonts w:hint="eastAsia" w:ascii="宋体" w:hAnsi="宋体" w:eastAsia="宋体"/>
          <w:szCs w:val="21"/>
          <w:lang w:val="en-US" w:eastAsia="zh-CN"/>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（二）支付时间及条件：以合同为准。</w:t>
      </w:r>
    </w:p>
    <w:p w14:paraId="35E59D91">
      <w:pPr>
        <w:tabs>
          <w:tab w:val="left" w:pos="7095"/>
        </w:tabs>
        <w:spacing w:line="440" w:lineRule="exact"/>
        <w:ind w:firstLine="420" w:firstLineChars="200"/>
        <w:rPr>
          <w:rFonts w:ascii="宋体" w:hAnsi="宋体" w:eastAsia="宋体"/>
          <w:szCs w:val="21"/>
        </w:rPr>
      </w:pPr>
    </w:p>
    <w:p w14:paraId="60185310">
      <w:pPr>
        <w:pStyle w:val="32"/>
      </w:pPr>
    </w:p>
    <w:p w14:paraId="7131378C">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65189EF4">
      <w:pPr>
        <w:autoSpaceDE w:val="0"/>
        <w:autoSpaceDN w:val="0"/>
        <w:adjustRightInd w:val="0"/>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14:paraId="7DF78612">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w:t>
      </w:r>
      <w:r>
        <w:rPr>
          <w:rFonts w:hint="eastAsia" w:cs="微软雅黑"/>
          <w:b/>
          <w:szCs w:val="21"/>
          <w:lang w:val="en-US" w:eastAsia="zh-CN"/>
        </w:rPr>
        <w:t>前附表</w:t>
      </w:r>
      <w:r>
        <w:rPr>
          <w:rFonts w:hint="eastAsia" w:cs="微软雅黑"/>
          <w:b/>
          <w:szCs w:val="21"/>
        </w:rPr>
        <w:t>中凡标有</w:t>
      </w:r>
      <w:r>
        <w:rPr>
          <w:rFonts w:hint="eastAsia" w:cs="微软雅黑" w:asciiTheme="minorEastAsia" w:hAnsiTheme="minorEastAsia"/>
          <w:b/>
          <w:szCs w:val="21"/>
        </w:rPr>
        <w:t>★（技术参数中的除外）</w:t>
      </w:r>
      <w:r>
        <w:rPr>
          <w:rFonts w:hint="eastAsia" w:cs="微软雅黑"/>
          <w:b/>
          <w:szCs w:val="21"/>
        </w:rPr>
        <w:t>条款均为实质性要求条款，响应文件须完全响应，未实质响应的，按照无效响应处理。</w:t>
      </w:r>
    </w:p>
    <w:tbl>
      <w:tblPr>
        <w:tblStyle w:val="2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65DE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04034983">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14:paraId="6D607AA7">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14:paraId="4D4D71AE">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2474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14:paraId="4317BF7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14:paraId="7D73BCE4">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14:paraId="7C7B59CA">
            <w:pPr>
              <w:widowControl/>
              <w:shd w:val="clear" w:color="auto" w:fill="FFFFFF"/>
              <w:spacing w:line="560" w:lineRule="exact"/>
              <w:jc w:val="left"/>
              <w:rPr>
                <w:rFonts w:cs="仿宋_GB2312" w:asciiTheme="minorEastAsia" w:hAnsiTheme="minorEastAsia"/>
                <w:szCs w:val="21"/>
              </w:rPr>
            </w:pPr>
            <w:r>
              <w:rPr>
                <w:rFonts w:hint="eastAsia" w:cs="仿宋_GB2312" w:asciiTheme="minorEastAsia" w:hAnsiTheme="minorEastAsia"/>
                <w:szCs w:val="21"/>
              </w:rPr>
              <w:t>项目名称：</w:t>
            </w:r>
            <w:r>
              <w:rPr>
                <w:rFonts w:hint="eastAsia" w:asciiTheme="minorEastAsia" w:hAnsiTheme="minorEastAsia" w:eastAsiaTheme="minorEastAsia" w:cstheme="minorEastAsia"/>
                <w:kern w:val="2"/>
                <w:sz w:val="21"/>
                <w:szCs w:val="21"/>
                <w:lang w:val="en-US" w:eastAsia="zh-CN" w:bidi="ar-SA"/>
              </w:rPr>
              <w:t>禹州市中医院数据中心紧急扩容项目</w:t>
            </w:r>
            <w:r>
              <w:rPr>
                <w:rFonts w:hint="eastAsia" w:asciiTheme="minorEastAsia" w:hAnsiTheme="minorEastAsia" w:cstheme="minorEastAsia"/>
                <w:kern w:val="2"/>
                <w:sz w:val="21"/>
                <w:szCs w:val="21"/>
                <w:lang w:val="en-US" w:eastAsia="zh-CN" w:bidi="ar-SA"/>
              </w:rPr>
              <w:t>（二次）</w:t>
            </w:r>
            <w:r>
              <w:rPr>
                <w:rFonts w:hint="eastAsia" w:cs="仿宋_GB2312" w:asciiTheme="minorEastAsia" w:hAnsiTheme="minorEastAsia"/>
                <w:color w:val="000000"/>
                <w:szCs w:val="21"/>
                <w:shd w:val="clear" w:color="auto" w:fill="FFFFFF"/>
              </w:rPr>
              <w:t>（不见面开标）</w:t>
            </w:r>
          </w:p>
          <w:p w14:paraId="2E408C53">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采购编号：YZCG-T202</w:t>
            </w:r>
            <w:r>
              <w:rPr>
                <w:rFonts w:hint="eastAsia" w:cs="仿宋_GB2312" w:asciiTheme="minorEastAsia" w:hAnsiTheme="minorEastAsia"/>
                <w:szCs w:val="21"/>
                <w:lang w:val="en-US" w:eastAsia="zh-CN"/>
              </w:rPr>
              <w:t>5026-1</w:t>
            </w:r>
          </w:p>
          <w:p w14:paraId="06702FF3">
            <w:pPr>
              <w:autoSpaceDE w:val="0"/>
              <w:autoSpaceDN w:val="0"/>
              <w:adjustRightInd w:val="0"/>
              <w:spacing w:line="360" w:lineRule="auto"/>
              <w:jc w:val="left"/>
              <w:rPr>
                <w:rFonts w:hint="default" w:cs="仿宋_GB2312" w:asciiTheme="minorEastAsia" w:hAnsi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lang w:val="en-US" w:eastAsia="zh-CN"/>
              </w:rPr>
              <w:t>交付（服务、完工）时间：合同签订后15日历天内</w:t>
            </w:r>
          </w:p>
          <w:p w14:paraId="0AA6FA72">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履约地点：</w:t>
            </w:r>
            <w:r>
              <w:rPr>
                <w:rFonts w:hint="eastAsia" w:asciiTheme="minorEastAsia" w:hAnsiTheme="minorEastAsia" w:eastAsiaTheme="minorEastAsia" w:cstheme="minorEastAsia"/>
                <w:kern w:val="2"/>
                <w:sz w:val="21"/>
                <w:szCs w:val="21"/>
                <w:lang w:val="en-US" w:eastAsia="zh-CN" w:bidi="ar-SA"/>
              </w:rPr>
              <w:t>禹州市中医院</w:t>
            </w:r>
          </w:p>
        </w:tc>
      </w:tr>
      <w:tr w14:paraId="3BC9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63B76FED">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14:paraId="1A08438F">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14:paraId="7E176EF1">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采购人名称：禹州市中医院</w:t>
            </w:r>
          </w:p>
          <w:p w14:paraId="59216A7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地址：禹州市钧官窑路69号</w:t>
            </w:r>
          </w:p>
          <w:p w14:paraId="78BCA1DE">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szCs w:val="21"/>
                <w:shd w:val="clear" w:color="auto" w:fill="FFFFFF"/>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eastAsiaTheme="minorEastAsia" w:cstheme="minorEastAsia"/>
                <w:kern w:val="2"/>
                <w:sz w:val="21"/>
                <w:szCs w:val="21"/>
                <w:lang w:val="en-US" w:eastAsia="zh-CN" w:bidi="ar-SA"/>
              </w:rPr>
              <w:t>董先生</w:t>
            </w:r>
          </w:p>
          <w:p w14:paraId="6A463258">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default" w:eastAsia="宋体" w:cs="仿宋_GB2312" w:asciiTheme="minorEastAsia" w:hAnsiTheme="minorEastAsia"/>
                <w:color w:val="000000"/>
                <w:szCs w:val="21"/>
                <w:shd w:val="clear" w:color="auto" w:fill="FFFFFF"/>
                <w:lang w:val="en-US" w:eastAsia="zh-CN"/>
              </w:rPr>
            </w:pPr>
            <w:r>
              <w:rPr>
                <w:rFonts w:hint="eastAsia" w:asciiTheme="minorEastAsia" w:hAnsiTheme="minorEastAsia" w:eastAsiaTheme="minorEastAsia" w:cstheme="minorEastAsia"/>
                <w:color w:val="000000"/>
                <w:szCs w:val="21"/>
                <w:shd w:val="clear" w:color="auto" w:fill="FFFFFF"/>
              </w:rPr>
              <w:t>联系电话：</w:t>
            </w:r>
            <w:r>
              <w:rPr>
                <w:rFonts w:hint="eastAsia" w:asciiTheme="minorEastAsia" w:hAnsiTheme="minorEastAsia" w:eastAsiaTheme="minorEastAsia" w:cstheme="minorEastAsia"/>
                <w:color w:val="000000"/>
                <w:szCs w:val="21"/>
                <w:shd w:val="clear" w:color="auto" w:fill="FFFFFF"/>
                <w:lang w:val="en-US" w:eastAsia="zh-CN"/>
              </w:rPr>
              <w:t>0374-8816966</w:t>
            </w:r>
          </w:p>
        </w:tc>
      </w:tr>
      <w:tr w14:paraId="3453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1BE972D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14:paraId="769BBDD0">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14:paraId="71B21AE1">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14:paraId="67718E95">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w:t>
            </w:r>
            <w:r>
              <w:rPr>
                <w:rFonts w:hint="eastAsia" w:cs="仿宋_GB2312" w:asciiTheme="minorEastAsia" w:hAnsiTheme="minorEastAsia"/>
                <w:szCs w:val="21"/>
                <w:lang w:val="en-US" w:eastAsia="zh-CN"/>
              </w:rPr>
              <w:t>8</w:t>
            </w:r>
            <w:r>
              <w:rPr>
                <w:rFonts w:hint="eastAsia" w:cs="仿宋_GB2312" w:asciiTheme="minorEastAsia" w:hAnsiTheme="minorEastAsia"/>
                <w:szCs w:val="21"/>
              </w:rPr>
              <w:t>楼</w:t>
            </w:r>
          </w:p>
          <w:p w14:paraId="470C707E">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朱先生</w:t>
            </w:r>
            <w:r>
              <w:rPr>
                <w:rFonts w:hint="eastAsia" w:cs="仿宋_GB2312" w:asciiTheme="minorEastAsia" w:hAnsiTheme="minorEastAsia"/>
                <w:szCs w:val="21"/>
              </w:rPr>
              <w:t xml:space="preserve">               电话：0374-2077111</w:t>
            </w:r>
          </w:p>
        </w:tc>
      </w:tr>
      <w:tr w14:paraId="76F5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806" w:type="dxa"/>
            <w:vMerge w:val="restart"/>
            <w:vAlign w:val="center"/>
          </w:tcPr>
          <w:p w14:paraId="68B768C9">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4</w:t>
            </w:r>
          </w:p>
        </w:tc>
        <w:tc>
          <w:tcPr>
            <w:tcW w:w="2268" w:type="dxa"/>
            <w:vMerge w:val="restart"/>
            <w:vAlign w:val="center"/>
          </w:tcPr>
          <w:p w14:paraId="49DBFF5F">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仿宋_GB2312"/>
                <w:szCs w:val="21"/>
              </w:rPr>
              <w:t>供应商资格</w:t>
            </w:r>
          </w:p>
        </w:tc>
        <w:tc>
          <w:tcPr>
            <w:tcW w:w="6813" w:type="dxa"/>
            <w:vAlign w:val="center"/>
          </w:tcPr>
          <w:p w14:paraId="46058E98">
            <w:pPr>
              <w:autoSpaceDE w:val="0"/>
              <w:autoSpaceDN w:val="0"/>
              <w:adjustRightInd w:val="0"/>
              <w:spacing w:line="360" w:lineRule="auto"/>
              <w:jc w:val="left"/>
              <w:rPr>
                <w:rFonts w:cs="仿宋_GB2312" w:asciiTheme="minorEastAsia" w:hAnsiTheme="minorEastAsia"/>
                <w:b/>
                <w:color w:val="000000" w:themeColor="text1"/>
                <w:szCs w:val="21"/>
                <w:shd w:val="clear" w:color="auto" w:fill="FFFFFF"/>
                <w14:textFill>
                  <w14:solidFill>
                    <w14:schemeClr w14:val="tx1"/>
                  </w14:solidFill>
                </w14:textFill>
              </w:rPr>
            </w:pPr>
            <w:r>
              <w:rPr>
                <w:rFonts w:hint="eastAsia" w:cs="仿宋_GB2312" w:asciiTheme="minorEastAsia" w:hAnsiTheme="minorEastAsia"/>
                <w:b/>
                <w:color w:val="000000" w:themeColor="text1"/>
                <w:szCs w:val="21"/>
                <w:shd w:val="clear" w:color="auto" w:fill="FFFFFF"/>
                <w14:textFill>
                  <w14:solidFill>
                    <w14:schemeClr w14:val="tx1"/>
                  </w14:solidFill>
                </w14:textFill>
              </w:rPr>
              <w:t>符合《</w:t>
            </w:r>
            <w:r>
              <w:rPr>
                <w:rFonts w:hint="eastAsia" w:cs="仿宋_GB2312" w:asciiTheme="minorEastAsia" w:hAnsiTheme="minorEastAsia"/>
                <w:b/>
                <w:color w:val="000000" w:themeColor="text1"/>
                <w:szCs w:val="21"/>
                <w:shd w:val="clear" w:color="auto" w:fill="FFFFFF"/>
                <w:lang w:val="en-US" w:eastAsia="zh-CN"/>
                <w14:textFill>
                  <w14:solidFill>
                    <w14:schemeClr w14:val="tx1"/>
                  </w14:solidFill>
                </w14:textFill>
              </w:rPr>
              <w:t>中华人民共和国</w:t>
            </w:r>
            <w:r>
              <w:rPr>
                <w:rFonts w:hint="eastAsia" w:cs="仿宋_GB2312" w:asciiTheme="minorEastAsia" w:hAnsiTheme="minorEastAsia"/>
                <w:b/>
                <w:color w:val="000000" w:themeColor="text1"/>
                <w:szCs w:val="21"/>
                <w:shd w:val="clear" w:color="auto" w:fill="FFFFFF"/>
                <w14:textFill>
                  <w14:solidFill>
                    <w14:schemeClr w14:val="tx1"/>
                  </w14:solidFill>
                </w14:textFill>
              </w:rPr>
              <w:t>政府采购法》第二十二条规定</w:t>
            </w:r>
          </w:p>
          <w:p w14:paraId="692AA5C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1．具有独立承担民事责任的能力；</w:t>
            </w:r>
          </w:p>
          <w:p w14:paraId="2334BB6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2．具有良好的商业信誉和健全的财务会计制度；</w:t>
            </w:r>
          </w:p>
          <w:p w14:paraId="7734BE1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3．具有履行合同所必需的设备和专业技术能力；</w:t>
            </w:r>
          </w:p>
          <w:p w14:paraId="1B71DD25">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4．具有依法缴纳税收和社会保障资金的良好记录；</w:t>
            </w:r>
          </w:p>
          <w:p w14:paraId="3EA9EC2A">
            <w:pPr>
              <w:autoSpaceDE w:val="0"/>
              <w:autoSpaceDN w:val="0"/>
              <w:adjustRightInd w:val="0"/>
              <w:spacing w:line="360" w:lineRule="auto"/>
              <w:rPr>
                <w:rFonts w:cs="仿宋_GB2312"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5．参加政府采购活动前三年内，在经营活动中没有重大违法记录；</w:t>
            </w:r>
          </w:p>
        </w:tc>
      </w:tr>
      <w:tr w14:paraId="101E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806" w:type="dxa"/>
            <w:vMerge w:val="continue"/>
            <w:vAlign w:val="center"/>
          </w:tcPr>
          <w:p w14:paraId="42863DEC">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14:paraId="36EA73C0">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14:paraId="6C518E9C">
            <w:pPr>
              <w:autoSpaceDE w:val="0"/>
              <w:autoSpaceDN w:val="0"/>
              <w:adjustRightInd w:val="0"/>
              <w:spacing w:line="276"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注：1、供应商在投标时，提供《禹州市政府采购供应商信用承诺函》（详见谈判文件第八章3.5格式），无需再提交上述证明材料。</w:t>
            </w:r>
          </w:p>
          <w:p w14:paraId="3AA9E782">
            <w:pPr>
              <w:autoSpaceDE w:val="0"/>
              <w:autoSpaceDN w:val="0"/>
              <w:adjustRightInd w:val="0"/>
              <w:spacing w:line="276"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2、采购人有权在签订合同前要求成交供应商提供相关证明材料以核实成交供应商承诺事项的真实性。</w:t>
            </w:r>
          </w:p>
          <w:p w14:paraId="3CEC01D9">
            <w:pPr>
              <w:adjustRightInd w:val="0"/>
              <w:spacing w:line="360" w:lineRule="auto"/>
              <w:jc w:val="left"/>
              <w:rPr>
                <w:rFonts w:cs="仿宋_GB2312" w:asciiTheme="minorEastAsia" w:hAnsiTheme="minorEastAsia"/>
                <w:b/>
                <w:color w:val="000000" w:themeColor="text1"/>
                <w:szCs w:val="21"/>
                <w:shd w:val="clear" w:color="auto" w:fill="FFFFFF"/>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3、供应商对信用承诺内容的真实性、合法性、有效性负责。如作出虚假信用承诺，视同为“提供虚假材料谋取中标”的违法行为。</w:t>
            </w:r>
          </w:p>
        </w:tc>
      </w:tr>
      <w:tr w14:paraId="324B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539196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14:paraId="0A057083">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14:paraId="0C90C2EA">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14:paraId="0758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EDEE98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14:paraId="03DB2DB4">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14:paraId="6B4B215B">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color w:val="000000" w:themeColor="text1"/>
                <w:szCs w:val="21"/>
                <w:lang w:val="en-US" w:eastAsia="zh-CN"/>
                <w14:textFill>
                  <w14:solidFill>
                    <w14:schemeClr w14:val="tx1"/>
                  </w14:solidFill>
                </w14:textFill>
              </w:rPr>
              <w:t>1960000.00元</w:t>
            </w:r>
            <w:r>
              <w:rPr>
                <w:rFonts w:hint="eastAsia" w:cs="宋体" w:asciiTheme="minorEastAsia" w:hAnsiTheme="minorEastAsia"/>
                <w:color w:val="000000" w:themeColor="text1"/>
                <w:szCs w:val="21"/>
                <w:lang w:val="zh-CN"/>
                <w14:textFill>
                  <w14:solidFill>
                    <w14:schemeClr w14:val="tx1"/>
                  </w14:solidFill>
                </w14:textFill>
              </w:rPr>
              <w:t>，超出</w:t>
            </w:r>
            <w:r>
              <w:rPr>
                <w:rFonts w:hint="eastAsia" w:cs="宋体" w:asciiTheme="minorEastAsia" w:hAnsiTheme="minorEastAsia"/>
                <w:bCs/>
                <w:szCs w:val="21"/>
                <w:lang w:val="zh-CN"/>
              </w:rPr>
              <w:t>预算金额的响应无效。</w:t>
            </w:r>
          </w:p>
        </w:tc>
      </w:tr>
      <w:tr w14:paraId="23BD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70797F2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14:paraId="556B5E41">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14:paraId="106821CB">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6A5709D8">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5149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2039907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14:paraId="20C87E82">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14:paraId="4EC697A8">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0FE1E8D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3DB1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399E6C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14:paraId="3C4214A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14:paraId="77220A96">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06AE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EEA72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14:paraId="5A5B4819">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14:paraId="34C5EF72">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14:paraId="225551E9">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14:paraId="630F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0F2323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14:paraId="629F9530">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14:paraId="485DF461">
            <w:pPr>
              <w:autoSpaceDE w:val="0"/>
              <w:autoSpaceDN w:val="0"/>
              <w:adjustRightInd w:val="0"/>
              <w:spacing w:line="276" w:lineRule="auto"/>
              <w:rPr>
                <w:rFonts w:hint="eastAsia" w:cs="仿宋_GB2312" w:asciiTheme="minorEastAsia" w:hAnsiTheme="minorEastAsia" w:eastAsiaTheme="minorEastAsia"/>
                <w:szCs w:val="21"/>
                <w:lang w:val="en-US" w:eastAsia="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r>
              <w:rPr>
                <w:rFonts w:hint="eastAsia" w:cs="仿宋_GB2312" w:asciiTheme="minorEastAsia" w:hAnsiTheme="minorEastAsia"/>
                <w:szCs w:val="21"/>
                <w:lang w:val="en-US" w:eastAsia="zh-CN"/>
              </w:rPr>
              <w:t xml:space="preserve"> </w:t>
            </w:r>
          </w:p>
        </w:tc>
      </w:tr>
      <w:tr w14:paraId="486D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A97D8D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14:paraId="2231A80F">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14:paraId="62384453">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12</w:t>
            </w:r>
            <w:bookmarkStart w:id="1" w:name="_GoBack"/>
            <w:bookmarkEnd w:id="1"/>
            <w:r>
              <w:rPr>
                <w:rFonts w:hint="eastAsia" w:cs="宋体" w:asciiTheme="minorEastAsia" w:hAnsiTheme="minorEastAsia"/>
                <w:bCs/>
                <w:szCs w:val="21"/>
                <w:lang w:val="zh-CN"/>
              </w:rPr>
              <w:t>日08时30分（北京时间）</w:t>
            </w:r>
          </w:p>
        </w:tc>
      </w:tr>
      <w:tr w14:paraId="1B15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54AE2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14:paraId="371F9B4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14:paraId="0840D465">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14:paraId="2439F246">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w:t>
            </w:r>
            <w:r>
              <w:rPr>
                <w:rFonts w:hint="eastAsia" w:cs="仿宋_GB2312" w:asciiTheme="minorEastAsia" w:hAnsiTheme="minorEastAsia"/>
                <w:color w:val="000000"/>
                <w:szCs w:val="21"/>
                <w:lang w:val="en-US" w:eastAsia="zh-CN"/>
              </w:rPr>
              <w:t>九</w:t>
            </w:r>
            <w:r>
              <w:rPr>
                <w:rFonts w:hint="eastAsia" w:cs="仿宋_GB2312" w:asciiTheme="minorEastAsia" w:hAnsiTheme="minorEastAsia"/>
                <w:color w:val="000000"/>
                <w:szCs w:val="21"/>
              </w:rPr>
              <w:t>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14:paraId="6A70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4D0199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14:paraId="01EBDA23">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14:paraId="44A64BC1">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0D772B50">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14:paraId="2043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6" w:type="dxa"/>
            <w:vAlign w:val="center"/>
          </w:tcPr>
          <w:p w14:paraId="10510F2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14:paraId="696DA4A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14:paraId="5152077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谈判公告、成交公告、变更（更正）公告、现场勘察答复等相关信息同时在以下网站发布：《中国政府采购网》《河南省政府采购网》《许昌市政府采购网》《全国公共资源交易平台（河南省·许昌市）》</w:t>
            </w:r>
          </w:p>
        </w:tc>
      </w:tr>
      <w:tr w14:paraId="54AF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8001EC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14:paraId="728E57A1">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68C463AE">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14:paraId="4D8E5D3B">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14:paraId="08C1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327F99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14:paraId="678C05C2">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14:paraId="06D6B8EF">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14:paraId="3CB54029">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14:paraId="020B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3B632E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14:paraId="08D13D4D">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14:paraId="68C00987">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w:t>
            </w:r>
            <w:r>
              <w:rPr>
                <w:rFonts w:hint="eastAsia" w:hAnsi="宋体" w:cs="宋体"/>
                <w:szCs w:val="21"/>
                <w:lang w:val="en-US" w:eastAsia="zh-CN"/>
              </w:rPr>
              <w:t>XCSTF</w:t>
            </w:r>
            <w:r>
              <w:rPr>
                <w:rFonts w:hint="eastAsia" w:hAnsi="宋体" w:cs="宋体"/>
                <w:szCs w:val="21"/>
                <w:lang w:val="zh-CN"/>
              </w:rPr>
              <w:t>）。</w:t>
            </w:r>
          </w:p>
          <w:p w14:paraId="3B269E9E">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14:paraId="4CE73405">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14:paraId="5EFA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CEC890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14:paraId="58C0FF50">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14:paraId="4E9DF06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14:paraId="1B117688">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14:paraId="2EE5D28C">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14:paraId="4D30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434D1DB">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14:paraId="2EF65A22">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14:paraId="40CDB6DF">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14:paraId="4CD40221">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14:paraId="070E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D9D6340">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14:paraId="4A7CC791">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14:paraId="3B6B1799">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14:paraId="25E2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61542E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14:paraId="46CEF0C4">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14:paraId="5EB54021">
            <w:pPr>
              <w:numPr>
                <w:ilvl w:val="0"/>
                <w:numId w:val="7"/>
              </w:numPr>
              <w:autoSpaceDE w:val="0"/>
              <w:autoSpaceDN w:val="0"/>
              <w:adjustRightInd w:val="0"/>
              <w:spacing w:line="360" w:lineRule="auto"/>
              <w:contextualSpacing/>
              <w:rPr>
                <w:rFonts w:ascii="ˎ̥" w:hAnsi="ˎ̥"/>
              </w:rPr>
            </w:pPr>
            <w:r>
              <w:rPr>
                <w:rFonts w:hint="eastAsia" w:ascii="ˎ̥" w:hAnsi="ˎ̥"/>
              </w:rPr>
              <w:t>根据工信部等部委发布的《关于印发中小企业划型标准规定的通知》（工信部联企业〔2011〕300号），按照本次采购标的所属行业的划型标准，</w:t>
            </w:r>
            <w:r>
              <w:rPr>
                <w:rFonts w:hint="eastAsia" w:ascii="ˎ̥" w:hAnsi="ˎ̥"/>
                <w:lang w:val="en-US" w:eastAsia="zh-CN"/>
              </w:rPr>
              <w:t>本</w:t>
            </w:r>
            <w:r>
              <w:rPr>
                <w:rFonts w:hint="eastAsia" w:ascii="ˎ̥" w:hAnsi="ˎ̥"/>
              </w:rPr>
              <w:t>符合条件的中小企业应按照谈判文件格式要求提供《中小企业声明函》，</w:t>
            </w:r>
            <w:r>
              <w:rPr>
                <w:rFonts w:ascii="ˎ̥" w:hAnsi="ˎ̥"/>
              </w:rPr>
              <w:t>否则不得享受相关中小企业扶持政策。</w:t>
            </w:r>
          </w:p>
          <w:p w14:paraId="3500E4BC">
            <w:pPr>
              <w:pStyle w:val="32"/>
              <w:numPr>
                <w:ilvl w:val="0"/>
                <w:numId w:val="0"/>
              </w:numPr>
              <w:rPr>
                <w:rFonts w:hint="default" w:eastAsiaTheme="minorEastAsia"/>
                <w:lang w:val="en-US" w:eastAsia="zh-CN"/>
              </w:rPr>
            </w:pPr>
            <w:r>
              <w:rPr>
                <w:rFonts w:hint="eastAsia"/>
                <w:lang w:val="en-US" w:eastAsia="zh-CN"/>
              </w:rPr>
              <w:t>2、本次采购标的</w:t>
            </w:r>
            <w:r>
              <w:rPr>
                <w:rFonts w:hint="eastAsia" w:ascii="ˎ̥" w:hAnsi="ˎ̥" w:eastAsiaTheme="minorEastAsia" w:cstheme="minorBidi"/>
                <w:kern w:val="2"/>
                <w:sz w:val="21"/>
                <w:szCs w:val="22"/>
                <w:lang w:val="zh-CN" w:eastAsia="zh-CN" w:bidi="ar-SA"/>
              </w:rPr>
              <w:t>所属行业</w:t>
            </w:r>
            <w:r>
              <w:rPr>
                <w:rFonts w:hint="eastAsia" w:ascii="ˎ̥" w:hAnsi="ˎ̥" w:eastAsiaTheme="minorEastAsia" w:cstheme="minorBidi"/>
                <w:kern w:val="2"/>
                <w:sz w:val="21"/>
                <w:szCs w:val="22"/>
                <w:lang w:val="en-US" w:eastAsia="zh-CN" w:bidi="ar-SA"/>
              </w:rPr>
              <w:t>：</w:t>
            </w:r>
            <w:r>
              <w:rPr>
                <w:rFonts w:hint="eastAsia"/>
                <w:lang w:val="en-US" w:eastAsia="zh-CN"/>
              </w:rPr>
              <w:t>工业、软件和信息技术服务业</w:t>
            </w:r>
          </w:p>
          <w:p w14:paraId="4123F56F">
            <w:pPr>
              <w:autoSpaceDE w:val="0"/>
              <w:autoSpaceDN w:val="0"/>
              <w:adjustRightInd w:val="0"/>
              <w:spacing w:line="360" w:lineRule="auto"/>
              <w:contextualSpacing/>
              <w:rPr>
                <w:rFonts w:ascii="ˎ̥" w:hAnsi="ˎ̥"/>
              </w:rPr>
            </w:pPr>
            <w:r>
              <w:rPr>
                <w:rFonts w:hint="eastAsia" w:ascii="ˎ̥" w:hAnsi="ˎ̥"/>
                <w:lang w:val="en-US" w:eastAsia="zh-CN"/>
              </w:rPr>
              <w:t>3</w:t>
            </w:r>
            <w:r>
              <w:rPr>
                <w:rFonts w:hint="eastAsia" w:ascii="ˎ̥" w:hAnsi="ˎ̥"/>
              </w:rPr>
              <w:t>、根据财政部、工业和信息化部发布的《政府采购促进中小企业发展管理办法》（财库〔2020〕46号）、</w:t>
            </w:r>
            <w:r>
              <w:rPr>
                <w:rFonts w:hint="eastAsia" w:ascii="ˎ̥" w:hAnsi="ˎ̥"/>
                <w:color w:val="FF0000"/>
              </w:rPr>
              <w:t>《关于进一步加大政府采购支持中小企业力度的通知》（财库〔2022〕19号）规定，对小型和微型企业投标价格给予20%（10%—20%）</w:t>
            </w:r>
            <w:r>
              <w:rPr>
                <w:rFonts w:hint="eastAsia" w:ascii="ˎ̥" w:hAnsi="ˎ̥"/>
              </w:rPr>
              <w:t>的扣除，用扣除后的价格参与评审。</w:t>
            </w:r>
          </w:p>
          <w:p w14:paraId="59FAF504">
            <w:pPr>
              <w:spacing w:line="360" w:lineRule="auto"/>
              <w:contextualSpacing/>
              <w:rPr>
                <w:rFonts w:ascii="ˎ̥" w:hAnsi="ˎ̥"/>
              </w:rPr>
            </w:pPr>
            <w:r>
              <w:rPr>
                <w:rFonts w:hint="eastAsia" w:ascii="ˎ̥" w:hAnsi="ˎ̥"/>
                <w:lang w:val="en-US" w:eastAsia="zh-CN"/>
              </w:rPr>
              <w:t>4</w:t>
            </w:r>
            <w:r>
              <w:rPr>
                <w:rFonts w:hint="eastAsia" w:ascii="ˎ̥" w:hAnsi="ˎ̥"/>
              </w:rPr>
              <w:t>、</w:t>
            </w:r>
            <w:r>
              <w:rPr>
                <w:rFonts w:ascii="ˎ̥" w:hAnsi="ˎ̥"/>
              </w:rPr>
              <w:t>以联合体形式参加政府采购活动，联合体各方均为中小企业的，联合体视同中小企业。其中，联合体各方均为小微企业的，联合体视同小微企业。</w:t>
            </w:r>
          </w:p>
          <w:p w14:paraId="161C210A">
            <w:pPr>
              <w:autoSpaceDE w:val="0"/>
              <w:autoSpaceDN w:val="0"/>
              <w:adjustRightInd w:val="0"/>
              <w:spacing w:line="360" w:lineRule="auto"/>
              <w:contextualSpacing/>
              <w:rPr>
                <w:rFonts w:ascii="ˎ̥" w:hAnsi="ˎ̥"/>
              </w:rPr>
            </w:pPr>
            <w:r>
              <w:rPr>
                <w:rFonts w:hint="eastAsia" w:ascii="ˎ̥" w:hAnsi="ˎ̥"/>
                <w:lang w:val="en-US" w:eastAsia="zh-CN"/>
              </w:rPr>
              <w:t>5</w:t>
            </w:r>
            <w:r>
              <w:rPr>
                <w:rFonts w:hint="eastAsia" w:ascii="ˎ̥" w:hAnsi="ˎ̥"/>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rPr>
              <w:t>6</w:t>
            </w:r>
            <w:r>
              <w:rPr>
                <w:rFonts w:ascii="ˎ̥" w:hAnsi="ˎ̥"/>
                <w:color w:val="FF0000"/>
              </w:rPr>
              <w:t>%（</w:t>
            </w:r>
            <w:r>
              <w:rPr>
                <w:rFonts w:hint="eastAsia" w:ascii="ˎ̥" w:hAnsi="ˎ̥"/>
                <w:color w:val="FF0000"/>
              </w:rPr>
              <w:t>4%—6%</w:t>
            </w:r>
            <w:r>
              <w:rPr>
                <w:rFonts w:ascii="ˎ̥" w:hAnsi="ˎ̥"/>
                <w:color w:val="FF0000"/>
              </w:rPr>
              <w:t>）</w:t>
            </w:r>
            <w:r>
              <w:rPr>
                <w:rFonts w:ascii="ˎ̥" w:hAnsi="ˎ̥"/>
              </w:rPr>
              <w:t>的扣除，用扣除后的价格参加评审。组成联合体或者接受分包的小微企业与联合体内其他企业、分包企业之间存在直接控股、管理关系的，不享受价格扣除优惠政策。</w:t>
            </w:r>
          </w:p>
          <w:p w14:paraId="01D58B7D">
            <w:pPr>
              <w:autoSpaceDE w:val="0"/>
              <w:autoSpaceDN w:val="0"/>
              <w:adjustRightInd w:val="0"/>
              <w:spacing w:line="360" w:lineRule="auto"/>
              <w:contextualSpacing/>
              <w:rPr>
                <w:rFonts w:ascii="ˎ̥" w:hAnsi="ˎ̥"/>
              </w:rPr>
            </w:pPr>
            <w:r>
              <w:rPr>
                <w:rFonts w:hint="eastAsia" w:ascii="ˎ̥" w:hAnsi="ˎ̥"/>
                <w:lang w:val="en-US" w:eastAsia="zh-CN"/>
              </w:rPr>
              <w:t>6</w:t>
            </w:r>
            <w:r>
              <w:rPr>
                <w:rFonts w:hint="eastAsia" w:ascii="ˎ̥" w:hAnsi="ˎ̥"/>
              </w:rPr>
              <w:t>、提供由省级以上监狱管理局、戒毒管理局（含新疆生产建设兵团）出具的属于监狱企业证明文件的，视同为小型和微型企业。</w:t>
            </w:r>
          </w:p>
          <w:p w14:paraId="665F6076">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lang w:val="en-US" w:eastAsia="zh-CN"/>
              </w:rPr>
              <w:t>7</w:t>
            </w:r>
            <w:r>
              <w:rPr>
                <w:rFonts w:hint="eastAsia" w:ascii="ˎ̥" w:hAnsi="ˎ̥"/>
              </w:rPr>
              <w:t>、符合享受政府采购支持政策的残疾人福利性单位条件且提供《残疾人福利性单位声明函》的，视同为小型和微型企业。</w:t>
            </w:r>
          </w:p>
        </w:tc>
      </w:tr>
      <w:tr w14:paraId="226F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20BE503">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shd w:val="clear" w:color="auto" w:fill="auto"/>
            <w:vAlign w:val="center"/>
          </w:tcPr>
          <w:p w14:paraId="6794F5A8">
            <w:pPr>
              <w:autoSpaceDE w:val="0"/>
              <w:autoSpaceDN w:val="0"/>
              <w:adjustRightInd w:val="0"/>
              <w:spacing w:line="360" w:lineRule="auto"/>
              <w:jc w:val="center"/>
              <w:rPr>
                <w:rFonts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节能环保要求</w:t>
            </w:r>
          </w:p>
        </w:tc>
        <w:tc>
          <w:tcPr>
            <w:tcW w:w="6813" w:type="dxa"/>
            <w:shd w:val="clear" w:color="auto" w:fill="auto"/>
            <w:vAlign w:val="center"/>
          </w:tcPr>
          <w:p w14:paraId="04207876">
            <w:pPr>
              <w:widowControl/>
              <w:shd w:val="clear" w:color="auto" w:fill="FFFFFF"/>
              <w:spacing w:line="560" w:lineRule="exact"/>
              <w:jc w:val="left"/>
              <w:rPr>
                <w:rFonts w:hint="default" w:cs="宋体" w:asciiTheme="minorEastAsia" w:hAnsiTheme="minorEastAsia" w:eastAsiaTheme="minorEastAsia"/>
                <w:bCs/>
                <w:color w:val="000000" w:themeColor="text1"/>
                <w:szCs w:val="21"/>
                <w:lang w:val="en-US" w:eastAsia="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本项目强制节能产品：</w:t>
            </w:r>
            <w:r>
              <w:rPr>
                <w:rFonts w:hint="eastAsia" w:cs="宋体" w:asciiTheme="minorEastAsia" w:hAnsiTheme="minorEastAsia"/>
                <w:bCs/>
                <w:color w:val="000000" w:themeColor="text1"/>
                <w:szCs w:val="21"/>
                <w:lang w:val="en-US" w:eastAsia="zh-CN"/>
                <w14:textFill>
                  <w14:solidFill>
                    <w14:schemeClr w14:val="tx1"/>
                  </w14:solidFill>
                </w14:textFill>
              </w:rPr>
              <w:t>无</w:t>
            </w:r>
          </w:p>
          <w:p w14:paraId="3B494A53">
            <w:pPr>
              <w:autoSpaceDE w:val="0"/>
              <w:autoSpaceDN w:val="0"/>
              <w:adjustRightInd w:val="0"/>
              <w:spacing w:line="360" w:lineRule="auto"/>
              <w:rPr>
                <w:rFonts w:ascii="ˎ̥" w:hAnsi="ˎ̥" w:eastAsiaTheme="minorEastAsia" w:cstheme="minorBidi"/>
                <w:kern w:val="2"/>
                <w:sz w:val="21"/>
                <w:szCs w:val="22"/>
                <w:lang w:val="zh-CN" w:eastAsia="zh-CN" w:bidi="ar-SA"/>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1D9E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F19D9E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shd w:val="clear" w:color="auto" w:fill="auto"/>
            <w:vAlign w:val="center"/>
          </w:tcPr>
          <w:p w14:paraId="297BBB61">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网络关键设备、网络安全专用产品要求</w:t>
            </w:r>
          </w:p>
        </w:tc>
        <w:tc>
          <w:tcPr>
            <w:tcW w:w="6813" w:type="dxa"/>
            <w:shd w:val="clear" w:color="auto" w:fill="auto"/>
            <w:vAlign w:val="center"/>
          </w:tcPr>
          <w:p w14:paraId="39243D3E">
            <w:pPr>
              <w:autoSpaceDE w:val="0"/>
              <w:autoSpaceDN w:val="0"/>
              <w:adjustRightInd w:val="0"/>
              <w:spacing w:line="360" w:lineRule="auto"/>
              <w:rPr>
                <w:rFonts w:hint="eastAsia" w:cs="宋体" w:asciiTheme="minorEastAsia" w:hAnsiTheme="minorEastAsia" w:eastAsiaTheme="minorEastAsia"/>
                <w:bCs/>
                <w:color w:val="000000" w:themeColor="text1"/>
                <w:szCs w:val="21"/>
                <w:lang w:val="en-US" w:eastAsia="zh-CN"/>
                <w14:textFill>
                  <w14:solidFill>
                    <w14:schemeClr w14:val="tx1"/>
                  </w14:solidFill>
                </w14:textFill>
              </w:rPr>
            </w:pPr>
            <w:r>
              <w:rPr>
                <w:rFonts w:hint="eastAsia" w:cs="宋体" w:asciiTheme="minorEastAsia" w:hAnsiTheme="minorEastAsia"/>
                <w:bCs/>
                <w:color w:val="000000" w:themeColor="text1"/>
                <w:szCs w:val="21"/>
                <w:lang w:val="en-US" w:eastAsia="zh-CN"/>
                <w14:textFill>
                  <w14:solidFill>
                    <w14:schemeClr w14:val="tx1"/>
                  </w14:solidFill>
                </w14:textFill>
              </w:rPr>
              <w:t>1、</w:t>
            </w:r>
            <w:r>
              <w:rPr>
                <w:rFonts w:hint="eastAsia" w:cs="宋体" w:asciiTheme="minorEastAsia" w:hAnsiTheme="minorEastAsia"/>
                <w:bCs/>
                <w:color w:val="000000" w:themeColor="text1"/>
                <w:szCs w:val="21"/>
                <w:lang w:val="zh-CN"/>
                <w14:textFill>
                  <w14:solidFill>
                    <w14:schemeClr w14:val="tx1"/>
                  </w14:solidFill>
                </w14:textFill>
              </w:rPr>
              <w:t>本项目网络关键设备：</w:t>
            </w:r>
            <w:r>
              <w:rPr>
                <w:rFonts w:hint="eastAsia" w:cs="宋体" w:asciiTheme="minorEastAsia" w:hAnsiTheme="minorEastAsia"/>
                <w:bCs/>
                <w:color w:val="000000" w:themeColor="text1"/>
                <w:szCs w:val="21"/>
                <w:lang w:val="en-US" w:eastAsia="zh-CN"/>
                <w14:textFill>
                  <w14:solidFill>
                    <w14:schemeClr w14:val="tx1"/>
                  </w14:solidFill>
                </w14:textFill>
              </w:rPr>
              <w:t>无</w:t>
            </w:r>
            <w:r>
              <w:rPr>
                <w:rFonts w:hint="eastAsia" w:cs="宋体" w:asciiTheme="minorEastAsia" w:hAnsiTheme="minorEastAsia"/>
                <w:bCs/>
                <w:color w:val="000000" w:themeColor="text1"/>
                <w:szCs w:val="21"/>
                <w:lang w:val="zh-CN"/>
                <w14:textFill>
                  <w14:solidFill>
                    <w14:schemeClr w14:val="tx1"/>
                  </w14:solidFill>
                </w14:textFill>
              </w:rPr>
              <w:t>；网络安全专用产品：</w:t>
            </w:r>
            <w:r>
              <w:rPr>
                <w:rFonts w:hint="eastAsia" w:cs="宋体" w:asciiTheme="minorEastAsia" w:hAnsiTheme="minorEastAsia"/>
                <w:bCs/>
                <w:color w:val="000000" w:themeColor="text1"/>
                <w:szCs w:val="21"/>
                <w:lang w:val="en-US" w:eastAsia="zh-CN"/>
                <w14:textFill>
                  <w14:solidFill>
                    <w14:schemeClr w14:val="tx1"/>
                  </w14:solidFill>
                </w14:textFill>
              </w:rPr>
              <w:t>无</w:t>
            </w:r>
          </w:p>
          <w:p w14:paraId="149BA572">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21BD2502">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3、提供资料（下列资料任意一项）</w:t>
            </w:r>
          </w:p>
          <w:p w14:paraId="00F01551">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1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14:paraId="4DF6C343">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2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14:paraId="7DF885B6">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3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14:paraId="65A7C6CD">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4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中国网信网或工业和信息化部网站或公安部网站或国家认证认可监督管理委员会网站公布的认证、检测结果（提供公布安全认证、安全检测结果页面网址和安全认证、检测结果截图）。</w:t>
            </w:r>
          </w:p>
        </w:tc>
      </w:tr>
      <w:tr w14:paraId="0AC3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44DB92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14:paraId="0BB995B9">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14:paraId="5FAF2D80">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14:paraId="4ACB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435F60C">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6</w:t>
            </w:r>
          </w:p>
        </w:tc>
        <w:tc>
          <w:tcPr>
            <w:tcW w:w="2268" w:type="dxa"/>
            <w:vAlign w:val="center"/>
          </w:tcPr>
          <w:p w14:paraId="13B20D3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14:paraId="2E5AAD48">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14:paraId="0227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3D7B192">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68" w:type="dxa"/>
            <w:vAlign w:val="center"/>
          </w:tcPr>
          <w:p w14:paraId="7AA0785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14:paraId="05C53CC8">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14:paraId="0A74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5E0038A">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8</w:t>
            </w:r>
          </w:p>
        </w:tc>
        <w:tc>
          <w:tcPr>
            <w:tcW w:w="2268" w:type="dxa"/>
            <w:vAlign w:val="center"/>
          </w:tcPr>
          <w:p w14:paraId="5D81F8F2">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14:paraId="517AFB3A">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供应商投标时须成功上传、解密电子投标文件。供应商资质、业绩、荣誉及相关人员证明材料等资料原件不再提交（本谈判文件第六章另有要求提供原件的除外）。</w:t>
            </w:r>
          </w:p>
          <w:p w14:paraId="7BD6CBAD">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□否。供应商投标时须提供纸质响应文件。供应商资质、业绩、荣誉及相关人员证明材料等资料原件根据招标文件要求提供。</w:t>
            </w:r>
          </w:p>
        </w:tc>
      </w:tr>
      <w:tr w14:paraId="5EA0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2C444EF">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29</w:t>
            </w:r>
          </w:p>
        </w:tc>
        <w:tc>
          <w:tcPr>
            <w:tcW w:w="2268" w:type="dxa"/>
            <w:vAlign w:val="center"/>
          </w:tcPr>
          <w:p w14:paraId="594BE6AE">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14:paraId="68520BCF">
            <w:pPr>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登录《全国公共资源交易平台（河南省▪许昌市）》公共资源交易系统</w:t>
            </w:r>
            <w:r>
              <w:rPr>
                <w:rFonts w:hint="default" w:ascii="Calibri" w:hAnsi="Calibri" w:cs="Calibri"/>
                <w:b w:val="0"/>
                <w:bCs w:val="0"/>
                <w:i w:val="0"/>
                <w:iCs w:val="0"/>
                <w:color w:val="FF0000"/>
                <w:spacing w:val="0"/>
                <w:w w:val="100"/>
                <w:sz w:val="21"/>
                <w:szCs w:val="21"/>
                <w:vertAlign w:val="baseline"/>
              </w:rPr>
              <w:t>（</w:t>
            </w:r>
            <w:r>
              <w:rPr>
                <w:rFonts w:hint="eastAsia" w:ascii="Calibri" w:hAnsi="Calibri" w:cs="Calibri"/>
                <w:b w:val="0"/>
                <w:bCs w:val="0"/>
                <w:i w:val="0"/>
                <w:iCs w:val="0"/>
                <w:color w:val="FF0000"/>
                <w:spacing w:val="0"/>
                <w:w w:val="100"/>
                <w:sz w:val="21"/>
                <w:szCs w:val="21"/>
                <w:vertAlign w:val="baseline"/>
              </w:rPr>
              <w:t>http</w:t>
            </w:r>
            <w:r>
              <w:rPr>
                <w:rFonts w:hint="eastAsia" w:ascii="Calibri" w:hAnsi="Calibri" w:cs="Calibri"/>
                <w:b w:val="0"/>
                <w:bCs w:val="0"/>
                <w:i w:val="0"/>
                <w:iCs w:val="0"/>
                <w:color w:val="FF0000"/>
                <w:spacing w:val="0"/>
                <w:w w:val="100"/>
                <w:sz w:val="21"/>
                <w:szCs w:val="21"/>
                <w:vertAlign w:val="baseline"/>
                <w:lang w:val="en-US" w:eastAsia="zh-CN"/>
              </w:rPr>
              <w:t>s</w:t>
            </w:r>
            <w:r>
              <w:rPr>
                <w:rFonts w:hint="eastAsia" w:ascii="Calibri" w:hAnsi="Calibri" w:cs="Calibri"/>
                <w:b w:val="0"/>
                <w:bCs w:val="0"/>
                <w:i w:val="0"/>
                <w:iCs w:val="0"/>
                <w:color w:val="FF0000"/>
                <w:spacing w:val="0"/>
                <w:w w:val="100"/>
                <w:sz w:val="21"/>
                <w:szCs w:val="21"/>
                <w:vertAlign w:val="baseline"/>
              </w:rPr>
              <w:t>://ggzy.xuchang.gov.cn</w:t>
            </w:r>
            <w:r>
              <w:rPr>
                <w:rFonts w:hint="default" w:ascii="Calibri" w:hAnsi="Calibri" w:cs="Calibri"/>
                <w:b w:val="0"/>
                <w:bCs w:val="0"/>
                <w:i w:val="0"/>
                <w:iCs w:val="0"/>
                <w:color w:val="FF0000"/>
                <w:spacing w:val="0"/>
                <w:w w:val="100"/>
                <w:sz w:val="21"/>
                <w:szCs w:val="21"/>
                <w:vertAlign w:val="baseline"/>
              </w:rPr>
              <w:t>/tpbidder）</w:t>
            </w:r>
            <w:r>
              <w:rPr>
                <w:rFonts w:hint="eastAsia" w:ascii="ˎ̥" w:hAnsi="ˎ̥"/>
              </w:rPr>
              <w:t>进行最后报价，最后报价应包括：①总报价②分项报价。</w:t>
            </w:r>
          </w:p>
          <w:p w14:paraId="052BB912">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14:paraId="1CA5D452">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①谈判小组要求供应商提交一次最后报价时，在谈判小组规定时间内，供应商未提交最后报价则以其初次提交响应文件报价为最后报价。</w:t>
            </w:r>
          </w:p>
          <w:p w14:paraId="7E85C64E">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②采购文件第二章“采购需求”中“采购清单”以工程量清单提供的，供应商应以工程量清单方式提交最后报价。</w:t>
            </w:r>
          </w:p>
          <w:p w14:paraId="666F1E75">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14:paraId="6FD0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E2140E2">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0</w:t>
            </w:r>
          </w:p>
        </w:tc>
        <w:tc>
          <w:tcPr>
            <w:tcW w:w="2268" w:type="dxa"/>
            <w:vAlign w:val="center"/>
          </w:tcPr>
          <w:p w14:paraId="09FF3665">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14:paraId="2FC82FA7">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14:paraId="238EB3F5">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lang w:eastAsia="zh-CN"/>
              </w:rPr>
              <w:t>供应商</w:t>
            </w:r>
            <w:r>
              <w:rPr>
                <w:rFonts w:hint="eastAsia" w:ascii="ˎ̥" w:hAnsi="ˎ̥"/>
              </w:rPr>
              <w:t>的投标</w:t>
            </w:r>
            <w:r>
              <w:rPr>
                <w:rFonts w:ascii="ˎ̥" w:hAnsi="ˎ̥"/>
              </w:rPr>
              <w:t>文件由同一单位或者个人编制</w:t>
            </w:r>
            <w:r>
              <w:rPr>
                <w:rFonts w:hint="eastAsia" w:ascii="ˎ̥" w:hAnsi="ˎ̥"/>
              </w:rPr>
              <w:t>’或‘</w:t>
            </w:r>
            <w:r>
              <w:rPr>
                <w:rFonts w:ascii="ˎ̥" w:hAnsi="ˎ̥"/>
              </w:rPr>
              <w:t>不同</w:t>
            </w:r>
            <w:r>
              <w:rPr>
                <w:rFonts w:hint="eastAsia" w:ascii="ˎ̥" w:hAnsi="ˎ̥"/>
                <w:lang w:eastAsia="zh-CN"/>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74289E8B">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w:t>
            </w:r>
            <w:r>
              <w:rPr>
                <w:rFonts w:hint="eastAsia" w:ascii="ˎ̥" w:hAnsi="ˎ̥"/>
                <w:lang w:eastAsia="zh-CN"/>
              </w:rPr>
              <w:t>供应商</w:t>
            </w:r>
            <w:r>
              <w:rPr>
                <w:rFonts w:hint="eastAsia" w:ascii="ˎ̥" w:hAnsi="ˎ̥"/>
              </w:rPr>
              <w:t>电子投标文件制作硬件特征码”是否雷同的分析及判定结果。</w:t>
            </w:r>
          </w:p>
        </w:tc>
      </w:tr>
      <w:tr w14:paraId="1B32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0C1B3FA6">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1</w:t>
            </w:r>
          </w:p>
        </w:tc>
        <w:tc>
          <w:tcPr>
            <w:tcW w:w="2268" w:type="dxa"/>
            <w:vAlign w:val="center"/>
          </w:tcPr>
          <w:p w14:paraId="5942BB3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14:paraId="5A95F399">
            <w:pPr>
              <w:autoSpaceDE w:val="0"/>
              <w:autoSpaceDN w:val="0"/>
              <w:adjustRightInd w:val="0"/>
              <w:spacing w:line="360" w:lineRule="auto"/>
              <w:contextualSpacing/>
              <w:rPr>
                <w:rFonts w:hint="eastAsia" w:ascii="ˎ̥" w:hAnsi="ˎ̥"/>
              </w:rPr>
            </w:pPr>
            <w:r>
              <w:rPr>
                <w:rFonts w:hint="eastAsia" w:ascii="ˎ̥" w:hAnsi="ˎ̥"/>
              </w:rPr>
              <w:t>供应商在成交后，应将由《禹州市政府采购供应商信用承诺函》替代的证明材料提交采购人核验，经核验无误后，禹州市政府采购中心发出成交通知书。</w:t>
            </w:r>
          </w:p>
          <w:p w14:paraId="0CB88231">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14:paraId="4D6177A6">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14:paraId="511B4862">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14:paraId="3BB9F808">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14:paraId="108A39B9">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14:paraId="33FF1B73">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14:paraId="14D5D108">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14:paraId="2C367581">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14:paraId="78361F49">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14:paraId="6F91C4D3">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4</w:t>
            </w:r>
            <w:r>
              <w:rPr>
                <w:rFonts w:hint="eastAsia" w:asciiTheme="minorEastAsia" w:hAnsiTheme="minorEastAsia"/>
                <w:bCs/>
                <w:szCs w:val="21"/>
              </w:rPr>
              <w:t>年度经审计的财务报告，包括资产负债表、利润表、现金流量表、所有者权益变动表及其附注；</w:t>
            </w:r>
          </w:p>
          <w:p w14:paraId="1EB13D14">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14:paraId="37655DA7">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09604D06">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77A5594B">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14:paraId="301D9574">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4</w:t>
            </w:r>
            <w:r>
              <w:rPr>
                <w:rFonts w:hint="eastAsia" w:asciiTheme="minorEastAsia" w:hAnsiTheme="minorEastAsia"/>
                <w:bCs/>
                <w:szCs w:val="21"/>
              </w:rPr>
              <w:t>年度经审计的财务报告，包括资产负债表、利润表、现金流量表、所有者权益变动表及其附注；</w:t>
            </w:r>
          </w:p>
          <w:p w14:paraId="0FF8F254">
            <w:pPr>
              <w:spacing w:line="360" w:lineRule="auto"/>
              <w:rPr>
                <w:rFonts w:asciiTheme="minorEastAsia" w:hAnsiTheme="minorEastAsia"/>
                <w:bCs/>
                <w:szCs w:val="21"/>
              </w:rPr>
            </w:pPr>
            <w:r>
              <w:rPr>
                <w:rFonts w:hint="eastAsia" w:asciiTheme="minorEastAsia" w:hAnsiTheme="minorEastAsia"/>
                <w:bCs/>
                <w:szCs w:val="21"/>
              </w:rPr>
              <w:t>②银行出具的资信证明；</w:t>
            </w:r>
          </w:p>
          <w:p w14:paraId="4DA7C3F3">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74E0A042">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2795AC51">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14:paraId="2A58E123">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参加本次政府采购项目谈判响应截止时间前一年内任意一个月缴纳税收凭据。（依法免税的供应商，应提供相应文件证明依法免税）</w:t>
            </w:r>
          </w:p>
          <w:p w14:paraId="71D2E79F">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14:paraId="19492C18">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14:paraId="274143C4">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五、履行合同所必需的设备和专业技术能力的证明材料</w:t>
            </w:r>
          </w:p>
          <w:p w14:paraId="69E35908">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14:paraId="5D68644D">
            <w:pPr>
              <w:spacing w:line="360" w:lineRule="auto"/>
              <w:rPr>
                <w:rFonts w:asciiTheme="minorEastAsia" w:hAnsiTheme="minorEastAsia"/>
                <w:bCs/>
                <w:szCs w:val="21"/>
              </w:rPr>
            </w:pPr>
            <w:r>
              <w:rPr>
                <w:rFonts w:hint="eastAsia" w:asciiTheme="minorEastAsia" w:hAnsiTheme="minorEastAsia"/>
                <w:bCs/>
                <w:szCs w:val="21"/>
              </w:rPr>
              <w:t>②供应商具备履行合同所必需的设备和专业技术能力承诺函或声明（承诺函或声明格式自拟）。</w:t>
            </w:r>
          </w:p>
          <w:p w14:paraId="2F83E4A0">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14:paraId="24E61C46">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14:paraId="3C73DF92">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14:paraId="4771306D">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www.creditchina.gov.cn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www.ccgp.gov.cn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14:paraId="067CB5C3">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14:paraId="021D2091">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14:paraId="0600A1F1">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14:paraId="3A17C00F">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14:paraId="5DAF4242">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14:paraId="615DECFE">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、信用信息的使用原则：经采购人认定的被列入失信被执行人、税收违法黑名单、政府采购严重违法失信行为记录名单的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、严重违法失信社会组织，将拒绝其参与本次政府采购活动。</w:t>
            </w:r>
          </w:p>
        </w:tc>
      </w:tr>
    </w:tbl>
    <w:p w14:paraId="59714E13">
      <w:pPr>
        <w:tabs>
          <w:tab w:val="left" w:pos="1260"/>
        </w:tabs>
        <w:autoSpaceDE w:val="0"/>
        <w:autoSpaceDN w:val="0"/>
        <w:adjustRightInd w:val="0"/>
        <w:spacing w:line="360" w:lineRule="auto"/>
        <w:contextualSpacing/>
        <w:jc w:val="both"/>
        <w:outlineLvl w:val="0"/>
        <w:rPr>
          <w:rFonts w:hint="eastAsia" w:cs="宋体" w:asciiTheme="majorEastAsia" w:hAnsiTheme="majorEastAsia" w:eastAsiaTheme="majorEastAsia"/>
          <w:b/>
          <w:kern w:val="0"/>
          <w:sz w:val="32"/>
          <w:szCs w:val="32"/>
        </w:rPr>
      </w:pPr>
    </w:p>
    <w:p w14:paraId="7967A099">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6021091E">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1186507B">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00EBF1FB">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20F7F1A5">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155526DC">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14:paraId="0A418010">
      <w:pPr>
        <w:tabs>
          <w:tab w:val="left" w:pos="1260"/>
        </w:tabs>
        <w:autoSpaceDE w:val="0"/>
        <w:autoSpaceDN w:val="0"/>
        <w:adjustRightInd w:val="0"/>
        <w:spacing w:line="360" w:lineRule="auto"/>
        <w:contextualSpacing/>
        <w:rPr>
          <w:rFonts w:cs="宋体" w:asciiTheme="minorEastAsia" w:hAnsiTheme="minorEastAsia"/>
          <w:b/>
          <w:kern w:val="0"/>
          <w:sz w:val="28"/>
          <w:szCs w:val="28"/>
        </w:rPr>
      </w:pPr>
    </w:p>
    <w:p w14:paraId="297F1947">
      <w:pPr>
        <w:tabs>
          <w:tab w:val="left" w:pos="1260"/>
        </w:tabs>
        <w:autoSpaceDE w:val="0"/>
        <w:autoSpaceDN w:val="0"/>
        <w:adjustRightInd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一、概念释义</w:t>
      </w:r>
    </w:p>
    <w:p w14:paraId="30D9390F">
      <w:pPr>
        <w:pStyle w:val="55"/>
        <w:numPr>
          <w:ilvl w:val="0"/>
          <w:numId w:val="8"/>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适用范围</w:t>
      </w:r>
    </w:p>
    <w:p w14:paraId="66A124DE">
      <w:pPr>
        <w:pStyle w:val="55"/>
        <w:numPr>
          <w:ilvl w:val="0"/>
          <w:numId w:val="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14:paraId="5337E9C5">
      <w:pPr>
        <w:pStyle w:val="55"/>
        <w:numPr>
          <w:ilvl w:val="0"/>
          <w:numId w:val="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14:paraId="192ABCC7">
      <w:pPr>
        <w:pStyle w:val="55"/>
        <w:autoSpaceDE w:val="0"/>
        <w:autoSpaceDN w:val="0"/>
        <w:spacing w:line="360" w:lineRule="auto"/>
        <w:ind w:left="780" w:firstLine="0" w:firstLineChars="0"/>
        <w:contextualSpacing/>
        <w:rPr>
          <w:rFonts w:cs="宋体" w:asciiTheme="minorEastAsia" w:hAnsiTheme="minorEastAsia"/>
          <w:kern w:val="0"/>
          <w:szCs w:val="21"/>
        </w:rPr>
      </w:pPr>
    </w:p>
    <w:p w14:paraId="7120F548">
      <w:pPr>
        <w:pStyle w:val="55"/>
        <w:autoSpaceDE w:val="0"/>
        <w:autoSpaceDN w:val="0"/>
        <w:spacing w:line="360" w:lineRule="auto"/>
        <w:ind w:left="-424" w:leftChars="-202" w:firstLine="424" w:firstLineChars="201"/>
        <w:contextualSpacing/>
        <w:outlineLvl w:val="2"/>
        <w:rPr>
          <w:rFonts w:cs="宋体" w:asciiTheme="minorEastAsia" w:hAnsiTheme="minorEastAsia"/>
          <w:b/>
          <w:kern w:val="0"/>
          <w:szCs w:val="21"/>
        </w:rPr>
      </w:pPr>
      <w:r>
        <w:rPr>
          <w:rFonts w:hint="eastAsia" w:cs="宋体" w:asciiTheme="minorEastAsia" w:hAnsiTheme="minorEastAsia"/>
          <w:b/>
          <w:kern w:val="0"/>
          <w:szCs w:val="21"/>
        </w:rPr>
        <w:t>2.定义</w:t>
      </w:r>
    </w:p>
    <w:p w14:paraId="6BFEA529">
      <w:pPr>
        <w:pStyle w:val="55"/>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14:paraId="6D0BE634">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14:paraId="5CC044AE">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14:paraId="0CABC8F5">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14:paraId="5A84017E">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“甲方”系指采购人。</w:t>
      </w:r>
    </w:p>
    <w:p w14:paraId="75ADAD8C">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14:paraId="33BD88BF">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14:paraId="6C8E2BAE">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2008〕</w:t>
      </w:r>
      <w:r>
        <w:rPr>
          <w:rFonts w:cs="宋体" w:asciiTheme="minorEastAsia" w:hAnsiTheme="minorEastAsia"/>
          <w:kern w:val="0"/>
          <w:szCs w:val="21"/>
        </w:rPr>
        <w:t xml:space="preserve">248 </w:t>
      </w:r>
      <w:r>
        <w:rPr>
          <w:rFonts w:hint="eastAsia" w:cs="宋体" w:asciiTheme="minorEastAsia" w:hAnsiTheme="minorEastAsia"/>
          <w:kern w:val="0"/>
          <w:szCs w:val="21"/>
        </w:rPr>
        <w:t>号）。</w:t>
      </w:r>
    </w:p>
    <w:p w14:paraId="3C13C911">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14:paraId="4866B1A6">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14:paraId="51112FB5">
      <w:pPr>
        <w:pStyle w:val="55"/>
        <w:numPr>
          <w:ilvl w:val="1"/>
          <w:numId w:val="11"/>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14:paraId="3A6AE670">
      <w:pPr>
        <w:pStyle w:val="55"/>
        <w:autoSpaceDE w:val="0"/>
        <w:autoSpaceDN w:val="0"/>
        <w:spacing w:line="360" w:lineRule="auto"/>
        <w:ind w:left="964" w:firstLine="0" w:firstLineChars="0"/>
        <w:contextualSpacing/>
        <w:rPr>
          <w:rFonts w:cs="宋体" w:asciiTheme="minorEastAsia" w:hAnsiTheme="minorEastAsia"/>
          <w:kern w:val="0"/>
          <w:szCs w:val="21"/>
        </w:rPr>
      </w:pPr>
    </w:p>
    <w:p w14:paraId="789B1DBD">
      <w:pPr>
        <w:pStyle w:val="55"/>
        <w:autoSpaceDE w:val="0"/>
        <w:autoSpaceDN w:val="0"/>
        <w:spacing w:line="360" w:lineRule="auto"/>
        <w:ind w:firstLine="0"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3.合格的供应商</w:t>
      </w:r>
    </w:p>
    <w:p w14:paraId="59431CAB">
      <w:pPr>
        <w:pStyle w:val="55"/>
        <w:numPr>
          <w:ilvl w:val="0"/>
          <w:numId w:val="1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14:paraId="4D019519">
      <w:pPr>
        <w:pStyle w:val="55"/>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14:paraId="75E177F0">
      <w:pPr>
        <w:pStyle w:val="55"/>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14:paraId="14B81328">
      <w:pPr>
        <w:pStyle w:val="55"/>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31"/>
          <w:rFonts w:cs="宋体" w:asciiTheme="minorEastAsia" w:hAnsiTheme="minorEastAsia"/>
          <w:color w:val="auto"/>
          <w:szCs w:val="21"/>
        </w:rPr>
        <w:t>https://chinanpo.mca.gov.cn</w:t>
      </w:r>
      <w:r>
        <w:rPr>
          <w:rStyle w:val="31"/>
          <w:rFonts w:cs="宋体" w:asciiTheme="minorEastAsia" w:hAnsiTheme="minorEastAsia"/>
          <w:color w:val="auto"/>
          <w:szCs w:val="21"/>
        </w:rPr>
        <w:fldChar w:fldCharType="end"/>
      </w:r>
      <w:r>
        <w:rPr>
          <w:rFonts w:hint="eastAsia" w:cs="宋体" w:asciiTheme="minorEastAsia" w:hAnsiTheme="minorEastAsia"/>
          <w:kern w:val="0"/>
          <w:szCs w:val="21"/>
        </w:rPr>
        <w:t>）；</w:t>
      </w:r>
    </w:p>
    <w:p w14:paraId="7F79DDBC">
      <w:pPr>
        <w:pStyle w:val="55"/>
        <w:numPr>
          <w:ilvl w:val="0"/>
          <w:numId w:val="14"/>
        </w:numPr>
        <w:autoSpaceDE w:val="0"/>
        <w:autoSpaceDN w:val="0"/>
        <w:spacing w:line="360" w:lineRule="auto"/>
        <w:ind w:hanging="141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14:paraId="7B25048A">
      <w:pPr>
        <w:pStyle w:val="55"/>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14:paraId="63B2005B">
      <w:pPr>
        <w:pStyle w:val="55"/>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14:paraId="60241457">
      <w:pPr>
        <w:pStyle w:val="55"/>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14:paraId="304E7A79">
      <w:pPr>
        <w:pStyle w:val="55"/>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14:paraId="124B1A43">
      <w:pPr>
        <w:pStyle w:val="55"/>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14:paraId="5B15DB4F">
      <w:pPr>
        <w:pStyle w:val="55"/>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14:paraId="3A17B08E">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14:paraId="3D9C9FAB">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14:paraId="5CD5716F">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14:paraId="299595EF">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14:paraId="414E3C9E">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14:paraId="46F95F62">
      <w:pPr>
        <w:pStyle w:val="55"/>
        <w:numPr>
          <w:ilvl w:val="0"/>
          <w:numId w:val="17"/>
        </w:numPr>
        <w:autoSpaceDE w:val="0"/>
        <w:autoSpaceDN w:val="0"/>
        <w:spacing w:line="360" w:lineRule="auto"/>
        <w:ind w:hanging="1384"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14:paraId="2826A0F2">
      <w:pPr>
        <w:pStyle w:val="55"/>
        <w:autoSpaceDE w:val="0"/>
        <w:autoSpaceDN w:val="0"/>
        <w:spacing w:line="360" w:lineRule="auto"/>
        <w:ind w:left="964" w:firstLine="0" w:firstLineChars="0"/>
        <w:contextualSpacing/>
        <w:rPr>
          <w:rFonts w:cs="宋体" w:asciiTheme="minorEastAsia" w:hAnsiTheme="minorEastAsia"/>
          <w:kern w:val="0"/>
          <w:szCs w:val="21"/>
        </w:rPr>
      </w:pPr>
    </w:p>
    <w:p w14:paraId="041DCF20">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合格的货物和服务</w:t>
      </w:r>
    </w:p>
    <w:p w14:paraId="1F4E6EE4">
      <w:pPr>
        <w:pStyle w:val="55"/>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30622CB2">
      <w:pPr>
        <w:pStyle w:val="55"/>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14:paraId="473D529A">
      <w:pPr>
        <w:pStyle w:val="55"/>
        <w:autoSpaceDE w:val="0"/>
        <w:autoSpaceDN w:val="0"/>
        <w:spacing w:line="360" w:lineRule="auto"/>
        <w:ind w:left="964" w:firstLine="0" w:firstLineChars="0"/>
        <w:contextualSpacing/>
        <w:rPr>
          <w:rFonts w:cs="宋体" w:asciiTheme="minorEastAsia" w:hAnsiTheme="minorEastAsia"/>
          <w:kern w:val="0"/>
          <w:szCs w:val="21"/>
        </w:rPr>
      </w:pPr>
    </w:p>
    <w:p w14:paraId="52BDF37C">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谈判费用</w:t>
      </w:r>
    </w:p>
    <w:p w14:paraId="6D0757E4">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14:paraId="49EAA59E">
      <w:pPr>
        <w:autoSpaceDE w:val="0"/>
        <w:autoSpaceDN w:val="0"/>
        <w:spacing w:line="360" w:lineRule="auto"/>
        <w:ind w:left="964"/>
        <w:contextualSpacing/>
        <w:rPr>
          <w:rFonts w:cs="宋体" w:asciiTheme="minorEastAsia" w:hAnsiTheme="minorEastAsia"/>
          <w:kern w:val="0"/>
          <w:szCs w:val="21"/>
        </w:rPr>
      </w:pPr>
    </w:p>
    <w:p w14:paraId="651A8A7E">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信息发布</w:t>
      </w:r>
    </w:p>
    <w:p w14:paraId="74C69B5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6C84D867">
      <w:pPr>
        <w:autoSpaceDE w:val="0"/>
        <w:autoSpaceDN w:val="0"/>
        <w:spacing w:line="360" w:lineRule="auto"/>
        <w:ind w:left="964"/>
        <w:contextualSpacing/>
        <w:rPr>
          <w:rFonts w:cs="宋体" w:asciiTheme="minorEastAsia" w:hAnsiTheme="minorEastAsia"/>
          <w:kern w:val="0"/>
          <w:szCs w:val="21"/>
        </w:rPr>
      </w:pPr>
    </w:p>
    <w:p w14:paraId="4FC7C39F">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代理费用</w:t>
      </w:r>
    </w:p>
    <w:p w14:paraId="7961B9D9">
      <w:pPr>
        <w:pStyle w:val="55"/>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本项目不收取代理费用。详见供应商须知前附表。</w:t>
      </w:r>
    </w:p>
    <w:p w14:paraId="11F7EF38">
      <w:pPr>
        <w:pStyle w:val="55"/>
        <w:autoSpaceDE w:val="0"/>
        <w:autoSpaceDN w:val="0"/>
        <w:spacing w:line="360" w:lineRule="auto"/>
        <w:ind w:left="964" w:firstLine="0" w:firstLineChars="0"/>
        <w:contextualSpacing/>
        <w:rPr>
          <w:rFonts w:cs="宋体" w:asciiTheme="minorEastAsia" w:hAnsiTheme="minorEastAsia"/>
          <w:kern w:val="0"/>
          <w:szCs w:val="21"/>
        </w:rPr>
      </w:pPr>
    </w:p>
    <w:p w14:paraId="67638A1E">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其他</w:t>
      </w:r>
    </w:p>
    <w:p w14:paraId="5F7881A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14:paraId="33E52D9A">
      <w:pPr>
        <w:autoSpaceDE w:val="0"/>
        <w:autoSpaceDN w:val="0"/>
        <w:spacing w:line="360" w:lineRule="auto"/>
        <w:ind w:left="964"/>
        <w:contextualSpacing/>
        <w:rPr>
          <w:rFonts w:cs="宋体" w:asciiTheme="minorEastAsia" w:hAnsiTheme="minorEastAsia"/>
          <w:kern w:val="0"/>
          <w:szCs w:val="21"/>
        </w:rPr>
      </w:pPr>
    </w:p>
    <w:p w14:paraId="2EAE3685">
      <w:pPr>
        <w:autoSpaceDE w:val="0"/>
        <w:autoSpaceDN w:val="0"/>
        <w:spacing w:line="360" w:lineRule="auto"/>
        <w:contextualSpacing/>
        <w:rPr>
          <w:rFonts w:cs="宋体" w:asciiTheme="minorEastAsia" w:hAnsiTheme="minorEastAsia"/>
          <w:kern w:val="0"/>
          <w:szCs w:val="21"/>
        </w:rPr>
      </w:pPr>
    </w:p>
    <w:p w14:paraId="4B57F434">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二、谈判文件说明</w:t>
      </w:r>
    </w:p>
    <w:p w14:paraId="252662BA">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谈判文件构成</w:t>
      </w:r>
    </w:p>
    <w:p w14:paraId="2A9DAADA">
      <w:pPr>
        <w:pStyle w:val="55"/>
        <w:numPr>
          <w:ilvl w:val="0"/>
          <w:numId w:val="19"/>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谈判文件由以下部分组成：</w:t>
      </w:r>
    </w:p>
    <w:p w14:paraId="18331A5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14:paraId="65437F61">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14:paraId="0FE50443">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14:paraId="65B842E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14:paraId="61DBD13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14:paraId="11471B1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14:paraId="6D664A0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14:paraId="4183587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14:paraId="4E3D2056">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14:paraId="3CBF48E2">
      <w:pPr>
        <w:pStyle w:val="55"/>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116C1252">
      <w:pPr>
        <w:pStyle w:val="55"/>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4C05F042">
      <w:pPr>
        <w:pStyle w:val="55"/>
        <w:autoSpaceDE w:val="0"/>
        <w:autoSpaceDN w:val="0"/>
        <w:spacing w:line="360" w:lineRule="auto"/>
        <w:ind w:left="964" w:firstLine="0" w:firstLineChars="0"/>
        <w:contextualSpacing/>
        <w:rPr>
          <w:rFonts w:cs="宋体" w:asciiTheme="minorEastAsia" w:hAnsiTheme="minorEastAsia"/>
          <w:kern w:val="0"/>
          <w:szCs w:val="21"/>
        </w:rPr>
      </w:pPr>
    </w:p>
    <w:p w14:paraId="02F60940">
      <w:pPr>
        <w:pStyle w:val="55"/>
        <w:autoSpaceDE w:val="0"/>
        <w:autoSpaceDN w:val="0"/>
        <w:spacing w:line="360" w:lineRule="auto"/>
        <w:ind w:left="964" w:firstLine="0" w:firstLineChars="0"/>
        <w:contextualSpacing/>
        <w:rPr>
          <w:rFonts w:cs="宋体" w:asciiTheme="minorEastAsia" w:hAnsiTheme="minorEastAsia"/>
          <w:kern w:val="0"/>
          <w:szCs w:val="21"/>
        </w:rPr>
      </w:pPr>
    </w:p>
    <w:p w14:paraId="33B0FB50">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14:paraId="6F053545">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14:paraId="09A5E21F">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2814FFEF">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14:paraId="4C9ABA2F">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14:paraId="521DEFF7">
      <w:pPr>
        <w:autoSpaceDE w:val="0"/>
        <w:autoSpaceDN w:val="0"/>
        <w:spacing w:line="360" w:lineRule="auto"/>
        <w:contextualSpacing/>
        <w:rPr>
          <w:rFonts w:cs="宋体" w:asciiTheme="minorEastAsia" w:hAnsiTheme="minorEastAsia"/>
          <w:kern w:val="0"/>
          <w:szCs w:val="21"/>
        </w:rPr>
      </w:pPr>
    </w:p>
    <w:p w14:paraId="4A1CECFF">
      <w:pPr>
        <w:autoSpaceDE w:val="0"/>
        <w:autoSpaceDN w:val="0"/>
        <w:spacing w:line="360" w:lineRule="auto"/>
        <w:contextualSpacing/>
        <w:rPr>
          <w:rFonts w:cs="宋体" w:asciiTheme="minorEastAsia" w:hAnsiTheme="minorEastAsia"/>
          <w:kern w:val="0"/>
          <w:szCs w:val="21"/>
        </w:rPr>
      </w:pPr>
    </w:p>
    <w:p w14:paraId="16A9A409">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三、响应文件的编制</w:t>
      </w:r>
    </w:p>
    <w:p w14:paraId="553F5B3C">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14:paraId="1D1D7F84">
      <w:pPr>
        <w:pStyle w:val="55"/>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14:paraId="42A06ADC">
      <w:pPr>
        <w:pStyle w:val="55"/>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14:paraId="48495A46">
      <w:pPr>
        <w:pStyle w:val="55"/>
        <w:autoSpaceDE w:val="0"/>
        <w:autoSpaceDN w:val="0"/>
        <w:spacing w:line="360" w:lineRule="auto"/>
        <w:ind w:left="964" w:firstLine="0" w:firstLineChars="0"/>
        <w:contextualSpacing/>
        <w:rPr>
          <w:rFonts w:cs="宋体" w:asciiTheme="minorEastAsia" w:hAnsiTheme="minorEastAsia"/>
          <w:kern w:val="0"/>
          <w:szCs w:val="21"/>
        </w:rPr>
      </w:pPr>
    </w:p>
    <w:p w14:paraId="790CDE27">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报价</w:t>
      </w:r>
    </w:p>
    <w:p w14:paraId="4A37B757">
      <w:pPr>
        <w:pStyle w:val="55"/>
        <w:numPr>
          <w:ilvl w:val="0"/>
          <w:numId w:val="22"/>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14:paraId="3FC3CB74">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14:paraId="7D197DE1">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14:paraId="33CE203F">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5F8A390A">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14:paraId="0EF4E6EA">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14:paraId="74EBA665">
      <w:pPr>
        <w:pStyle w:val="55"/>
        <w:numPr>
          <w:ilvl w:val="0"/>
          <w:numId w:val="22"/>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最低报价不能作为成交的保证。</w:t>
      </w:r>
    </w:p>
    <w:p w14:paraId="31B60A8D">
      <w:pPr>
        <w:autoSpaceDE w:val="0"/>
        <w:autoSpaceDN w:val="0"/>
        <w:spacing w:line="360" w:lineRule="auto"/>
        <w:ind w:left="420"/>
        <w:contextualSpacing/>
        <w:rPr>
          <w:rFonts w:cs="宋体" w:asciiTheme="minorEastAsia" w:hAnsiTheme="minorEastAsia"/>
          <w:kern w:val="0"/>
          <w:szCs w:val="21"/>
        </w:rPr>
      </w:pPr>
    </w:p>
    <w:p w14:paraId="09F1CC4C">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响应文件有效期</w:t>
      </w:r>
    </w:p>
    <w:p w14:paraId="32673CAF">
      <w:pPr>
        <w:pStyle w:val="55"/>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4836487A">
      <w:pPr>
        <w:pStyle w:val="55"/>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14:paraId="4CA59030">
      <w:pPr>
        <w:pStyle w:val="55"/>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14:paraId="0E9CEBCF">
      <w:pPr>
        <w:pStyle w:val="55"/>
        <w:autoSpaceDE w:val="0"/>
        <w:autoSpaceDN w:val="0"/>
        <w:spacing w:line="360" w:lineRule="auto"/>
        <w:ind w:left="964" w:firstLine="0" w:firstLineChars="0"/>
        <w:contextualSpacing/>
        <w:rPr>
          <w:rFonts w:cs="宋体" w:asciiTheme="minorEastAsia" w:hAnsiTheme="minorEastAsia"/>
          <w:kern w:val="0"/>
          <w:szCs w:val="21"/>
        </w:rPr>
      </w:pPr>
    </w:p>
    <w:p w14:paraId="06222879">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响应文件构成</w:t>
      </w:r>
    </w:p>
    <w:p w14:paraId="7B0E95E4">
      <w:pPr>
        <w:pStyle w:val="55"/>
        <w:numPr>
          <w:ilvl w:val="0"/>
          <w:numId w:val="24"/>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14:paraId="0F6F397A">
      <w:pPr>
        <w:pStyle w:val="55"/>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14:paraId="2EF1D064">
      <w:pPr>
        <w:pStyle w:val="55"/>
        <w:keepNext w:val="0"/>
        <w:keepLines w:val="0"/>
        <w:pageBreakBefore w:val="0"/>
        <w:numPr>
          <w:ilvl w:val="0"/>
          <w:numId w:val="24"/>
        </w:numPr>
        <w:kinsoku/>
        <w:wordWrap/>
        <w:overflowPunct/>
        <w:topLinePunct w:val="0"/>
        <w:autoSpaceDE w:val="0"/>
        <w:autoSpaceDN w:val="0"/>
        <w:bidi w:val="0"/>
        <w:adjustRightInd/>
        <w:snapToGrid/>
        <w:spacing w:line="360" w:lineRule="auto"/>
        <w:ind w:left="993" w:hanging="993" w:firstLineChars="0"/>
        <w:contextualSpacing/>
        <w:textAlignment w:val="auto"/>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响应文件由资格证明材料、符合性证明材料、其他材料等组成。</w:t>
      </w:r>
    </w:p>
    <w:p w14:paraId="6F5AB561">
      <w:pPr>
        <w:pStyle w:val="55"/>
        <w:keepNext w:val="0"/>
        <w:keepLines w:val="0"/>
        <w:pageBreakBefore w:val="0"/>
        <w:numPr>
          <w:ilvl w:val="0"/>
          <w:numId w:val="24"/>
        </w:numPr>
        <w:kinsoku/>
        <w:wordWrap/>
        <w:overflowPunct/>
        <w:topLinePunct w:val="0"/>
        <w:autoSpaceDE w:val="0"/>
        <w:autoSpaceDN w:val="0"/>
        <w:bidi w:val="0"/>
        <w:adjustRightInd/>
        <w:snapToGrid/>
        <w:spacing w:line="360" w:lineRule="auto"/>
        <w:ind w:left="993" w:hanging="993" w:firstLineChars="0"/>
        <w:contextualSpacing/>
        <w:textAlignment w:val="auto"/>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14:paraId="0B6EF80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960" w:leftChars="0" w:right="0" w:rightChars="0" w:hanging="960" w:hangingChars="400"/>
        <w:jc w:val="both"/>
        <w:textAlignment w:val="auto"/>
        <w:rPr>
          <w:rFonts w:hint="eastAsia" w:cs="宋体" w:asciiTheme="minorEastAsia" w:hAnsiTheme="minorEastAsia" w:eastAsiaTheme="minorEastAsia"/>
          <w:color w:val="FF0000"/>
          <w:kern w:val="0"/>
          <w:sz w:val="21"/>
          <w:szCs w:val="21"/>
          <w:lang w:val="en-US" w:eastAsia="zh-CN" w:bidi="ar-SA"/>
        </w:rPr>
      </w:pPr>
      <w:r>
        <w:rPr>
          <w:rFonts w:hint="eastAsia" w:cs="宋体" w:asciiTheme="minorEastAsia" w:hAnsiTheme="minorEastAsia"/>
          <w:kern w:val="0"/>
          <w:szCs w:val="21"/>
          <w:lang w:val="en-US" w:eastAsia="zh-CN"/>
        </w:rPr>
        <w:t xml:space="preserve">14.5   </w:t>
      </w:r>
      <w:r>
        <w:rPr>
          <w:rFonts w:hint="eastAsia" w:cs="宋体" w:asciiTheme="minorEastAsia" w:hAnsiTheme="minorEastAsia"/>
          <w:color w:val="FF0000"/>
          <w:kern w:val="0"/>
          <w:szCs w:val="21"/>
          <w:lang w:val="en-US" w:eastAsia="zh-CN"/>
        </w:rPr>
        <w:t xml:space="preserve"> </w:t>
      </w:r>
      <w:r>
        <w:rPr>
          <w:rFonts w:hint="eastAsia" w:cs="宋体" w:asciiTheme="minorEastAsia" w:hAnsiTheme="minorEastAsia" w:eastAsiaTheme="minorEastAsia"/>
          <w:color w:val="FF0000"/>
          <w:kern w:val="0"/>
          <w:sz w:val="21"/>
          <w:szCs w:val="21"/>
          <w:lang w:val="en-US" w:eastAsia="zh-CN" w:bidi="ar-SA"/>
        </w:rPr>
        <w:t>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711BFED1">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FF0000"/>
          <w:kern w:val="0"/>
          <w:sz w:val="21"/>
          <w:szCs w:val="21"/>
          <w:lang w:val="en-US" w:eastAsia="zh-CN" w:bidi="ar-SA"/>
        </w:rPr>
        <w:t>14.6     电子响应文件制作技术咨询：0374-2961598。</w:t>
      </w:r>
    </w:p>
    <w:p w14:paraId="773D687B">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响应文件格式</w:t>
      </w:r>
    </w:p>
    <w:p w14:paraId="0B221893">
      <w:pPr>
        <w:pStyle w:val="55"/>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14:paraId="52F6D29D">
      <w:pPr>
        <w:pStyle w:val="55"/>
        <w:numPr>
          <w:ilvl w:val="0"/>
          <w:numId w:val="25"/>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谈判文件未提供标准格式的供应商可自行拟定。</w:t>
      </w:r>
    </w:p>
    <w:p w14:paraId="7F64D375">
      <w:pPr>
        <w:autoSpaceDE w:val="0"/>
        <w:autoSpaceDN w:val="0"/>
        <w:spacing w:line="360" w:lineRule="auto"/>
        <w:ind w:left="420"/>
        <w:contextualSpacing/>
        <w:rPr>
          <w:rFonts w:cs="宋体" w:asciiTheme="minorEastAsia" w:hAnsiTheme="minorEastAsia"/>
          <w:kern w:val="0"/>
          <w:szCs w:val="21"/>
        </w:rPr>
      </w:pPr>
    </w:p>
    <w:p w14:paraId="6F6A63C7">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谈判保证金</w:t>
      </w:r>
    </w:p>
    <w:p w14:paraId="3FB922C6">
      <w:pPr>
        <w:pStyle w:val="55"/>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14:paraId="0A87766F">
      <w:pPr>
        <w:pStyle w:val="55"/>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14:paraId="5CB7CFFE">
      <w:pPr>
        <w:pStyle w:val="55"/>
        <w:autoSpaceDE w:val="0"/>
        <w:autoSpaceDN w:val="0"/>
        <w:spacing w:line="360" w:lineRule="auto"/>
        <w:ind w:left="964" w:firstLine="0" w:firstLineChars="0"/>
        <w:contextualSpacing/>
        <w:rPr>
          <w:rFonts w:cs="宋体" w:asciiTheme="minorEastAsia" w:hAnsiTheme="minorEastAsia"/>
          <w:kern w:val="0"/>
          <w:szCs w:val="21"/>
        </w:rPr>
      </w:pPr>
    </w:p>
    <w:p w14:paraId="117F9436">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14:paraId="74C724E7">
      <w:pPr>
        <w:pStyle w:val="55"/>
        <w:numPr>
          <w:ilvl w:val="0"/>
          <w:numId w:val="27"/>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14:paraId="51876B26">
      <w:pPr>
        <w:pStyle w:val="55"/>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14:paraId="6B55F799">
      <w:pPr>
        <w:tabs>
          <w:tab w:val="left" w:pos="1260"/>
        </w:tabs>
        <w:autoSpaceDE w:val="0"/>
        <w:autoSpaceDN w:val="0"/>
        <w:spacing w:line="360" w:lineRule="auto"/>
        <w:contextualSpacing/>
        <w:rPr>
          <w:rFonts w:cs="仿宋_GB2312" w:asciiTheme="minorEastAsia" w:hAnsiTheme="minorEastAsia"/>
          <w:szCs w:val="21"/>
          <w:lang w:val="zh-CN"/>
        </w:rPr>
      </w:pPr>
    </w:p>
    <w:p w14:paraId="7C99C70B">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四、响应文件的提交</w:t>
      </w:r>
    </w:p>
    <w:p w14:paraId="51954053">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谈判响应截止时间</w:t>
      </w:r>
    </w:p>
    <w:p w14:paraId="546C9F57">
      <w:pPr>
        <w:pStyle w:val="55"/>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hint="eastAsia" w:ascii="宋体" w:hAnsi="宋体" w:eastAsia="宋体" w:cs="宋体"/>
          <w:b w:val="0"/>
          <w:bCs w:val="0"/>
          <w:i w:val="0"/>
          <w:iCs w:val="0"/>
          <w:color w:val="FF0000"/>
          <w:spacing w:val="0"/>
          <w:w w:val="100"/>
          <w:sz w:val="21"/>
          <w:szCs w:val="21"/>
          <w:vertAlign w:val="baseline"/>
        </w:rPr>
        <w:t>后缀格式为.XCSTF</w:t>
      </w:r>
      <w:r>
        <w:rPr>
          <w:rFonts w:hint="eastAsia" w:cs="宋体" w:asciiTheme="minorEastAsia" w:hAnsiTheme="minorEastAsia"/>
          <w:szCs w:val="21"/>
        </w:rPr>
        <w:t>）</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采购人、集中采购机构</w:t>
      </w:r>
      <w:r>
        <w:rPr>
          <w:rFonts w:hint="eastAsia" w:cs="微软雅黑"/>
        </w:rPr>
        <w:t>将予以拒绝。</w:t>
      </w:r>
    </w:p>
    <w:p w14:paraId="128A3A8D">
      <w:pPr>
        <w:pStyle w:val="55"/>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77A99DE8">
      <w:pPr>
        <w:pStyle w:val="55"/>
        <w:autoSpaceDE w:val="0"/>
        <w:autoSpaceDN w:val="0"/>
        <w:spacing w:line="360" w:lineRule="auto"/>
        <w:ind w:left="964" w:firstLine="0" w:firstLineChars="0"/>
        <w:contextualSpacing/>
        <w:rPr>
          <w:rFonts w:cs="宋体" w:asciiTheme="minorEastAsia" w:hAnsiTheme="minorEastAsia"/>
          <w:kern w:val="0"/>
          <w:szCs w:val="21"/>
        </w:rPr>
      </w:pPr>
    </w:p>
    <w:p w14:paraId="65494F44">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迟交的响应文件</w:t>
      </w:r>
    </w:p>
    <w:p w14:paraId="0A92861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谈判响应文件截止时间之后上传的响应文件，采购人、集中采购机构将拒绝接收。</w:t>
      </w:r>
    </w:p>
    <w:p w14:paraId="04D69238">
      <w:pPr>
        <w:autoSpaceDE w:val="0"/>
        <w:autoSpaceDN w:val="0"/>
        <w:spacing w:line="360" w:lineRule="auto"/>
        <w:ind w:left="964"/>
        <w:contextualSpacing/>
        <w:rPr>
          <w:rFonts w:cs="宋体" w:asciiTheme="minorEastAsia" w:hAnsiTheme="minorEastAsia"/>
          <w:kern w:val="0"/>
          <w:szCs w:val="21"/>
        </w:rPr>
      </w:pPr>
    </w:p>
    <w:p w14:paraId="0DE40EF5">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14:paraId="27CA880B">
      <w:pPr>
        <w:pStyle w:val="55"/>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14:paraId="4727B27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14:paraId="289D52B0">
      <w:pPr>
        <w:pStyle w:val="55"/>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14:paraId="04111D47">
      <w:pPr>
        <w:pStyle w:val="55"/>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供应商不得在响应有效期内撤销响应文件，否则供应商将承担违背谈判承诺函的责任追究。</w:t>
      </w:r>
    </w:p>
    <w:p w14:paraId="79EC1881">
      <w:pPr>
        <w:autoSpaceDE w:val="0"/>
        <w:autoSpaceDN w:val="0"/>
        <w:spacing w:line="360" w:lineRule="auto"/>
        <w:ind w:left="420"/>
        <w:contextualSpacing/>
        <w:rPr>
          <w:rFonts w:cs="宋体" w:asciiTheme="minorEastAsia" w:hAnsiTheme="minorEastAsia"/>
          <w:kern w:val="0"/>
          <w:szCs w:val="21"/>
        </w:rPr>
      </w:pPr>
    </w:p>
    <w:p w14:paraId="619A395C">
      <w:pPr>
        <w:pStyle w:val="55"/>
        <w:numPr>
          <w:ilvl w:val="0"/>
          <w:numId w:val="13"/>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14:paraId="31ADB90E">
      <w:pPr>
        <w:autoSpaceDE w:val="0"/>
        <w:autoSpaceDN w:val="0"/>
        <w:spacing w:line="360" w:lineRule="auto"/>
        <w:contextualSpacing/>
        <w:rPr>
          <w:rFonts w:cs="宋体" w:asciiTheme="minorEastAsia" w:hAnsiTheme="minorEastAsia"/>
          <w:kern w:val="0"/>
          <w:szCs w:val="21"/>
        </w:rPr>
      </w:pPr>
    </w:p>
    <w:p w14:paraId="4A98EB82">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五、谈判和评审</w:t>
      </w:r>
    </w:p>
    <w:p w14:paraId="08EC55F9">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响应文件解密</w:t>
      </w:r>
    </w:p>
    <w:p w14:paraId="7FB982E2">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和地点解密电子响应文件。由代理机构主持，供应商无需到现场。</w:t>
      </w:r>
    </w:p>
    <w:p w14:paraId="6061EF6A">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14:paraId="0725686E">
      <w:pPr>
        <w:pStyle w:val="55"/>
        <w:numPr>
          <w:ilvl w:val="0"/>
          <w:numId w:val="3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14:paraId="57DE2ECF">
      <w:pPr>
        <w:pStyle w:val="55"/>
        <w:numPr>
          <w:ilvl w:val="0"/>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14:paraId="1452BE33">
      <w:pPr>
        <w:pStyle w:val="55"/>
        <w:numPr>
          <w:ilvl w:val="0"/>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14:paraId="1C6C9B0F">
      <w:pPr>
        <w:pStyle w:val="55"/>
        <w:numPr>
          <w:ilvl w:val="0"/>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szCs w:val="21"/>
        </w:rPr>
        <w:t>供应商未在规定时间内解密或</w:t>
      </w:r>
      <w:r>
        <w:rPr>
          <w:rFonts w:hint="eastAsia" w:cs="宋体" w:asciiTheme="minorEastAsia" w:hAnsiTheme="minorEastAsia"/>
          <w:kern w:val="0"/>
          <w:szCs w:val="21"/>
        </w:rPr>
        <w:t>因供应商原因解密失败的，其响应文件将被拒绝。</w:t>
      </w:r>
    </w:p>
    <w:p w14:paraId="658F1EA5">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17CB67C4">
      <w:pPr>
        <w:pStyle w:val="55"/>
        <w:numPr>
          <w:ilvl w:val="1"/>
          <w:numId w:val="30"/>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14:paraId="2DA1ACD9">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14:paraId="6E7904B1">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解密活动结束时，供应商应在《开标记录表》上进行电子签章。供应商未签章的，视同认可解密结果。</w:t>
      </w:r>
    </w:p>
    <w:p w14:paraId="44FCD354">
      <w:pPr>
        <w:pStyle w:val="55"/>
        <w:autoSpaceDE w:val="0"/>
        <w:autoSpaceDN w:val="0"/>
        <w:spacing w:line="360" w:lineRule="auto"/>
        <w:ind w:left="420" w:firstLine="0" w:firstLineChars="0"/>
        <w:contextualSpacing/>
        <w:rPr>
          <w:rFonts w:cs="宋体" w:asciiTheme="minorEastAsia" w:hAnsiTheme="minorEastAsia"/>
          <w:kern w:val="0"/>
          <w:szCs w:val="21"/>
        </w:rPr>
      </w:pPr>
    </w:p>
    <w:p w14:paraId="7F4B7EBA">
      <w:pPr>
        <w:pStyle w:val="55"/>
        <w:autoSpaceDE w:val="0"/>
        <w:autoSpaceDN w:val="0"/>
        <w:spacing w:line="360" w:lineRule="auto"/>
        <w:ind w:left="964" w:firstLine="0" w:firstLineChars="0"/>
        <w:contextualSpacing/>
        <w:rPr>
          <w:rFonts w:cs="宋体" w:asciiTheme="minorEastAsia" w:hAnsiTheme="minorEastAsia"/>
          <w:kern w:val="0"/>
          <w:szCs w:val="21"/>
        </w:rPr>
      </w:pPr>
    </w:p>
    <w:p w14:paraId="1B2C6F6F">
      <w:pPr>
        <w:pStyle w:val="55"/>
        <w:numPr>
          <w:ilvl w:val="0"/>
          <w:numId w:val="3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谈判小组组成</w:t>
      </w:r>
    </w:p>
    <w:p w14:paraId="7B3A85CF">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14:paraId="6F3EC616">
      <w:pPr>
        <w:pStyle w:val="55"/>
        <w:numPr>
          <w:ilvl w:val="0"/>
          <w:numId w:val="35"/>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14:paraId="3F81064E">
      <w:pPr>
        <w:pStyle w:val="55"/>
        <w:numPr>
          <w:ilvl w:val="0"/>
          <w:numId w:val="35"/>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14:paraId="21D093D5">
      <w:pPr>
        <w:pStyle w:val="55"/>
        <w:numPr>
          <w:ilvl w:val="1"/>
          <w:numId w:val="33"/>
        </w:numPr>
        <w:autoSpaceDE w:val="0"/>
        <w:autoSpaceDN w:val="0"/>
        <w:spacing w:line="360" w:lineRule="auto"/>
        <w:ind w:firstLineChars="0"/>
        <w:contextualSpacing/>
        <w:rPr>
          <w:rFonts w:ascii="ˎ̥" w:hAnsi="ˎ̥"/>
          <w:vanish/>
        </w:rPr>
      </w:pPr>
    </w:p>
    <w:p w14:paraId="1DEFB98E">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14:paraId="1CE4DC6B">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14:paraId="6C9EE980">
      <w:pPr>
        <w:pStyle w:val="55"/>
        <w:numPr>
          <w:ilvl w:val="0"/>
          <w:numId w:val="36"/>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14:paraId="32BA3BC1">
      <w:pPr>
        <w:pStyle w:val="55"/>
        <w:numPr>
          <w:ilvl w:val="0"/>
          <w:numId w:val="36"/>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14:paraId="15E0BAB6">
      <w:pPr>
        <w:pStyle w:val="55"/>
        <w:numPr>
          <w:ilvl w:val="0"/>
          <w:numId w:val="36"/>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14:paraId="3F80B73D">
      <w:pPr>
        <w:pStyle w:val="55"/>
        <w:numPr>
          <w:ilvl w:val="0"/>
          <w:numId w:val="37"/>
        </w:numPr>
        <w:autoSpaceDE w:val="0"/>
        <w:autoSpaceDN w:val="0"/>
        <w:spacing w:line="360" w:lineRule="auto"/>
        <w:ind w:firstLineChars="0"/>
        <w:contextualSpacing/>
        <w:rPr>
          <w:rFonts w:cs="宋体" w:asciiTheme="minorEastAsia" w:hAnsiTheme="minorEastAsia"/>
          <w:vanish/>
          <w:kern w:val="0"/>
          <w:szCs w:val="21"/>
        </w:rPr>
      </w:pPr>
    </w:p>
    <w:p w14:paraId="504A4306">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14:paraId="2CF98999">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14:paraId="728BC2F1">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14:paraId="4E08EE3E">
      <w:pPr>
        <w:autoSpaceDE w:val="0"/>
        <w:autoSpaceDN w:val="0"/>
        <w:spacing w:line="360" w:lineRule="auto"/>
        <w:ind w:left="420"/>
        <w:contextualSpacing/>
        <w:rPr>
          <w:rFonts w:cs="宋体" w:asciiTheme="minorEastAsia" w:hAnsiTheme="minorEastAsia"/>
          <w:kern w:val="0"/>
          <w:szCs w:val="21"/>
        </w:rPr>
      </w:pPr>
    </w:p>
    <w:p w14:paraId="24F35AFD">
      <w:pPr>
        <w:pStyle w:val="55"/>
        <w:numPr>
          <w:ilvl w:val="0"/>
          <w:numId w:val="3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14:paraId="400B8564">
      <w:pPr>
        <w:pStyle w:val="55"/>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14:paraId="73FDCB82">
      <w:pPr>
        <w:pStyle w:val="5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14:paraId="7F102569">
      <w:pPr>
        <w:pStyle w:val="55"/>
        <w:numPr>
          <w:ilvl w:val="0"/>
          <w:numId w:val="13"/>
        </w:numPr>
        <w:autoSpaceDE w:val="0"/>
        <w:autoSpaceDN w:val="0"/>
        <w:spacing w:line="360" w:lineRule="auto"/>
        <w:ind w:firstLineChars="0"/>
        <w:contextualSpacing/>
        <w:rPr>
          <w:rFonts w:cs="宋体" w:asciiTheme="minorEastAsia" w:hAnsiTheme="minorEastAsia"/>
          <w:vanish/>
          <w:kern w:val="0"/>
          <w:szCs w:val="21"/>
        </w:rPr>
      </w:pPr>
    </w:p>
    <w:p w14:paraId="0F7EA77B">
      <w:pPr>
        <w:pStyle w:val="55"/>
        <w:numPr>
          <w:ilvl w:val="0"/>
          <w:numId w:val="13"/>
        </w:numPr>
        <w:autoSpaceDE w:val="0"/>
        <w:autoSpaceDN w:val="0"/>
        <w:spacing w:line="360" w:lineRule="auto"/>
        <w:ind w:firstLineChars="0"/>
        <w:contextualSpacing/>
        <w:rPr>
          <w:rFonts w:cs="宋体" w:asciiTheme="minorEastAsia" w:hAnsiTheme="minorEastAsia"/>
          <w:vanish/>
          <w:kern w:val="0"/>
          <w:szCs w:val="21"/>
        </w:rPr>
      </w:pPr>
    </w:p>
    <w:p w14:paraId="4E15E64D">
      <w:pPr>
        <w:pStyle w:val="55"/>
        <w:numPr>
          <w:ilvl w:val="1"/>
          <w:numId w:val="13"/>
        </w:numPr>
        <w:autoSpaceDE w:val="0"/>
        <w:autoSpaceDN w:val="0"/>
        <w:spacing w:line="360" w:lineRule="auto"/>
        <w:ind w:firstLineChars="0"/>
        <w:contextualSpacing/>
        <w:rPr>
          <w:rFonts w:cs="宋体" w:asciiTheme="minorEastAsia" w:hAnsiTheme="minorEastAsia"/>
          <w:vanish/>
          <w:kern w:val="0"/>
          <w:szCs w:val="21"/>
        </w:rPr>
      </w:pPr>
    </w:p>
    <w:p w14:paraId="4E59701B">
      <w:pPr>
        <w:pStyle w:val="55"/>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14:paraId="1EE7178B">
      <w:pPr>
        <w:pStyle w:val="55"/>
        <w:autoSpaceDE w:val="0"/>
        <w:autoSpaceDN w:val="0"/>
        <w:spacing w:line="360" w:lineRule="auto"/>
        <w:ind w:left="964" w:firstLine="0" w:firstLineChars="0"/>
        <w:contextualSpacing/>
        <w:rPr>
          <w:rFonts w:cs="宋体" w:asciiTheme="minorEastAsia" w:hAnsiTheme="minorEastAsia"/>
          <w:kern w:val="0"/>
          <w:szCs w:val="21"/>
        </w:rPr>
      </w:pPr>
    </w:p>
    <w:p w14:paraId="07C1AA3B">
      <w:pPr>
        <w:pStyle w:val="55"/>
        <w:numPr>
          <w:ilvl w:val="0"/>
          <w:numId w:val="3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响应文件的澄清</w:t>
      </w:r>
    </w:p>
    <w:p w14:paraId="518372B0">
      <w:pPr>
        <w:pStyle w:val="55"/>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14:paraId="30E0525D">
      <w:pPr>
        <w:pStyle w:val="55"/>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14:paraId="5234D4A3">
      <w:pPr>
        <w:pStyle w:val="55"/>
        <w:numPr>
          <w:ilvl w:val="0"/>
          <w:numId w:val="39"/>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14:paraId="686D0C9A">
      <w:pPr>
        <w:pStyle w:val="55"/>
        <w:autoSpaceDE w:val="0"/>
        <w:autoSpaceDN w:val="0"/>
        <w:spacing w:line="360" w:lineRule="auto"/>
        <w:ind w:left="964" w:firstLine="0" w:firstLineChars="0"/>
        <w:contextualSpacing/>
        <w:rPr>
          <w:rFonts w:cs="宋体" w:asciiTheme="minorEastAsia" w:hAnsiTheme="minorEastAsia"/>
          <w:kern w:val="0"/>
          <w:szCs w:val="21"/>
        </w:rPr>
      </w:pPr>
    </w:p>
    <w:p w14:paraId="73C9EEE7">
      <w:pPr>
        <w:pStyle w:val="55"/>
        <w:numPr>
          <w:ilvl w:val="0"/>
          <w:numId w:val="3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14:paraId="3B49F0F3">
      <w:pPr>
        <w:pStyle w:val="55"/>
        <w:numPr>
          <w:ilvl w:val="1"/>
          <w:numId w:val="40"/>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14:paraId="4CF6EB1B">
      <w:pPr>
        <w:pStyle w:val="55"/>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14:paraId="479E2A33">
      <w:pPr>
        <w:pStyle w:val="55"/>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55CB12B4">
      <w:pPr>
        <w:autoSpaceDE w:val="0"/>
        <w:autoSpaceDN w:val="0"/>
        <w:spacing w:line="360" w:lineRule="auto"/>
        <w:ind w:left="964"/>
        <w:contextualSpacing/>
        <w:rPr>
          <w:rFonts w:cs="宋体" w:asciiTheme="minorEastAsia" w:hAnsiTheme="minorEastAsia"/>
          <w:kern w:val="0"/>
          <w:szCs w:val="21"/>
        </w:rPr>
      </w:pPr>
    </w:p>
    <w:p w14:paraId="06AE0F19">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响应无效情形</w:t>
      </w:r>
    </w:p>
    <w:p w14:paraId="7D559481">
      <w:pPr>
        <w:pStyle w:val="55"/>
        <w:numPr>
          <w:ilvl w:val="0"/>
          <w:numId w:val="41"/>
        </w:numPr>
        <w:autoSpaceDE w:val="0"/>
        <w:autoSpaceDN w:val="0"/>
        <w:spacing w:line="360" w:lineRule="auto"/>
        <w:ind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14:paraId="62CA3B5D">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1769A443">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34DE6E3">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39CAA00">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44494F5">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B8A3B56">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CF6921B">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3B20E03">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8885B51">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1BA4A892">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18643F5C">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81E2B73">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762C924">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623B213B">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7692E78">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0DF59BCC">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015D344">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F952098">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FF2C160">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6E82CBDD">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776B3CA">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6E3B9258">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E7CB625">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02369B9">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883B722">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8EA2BCF">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50157D9">
      <w:pPr>
        <w:pStyle w:val="55"/>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未按照谈判文件的规定提交《禹州市政府采购供应商信用承诺函》的；</w:t>
      </w:r>
    </w:p>
    <w:p w14:paraId="4F6BA94E">
      <w:pPr>
        <w:pStyle w:val="55"/>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14:paraId="3CC63F90">
      <w:pPr>
        <w:pStyle w:val="55"/>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14:paraId="0DD4DBBA">
      <w:pPr>
        <w:pStyle w:val="55"/>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14:paraId="61221EB2">
      <w:pPr>
        <w:pStyle w:val="55"/>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响应文件含有采购人不能接受的附加条件的。</w:t>
      </w:r>
    </w:p>
    <w:p w14:paraId="38658055">
      <w:pPr>
        <w:pStyle w:val="55"/>
        <w:numPr>
          <w:ilvl w:val="0"/>
          <w:numId w:val="4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14:paraId="111E9C56">
      <w:pPr>
        <w:pStyle w:val="55"/>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14:paraId="65FB4AC0">
      <w:pPr>
        <w:pStyle w:val="55"/>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14:paraId="7660B30A">
      <w:pPr>
        <w:pStyle w:val="55"/>
        <w:numPr>
          <w:ilvl w:val="0"/>
          <w:numId w:val="47"/>
        </w:numPr>
        <w:autoSpaceDE w:val="0"/>
        <w:autoSpaceDN w:val="0"/>
        <w:spacing w:line="360" w:lineRule="auto"/>
        <w:ind w:left="1418" w:hanging="1418"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14:paraId="7DAD5FE9">
      <w:pPr>
        <w:pStyle w:val="55"/>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14:paraId="00131DE6">
      <w:pPr>
        <w:pStyle w:val="55"/>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14:paraId="640B6A03">
      <w:pPr>
        <w:pStyle w:val="55"/>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14:paraId="61DC87FF">
      <w:pPr>
        <w:pStyle w:val="55"/>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14:paraId="5BD4C91D">
      <w:pPr>
        <w:pStyle w:val="55"/>
        <w:numPr>
          <w:ilvl w:val="0"/>
          <w:numId w:val="52"/>
        </w:numPr>
        <w:autoSpaceDE w:val="0"/>
        <w:autoSpaceDN w:val="0"/>
        <w:spacing w:line="360" w:lineRule="auto"/>
        <w:ind w:left="1418" w:hanging="1418"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其它涉嫌串通的情形。</w:t>
      </w:r>
    </w:p>
    <w:p w14:paraId="3E08DBB2">
      <w:pPr>
        <w:pStyle w:val="55"/>
        <w:numPr>
          <w:ilvl w:val="0"/>
          <w:numId w:val="4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14:paraId="0966254A">
      <w:pPr>
        <w:pStyle w:val="55"/>
        <w:numPr>
          <w:ilvl w:val="0"/>
          <w:numId w:val="5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14:paraId="14624EF3">
      <w:pPr>
        <w:pStyle w:val="55"/>
        <w:numPr>
          <w:ilvl w:val="0"/>
          <w:numId w:val="5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14:paraId="1838DA50">
      <w:pPr>
        <w:pStyle w:val="55"/>
        <w:numPr>
          <w:ilvl w:val="0"/>
          <w:numId w:val="5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14:paraId="3D2465F5">
      <w:pPr>
        <w:pStyle w:val="55"/>
        <w:numPr>
          <w:ilvl w:val="0"/>
          <w:numId w:val="5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14:paraId="478B6310">
      <w:pPr>
        <w:pStyle w:val="55"/>
        <w:numPr>
          <w:ilvl w:val="0"/>
          <w:numId w:val="57"/>
        </w:numPr>
        <w:autoSpaceDE w:val="0"/>
        <w:autoSpaceDN w:val="0"/>
        <w:spacing w:line="360" w:lineRule="auto"/>
        <w:ind w:hanging="1384"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14:paraId="07ABDBDA">
      <w:pPr>
        <w:pStyle w:val="55"/>
        <w:numPr>
          <w:ilvl w:val="0"/>
          <w:numId w:val="41"/>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14:paraId="6531804D">
      <w:pPr>
        <w:pStyle w:val="55"/>
        <w:numPr>
          <w:ilvl w:val="0"/>
          <w:numId w:val="4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14:paraId="77C86DED">
      <w:pPr>
        <w:pStyle w:val="55"/>
        <w:numPr>
          <w:ilvl w:val="0"/>
          <w:numId w:val="41"/>
        </w:numPr>
        <w:autoSpaceDE w:val="0"/>
        <w:autoSpaceDN w:val="0"/>
        <w:spacing w:line="360" w:lineRule="auto"/>
        <w:ind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法律法规和响应文件规定的其他无效情形。</w:t>
      </w:r>
    </w:p>
    <w:p w14:paraId="0AA50D6B">
      <w:pPr>
        <w:pStyle w:val="55"/>
        <w:autoSpaceDE w:val="0"/>
        <w:autoSpaceDN w:val="0"/>
        <w:spacing w:line="360" w:lineRule="auto"/>
        <w:ind w:left="964" w:firstLine="0" w:firstLineChars="0"/>
        <w:contextualSpacing/>
        <w:rPr>
          <w:rFonts w:cs="宋体" w:asciiTheme="minorEastAsia" w:hAnsiTheme="minorEastAsia"/>
          <w:kern w:val="0"/>
          <w:szCs w:val="21"/>
        </w:rPr>
      </w:pPr>
    </w:p>
    <w:p w14:paraId="26606AC3">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响应文件评审与谈判</w:t>
      </w:r>
    </w:p>
    <w:p w14:paraId="5D2A11B9">
      <w:pPr>
        <w:pStyle w:val="55"/>
        <w:numPr>
          <w:ilvl w:val="0"/>
          <w:numId w:val="58"/>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14:paraId="54151F52">
      <w:pPr>
        <w:pStyle w:val="55"/>
        <w:numPr>
          <w:ilvl w:val="0"/>
          <w:numId w:val="58"/>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14:paraId="0B40CD82">
      <w:pPr>
        <w:pStyle w:val="55"/>
        <w:numPr>
          <w:ilvl w:val="0"/>
          <w:numId w:val="5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rPr>
        <w:t>在谈判中，谈判的任何一方不得透露与谈判有关的其他供应商的技术资料、价格和其他信息。</w:t>
      </w:r>
    </w:p>
    <w:p w14:paraId="05710558">
      <w:pPr>
        <w:pStyle w:val="55"/>
        <w:numPr>
          <w:ilvl w:val="0"/>
          <w:numId w:val="58"/>
        </w:numPr>
        <w:autoSpaceDE w:val="0"/>
        <w:autoSpaceDN w:val="0"/>
        <w:spacing w:line="360" w:lineRule="auto"/>
        <w:ind w:left="993" w:hanging="993" w:firstLineChars="0"/>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rPr>
        <w:t>。</w:t>
      </w:r>
      <w:r>
        <w:rPr>
          <w:rFonts w:cs="微软雅黑"/>
        </w:rPr>
        <w:t>对谈判文件作出的实质性变动是谈判文件的有效组成部分，谈判小组应当及时以书面形式同时通知所有参加谈判的供应商</w:t>
      </w:r>
      <w:r>
        <w:rPr>
          <w:rFonts w:hint="eastAsia" w:cs="微软雅黑"/>
        </w:rPr>
        <w:t>。</w:t>
      </w:r>
    </w:p>
    <w:p w14:paraId="17A38FCC">
      <w:pPr>
        <w:pStyle w:val="55"/>
        <w:numPr>
          <w:ilvl w:val="0"/>
          <w:numId w:val="58"/>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14:paraId="3E085E22">
      <w:pPr>
        <w:pStyle w:val="55"/>
        <w:numPr>
          <w:ilvl w:val="0"/>
          <w:numId w:val="58"/>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42107E27">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14:paraId="126A154D">
      <w:pPr>
        <w:pStyle w:val="23"/>
        <w:keepNext w:val="0"/>
        <w:keepLines w:val="0"/>
        <w:widowControl/>
        <w:suppressLineNumbers w:val="0"/>
        <w:spacing w:before="0" w:beforeAutospacing="0" w:after="0" w:afterAutospacing="0" w:line="23" w:lineRule="atLeast"/>
        <w:ind w:left="0" w:right="0" w:firstLine="465"/>
        <w:jc w:val="left"/>
        <w:rPr>
          <w:rFonts w:ascii="ˎ̥" w:hAnsi="ˎ̥"/>
        </w:rPr>
      </w:pPr>
    </w:p>
    <w:p w14:paraId="515C4DA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840" w:right="0" w:hanging="840" w:hangingChars="400"/>
        <w:jc w:val="left"/>
        <w:textAlignment w:val="auto"/>
        <w:rPr>
          <w:rFonts w:ascii="ˎ̥" w:hAnsi="ˎ̥" w:eastAsiaTheme="minorEastAsia" w:cstheme="minorBidi"/>
          <w:color w:val="FF0000"/>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28.7    </w:t>
      </w:r>
      <w:r>
        <w:rPr>
          <w:rFonts w:ascii="ˎ̥" w:hAnsi="ˎ̥" w:eastAsiaTheme="minorEastAsia" w:cstheme="minorBidi"/>
          <w:kern w:val="2"/>
          <w:sz w:val="21"/>
          <w:szCs w:val="22"/>
          <w:lang w:val="en-US" w:eastAsia="zh-CN" w:bidi="ar-SA"/>
        </w:rPr>
        <w:t>最后报价是供应商响应文件的有效组成部分。</w:t>
      </w:r>
      <w:r>
        <w:rPr>
          <w:rFonts w:hint="eastAsia" w:ascii="ˎ̥" w:hAnsi="ˎ̥" w:eastAsiaTheme="minorEastAsia" w:cstheme="minorBidi"/>
          <w:kern w:val="2"/>
          <w:sz w:val="21"/>
          <w:szCs w:val="22"/>
          <w:lang w:val="en-US" w:eastAsia="zh-CN" w:bidi="ar-SA"/>
        </w:rPr>
        <w:t>（</w:t>
      </w:r>
      <w:r>
        <w:rPr>
          <w:rFonts w:hint="eastAsia" w:ascii="ˎ̥" w:hAnsi="ˎ̥" w:eastAsiaTheme="minorEastAsia" w:cstheme="minorBidi"/>
          <w:color w:val="FF0000"/>
          <w:kern w:val="2"/>
          <w:sz w:val="21"/>
          <w:szCs w:val="22"/>
          <w:lang w:val="en-US" w:eastAsia="zh-CN" w:bidi="ar-SA"/>
        </w:rPr>
        <w:t>特别提示：谈判小组应严格按照电子化评标系统规定的流程要求投标供应商使用CA数字证书登录许昌公共资源交易系统进行报价，禁止通过交易系统中的聊天通讯页面要求投标供应商提交报价、工程量清单等相关材料。</w:t>
      </w:r>
    </w:p>
    <w:p w14:paraId="7973EAFD">
      <w:pPr>
        <w:pStyle w:val="55"/>
        <w:numPr>
          <w:ilvl w:val="0"/>
          <w:numId w:val="0"/>
        </w:numPr>
        <w:autoSpaceDE w:val="0"/>
        <w:autoSpaceDN w:val="0"/>
        <w:spacing w:line="360" w:lineRule="auto"/>
        <w:ind w:left="-29" w:leftChars="0"/>
        <w:contextualSpacing/>
        <w:rPr>
          <w:rFonts w:ascii="ˎ̥" w:hAnsi="ˎ̥" w:eastAsiaTheme="minorEastAsia" w:cstheme="minorBidi"/>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28.8  </w:t>
      </w:r>
      <w:r>
        <w:rPr>
          <w:rFonts w:hint="eastAsia" w:ascii="ˎ̥" w:hAnsi="ˎ̥" w:cstheme="minorBidi"/>
          <w:kern w:val="2"/>
          <w:sz w:val="21"/>
          <w:szCs w:val="22"/>
          <w:lang w:val="en-US" w:eastAsia="zh-CN" w:bidi="ar-SA"/>
        </w:rPr>
        <w:t xml:space="preserve">  </w:t>
      </w:r>
      <w:r>
        <w:rPr>
          <w:rFonts w:ascii="ˎ̥" w:hAnsi="ˎ̥" w:eastAsiaTheme="minorEastAsia" w:cstheme="minorBidi"/>
          <w:kern w:val="2"/>
          <w:sz w:val="21"/>
          <w:szCs w:val="22"/>
          <w:lang w:val="en-US" w:eastAsia="zh-CN" w:bidi="ar-SA"/>
        </w:rPr>
        <w:t>已提交响应文件的供应商，在提交最后报价之前，可以根据谈判情况退出谈判</w:t>
      </w:r>
      <w:r>
        <w:rPr>
          <w:rFonts w:hint="eastAsia" w:ascii="ˎ̥" w:hAnsi="ˎ̥" w:eastAsiaTheme="minorEastAsia" w:cstheme="minorBidi"/>
          <w:kern w:val="2"/>
          <w:sz w:val="21"/>
          <w:szCs w:val="22"/>
          <w:lang w:val="en-US" w:eastAsia="zh-CN" w:bidi="ar-SA"/>
        </w:rPr>
        <w:t>。</w:t>
      </w:r>
    </w:p>
    <w:p w14:paraId="6BB2D189">
      <w:pPr>
        <w:pStyle w:val="55"/>
        <w:numPr>
          <w:ilvl w:val="0"/>
          <w:numId w:val="0"/>
        </w:numPr>
        <w:autoSpaceDE w:val="0"/>
        <w:autoSpaceDN w:val="0"/>
        <w:spacing w:line="360" w:lineRule="auto"/>
        <w:ind w:left="813" w:leftChars="-13" w:hanging="840" w:hangingChars="400"/>
        <w:contextualSpacing/>
        <w:rPr>
          <w:rFonts w:ascii="ˎ̥" w:hAnsi="ˎ̥" w:eastAsiaTheme="minorEastAsia" w:cstheme="minorBidi"/>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28.9  </w:t>
      </w:r>
      <w:r>
        <w:rPr>
          <w:rFonts w:hint="eastAsia" w:ascii="ˎ̥" w:hAnsi="ˎ̥" w:cstheme="minorBidi"/>
          <w:kern w:val="2"/>
          <w:sz w:val="21"/>
          <w:szCs w:val="22"/>
          <w:lang w:val="en-US" w:eastAsia="zh-CN" w:bidi="ar-SA"/>
        </w:rPr>
        <w:t xml:space="preserve">  </w:t>
      </w:r>
      <w:r>
        <w:rPr>
          <w:rFonts w:hint="eastAsia" w:ascii="ˎ̥" w:hAnsi="ˎ̥" w:eastAsiaTheme="minorEastAsia" w:cstheme="minorBidi"/>
          <w:kern w:val="2"/>
          <w:sz w:val="21"/>
          <w:szCs w:val="22"/>
          <w:lang w:val="en-US" w:eastAsia="zh-CN" w:bidi="ar-SA"/>
        </w:rPr>
        <w:t>按照《关于推进全流程电子化交易和在线监管工作有关问题的通知》（许公管办〔2019〕3号）规定，评审专家应严格按照要求查看“硬件特征码相”关信息并进行评审。</w:t>
      </w:r>
    </w:p>
    <w:p w14:paraId="3806CADD">
      <w:pPr>
        <w:pStyle w:val="55"/>
        <w:autoSpaceDE w:val="0"/>
        <w:autoSpaceDN w:val="0"/>
        <w:spacing w:line="360" w:lineRule="auto"/>
        <w:ind w:left="964" w:firstLine="0" w:firstLineChars="0"/>
        <w:contextualSpacing/>
        <w:rPr>
          <w:rFonts w:ascii="ˎ̥" w:hAnsi="ˎ̥" w:eastAsiaTheme="minorEastAsia" w:cstheme="minorBidi"/>
          <w:kern w:val="2"/>
          <w:sz w:val="21"/>
          <w:szCs w:val="22"/>
          <w:lang w:val="en-US" w:eastAsia="zh-CN" w:bidi="ar-SA"/>
        </w:rPr>
      </w:pPr>
    </w:p>
    <w:p w14:paraId="12E54412">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14:paraId="03500031">
      <w:pPr>
        <w:pStyle w:val="55"/>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14:paraId="4A07A25C">
      <w:pPr>
        <w:tabs>
          <w:tab w:val="left" w:pos="1260"/>
        </w:tabs>
        <w:autoSpaceDE w:val="0"/>
        <w:autoSpaceDN w:val="0"/>
        <w:spacing w:line="360" w:lineRule="auto"/>
        <w:contextualSpacing/>
        <w:rPr>
          <w:rFonts w:cs="仿宋_GB2312" w:asciiTheme="minorEastAsia" w:hAnsiTheme="minorEastAsia"/>
          <w:szCs w:val="21"/>
          <w:lang w:val="zh-CN"/>
        </w:rPr>
      </w:pPr>
    </w:p>
    <w:p w14:paraId="3195DB41">
      <w:pPr>
        <w:tabs>
          <w:tab w:val="left" w:pos="1260"/>
        </w:tabs>
        <w:autoSpaceDE w:val="0"/>
        <w:autoSpaceDN w:val="0"/>
        <w:spacing w:line="360" w:lineRule="auto"/>
        <w:contextualSpacing/>
        <w:jc w:val="center"/>
        <w:rPr>
          <w:rFonts w:cs="宋体" w:asciiTheme="minorEastAsia" w:hAnsiTheme="minorEastAsia"/>
          <w:b/>
          <w:kern w:val="0"/>
          <w:szCs w:val="21"/>
        </w:rPr>
      </w:pPr>
    </w:p>
    <w:p w14:paraId="19F01ECD">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14:paraId="34AAB81C">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确定成交供应商</w:t>
      </w:r>
    </w:p>
    <w:p w14:paraId="3F3D6534">
      <w:pPr>
        <w:pStyle w:val="55"/>
        <w:numPr>
          <w:ilvl w:val="0"/>
          <w:numId w:val="59"/>
        </w:numPr>
        <w:autoSpaceDE w:val="0"/>
        <w:autoSpaceDN w:val="0"/>
        <w:spacing w:line="360" w:lineRule="auto"/>
        <w:ind w:left="993" w:hanging="993" w:firstLineChars="0"/>
        <w:contextualSpacing/>
        <w:rPr>
          <w:rFonts w:ascii="ˎ̥" w:hAnsi="ˎ̥"/>
        </w:rPr>
      </w:pPr>
      <w:r>
        <w:rPr>
          <w:rFonts w:ascii="ˎ̥" w:hAnsi="ˎ̥"/>
        </w:rPr>
        <w:t>采购人应当在收到评审报</w:t>
      </w:r>
      <w:r>
        <w:rPr>
          <w:rFonts w:hint="eastAsia" w:ascii="ˎ̥" w:hAnsi="ˎ̥"/>
        </w:rPr>
        <w:t>告</w:t>
      </w:r>
      <w:r>
        <w:rPr>
          <w:rFonts w:hint="eastAsia" w:cs="宋体" w:asciiTheme="minorEastAsia" w:hAnsiTheme="minorEastAsia"/>
          <w:kern w:val="0"/>
          <w:szCs w:val="21"/>
        </w:rPr>
        <w:t>之日起1个工作日内</w:t>
      </w:r>
      <w:r>
        <w:rPr>
          <w:rFonts w:ascii="ˎ̥" w:hAnsi="ˎ̥"/>
        </w:rPr>
        <w:t>，从评审报告提出的成交候选人中，根据质量和服务均能满足采购文件实质性响应要求且最后报价最低的原则确定成交供应商</w:t>
      </w:r>
      <w:r>
        <w:rPr>
          <w:rFonts w:hint="eastAsia" w:ascii="ˎ̥" w:hAnsi="ˎ̥"/>
        </w:rPr>
        <w:t>（核验成交供应商由《禹州市政府采购供应商信用承诺函》替代的证明材料）。</w:t>
      </w:r>
    </w:p>
    <w:p w14:paraId="73D38153">
      <w:pPr>
        <w:pStyle w:val="55"/>
        <w:numPr>
          <w:ilvl w:val="0"/>
          <w:numId w:val="5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采购人在收到评标报告1个工作日内未按评标报告推荐的成交候选人顺序确定中标人，又不能说明合法理由的，视同按评标报告推荐的顺序确定排名第一的成交候选人为中标人。</w:t>
      </w:r>
    </w:p>
    <w:p w14:paraId="61FC35FA">
      <w:pPr>
        <w:pStyle w:val="55"/>
        <w:autoSpaceDE w:val="0"/>
        <w:autoSpaceDN w:val="0"/>
        <w:spacing w:line="360" w:lineRule="auto"/>
        <w:ind w:left="964" w:firstLine="0" w:firstLineChars="0"/>
        <w:contextualSpacing/>
        <w:rPr>
          <w:rFonts w:cs="宋体" w:asciiTheme="minorEastAsia" w:hAnsiTheme="minorEastAsia"/>
          <w:kern w:val="0"/>
          <w:szCs w:val="21"/>
        </w:rPr>
      </w:pPr>
    </w:p>
    <w:p w14:paraId="16C7A9D6">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终止采购活动的情形</w:t>
      </w:r>
    </w:p>
    <w:p w14:paraId="63FEA8CE">
      <w:pPr>
        <w:pStyle w:val="55"/>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14:paraId="7361DBBF">
      <w:pPr>
        <w:pStyle w:val="55"/>
        <w:numPr>
          <w:ilvl w:val="0"/>
          <w:numId w:val="40"/>
        </w:numPr>
        <w:autoSpaceDE w:val="0"/>
        <w:autoSpaceDN w:val="0"/>
        <w:spacing w:line="360" w:lineRule="auto"/>
        <w:ind w:firstLineChars="0"/>
        <w:contextualSpacing/>
        <w:rPr>
          <w:rFonts w:cs="宋体" w:asciiTheme="minorEastAsia" w:hAnsiTheme="minorEastAsia"/>
          <w:vanish/>
          <w:kern w:val="0"/>
          <w:szCs w:val="21"/>
        </w:rPr>
      </w:pPr>
    </w:p>
    <w:p w14:paraId="70C43120">
      <w:pPr>
        <w:pStyle w:val="55"/>
        <w:numPr>
          <w:ilvl w:val="0"/>
          <w:numId w:val="60"/>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14:paraId="36B745D9">
      <w:pPr>
        <w:pStyle w:val="55"/>
        <w:numPr>
          <w:ilvl w:val="0"/>
          <w:numId w:val="60"/>
        </w:numPr>
        <w:autoSpaceDE w:val="0"/>
        <w:autoSpaceDN w:val="0"/>
        <w:spacing w:line="360" w:lineRule="auto"/>
        <w:ind w:left="993" w:hanging="993" w:firstLineChars="0"/>
        <w:contextualSpacing/>
        <w:outlineLvl w:val="3"/>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14:paraId="014664B6">
      <w:pPr>
        <w:pStyle w:val="55"/>
        <w:numPr>
          <w:ilvl w:val="0"/>
          <w:numId w:val="60"/>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14:paraId="24FD239A">
      <w:pPr>
        <w:pStyle w:val="55"/>
        <w:autoSpaceDE w:val="0"/>
        <w:autoSpaceDN w:val="0"/>
        <w:spacing w:line="360" w:lineRule="auto"/>
        <w:ind w:left="964" w:firstLine="0" w:firstLineChars="0"/>
        <w:contextualSpacing/>
        <w:rPr>
          <w:rFonts w:ascii="ˎ̥" w:hAnsi="ˎ̥"/>
        </w:rPr>
      </w:pPr>
    </w:p>
    <w:p w14:paraId="64E569D2">
      <w:pPr>
        <w:pStyle w:val="55"/>
        <w:numPr>
          <w:ilvl w:val="0"/>
          <w:numId w:val="61"/>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14:paraId="3126D3A2">
      <w:pPr>
        <w:pStyle w:val="55"/>
        <w:numPr>
          <w:ilvl w:val="0"/>
          <w:numId w:val="62"/>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采购人确认成交人后公告成交结果的同时，禹州市政府采购中心向成交人发出成交通知书。</w:t>
      </w:r>
    </w:p>
    <w:p w14:paraId="6E85C9F0">
      <w:pPr>
        <w:pStyle w:val="55"/>
        <w:numPr>
          <w:ilvl w:val="0"/>
          <w:numId w:val="6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14:paraId="2BA3F4F2">
      <w:pPr>
        <w:pStyle w:val="55"/>
        <w:autoSpaceDE w:val="0"/>
        <w:autoSpaceDN w:val="0"/>
        <w:spacing w:line="360" w:lineRule="auto"/>
        <w:ind w:left="964" w:firstLine="0" w:firstLineChars="0"/>
        <w:contextualSpacing/>
        <w:rPr>
          <w:rFonts w:cs="宋体" w:asciiTheme="minorEastAsia" w:hAnsiTheme="minorEastAsia"/>
          <w:kern w:val="0"/>
          <w:szCs w:val="21"/>
        </w:rPr>
      </w:pPr>
    </w:p>
    <w:p w14:paraId="198BB395">
      <w:pPr>
        <w:pStyle w:val="55"/>
        <w:numPr>
          <w:ilvl w:val="0"/>
          <w:numId w:val="6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质疑提出与答复</w:t>
      </w:r>
    </w:p>
    <w:p w14:paraId="5E07DDEB">
      <w:pPr>
        <w:pStyle w:val="55"/>
        <w:numPr>
          <w:ilvl w:val="0"/>
          <w:numId w:val="6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14:paraId="3314FBFD">
      <w:pPr>
        <w:pStyle w:val="55"/>
        <w:numPr>
          <w:ilvl w:val="0"/>
          <w:numId w:val="6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450E4097">
      <w:pPr>
        <w:pStyle w:val="55"/>
        <w:numPr>
          <w:ilvl w:val="0"/>
          <w:numId w:val="66"/>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71F7D83F">
      <w:pPr>
        <w:pStyle w:val="55"/>
        <w:numPr>
          <w:ilvl w:val="0"/>
          <w:numId w:val="66"/>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0DA292C2">
      <w:pPr>
        <w:pStyle w:val="55"/>
        <w:numPr>
          <w:ilvl w:val="0"/>
          <w:numId w:val="64"/>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14:paraId="46383C20">
      <w:pPr>
        <w:pStyle w:val="55"/>
        <w:numPr>
          <w:ilvl w:val="0"/>
          <w:numId w:val="67"/>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14:paraId="2A038232">
      <w:pPr>
        <w:pStyle w:val="55"/>
        <w:numPr>
          <w:ilvl w:val="0"/>
          <w:numId w:val="67"/>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14:paraId="3778B497">
      <w:pPr>
        <w:autoSpaceDE w:val="0"/>
        <w:autoSpaceDN w:val="0"/>
        <w:spacing w:line="360" w:lineRule="auto"/>
        <w:ind w:left="964"/>
        <w:contextualSpacing/>
        <w:rPr>
          <w:rFonts w:cs="宋体" w:asciiTheme="minorEastAsia" w:hAnsiTheme="minorEastAsia"/>
          <w:kern w:val="0"/>
          <w:szCs w:val="21"/>
        </w:rPr>
      </w:pPr>
    </w:p>
    <w:p w14:paraId="2272F23B">
      <w:pPr>
        <w:pStyle w:val="55"/>
        <w:numPr>
          <w:ilvl w:val="0"/>
          <w:numId w:val="6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签订合同</w:t>
      </w:r>
    </w:p>
    <w:p w14:paraId="42F3B517">
      <w:pPr>
        <w:autoSpaceDE w:val="0"/>
        <w:autoSpaceDN w:val="0"/>
        <w:spacing w:line="360" w:lineRule="auto"/>
        <w:ind w:left="964"/>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w:t>
      </w:r>
      <w:r>
        <w:rPr>
          <w:rFonts w:hint="eastAsia" w:cs="宋体" w:asciiTheme="minorEastAsia" w:hAnsiTheme="minorEastAsia"/>
          <w:kern w:val="0"/>
          <w:szCs w:val="21"/>
        </w:rPr>
        <w:t>2</w:t>
      </w:r>
      <w:r>
        <w:rPr>
          <w:rFonts w:cs="宋体" w:asciiTheme="minorEastAsia" w:hAnsiTheme="minorEastAsia"/>
          <w:kern w:val="0"/>
          <w:szCs w:val="21"/>
        </w:rPr>
        <w:t>日内，</w:t>
      </w:r>
      <w:r>
        <w:rPr>
          <w:rFonts w:hint="eastAsia" w:cs="宋体" w:asciiTheme="minorEastAsia" w:hAnsiTheme="minorEastAsia"/>
          <w:kern w:val="0"/>
          <w:szCs w:val="21"/>
        </w:rPr>
        <w:t>按照采购文件和成交人投标文件的规定，与成交人签订书面合同。所签订的合同不得对采购文件确定的事项和成交人投标文件作实质性修改</w:t>
      </w:r>
      <w:r>
        <w:rPr>
          <w:rFonts w:hint="eastAsia" w:cs="宋体" w:asciiTheme="minorEastAsia" w:hAnsiTheme="minorEastAsia"/>
          <w:kern w:val="0"/>
          <w:szCs w:val="21"/>
          <w:lang w:eastAsia="zh-CN"/>
        </w:rPr>
        <w:t>，</w:t>
      </w:r>
      <w:r>
        <w:rPr>
          <w:rFonts w:hint="eastAsia" w:cs="宋体" w:asciiTheme="minorEastAsia" w:hAnsiTheme="minorEastAsia"/>
          <w:kern w:val="0"/>
          <w:szCs w:val="21"/>
        </w:rPr>
        <w:t>供应商</w:t>
      </w:r>
      <w:r>
        <w:rPr>
          <w:rFonts w:hint="eastAsia" w:cs="宋体" w:asciiTheme="minorEastAsia" w:hAnsiTheme="minorEastAsia"/>
          <w:kern w:val="0"/>
          <w:szCs w:val="21"/>
          <w:lang w:val="en-US" w:eastAsia="zh-CN"/>
        </w:rPr>
        <w:t>投标时</w:t>
      </w:r>
      <w:r>
        <w:rPr>
          <w:rFonts w:hint="eastAsia" w:cs="宋体" w:asciiTheme="minorEastAsia" w:hAnsiTheme="minorEastAsia"/>
          <w:kern w:val="0"/>
          <w:szCs w:val="21"/>
        </w:rPr>
        <w:t>须对此项做出响应</w:t>
      </w:r>
      <w:r>
        <w:rPr>
          <w:rFonts w:hint="eastAsia" w:cs="宋体" w:asciiTheme="minorEastAsia" w:hAnsiTheme="minorEastAsia"/>
          <w:kern w:val="0"/>
          <w:szCs w:val="21"/>
          <w:lang w:eastAsia="zh-CN"/>
        </w:rPr>
        <w:t>（</w:t>
      </w:r>
      <w:r>
        <w:rPr>
          <w:rFonts w:hint="eastAsia" w:cs="宋体" w:asciiTheme="minorEastAsia" w:hAnsiTheme="minorEastAsia"/>
          <w:kern w:val="0"/>
          <w:szCs w:val="21"/>
          <w:lang w:val="en-US" w:eastAsia="zh-CN"/>
        </w:rPr>
        <w:t>格式自拟</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否则有可能导致响应被拒绝，其风险由供应商自行承担。</w:t>
      </w:r>
    </w:p>
    <w:p w14:paraId="5F310C04">
      <w:pPr>
        <w:pStyle w:val="32"/>
      </w:pPr>
    </w:p>
    <w:p w14:paraId="0C0B187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14:paraId="3541DCC4">
      <w:pPr>
        <w:pStyle w:val="55"/>
        <w:autoSpaceDE w:val="0"/>
        <w:autoSpaceDN w:val="0"/>
        <w:spacing w:line="360" w:lineRule="auto"/>
        <w:ind w:left="964" w:firstLine="0" w:firstLineChars="0"/>
        <w:contextualSpacing/>
        <w:rPr>
          <w:rFonts w:cs="宋体" w:asciiTheme="minorEastAsia" w:hAnsiTheme="minorEastAsia"/>
          <w:kern w:val="0"/>
          <w:szCs w:val="21"/>
        </w:rPr>
      </w:pPr>
    </w:p>
    <w:p w14:paraId="3A553679">
      <w:pPr>
        <w:pStyle w:val="55"/>
        <w:numPr>
          <w:ilvl w:val="0"/>
          <w:numId w:val="6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履约保证金</w:t>
      </w:r>
    </w:p>
    <w:p w14:paraId="402E64A3">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2C295339">
      <w:pPr>
        <w:pStyle w:val="32"/>
      </w:pPr>
    </w:p>
    <w:p w14:paraId="4A2EB72F">
      <w:pPr>
        <w:pStyle w:val="55"/>
        <w:numPr>
          <w:ilvl w:val="0"/>
          <w:numId w:val="63"/>
        </w:numPr>
        <w:autoSpaceDE w:val="0"/>
        <w:autoSpaceDN w:val="0"/>
        <w:spacing w:line="360" w:lineRule="auto"/>
        <w:ind w:left="420" w:leftChars="0" w:hanging="420" w:firstLineChars="0"/>
        <w:contextualSpacing/>
        <w:outlineLvl w:val="2"/>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14:paraId="627D7670">
      <w:pPr>
        <w:pStyle w:val="55"/>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 xml:space="preserve">36.1  </w:t>
      </w:r>
      <w:r>
        <w:rPr>
          <w:rFonts w:hint="eastAsia" w:cs="宋体" w:asciiTheme="minorEastAsia" w:hAnsiTheme="minorEastAsia"/>
          <w:kern w:val="0"/>
          <w:szCs w:val="21"/>
        </w:rPr>
        <w:t>缓解中小企业融资难题</w:t>
      </w:r>
    </w:p>
    <w:p w14:paraId="09D16031">
      <w:pPr>
        <w:autoSpaceDE w:val="0"/>
        <w:autoSpaceDN w:val="0"/>
        <w:spacing w:line="360" w:lineRule="auto"/>
        <w:ind w:firstLine="420" w:firstLineChars="200"/>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650FC8EA">
      <w:pPr>
        <w:autoSpaceDE w:val="0"/>
        <w:autoSpaceDN w:val="0"/>
        <w:spacing w:line="360" w:lineRule="auto"/>
        <w:contextualSpacing/>
        <w:jc w:val="left"/>
        <w:outlineLvl w:val="3"/>
        <w:rPr>
          <w:rFonts w:cs="宋体" w:asciiTheme="minorEastAsia" w:hAnsiTheme="minorEastAsia"/>
          <w:color w:val="FF99FF"/>
          <w:kern w:val="0"/>
          <w:szCs w:val="21"/>
        </w:rPr>
      </w:pPr>
      <w:r>
        <w:rPr>
          <w:rFonts w:hint="eastAsia" w:cs="宋体" w:asciiTheme="minorEastAsia" w:hAnsiTheme="minorEastAsia"/>
          <w:kern w:val="0"/>
          <w:szCs w:val="21"/>
          <w:lang w:val="en-US" w:eastAsia="zh-CN"/>
        </w:rPr>
        <w:t>36</w:t>
      </w:r>
      <w:r>
        <w:rPr>
          <w:rFonts w:hint="eastAsia" w:cs="宋体" w:asciiTheme="minorEastAsia" w:hAnsiTheme="minorEastAsia"/>
          <w:kern w:val="0"/>
          <w:szCs w:val="21"/>
        </w:rPr>
        <w:t>.2  合作金融机构（排名不分先后）</w:t>
      </w:r>
    </w:p>
    <w:p w14:paraId="0F46DD35">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14:paraId="3F89C591">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14:paraId="3C65578F">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14:paraId="4048EEB9">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14:paraId="534EF1F0">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14:paraId="46028A36">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14:paraId="22A973C6">
      <w:pPr>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36.3</w:t>
      </w:r>
      <w:r>
        <w:rPr>
          <w:rFonts w:hint="eastAsia" w:cs="宋体" w:asciiTheme="minorEastAsia" w:hAnsiTheme="minorEastAsia"/>
          <w:kern w:val="0"/>
          <w:szCs w:val="21"/>
        </w:rPr>
        <w:t xml:space="preserve"> “政府采购合同融资金融产品推介名录”链接</w:t>
      </w:r>
    </w:p>
    <w:p w14:paraId="60A49531">
      <w:pPr>
        <w:autoSpaceDE w:val="0"/>
        <w:autoSpaceDN w:val="0"/>
        <w:spacing w:line="360" w:lineRule="auto"/>
        <w:ind w:left="964"/>
        <w:contextualSpacing/>
        <w:jc w:val="left"/>
        <w:rPr>
          <w:rFonts w:hint="eastAsia" w:cs="宋体" w:asciiTheme="minorEastAsia" w:hAnsiTheme="minorEastAsia"/>
          <w:color w:val="0000FF"/>
          <w:kern w:val="0"/>
          <w:szCs w:val="21"/>
          <w:u w:val="single"/>
        </w:rPr>
      </w:pPr>
      <w:r>
        <w:fldChar w:fldCharType="begin"/>
      </w:r>
      <w:r>
        <w:instrText xml:space="preserve"> HYPERLINK "http://xuchang.hngp.gov.cn/xuchang/content?infoId=1606365368231095&amp;channelCode=H711001" </w:instrText>
      </w:r>
      <w:r>
        <w:fldChar w:fldCharType="separate"/>
      </w:r>
      <w:r>
        <w:rPr>
          <w:rFonts w:hint="eastAsia" w:cs="宋体" w:asciiTheme="minorEastAsia" w:hAnsiTheme="minorEastAsia"/>
          <w:color w:val="0000FF"/>
          <w:kern w:val="0"/>
          <w:szCs w:val="21"/>
          <w:u w:val="single"/>
        </w:rPr>
        <w:t>http://xuchang.hngp.gov.cn/xuchang/content?infoId=1606365368231095&amp;channelCode=H711001</w:t>
      </w:r>
      <w:r>
        <w:rPr>
          <w:rFonts w:hint="eastAsia" w:cs="宋体" w:asciiTheme="minorEastAsia" w:hAnsiTheme="minorEastAsia"/>
          <w:color w:val="0000FF"/>
          <w:kern w:val="0"/>
          <w:szCs w:val="21"/>
          <w:u w:val="single"/>
        </w:rPr>
        <w:fldChar w:fldCharType="end"/>
      </w:r>
    </w:p>
    <w:p w14:paraId="49C27F38">
      <w:pPr>
        <w:autoSpaceDE w:val="0"/>
        <w:autoSpaceDN w:val="0"/>
        <w:spacing w:line="360" w:lineRule="auto"/>
        <w:ind w:left="964"/>
        <w:contextualSpacing/>
        <w:jc w:val="left"/>
        <w:rPr>
          <w:rFonts w:hint="eastAsia" w:cs="宋体" w:asciiTheme="minorEastAsia" w:hAnsiTheme="minorEastAsia"/>
          <w:color w:val="0000FF"/>
          <w:kern w:val="0"/>
          <w:szCs w:val="21"/>
          <w:u w:val="single"/>
        </w:rPr>
      </w:pPr>
    </w:p>
    <w:p w14:paraId="41E28D20">
      <w:pPr>
        <w:numPr>
          <w:ilvl w:val="0"/>
          <w:numId w:val="63"/>
        </w:numPr>
        <w:autoSpaceDE w:val="0"/>
        <w:autoSpaceDN w:val="0"/>
        <w:spacing w:line="360" w:lineRule="auto"/>
        <w:ind w:left="420" w:leftChars="0" w:hanging="420"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“采小帮”政府采购服务体系</w:t>
      </w:r>
    </w:p>
    <w:p w14:paraId="1B4E8D0A">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为持续优化我市政府采购营商环境,</w:t>
      </w:r>
      <w:r>
        <w:rPr>
          <w:rFonts w:hint="eastAsia"/>
        </w:rPr>
        <w:t xml:space="preserve"> </w:t>
      </w:r>
      <w:r>
        <w:rPr>
          <w:rFonts w:hint="eastAsia"/>
          <w:lang w:val="en-US" w:eastAsia="zh-CN"/>
        </w:rPr>
        <w:t>禹州</w:t>
      </w:r>
      <w:r>
        <w:rPr>
          <w:rFonts w:hint="eastAsia" w:cs="宋体" w:asciiTheme="minorEastAsia" w:hAnsiTheme="minorEastAsia"/>
          <w:kern w:val="0"/>
          <w:szCs w:val="21"/>
        </w:rPr>
        <w:t>市财政局政府采购监督管理办公室人员、</w:t>
      </w:r>
      <w:r>
        <w:rPr>
          <w:rFonts w:hint="eastAsia" w:cs="宋体" w:asciiTheme="minorEastAsia" w:hAnsiTheme="minorEastAsia"/>
          <w:kern w:val="0"/>
          <w:szCs w:val="21"/>
          <w:lang w:val="en-US" w:eastAsia="zh-CN"/>
        </w:rPr>
        <w:t>禹州市</w:t>
      </w:r>
      <w:r>
        <w:rPr>
          <w:rFonts w:hint="eastAsia" w:cs="宋体" w:asciiTheme="minorEastAsia" w:hAnsiTheme="minorEastAsia"/>
          <w:kern w:val="0"/>
          <w:szCs w:val="21"/>
        </w:rPr>
        <w:t>政府采购中心人员组成“采小帮”服务团队，提供政府采购政策咨询服务，以及项目实施全程跟踪提醒、监督预警服务。</w:t>
      </w:r>
    </w:p>
    <w:p w14:paraId="7987DB22">
      <w:pPr>
        <w:numPr>
          <w:ilvl w:val="0"/>
          <w:numId w:val="68"/>
        </w:numPr>
        <w:wordWrap w:val="0"/>
        <w:topLinePunct/>
        <w:autoSpaceDE w:val="0"/>
        <w:autoSpaceDN w:val="0"/>
        <w:adjustRightInd w:val="0"/>
        <w:spacing w:line="360" w:lineRule="auto"/>
        <w:contextualSpacing/>
        <w:rPr>
          <w:rFonts w:cs="宋体" w:asciiTheme="minorEastAsia" w:hAnsiTheme="minorEastAsia"/>
          <w:vanish/>
          <w:kern w:val="0"/>
          <w:szCs w:val="21"/>
        </w:rPr>
      </w:pPr>
    </w:p>
    <w:p w14:paraId="6C26F996">
      <w:pPr>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37.1 </w:t>
      </w:r>
      <w:r>
        <w:rPr>
          <w:rFonts w:hint="eastAsia" w:cs="宋体" w:asciiTheme="minorEastAsia" w:hAnsiTheme="minorEastAsia"/>
          <w:kern w:val="0"/>
          <w:szCs w:val="21"/>
        </w:rPr>
        <w:t xml:space="preserve"> “采小帮”服务团队依据职责分工，向供应商提供个性化、精准化服务，包括政策咨询、   政策宣传、采购辅导、节点提醒、风险提示、问题反馈等。</w:t>
      </w:r>
    </w:p>
    <w:p w14:paraId="6F463F1D">
      <w:pPr>
        <w:numPr>
          <w:ilvl w:val="0"/>
          <w:numId w:val="0"/>
        </w:numPr>
        <w:wordWrap w:val="0"/>
        <w:topLinePunct/>
        <w:autoSpaceDE w:val="0"/>
        <w:autoSpaceDN w:val="0"/>
        <w:adjustRightInd w:val="0"/>
        <w:spacing w:line="360" w:lineRule="auto"/>
        <w:contextualSpacing/>
        <w:rPr>
          <w:rFonts w:hint="eastAsia" w:cs="宋体" w:asciiTheme="minorEastAsia" w:hAnsiTheme="minorEastAsia"/>
          <w:kern w:val="0"/>
          <w:szCs w:val="21"/>
          <w:lang w:val="en-US" w:eastAsia="zh-CN"/>
        </w:rPr>
      </w:pPr>
    </w:p>
    <w:p w14:paraId="0B18C3AD">
      <w:pPr>
        <w:numPr>
          <w:ilvl w:val="0"/>
          <w:numId w:val="0"/>
        </w:num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37.2 </w:t>
      </w:r>
      <w:r>
        <w:rPr>
          <w:rFonts w:hint="eastAsia" w:cs="宋体" w:asciiTheme="minorEastAsia" w:hAnsiTheme="minorEastAsia"/>
          <w:kern w:val="0"/>
          <w:szCs w:val="21"/>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14:paraId="6EFE0AD3">
      <w:pPr>
        <w:numPr>
          <w:ilvl w:val="0"/>
          <w:numId w:val="0"/>
        </w:numPr>
        <w:wordWrap w:val="0"/>
        <w:topLinePunct/>
        <w:autoSpaceDE w:val="0"/>
        <w:autoSpaceDN w:val="0"/>
        <w:adjustRightInd w:val="0"/>
        <w:spacing w:line="360" w:lineRule="auto"/>
        <w:ind w:leftChars="-472" w:firstLine="1050" w:firstLineChars="5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37.3 </w:t>
      </w:r>
      <w:r>
        <w:rPr>
          <w:rFonts w:hint="eastAsia" w:cs="宋体" w:asciiTheme="minorEastAsia" w:hAnsiTheme="minorEastAsia"/>
          <w:kern w:val="0"/>
          <w:szCs w:val="21"/>
        </w:rPr>
        <w:t>助手团队</w:t>
      </w:r>
    </w:p>
    <w:tbl>
      <w:tblPr>
        <w:tblStyle w:val="27"/>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14:paraId="63B8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14:paraId="6C0BC69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w:t>
            </w:r>
          </w:p>
        </w:tc>
        <w:tc>
          <w:tcPr>
            <w:tcW w:w="1544" w:type="dxa"/>
            <w:noWrap w:val="0"/>
            <w:vAlign w:val="top"/>
          </w:tcPr>
          <w:p w14:paraId="2DA438EB">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136" w:type="dxa"/>
            <w:noWrap w:val="0"/>
            <w:vAlign w:val="top"/>
          </w:tcPr>
          <w:p w14:paraId="123C138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3031" w:type="dxa"/>
            <w:noWrap w:val="0"/>
            <w:vAlign w:val="top"/>
          </w:tcPr>
          <w:p w14:paraId="607C93E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服务领域</w:t>
            </w:r>
          </w:p>
        </w:tc>
      </w:tr>
      <w:tr w14:paraId="3813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14:paraId="5A56554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w:t>
            </w:r>
            <w:r>
              <w:rPr>
                <w:rFonts w:hint="eastAsia" w:asciiTheme="minorEastAsia" w:hAnsiTheme="minorEastAsia" w:cstheme="minorEastAsia"/>
                <w:sz w:val="21"/>
                <w:szCs w:val="21"/>
                <w:lang w:val="en-US" w:eastAsia="zh-CN"/>
              </w:rPr>
              <w:t>州</w:t>
            </w:r>
            <w:r>
              <w:rPr>
                <w:rFonts w:hint="eastAsia" w:asciiTheme="minorEastAsia" w:hAnsiTheme="minorEastAsia" w:eastAsiaTheme="minorEastAsia" w:cstheme="minorEastAsia"/>
                <w:sz w:val="21"/>
                <w:szCs w:val="21"/>
              </w:rPr>
              <w:t>市政府采购监督管理办公室</w:t>
            </w:r>
          </w:p>
        </w:tc>
        <w:tc>
          <w:tcPr>
            <w:tcW w:w="1544" w:type="dxa"/>
            <w:noWrap w:val="0"/>
            <w:vAlign w:val="top"/>
          </w:tcPr>
          <w:p w14:paraId="151A3C25">
            <w:pPr>
              <w:spacing w:line="360" w:lineRule="auto"/>
              <w:jc w:val="center"/>
              <w:rPr>
                <w:rFonts w:hint="eastAsia" w:asciiTheme="minorEastAsia" w:hAnsiTheme="minorEastAsia" w:eastAsiaTheme="minorEastAsia" w:cstheme="minorEastAsia"/>
                <w:sz w:val="21"/>
                <w:szCs w:val="21"/>
                <w:lang w:eastAsia="zh-CN"/>
              </w:rPr>
            </w:pPr>
          </w:p>
          <w:p w14:paraId="30B93435">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乔娜</w:t>
            </w:r>
          </w:p>
          <w:p w14:paraId="7DE43134">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赵纪伟</w:t>
            </w:r>
          </w:p>
          <w:p w14:paraId="1074694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邢琳琳</w:t>
            </w:r>
          </w:p>
        </w:tc>
        <w:tc>
          <w:tcPr>
            <w:tcW w:w="2136" w:type="dxa"/>
            <w:noWrap w:val="0"/>
            <w:vAlign w:val="center"/>
          </w:tcPr>
          <w:p w14:paraId="08822E01">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0374-</w:t>
            </w:r>
            <w:r>
              <w:rPr>
                <w:rFonts w:hint="eastAsia" w:asciiTheme="minorEastAsia" w:hAnsiTheme="minorEastAsia" w:eastAsiaTheme="minorEastAsia" w:cstheme="minorEastAsia"/>
                <w:sz w:val="21"/>
                <w:szCs w:val="21"/>
                <w:lang w:val="en-US" w:eastAsia="zh-CN"/>
              </w:rPr>
              <w:t>8112523</w:t>
            </w:r>
          </w:p>
        </w:tc>
        <w:tc>
          <w:tcPr>
            <w:tcW w:w="3031" w:type="dxa"/>
            <w:noWrap w:val="0"/>
            <w:vAlign w:val="center"/>
          </w:tcPr>
          <w:p w14:paraId="127937B4">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政府采购政策制度、支持中小企业发展、政府采购信息系统、</w:t>
            </w:r>
            <w:r>
              <w:rPr>
                <w:rFonts w:hint="eastAsia" w:asciiTheme="minorEastAsia" w:hAnsiTheme="minorEastAsia" w:eastAsiaTheme="minorEastAsia" w:cstheme="minorEastAsia"/>
                <w:sz w:val="21"/>
                <w:szCs w:val="21"/>
                <w:lang w:eastAsia="zh-CN"/>
              </w:rPr>
              <w:t>合同备案管理、</w:t>
            </w:r>
            <w:r>
              <w:rPr>
                <w:rFonts w:hint="eastAsia" w:asciiTheme="minorEastAsia" w:hAnsiTheme="minorEastAsia" w:eastAsiaTheme="minorEastAsia" w:cstheme="minorEastAsia"/>
                <w:sz w:val="21"/>
                <w:szCs w:val="21"/>
              </w:rPr>
              <w:t>供应商监管、网上商城管理、832平台</w:t>
            </w:r>
            <w:r>
              <w:rPr>
                <w:rFonts w:hint="eastAsia" w:asciiTheme="minorEastAsia" w:hAnsiTheme="minorEastAsia" w:eastAsiaTheme="minorEastAsia" w:cstheme="minorEastAsia"/>
                <w:sz w:val="21"/>
                <w:szCs w:val="21"/>
                <w:lang w:eastAsia="zh-CN"/>
              </w:rPr>
              <w:t>管理、质</w:t>
            </w:r>
            <w:r>
              <w:rPr>
                <w:rFonts w:hint="eastAsia" w:asciiTheme="minorEastAsia" w:hAnsiTheme="minorEastAsia" w:eastAsiaTheme="minorEastAsia" w:cstheme="minorEastAsia"/>
                <w:sz w:val="21"/>
                <w:szCs w:val="21"/>
              </w:rPr>
              <w:t>疑投诉处理</w:t>
            </w:r>
          </w:p>
        </w:tc>
      </w:tr>
      <w:tr w14:paraId="63DA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14:paraId="35B1348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w:t>
            </w:r>
            <w:r>
              <w:rPr>
                <w:rFonts w:hint="eastAsia" w:asciiTheme="minorEastAsia" w:hAnsiTheme="minorEastAsia" w:eastAsiaTheme="minorEastAsia" w:cstheme="minorEastAsia"/>
                <w:sz w:val="21"/>
                <w:szCs w:val="21"/>
              </w:rPr>
              <w:t>市政府采购中心</w:t>
            </w:r>
          </w:p>
        </w:tc>
        <w:tc>
          <w:tcPr>
            <w:tcW w:w="1544" w:type="dxa"/>
            <w:noWrap w:val="0"/>
            <w:vAlign w:val="center"/>
          </w:tcPr>
          <w:p w14:paraId="1BC90458">
            <w:pPr>
              <w:spacing w:line="360" w:lineRule="auto"/>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李朝峰</w:t>
            </w:r>
          </w:p>
          <w:p w14:paraId="309B755F">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方诗涵</w:t>
            </w:r>
          </w:p>
          <w:p w14:paraId="635F6FFB">
            <w:pPr>
              <w:spacing w:line="36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朱俊铭</w:t>
            </w:r>
          </w:p>
        </w:tc>
        <w:tc>
          <w:tcPr>
            <w:tcW w:w="2136" w:type="dxa"/>
            <w:noWrap w:val="0"/>
            <w:vAlign w:val="center"/>
          </w:tcPr>
          <w:p w14:paraId="3F074F6F">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0374-2077111</w:t>
            </w:r>
          </w:p>
        </w:tc>
        <w:tc>
          <w:tcPr>
            <w:tcW w:w="3031" w:type="dxa"/>
            <w:noWrap w:val="0"/>
            <w:vAlign w:val="center"/>
          </w:tcPr>
          <w:p w14:paraId="78A60369">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文件编制、核验，信息（公告、文件）发布，确认场地时间，集采项目答疑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交易数据统计。</w:t>
            </w:r>
          </w:p>
        </w:tc>
      </w:tr>
    </w:tbl>
    <w:p w14:paraId="06343A56">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     </w:t>
      </w:r>
    </w:p>
    <w:p w14:paraId="64E210A9">
      <w:pPr>
        <w:numPr>
          <w:ilvl w:val="0"/>
          <w:numId w:val="0"/>
        </w:numPr>
        <w:wordWrap w:val="0"/>
        <w:topLinePunct/>
        <w:autoSpaceDE w:val="0"/>
        <w:autoSpaceDN w:val="0"/>
        <w:adjustRightInd w:val="0"/>
        <w:spacing w:line="360" w:lineRule="auto"/>
        <w:ind w:left="210" w:leftChars="0" w:firstLine="210" w:firstLineChars="1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37.4  </w:t>
      </w:r>
      <w:r>
        <w:rPr>
          <w:rFonts w:hint="eastAsia" w:cs="宋体" w:asciiTheme="minorEastAsia" w:hAnsiTheme="minorEastAsia"/>
          <w:kern w:val="0"/>
          <w:szCs w:val="21"/>
        </w:rPr>
        <w:t xml:space="preserve">咨询途径： </w:t>
      </w:r>
    </w:p>
    <w:p w14:paraId="0F89F0DE">
      <w:pPr>
        <w:autoSpaceDE w:val="0"/>
        <w:autoSpaceDN w:val="0"/>
        <w:spacing w:line="360" w:lineRule="auto"/>
        <w:ind w:left="964" w:firstLine="27" w:firstLineChars="13"/>
        <w:contextualSpacing/>
        <w:jc w:val="left"/>
        <w:rPr>
          <w:rFonts w:cs="宋体" w:asciiTheme="minorEastAsia" w:hAnsiTheme="minorEastAsia"/>
          <w:kern w:val="0"/>
          <w:szCs w:val="21"/>
        </w:rPr>
      </w:pPr>
      <w:r>
        <w:rPr>
          <w:rFonts w:hint="eastAsia" w:cs="宋体" w:asciiTheme="minorEastAsia" w:hAnsiTheme="minorEastAsia"/>
          <w:kern w:val="0"/>
          <w:szCs w:val="21"/>
        </w:rPr>
        <w:t>（1）电话咨询：采购人、供应商对照助手团队人员，通过电话方式直接咨询。</w:t>
      </w:r>
    </w:p>
    <w:p w14:paraId="63909E71">
      <w:pPr>
        <w:autoSpaceDE w:val="0"/>
        <w:autoSpaceDN w:val="0"/>
        <w:spacing w:line="360" w:lineRule="auto"/>
        <w:ind w:left="993"/>
        <w:contextualSpacing/>
        <w:jc w:val="left"/>
        <w:outlineLvl w:val="3"/>
        <w:rPr>
          <w:rFonts w:cs="宋体" w:asciiTheme="minorEastAsia" w:hAnsiTheme="minorEastAsia"/>
          <w:kern w:val="0"/>
          <w:szCs w:val="21"/>
        </w:rPr>
      </w:pPr>
      <w:r>
        <w:rPr>
          <w:rFonts w:hint="eastAsia" w:cs="宋体" w:asciiTheme="minorEastAsia" w:hAnsiTheme="minorEastAsia"/>
          <w:kern w:val="0"/>
          <w:szCs w:val="21"/>
        </w:rPr>
        <w:t>（2）邮箱咨询：</w:t>
      </w:r>
    </w:p>
    <w:p w14:paraId="2CC5C9D4">
      <w:pPr>
        <w:wordWrap w:val="0"/>
        <w:autoSpaceDE w:val="0"/>
        <w:autoSpaceDN w:val="0"/>
        <w:spacing w:line="360" w:lineRule="auto"/>
        <w:ind w:left="1418"/>
        <w:contextualSpacing/>
        <w:jc w:val="left"/>
        <w:rPr>
          <w:rFonts w:cs="宋体" w:asciiTheme="minorEastAsia" w:hAnsiTheme="minorEastAsia"/>
          <w:kern w:val="0"/>
          <w:szCs w:val="21"/>
        </w:rPr>
      </w:pPr>
      <w:r>
        <w:rPr>
          <w:rFonts w:hint="eastAsia" w:cs="宋体" w:asciiTheme="minorEastAsia" w:hAnsiTheme="minorEastAsia"/>
          <w:kern w:val="0"/>
          <w:szCs w:val="21"/>
        </w:rPr>
        <w:t>①发送电子邮件至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市政府采购监督管理办公室咨询邮箱，邮箱地址：</w:t>
      </w:r>
      <w:r>
        <w:fldChar w:fldCharType="begin"/>
      </w:r>
      <w:r>
        <w:instrText xml:space="preserve"> HYPERLINK "mailto:xcscgb@126.com" </w:instrText>
      </w:r>
      <w:r>
        <w:fldChar w:fldCharType="separate"/>
      </w:r>
      <w:r>
        <w:rPr>
          <w:rFonts w:hint="eastAsia" w:cs="宋体" w:asciiTheme="minorEastAsia" w:hAnsiTheme="minorEastAsia"/>
          <w:color w:val="0000FF"/>
          <w:kern w:val="0"/>
          <w:szCs w:val="21"/>
          <w:u w:val="single"/>
          <w:lang w:val="en-US" w:eastAsia="zh-CN"/>
        </w:rPr>
        <w:t>yzscgb2523</w:t>
      </w:r>
      <w:r>
        <w:rPr>
          <w:rFonts w:hint="eastAsia" w:cs="宋体" w:asciiTheme="minorEastAsia" w:hAnsiTheme="minorEastAsia"/>
          <w:color w:val="0000FF"/>
          <w:kern w:val="0"/>
          <w:szCs w:val="21"/>
          <w:u w:val="single"/>
        </w:rPr>
        <w:t>@</w:t>
      </w:r>
      <w:r>
        <w:rPr>
          <w:rFonts w:hint="eastAsia" w:cs="宋体" w:asciiTheme="minorEastAsia" w:hAnsiTheme="minorEastAsia"/>
          <w:color w:val="0000FF"/>
          <w:kern w:val="0"/>
          <w:szCs w:val="21"/>
          <w:u w:val="single"/>
          <w:lang w:val="en-US" w:eastAsia="zh-CN"/>
        </w:rPr>
        <w:t>163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kern w:val="0"/>
          <w:szCs w:val="21"/>
        </w:rPr>
        <w:t>；</w:t>
      </w:r>
    </w:p>
    <w:p w14:paraId="0424B501">
      <w:pPr>
        <w:autoSpaceDE w:val="0"/>
        <w:autoSpaceDN w:val="0"/>
        <w:spacing w:line="360" w:lineRule="auto"/>
        <w:ind w:left="964" w:firstLine="453" w:firstLineChars="216"/>
        <w:contextualSpacing/>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②发送电子邮件至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市政府采购中心咨询邮箱，邮箱地址：</w:t>
      </w:r>
      <w:r>
        <w:fldChar w:fldCharType="begin"/>
      </w:r>
      <w:r>
        <w:instrText xml:space="preserve"> HYPERLINK "mailto:xcszfcgzx@126.com" </w:instrText>
      </w:r>
      <w:r>
        <w:fldChar w:fldCharType="separate"/>
      </w:r>
      <w:r>
        <w:rPr>
          <w:rFonts w:hint="eastAsia"/>
          <w:lang w:val="en-US" w:eastAsia="zh-CN"/>
        </w:rPr>
        <w:t>ztbjyglzx</w:t>
      </w:r>
      <w:r>
        <w:rPr>
          <w:rFonts w:hint="eastAsia" w:cs="宋体" w:asciiTheme="minorEastAsia" w:hAnsiTheme="minorEastAsia"/>
          <w:color w:val="0000FF"/>
          <w:kern w:val="0"/>
          <w:szCs w:val="21"/>
          <w:u w:val="single"/>
        </w:rPr>
        <w:t>@1</w:t>
      </w:r>
      <w:r>
        <w:rPr>
          <w:rFonts w:hint="eastAsia" w:cs="宋体" w:asciiTheme="minorEastAsia" w:hAnsiTheme="minorEastAsia"/>
          <w:color w:val="0000FF"/>
          <w:kern w:val="0"/>
          <w:szCs w:val="21"/>
          <w:u w:val="single"/>
          <w:lang w:val="en-US" w:eastAsia="zh-CN"/>
        </w:rPr>
        <w:t>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color w:val="0000FF"/>
          <w:kern w:val="0"/>
          <w:szCs w:val="21"/>
          <w:u w:val="single"/>
          <w:lang w:val="en-US" w:eastAsia="zh-CN"/>
        </w:rPr>
        <w:t>.</w:t>
      </w:r>
    </w:p>
    <w:p w14:paraId="4A67DB9D">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638DCA5A">
      <w:pPr>
        <w:autoSpaceDE w:val="0"/>
        <w:autoSpaceDN w:val="0"/>
        <w:spacing w:line="360" w:lineRule="auto"/>
        <w:contextualSpacing/>
        <w:jc w:val="left"/>
        <w:rPr>
          <w:rFonts w:cs="宋体" w:asciiTheme="majorEastAsia" w:hAnsiTheme="majorEastAsia" w:eastAsiaTheme="majorEastAsia"/>
          <w:b/>
          <w:kern w:val="0"/>
          <w:sz w:val="32"/>
          <w:szCs w:val="32"/>
        </w:rPr>
      </w:pPr>
    </w:p>
    <w:p w14:paraId="376ECFFF">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3CF966BA">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03CF21A7">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2EFCABD7">
      <w:pPr>
        <w:pStyle w:val="32"/>
        <w:ind w:left="0" w:leftChars="0" w:firstLine="0" w:firstLineChars="0"/>
        <w:rPr>
          <w:rFonts w:ascii="宋体" w:hAnsi="宋体" w:eastAsia="宋体" w:cs="宋体"/>
          <w:sz w:val="24"/>
          <w:szCs w:val="24"/>
        </w:rPr>
      </w:pPr>
    </w:p>
    <w:p w14:paraId="342445F6">
      <w:pPr>
        <w:pStyle w:val="8"/>
      </w:pPr>
    </w:p>
    <w:p w14:paraId="071295F6">
      <w:pPr>
        <w:autoSpaceDE w:val="0"/>
        <w:autoSpaceDN w:val="0"/>
        <w:spacing w:line="360" w:lineRule="auto"/>
        <w:contextualSpacing/>
        <w:jc w:val="both"/>
        <w:rPr>
          <w:rFonts w:hint="eastAsia" w:cs="宋体" w:asciiTheme="majorEastAsia" w:hAnsiTheme="majorEastAsia" w:eastAsiaTheme="majorEastAsia"/>
          <w:b/>
          <w:kern w:val="0"/>
          <w:sz w:val="32"/>
          <w:szCs w:val="32"/>
        </w:rPr>
      </w:pPr>
    </w:p>
    <w:p w14:paraId="1E876519">
      <w:pPr>
        <w:autoSpaceDE w:val="0"/>
        <w:autoSpaceDN w:val="0"/>
        <w:spacing w:line="360" w:lineRule="auto"/>
        <w:ind w:left="964"/>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14:paraId="67742B8B">
      <w:pPr>
        <w:jc w:val="center"/>
        <w:rPr>
          <w:rFonts w:cs="宋体" w:asciiTheme="majorEastAsia" w:hAnsiTheme="majorEastAsia" w:eastAsiaTheme="majorEastAsia"/>
          <w:b/>
          <w:kern w:val="0"/>
          <w:sz w:val="36"/>
          <w:szCs w:val="36"/>
        </w:rPr>
      </w:pPr>
    </w:p>
    <w:p w14:paraId="4476E40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1759039A">
      <w:pPr>
        <w:pStyle w:val="15"/>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14:paraId="07BF1728">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74DDBD5B">
      <w:pPr>
        <w:pStyle w:val="15"/>
        <w:spacing w:line="360" w:lineRule="auto"/>
        <w:ind w:firstLine="422" w:firstLineChars="200"/>
        <w:contextualSpacing/>
        <w:outlineLvl w:val="1"/>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14:paraId="0BE01F56">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14:paraId="1967FD23">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461FCFB6">
      <w:pPr>
        <w:spacing w:line="360" w:lineRule="auto"/>
        <w:ind w:firstLine="420" w:firstLineChars="200"/>
        <w:jc w:val="left"/>
        <w:rPr>
          <w:rFonts w:ascii="宋体" w:hAnsi="宋体"/>
          <w:szCs w:val="21"/>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r>
        <w:rPr>
          <w:rFonts w:hint="eastAsia" w:ascii="ˎ̥" w:hAnsi="ˎ̥" w:eastAsia="宋体"/>
          <w:szCs w:val="21"/>
        </w:rPr>
        <w:t>对小型和微型企业报价</w:t>
      </w:r>
      <w:r>
        <w:rPr>
          <w:rFonts w:hint="eastAsia" w:ascii="宋体" w:hAnsi="宋体"/>
          <w:szCs w:val="21"/>
        </w:rPr>
        <w:t>扣除</w:t>
      </w:r>
      <w:r>
        <w:rPr>
          <w:rFonts w:hint="eastAsia" w:ascii="ˎ̥" w:hAnsi="ˎ̥" w:eastAsia="宋体"/>
          <w:color w:val="FF0000"/>
          <w:szCs w:val="21"/>
        </w:rPr>
        <w:t>20</w:t>
      </w:r>
      <w:r>
        <w:rPr>
          <w:rFonts w:hint="eastAsia" w:ascii="宋体" w:hAnsi="宋体"/>
          <w:szCs w:val="21"/>
        </w:rPr>
        <w:t>%。</w:t>
      </w:r>
    </w:p>
    <w:p w14:paraId="4D691172">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14:paraId="4F4BF875">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14:paraId="74EBD185">
      <w:pPr>
        <w:topLinePunct/>
        <w:spacing w:line="360" w:lineRule="auto"/>
        <w:ind w:firstLine="422" w:firstLineChars="200"/>
        <w:contextualSpacing/>
        <w:outlineLvl w:val="1"/>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14:paraId="0AD80AFE">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w:t>
      </w:r>
      <w:r>
        <w:rPr>
          <w:rFonts w:hint="eastAsia" w:ascii="宋体" w:hAnsi="宋体"/>
          <w:szCs w:val="21"/>
          <w:lang w:val="en-GB"/>
        </w:rPr>
        <w:t>对监狱企业产品价格扣除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用扣除后的价格参与评审。监狱企业应当提供由省级以上监狱管理局、戒毒管理局（含新疆生产建设兵团）出具的属于监狱企业的证明文件。</w:t>
      </w:r>
    </w:p>
    <w:p w14:paraId="620BD3DA">
      <w:pPr>
        <w:spacing w:line="360" w:lineRule="auto"/>
        <w:ind w:firstLine="422" w:firstLineChars="200"/>
        <w:contextualSpacing/>
        <w:outlineLvl w:val="1"/>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14:paraId="71F8DD53">
      <w:pPr>
        <w:spacing w:line="360" w:lineRule="auto"/>
        <w:ind w:firstLine="420" w:firstLineChars="200"/>
        <w:rPr>
          <w:rFonts w:ascii="宋体" w:hAnsi="宋体"/>
          <w:szCs w:val="21"/>
          <w:lang w:val="en-GB"/>
        </w:rPr>
      </w:pPr>
      <w:r>
        <w:rPr>
          <w:rFonts w:hint="eastAsia" w:cs="仿宋_GB2312" w:asciiTheme="minorEastAsia" w:hAnsi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hint="eastAsia" w:ascii="宋体" w:hAnsi="宋体"/>
          <w:szCs w:val="21"/>
          <w:lang w:val="en-GB"/>
        </w:rPr>
        <w:t>对残疾人福利性单位产品价格扣除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w:t>
      </w:r>
      <w:r>
        <w:rPr>
          <w:rFonts w:hint="eastAsia" w:asciiTheme="minorEastAsia" w:hAnsiTheme="minorEastAsia"/>
          <w:szCs w:val="21"/>
        </w:rPr>
        <w:t>残疾人福利性单位属于小型、微型企业的，不重复享受政策。</w:t>
      </w:r>
    </w:p>
    <w:p w14:paraId="0F19C128">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3DDD7EC5">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14:paraId="05F24EC7">
      <w:pPr>
        <w:topLinePunct/>
        <w:spacing w:line="360" w:lineRule="auto"/>
        <w:ind w:firstLine="420" w:firstLineChars="200"/>
        <w:contextualSpacing/>
        <w:rPr>
          <w:rFonts w:cs="仿宋_GB2312" w:asciiTheme="minorEastAsia" w:hAnsiTheme="minorEastAsia"/>
          <w:szCs w:val="21"/>
          <w:lang w:val="zh-CN"/>
        </w:rPr>
      </w:pPr>
    </w:p>
    <w:p w14:paraId="7AE9AA2F">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5B57F372">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D154B24">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3F8E988D">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C62C4BE">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14:paraId="3A3537E3">
      <w:pPr>
        <w:pStyle w:val="15"/>
        <w:spacing w:line="360" w:lineRule="auto"/>
        <w:contextualSpacing/>
        <w:rPr>
          <w:rFonts w:cs="仿宋_GB2312" w:asciiTheme="minorEastAsia" w:hAnsiTheme="minorEastAsia"/>
          <w:lang w:val="zh-CN"/>
        </w:rPr>
      </w:pPr>
    </w:p>
    <w:p w14:paraId="48F134FB">
      <w:pPr>
        <w:pStyle w:val="15"/>
        <w:spacing w:line="360" w:lineRule="auto"/>
        <w:contextualSpacing/>
        <w:outlineLvl w:val="1"/>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14:paraId="34F2F567">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349FED31">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14:paraId="4FBB05D0">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30BE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49FC890">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14:paraId="57F047D1">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14:paraId="05ED45DC">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14:paraId="500E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5427D15">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14:paraId="6C9F89EB">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14:paraId="0334F8FA">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14:paraId="524B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7C87AB1">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14:paraId="7B8B1B6F">
            <w:pPr>
              <w:spacing w:line="360" w:lineRule="auto"/>
              <w:jc w:val="center"/>
              <w:rPr>
                <w:rFonts w:hint="eastAsia" w:asciiTheme="minorEastAsia" w:hAnsiTheme="minorEastAsia"/>
                <w:b/>
                <w:szCs w:val="21"/>
              </w:rPr>
            </w:pPr>
            <w:r>
              <w:rPr>
                <w:rFonts w:hint="eastAsia" w:asciiTheme="minorEastAsia" w:hAnsiTheme="minorEastAsia"/>
                <w:b/>
                <w:szCs w:val="21"/>
              </w:rPr>
              <w:t>禹州市政府采购</w:t>
            </w:r>
          </w:p>
          <w:p w14:paraId="5473FF4E">
            <w:pPr>
              <w:spacing w:line="360" w:lineRule="auto"/>
              <w:jc w:val="center"/>
              <w:rPr>
                <w:rFonts w:hint="eastAsia" w:ascii="宋体" w:hAnsi="宋体" w:cs="微软雅黑"/>
                <w:bCs/>
                <w:szCs w:val="21"/>
              </w:rPr>
            </w:pPr>
            <w:r>
              <w:rPr>
                <w:rFonts w:hint="eastAsia" w:asciiTheme="minorEastAsia" w:hAnsiTheme="minorEastAsia"/>
                <w:b/>
                <w:szCs w:val="21"/>
              </w:rPr>
              <w:t>供应商信用承诺函</w:t>
            </w:r>
          </w:p>
        </w:tc>
        <w:tc>
          <w:tcPr>
            <w:tcW w:w="5954" w:type="dxa"/>
            <w:vAlign w:val="center"/>
          </w:tcPr>
          <w:p w14:paraId="1090FB2A">
            <w:pPr>
              <w:spacing w:line="360" w:lineRule="auto"/>
              <w:rPr>
                <w:rFonts w:hint="eastAsia" w:ascii="宋体" w:hAnsi="宋体" w:cs="微软雅黑"/>
                <w:bCs/>
                <w:szCs w:val="21"/>
              </w:rPr>
            </w:pPr>
            <w:r>
              <w:rPr>
                <w:rFonts w:hint="eastAsia" w:ascii="宋体" w:hAnsi="宋体" w:cs="微软雅黑"/>
                <w:bCs/>
                <w:szCs w:val="21"/>
              </w:rPr>
              <w:t>按照谈判文件第八章3.5格式填写</w:t>
            </w:r>
          </w:p>
        </w:tc>
      </w:tr>
      <w:tr w14:paraId="00AF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5BA3CB5">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14:paraId="131FE9C8">
            <w:pPr>
              <w:spacing w:line="360" w:lineRule="auto"/>
              <w:ind w:firstLine="422" w:firstLineChars="200"/>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14:paraId="3E2863D9">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14:paraId="6DFC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700E532">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14:paraId="5424DEE2">
            <w:pPr>
              <w:spacing w:line="360" w:lineRule="auto"/>
              <w:ind w:firstLine="422" w:firstLineChars="200"/>
              <w:rPr>
                <w:rFonts w:asciiTheme="minorEastAsia" w:hAnsiTheme="minorEastAsia"/>
                <w:szCs w:val="21"/>
              </w:rPr>
            </w:pPr>
            <w:r>
              <w:rPr>
                <w:rFonts w:hint="eastAsia" w:asciiTheme="minorEastAsia" w:hAnsiTheme="minorEastAsia"/>
                <w:b/>
                <w:szCs w:val="21"/>
              </w:rPr>
              <w:t>谈判承诺函</w:t>
            </w:r>
          </w:p>
        </w:tc>
        <w:tc>
          <w:tcPr>
            <w:tcW w:w="5954" w:type="dxa"/>
            <w:vAlign w:val="center"/>
          </w:tcPr>
          <w:p w14:paraId="0EA3A919">
            <w:pPr>
              <w:spacing w:line="360" w:lineRule="auto"/>
              <w:rPr>
                <w:rFonts w:asciiTheme="minorEastAsia" w:hAnsiTheme="minorEastAsia"/>
                <w:b/>
                <w:szCs w:val="21"/>
              </w:rPr>
            </w:pPr>
            <w:r>
              <w:rPr>
                <w:rFonts w:hint="eastAsia" w:asciiTheme="minorEastAsia" w:hAnsiTheme="minorEastAsia"/>
                <w:szCs w:val="21"/>
              </w:rPr>
              <w:t>供应商以谈判承诺函的形式替代响应保证金。</w:t>
            </w:r>
          </w:p>
        </w:tc>
      </w:tr>
      <w:tr w14:paraId="3BCD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DB7A8F7">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14:paraId="6EDBBC51">
            <w:pPr>
              <w:spacing w:line="360" w:lineRule="auto"/>
              <w:ind w:firstLine="422" w:firstLineChars="200"/>
              <w:rPr>
                <w:rFonts w:asciiTheme="minorEastAsia" w:hAnsiTheme="minorEastAsia"/>
                <w:b/>
                <w:bCs/>
                <w:szCs w:val="21"/>
              </w:rPr>
            </w:pPr>
            <w:r>
              <w:rPr>
                <w:rFonts w:hint="eastAsia" w:asciiTheme="minorEastAsia" w:hAnsiTheme="minorEastAsia"/>
                <w:b/>
                <w:bCs/>
                <w:szCs w:val="21"/>
              </w:rPr>
              <w:t>联合体协议</w:t>
            </w:r>
          </w:p>
        </w:tc>
        <w:tc>
          <w:tcPr>
            <w:tcW w:w="5954" w:type="dxa"/>
          </w:tcPr>
          <w:p w14:paraId="081B1778">
            <w:pPr>
              <w:spacing w:line="360" w:lineRule="auto"/>
              <w:rPr>
                <w:rFonts w:asciiTheme="minorEastAsia" w:hAnsiTheme="minorEastAsia"/>
                <w:b/>
                <w:bCs/>
                <w:szCs w:val="21"/>
              </w:rPr>
            </w:pPr>
            <w:r>
              <w:rPr>
                <w:rFonts w:hint="eastAsia" w:asciiTheme="minorEastAsia" w:hAnsiTheme="minorEastAsia"/>
                <w:bCs/>
                <w:szCs w:val="21"/>
              </w:rPr>
              <w:t>谈判文件接收联合体响应且供应商为联合体的，供应商应提供本协议；否则无须提供。</w:t>
            </w:r>
          </w:p>
        </w:tc>
      </w:tr>
      <w:tr w14:paraId="65C1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200F0AD">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14:paraId="53A69C91">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14:paraId="7B7A391C">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14:paraId="29013294">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14:paraId="3C7F6DE5">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14:paraId="6FB913F6">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14:paraId="70A1A50C">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4BA2C0F5">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14:paraId="032DF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021DE9D">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14:paraId="08540F8F">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14:paraId="0E0BFA19">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14:paraId="57A13DE4">
            <w:pPr>
              <w:spacing w:line="360" w:lineRule="auto"/>
              <w:rPr>
                <w:rFonts w:cs="仿宋_GB2312" w:asciiTheme="minorEastAsia" w:hAnsiTheme="minorEastAsia"/>
                <w:szCs w:val="21"/>
                <w:lang w:val="zh-CN"/>
              </w:rPr>
            </w:pPr>
          </w:p>
        </w:tc>
      </w:tr>
      <w:tr w14:paraId="1EF0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806F591">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14:paraId="0012AF99">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14:paraId="3C2EEC1A">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14:paraId="08867F06">
            <w:pPr>
              <w:spacing w:line="360" w:lineRule="auto"/>
              <w:rPr>
                <w:rFonts w:asciiTheme="minorEastAsia" w:hAnsiTheme="minorEastAsia"/>
                <w:bCs/>
                <w:szCs w:val="21"/>
              </w:rPr>
            </w:pPr>
          </w:p>
        </w:tc>
      </w:tr>
    </w:tbl>
    <w:p w14:paraId="5534EC33">
      <w:pPr>
        <w:pStyle w:val="15"/>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14:paraId="0231CC7B">
      <w:pPr>
        <w:pStyle w:val="15"/>
        <w:spacing w:line="360" w:lineRule="auto"/>
        <w:ind w:firstLine="422" w:firstLineChars="200"/>
        <w:contextualSpacing/>
        <w:jc w:val="left"/>
        <w:outlineLvl w:val="2"/>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14:paraId="1EED0439">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谈判小组对符合资格的供应商的响应文件进行审查，以确定其是否满足谈判文件的商务、技术等实质性要求。</w:t>
      </w:r>
    </w:p>
    <w:p w14:paraId="4FBAAE45">
      <w:pPr>
        <w:pStyle w:val="15"/>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注：审查中所涉及的证书及材料，均应在电子响应文件中提供原件扫描件（或图片）。</w:t>
      </w:r>
    </w:p>
    <w:p w14:paraId="66E27EDF">
      <w:pPr>
        <w:pStyle w:val="15"/>
        <w:spacing w:line="360" w:lineRule="auto"/>
        <w:ind w:firstLine="422" w:firstLineChars="200"/>
        <w:contextualSpacing/>
        <w:outlineLvl w:val="2"/>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14:paraId="08B47DA6">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4807BE">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06ABC7F">
      <w:pPr>
        <w:tabs>
          <w:tab w:val="left" w:pos="1260"/>
        </w:tabs>
        <w:autoSpaceDE w:val="0"/>
        <w:autoSpaceDN w:val="0"/>
        <w:spacing w:line="360" w:lineRule="auto"/>
        <w:ind w:firstLine="422" w:firstLineChars="200"/>
        <w:contextualSpacing/>
        <w:outlineLvl w:val="2"/>
        <w:rPr>
          <w:rFonts w:cs="仿宋_GB2312" w:asciiTheme="minorEastAsia" w:hAnsiTheme="minorEastAsia"/>
          <w:b/>
          <w:szCs w:val="21"/>
          <w:lang w:val="zh-CN"/>
        </w:rPr>
      </w:pPr>
      <w:r>
        <w:rPr>
          <w:rFonts w:hint="eastAsia" w:cs="仿宋_GB2312" w:asciiTheme="minorEastAsia" w:hAnsiTheme="minorEastAsia"/>
          <w:b/>
          <w:szCs w:val="21"/>
          <w:lang w:val="zh-CN"/>
        </w:rPr>
        <w:t>3、投标无效情形</w:t>
      </w:r>
    </w:p>
    <w:p w14:paraId="608E6B0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14:paraId="1887C41D">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2）符合性审查资料未按采购文件要求签署、盖章的；</w:t>
      </w:r>
    </w:p>
    <w:p w14:paraId="13960CAC">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3）有下列情形之一的，视为供应商串通投标，其投标无效：</w:t>
      </w:r>
    </w:p>
    <w:p w14:paraId="2DCED7B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a.不同供应商的投标文件由同一单位或者个人编制；</w:t>
      </w:r>
    </w:p>
    <w:p w14:paraId="00544F7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14:paraId="6268817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c.不同供应商的投标文件载明的项目管理成员或者联系人员为同一人；</w:t>
      </w:r>
    </w:p>
    <w:p w14:paraId="5E027B05">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d.不同供应商的投标文件异常一致或者投标报价呈规律性差异；</w:t>
      </w:r>
    </w:p>
    <w:p w14:paraId="25846FB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e.不同供应商的投标文件相互混装；</w:t>
      </w:r>
    </w:p>
    <w:p w14:paraId="17D825D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3844E066">
      <w:pPr>
        <w:tabs>
          <w:tab w:val="left" w:pos="1260"/>
        </w:tabs>
        <w:autoSpaceDE w:val="0"/>
        <w:autoSpaceDN w:val="0"/>
        <w:spacing w:line="360" w:lineRule="auto"/>
        <w:ind w:firstLine="420" w:firstLineChars="200"/>
        <w:contextualSpacing/>
        <w:outlineLvl w:val="3"/>
        <w:rPr>
          <w:rFonts w:cs="仿宋_GB2312" w:asciiTheme="minorEastAsia" w:hAnsiTheme="minorEastAsia"/>
          <w:szCs w:val="21"/>
          <w:lang w:val="zh-CN"/>
        </w:rPr>
      </w:pPr>
      <w:r>
        <w:rPr>
          <w:rFonts w:hint="eastAsia" w:cs="仿宋_GB2312" w:asciiTheme="minorEastAsia" w:hAnsiTheme="minorEastAsia"/>
          <w:szCs w:val="21"/>
          <w:lang w:val="zh-CN"/>
        </w:rPr>
        <w:t>5）法律法规</w:t>
      </w:r>
      <w:r>
        <w:rPr>
          <w:rFonts w:cs="仿宋_GB2312" w:asciiTheme="minorEastAsia" w:hAnsiTheme="minorEastAsia"/>
          <w:szCs w:val="21"/>
          <w:lang w:val="zh-CN"/>
        </w:rPr>
        <w:t>和招标文件规定的其他无效情形。</w:t>
      </w:r>
    </w:p>
    <w:p w14:paraId="240DC31A">
      <w:pPr>
        <w:pStyle w:val="15"/>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三、评审方法</w:t>
      </w:r>
    </w:p>
    <w:p w14:paraId="7D84B9DC">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名成交候选人。根据规定，采购人按照成交候选人排名顺序确定成交供应商。</w:t>
      </w:r>
    </w:p>
    <w:p w14:paraId="30F3A460">
      <w:pPr>
        <w:pStyle w:val="15"/>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四、谈判小组编写评审报告。</w:t>
      </w:r>
    </w:p>
    <w:p w14:paraId="08B62555">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10055033">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7B5F6421">
      <w:pPr>
        <w:pStyle w:val="15"/>
        <w:spacing w:line="360" w:lineRule="auto"/>
        <w:contextualSpacing/>
        <w:rPr>
          <w:rFonts w:cs="仿宋_GB2312" w:asciiTheme="minorEastAsia" w:hAnsiTheme="minorEastAsia" w:eastAsiaTheme="minorEastAsia"/>
          <w:b/>
          <w:sz w:val="21"/>
          <w:szCs w:val="21"/>
          <w:lang w:val="zh-CN"/>
        </w:rPr>
      </w:pPr>
    </w:p>
    <w:p w14:paraId="575247F1">
      <w:pPr>
        <w:adjustRightInd w:val="0"/>
        <w:snapToGrid w:val="0"/>
        <w:spacing w:line="360" w:lineRule="auto"/>
        <w:ind w:firstLine="420" w:firstLineChars="200"/>
        <w:rPr>
          <w:rFonts w:ascii="宋体" w:hAnsi="宋体" w:cs="Courier New"/>
          <w:szCs w:val="21"/>
        </w:rPr>
      </w:pPr>
    </w:p>
    <w:p w14:paraId="324F8956">
      <w:pPr>
        <w:adjustRightInd w:val="0"/>
        <w:snapToGrid w:val="0"/>
        <w:spacing w:line="360" w:lineRule="auto"/>
        <w:ind w:firstLine="420" w:firstLineChars="200"/>
        <w:rPr>
          <w:rFonts w:ascii="宋体" w:hAnsi="宋体" w:cs="Courier New"/>
          <w:szCs w:val="21"/>
        </w:rPr>
      </w:pPr>
    </w:p>
    <w:p w14:paraId="07CEBA8B">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052CD62C">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14:paraId="4D0EA183">
      <w:pPr>
        <w:pStyle w:val="15"/>
        <w:spacing w:line="360" w:lineRule="auto"/>
        <w:contextualSpacing/>
        <w:jc w:val="center"/>
        <w:rPr>
          <w:rFonts w:cs="宋体" w:asciiTheme="majorEastAsia" w:hAnsiTheme="majorEastAsia" w:eastAsiaTheme="majorEastAsia"/>
          <w:b/>
          <w:kern w:val="0"/>
          <w:sz w:val="36"/>
          <w:szCs w:val="36"/>
        </w:rPr>
      </w:pPr>
    </w:p>
    <w:p w14:paraId="6123524B">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（此合同仅供参考。以最终采购人与中标人签订的合同条款为准进行公示，</w:t>
      </w:r>
    </w:p>
    <w:p w14:paraId="5B476A99">
      <w:pPr>
        <w:spacing w:line="360" w:lineRule="auto"/>
        <w:jc w:val="center"/>
        <w:outlineLvl w:val="1"/>
        <w:rPr>
          <w:rFonts w:ascii="宋体" w:hAnsi="宋体" w:cs="微软雅黑"/>
          <w:b/>
          <w:bCs/>
          <w:szCs w:val="21"/>
        </w:rPr>
      </w:pPr>
      <w:r>
        <w:rPr>
          <w:rFonts w:hint="eastAsia" w:ascii="宋体" w:hAnsi="宋体" w:cs="微软雅黑"/>
          <w:b/>
          <w:bCs/>
          <w:szCs w:val="21"/>
        </w:rPr>
        <w:t>最终签订合同的主要条款不能与谈判文件有冲突）</w:t>
      </w:r>
    </w:p>
    <w:p w14:paraId="03A4AC44">
      <w:pPr>
        <w:spacing w:line="360" w:lineRule="auto"/>
        <w:ind w:firstLine="5400" w:firstLineChars="3000"/>
        <w:rPr>
          <w:rFonts w:ascii="宋体" w:hAnsi="宋体" w:eastAsia="宋体"/>
          <w:sz w:val="18"/>
          <w:szCs w:val="18"/>
        </w:rPr>
      </w:pPr>
      <w:r>
        <w:rPr>
          <w:rFonts w:hint="eastAsia" w:ascii="宋体" w:hAnsi="宋体" w:eastAsia="宋体"/>
          <w:sz w:val="18"/>
          <w:szCs w:val="18"/>
        </w:rPr>
        <w:t>本合同口是/口否中小企业预留合同</w:t>
      </w:r>
    </w:p>
    <w:p w14:paraId="7E4DAB75">
      <w:pPr>
        <w:spacing w:line="360" w:lineRule="auto"/>
        <w:ind w:firstLine="2250" w:firstLineChars="750"/>
        <w:jc w:val="left"/>
        <w:rPr>
          <w:rFonts w:ascii="宋体" w:hAnsi="宋体" w:eastAsia="宋体"/>
          <w:sz w:val="30"/>
          <w:szCs w:val="30"/>
        </w:rPr>
      </w:pPr>
      <w:r>
        <w:rPr>
          <w:rFonts w:hint="eastAsia" w:ascii="宋体" w:hAnsi="宋体" w:eastAsia="宋体"/>
          <w:sz w:val="30"/>
          <w:szCs w:val="30"/>
        </w:rPr>
        <w:t>政府采购货物合同（范本）</w:t>
      </w:r>
    </w:p>
    <w:p w14:paraId="0A23FD97">
      <w:pPr>
        <w:spacing w:line="360" w:lineRule="auto"/>
        <w:rPr>
          <w:rFonts w:ascii="宋体" w:hAnsi="宋体" w:eastAsia="宋体"/>
          <w:szCs w:val="21"/>
          <w:u w:val="single"/>
        </w:rPr>
      </w:pPr>
      <w:r>
        <w:rPr>
          <w:rFonts w:hint="eastAsia" w:ascii="宋体" w:hAnsi="宋体" w:eastAsia="宋体"/>
          <w:szCs w:val="21"/>
        </w:rPr>
        <w:t>合同编号：</w:t>
      </w:r>
    </w:p>
    <w:p w14:paraId="4C3E4097">
      <w:pPr>
        <w:spacing w:line="360" w:lineRule="auto"/>
        <w:rPr>
          <w:rFonts w:ascii="宋体" w:hAnsi="宋体" w:eastAsia="宋体"/>
          <w:szCs w:val="21"/>
          <w:u w:val="single"/>
        </w:rPr>
      </w:pPr>
      <w:r>
        <w:rPr>
          <w:rFonts w:hint="eastAsia" w:ascii="宋体" w:hAnsi="宋体" w:eastAsia="宋体"/>
          <w:szCs w:val="21"/>
        </w:rPr>
        <w:t>签 订 地：</w:t>
      </w:r>
    </w:p>
    <w:p w14:paraId="3519E767">
      <w:pPr>
        <w:spacing w:line="360" w:lineRule="auto"/>
        <w:rPr>
          <w:rFonts w:ascii="宋体" w:hAnsi="宋体" w:eastAsia="宋体"/>
          <w:szCs w:val="21"/>
          <w:u w:val="single"/>
        </w:rPr>
      </w:pPr>
      <w:r>
        <w:rPr>
          <w:rFonts w:hint="eastAsia" w:ascii="宋体" w:hAnsi="宋体" w:eastAsia="宋体"/>
          <w:szCs w:val="21"/>
        </w:rPr>
        <w:t>甲方（采购人）：</w:t>
      </w:r>
    </w:p>
    <w:p w14:paraId="29A2E9F7">
      <w:pPr>
        <w:spacing w:line="360" w:lineRule="auto"/>
        <w:rPr>
          <w:rFonts w:ascii="宋体" w:hAnsi="宋体" w:eastAsia="宋体"/>
          <w:szCs w:val="21"/>
          <w:u w:val="single"/>
        </w:rPr>
      </w:pPr>
      <w:r>
        <w:rPr>
          <w:rFonts w:hint="eastAsia" w:ascii="宋体" w:hAnsi="宋体" w:eastAsia="宋体"/>
          <w:szCs w:val="21"/>
        </w:rPr>
        <w:t>住所地：</w:t>
      </w:r>
    </w:p>
    <w:p w14:paraId="79DA098E">
      <w:pPr>
        <w:spacing w:line="360" w:lineRule="auto"/>
        <w:rPr>
          <w:rFonts w:ascii="宋体" w:hAnsi="宋体" w:eastAsia="宋体"/>
          <w:szCs w:val="21"/>
          <w:u w:val="single"/>
        </w:rPr>
      </w:pPr>
      <w:r>
        <w:rPr>
          <w:rFonts w:hint="eastAsia" w:ascii="宋体" w:hAnsi="宋体" w:eastAsia="宋体"/>
          <w:szCs w:val="21"/>
        </w:rPr>
        <w:t>乙方（中标人）：</w:t>
      </w:r>
    </w:p>
    <w:p w14:paraId="3316EB4E">
      <w:pPr>
        <w:spacing w:line="360" w:lineRule="auto"/>
        <w:rPr>
          <w:rFonts w:ascii="宋体" w:hAnsi="宋体" w:eastAsia="宋体"/>
          <w:szCs w:val="21"/>
          <w:u w:val="single"/>
        </w:rPr>
      </w:pPr>
      <w:r>
        <w:rPr>
          <w:rFonts w:hint="eastAsia" w:ascii="宋体" w:hAnsi="宋体" w:eastAsia="宋体"/>
          <w:szCs w:val="21"/>
        </w:rPr>
        <w:t>住所地：</w:t>
      </w:r>
    </w:p>
    <w:p w14:paraId="0CE7B91F">
      <w:pPr>
        <w:spacing w:line="360" w:lineRule="auto"/>
        <w:rPr>
          <w:rFonts w:ascii="宋体" w:hAnsi="宋体" w:eastAsia="宋体"/>
          <w:szCs w:val="21"/>
          <w:u w:val="single"/>
        </w:rPr>
      </w:pPr>
      <w:r>
        <w:rPr>
          <w:rFonts w:hint="eastAsia" w:ascii="宋体" w:hAnsi="宋体" w:eastAsia="宋体"/>
          <w:szCs w:val="21"/>
        </w:rPr>
        <w:t>乙方于年月日参加了（</w:t>
      </w:r>
      <w:r>
        <w:rPr>
          <w:rFonts w:hint="eastAsia" w:ascii="宋体" w:hAnsi="宋体" w:eastAsia="宋体"/>
          <w:szCs w:val="21"/>
          <w:u w:val="single"/>
        </w:rPr>
        <w:t>采购代理机构）</w:t>
      </w:r>
      <w:r>
        <w:rPr>
          <w:rFonts w:hint="eastAsia" w:ascii="宋体" w:hAnsi="宋体" w:eastAsia="宋体"/>
          <w:szCs w:val="21"/>
        </w:rPr>
        <w:t>组织的“（</w:t>
      </w:r>
      <w:r>
        <w:rPr>
          <w:rFonts w:hint="eastAsia" w:ascii="宋体" w:hAnsi="宋体" w:eastAsia="宋体"/>
          <w:szCs w:val="21"/>
          <w:u w:val="single"/>
        </w:rPr>
        <w:t>项目名称及项目编号）</w:t>
      </w:r>
      <w:r>
        <w:rPr>
          <w:rFonts w:hint="eastAsia" w:ascii="宋体" w:hAnsi="宋体" w:eastAsia="宋体"/>
          <w:szCs w:val="21"/>
        </w:rPr>
        <w:t>” 政府采购活动，经评标委员会评审确定乙方为（</w:t>
      </w:r>
      <w:r>
        <w:rPr>
          <w:rFonts w:hint="eastAsia" w:ascii="宋体" w:hAnsi="宋体" w:eastAsia="宋体"/>
          <w:szCs w:val="21"/>
          <w:u w:val="single"/>
        </w:rPr>
        <w:t>包及包名称）</w:t>
      </w:r>
      <w:r>
        <w:rPr>
          <w:rFonts w:hint="eastAsia" w:ascii="宋体" w:hAnsi="宋体" w:eastAsia="宋体"/>
          <w:szCs w:val="21"/>
        </w:rPr>
        <w:t>中标人，按照《中华人民共和国民法典》《中华人民共和国政府采购法》和相关的法律法规规定，以及招标文件规定，经甲乙双方协商一致，签订本政府采购合同。</w:t>
      </w:r>
    </w:p>
    <w:p w14:paraId="6FCE30CB">
      <w:pPr>
        <w:pStyle w:val="55"/>
        <w:numPr>
          <w:ilvl w:val="0"/>
          <w:numId w:val="69"/>
        </w:numPr>
        <w:spacing w:line="360" w:lineRule="auto"/>
        <w:ind w:left="420" w:firstLineChars="0"/>
        <w:outlineLvl w:val="1"/>
        <w:rPr>
          <w:rFonts w:ascii="宋体" w:hAnsi="宋体" w:eastAsia="宋体"/>
          <w:szCs w:val="21"/>
        </w:rPr>
      </w:pPr>
      <w:r>
        <w:rPr>
          <w:rFonts w:hint="eastAsia" w:ascii="宋体" w:hAnsi="宋体" w:eastAsia="宋体"/>
          <w:szCs w:val="21"/>
        </w:rPr>
        <w:t xml:space="preserve"> 货物条款</w:t>
      </w:r>
    </w:p>
    <w:p w14:paraId="15582C69">
      <w:pPr>
        <w:spacing w:line="360" w:lineRule="auto"/>
        <w:outlineLvl w:val="2"/>
        <w:rPr>
          <w:rFonts w:ascii="宋体" w:hAnsi="宋体" w:eastAsia="宋体"/>
          <w:szCs w:val="21"/>
        </w:rPr>
      </w:pPr>
      <w:r>
        <w:rPr>
          <w:rFonts w:hint="eastAsia" w:ascii="宋体" w:hAnsi="宋体" w:eastAsia="宋体"/>
          <w:szCs w:val="21"/>
        </w:rPr>
        <w:t>乙方向甲方提供以下货物</w:t>
      </w:r>
    </w:p>
    <w:tbl>
      <w:tblPr>
        <w:tblStyle w:val="2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14:paraId="392EC0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3BAFB999">
            <w:pPr>
              <w:spacing w:line="360" w:lineRule="auto"/>
              <w:rPr>
                <w:rFonts w:ascii="宋体" w:hAnsi="宋体" w:eastAsia="宋体"/>
                <w:szCs w:val="21"/>
              </w:rPr>
            </w:pPr>
            <w:r>
              <w:rPr>
                <w:rFonts w:hint="eastAsia" w:ascii="宋体" w:hAnsi="宋体" w:eastAsia="宋体"/>
                <w:szCs w:val="21"/>
              </w:rPr>
              <w:t>货物名称</w:t>
            </w:r>
          </w:p>
        </w:tc>
        <w:tc>
          <w:tcPr>
            <w:tcW w:w="4253" w:type="dxa"/>
          </w:tcPr>
          <w:p w14:paraId="1FEEACD9">
            <w:pPr>
              <w:spacing w:line="360" w:lineRule="auto"/>
              <w:jc w:val="center"/>
              <w:rPr>
                <w:rFonts w:ascii="宋体" w:hAnsi="宋体" w:eastAsia="宋体"/>
                <w:szCs w:val="21"/>
              </w:rPr>
            </w:pPr>
            <w:r>
              <w:rPr>
                <w:rFonts w:hint="eastAsia" w:ascii="宋体" w:hAnsi="宋体" w:eastAsia="宋体"/>
                <w:szCs w:val="21"/>
              </w:rPr>
              <w:t>品牌、规格型号（技术参数）</w:t>
            </w:r>
          </w:p>
        </w:tc>
        <w:tc>
          <w:tcPr>
            <w:tcW w:w="709" w:type="dxa"/>
            <w:tcBorders>
              <w:right w:val="single" w:color="auto" w:sz="4" w:space="0"/>
            </w:tcBorders>
          </w:tcPr>
          <w:p w14:paraId="13E694B2">
            <w:pPr>
              <w:spacing w:line="360" w:lineRule="auto"/>
              <w:rPr>
                <w:rFonts w:ascii="宋体" w:hAnsi="宋体" w:eastAsia="宋体"/>
                <w:szCs w:val="21"/>
              </w:rPr>
            </w:pPr>
            <w:r>
              <w:rPr>
                <w:rFonts w:hint="eastAsia" w:ascii="宋体" w:hAnsi="宋体" w:eastAsia="宋体"/>
                <w:szCs w:val="21"/>
              </w:rPr>
              <w:t>单价</w:t>
            </w:r>
          </w:p>
        </w:tc>
        <w:tc>
          <w:tcPr>
            <w:tcW w:w="708" w:type="dxa"/>
            <w:tcBorders>
              <w:left w:val="single" w:color="auto" w:sz="4" w:space="0"/>
              <w:right w:val="single" w:color="auto" w:sz="4" w:space="0"/>
            </w:tcBorders>
          </w:tcPr>
          <w:p w14:paraId="3CB5C6BE">
            <w:pPr>
              <w:spacing w:line="360" w:lineRule="auto"/>
              <w:rPr>
                <w:rFonts w:ascii="宋体" w:hAnsi="宋体" w:eastAsia="宋体"/>
                <w:szCs w:val="21"/>
              </w:rPr>
            </w:pPr>
            <w:r>
              <w:rPr>
                <w:rFonts w:hint="eastAsia" w:ascii="宋体" w:hAnsi="宋体" w:eastAsia="宋体"/>
                <w:szCs w:val="21"/>
              </w:rPr>
              <w:t>数量</w:t>
            </w:r>
          </w:p>
        </w:tc>
        <w:tc>
          <w:tcPr>
            <w:tcW w:w="749" w:type="dxa"/>
            <w:tcBorders>
              <w:left w:val="single" w:color="auto" w:sz="4" w:space="0"/>
              <w:right w:val="single" w:color="auto" w:sz="4" w:space="0"/>
            </w:tcBorders>
          </w:tcPr>
          <w:p w14:paraId="399DC68A">
            <w:pPr>
              <w:spacing w:line="360" w:lineRule="auto"/>
              <w:rPr>
                <w:rFonts w:ascii="宋体" w:hAnsi="宋体" w:eastAsia="宋体"/>
                <w:szCs w:val="21"/>
              </w:rPr>
            </w:pPr>
            <w:r>
              <w:rPr>
                <w:rFonts w:hint="eastAsia" w:ascii="宋体" w:hAnsi="宋体" w:eastAsia="宋体"/>
                <w:szCs w:val="21"/>
              </w:rPr>
              <w:t>小计</w:t>
            </w:r>
          </w:p>
        </w:tc>
      </w:tr>
      <w:tr w14:paraId="2EC8B4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1CAF0D5E">
            <w:pPr>
              <w:spacing w:line="360" w:lineRule="auto"/>
              <w:rPr>
                <w:rFonts w:ascii="宋体" w:hAnsi="宋体" w:eastAsia="宋体"/>
                <w:szCs w:val="21"/>
              </w:rPr>
            </w:pPr>
          </w:p>
        </w:tc>
        <w:tc>
          <w:tcPr>
            <w:tcW w:w="4253" w:type="dxa"/>
          </w:tcPr>
          <w:p w14:paraId="524C5E5B">
            <w:pPr>
              <w:spacing w:line="360" w:lineRule="auto"/>
              <w:rPr>
                <w:rFonts w:ascii="宋体" w:hAnsi="宋体" w:eastAsia="宋体"/>
                <w:szCs w:val="21"/>
              </w:rPr>
            </w:pPr>
          </w:p>
        </w:tc>
        <w:tc>
          <w:tcPr>
            <w:tcW w:w="709" w:type="dxa"/>
            <w:tcBorders>
              <w:right w:val="single" w:color="auto" w:sz="4" w:space="0"/>
            </w:tcBorders>
          </w:tcPr>
          <w:p w14:paraId="51C41A58">
            <w:pPr>
              <w:spacing w:line="360" w:lineRule="auto"/>
              <w:rPr>
                <w:rFonts w:ascii="宋体" w:hAnsi="宋体" w:eastAsia="宋体"/>
                <w:szCs w:val="21"/>
              </w:rPr>
            </w:pPr>
          </w:p>
        </w:tc>
        <w:tc>
          <w:tcPr>
            <w:tcW w:w="708" w:type="dxa"/>
            <w:tcBorders>
              <w:left w:val="single" w:color="auto" w:sz="4" w:space="0"/>
              <w:right w:val="single" w:color="auto" w:sz="4" w:space="0"/>
            </w:tcBorders>
          </w:tcPr>
          <w:p w14:paraId="09C9D778">
            <w:pPr>
              <w:spacing w:line="360" w:lineRule="auto"/>
              <w:rPr>
                <w:rFonts w:ascii="宋体" w:hAnsi="宋体" w:eastAsia="宋体"/>
                <w:szCs w:val="21"/>
              </w:rPr>
            </w:pPr>
          </w:p>
        </w:tc>
        <w:tc>
          <w:tcPr>
            <w:tcW w:w="749" w:type="dxa"/>
            <w:tcBorders>
              <w:left w:val="single" w:color="auto" w:sz="4" w:space="0"/>
              <w:right w:val="single" w:color="auto" w:sz="4" w:space="0"/>
            </w:tcBorders>
          </w:tcPr>
          <w:p w14:paraId="6F91A32B">
            <w:pPr>
              <w:spacing w:line="360" w:lineRule="auto"/>
              <w:rPr>
                <w:rFonts w:ascii="宋体" w:hAnsi="宋体" w:eastAsia="宋体"/>
                <w:szCs w:val="21"/>
              </w:rPr>
            </w:pPr>
          </w:p>
        </w:tc>
      </w:tr>
      <w:tr w14:paraId="5C6995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3F8B2BAA">
            <w:pPr>
              <w:spacing w:line="360" w:lineRule="auto"/>
              <w:rPr>
                <w:rFonts w:ascii="宋体" w:hAnsi="宋体" w:eastAsia="宋体"/>
                <w:szCs w:val="21"/>
              </w:rPr>
            </w:pPr>
          </w:p>
        </w:tc>
        <w:tc>
          <w:tcPr>
            <w:tcW w:w="4253" w:type="dxa"/>
          </w:tcPr>
          <w:p w14:paraId="3425D981">
            <w:pPr>
              <w:spacing w:line="360" w:lineRule="auto"/>
              <w:rPr>
                <w:rFonts w:ascii="宋体" w:hAnsi="宋体" w:eastAsia="宋体"/>
                <w:szCs w:val="21"/>
              </w:rPr>
            </w:pPr>
          </w:p>
        </w:tc>
        <w:tc>
          <w:tcPr>
            <w:tcW w:w="709" w:type="dxa"/>
            <w:tcBorders>
              <w:right w:val="single" w:color="auto" w:sz="4" w:space="0"/>
            </w:tcBorders>
          </w:tcPr>
          <w:p w14:paraId="6643E7FE">
            <w:pPr>
              <w:spacing w:line="360" w:lineRule="auto"/>
              <w:rPr>
                <w:rFonts w:ascii="宋体" w:hAnsi="宋体" w:eastAsia="宋体"/>
                <w:szCs w:val="21"/>
              </w:rPr>
            </w:pPr>
          </w:p>
        </w:tc>
        <w:tc>
          <w:tcPr>
            <w:tcW w:w="708" w:type="dxa"/>
            <w:tcBorders>
              <w:left w:val="single" w:color="auto" w:sz="4" w:space="0"/>
              <w:right w:val="single" w:color="auto" w:sz="4" w:space="0"/>
            </w:tcBorders>
          </w:tcPr>
          <w:p w14:paraId="1BE364A1">
            <w:pPr>
              <w:spacing w:line="360" w:lineRule="auto"/>
              <w:rPr>
                <w:rFonts w:ascii="宋体" w:hAnsi="宋体" w:eastAsia="宋体"/>
                <w:szCs w:val="21"/>
              </w:rPr>
            </w:pPr>
          </w:p>
        </w:tc>
        <w:tc>
          <w:tcPr>
            <w:tcW w:w="749" w:type="dxa"/>
            <w:tcBorders>
              <w:left w:val="single" w:color="auto" w:sz="4" w:space="0"/>
              <w:right w:val="single" w:color="auto" w:sz="4" w:space="0"/>
            </w:tcBorders>
          </w:tcPr>
          <w:p w14:paraId="190F75CA">
            <w:pPr>
              <w:spacing w:line="360" w:lineRule="auto"/>
              <w:rPr>
                <w:rFonts w:ascii="宋体" w:hAnsi="宋体" w:eastAsia="宋体"/>
                <w:szCs w:val="21"/>
              </w:rPr>
            </w:pPr>
          </w:p>
        </w:tc>
      </w:tr>
      <w:tr w14:paraId="36A8D9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61946C73">
            <w:pPr>
              <w:spacing w:line="360" w:lineRule="auto"/>
              <w:rPr>
                <w:rFonts w:ascii="宋体" w:hAnsi="宋体" w:eastAsia="宋体"/>
                <w:szCs w:val="21"/>
              </w:rPr>
            </w:pPr>
          </w:p>
        </w:tc>
        <w:tc>
          <w:tcPr>
            <w:tcW w:w="4253" w:type="dxa"/>
          </w:tcPr>
          <w:p w14:paraId="3A1D08A7">
            <w:pPr>
              <w:spacing w:line="360" w:lineRule="auto"/>
              <w:rPr>
                <w:rFonts w:ascii="宋体" w:hAnsi="宋体" w:eastAsia="宋体"/>
                <w:szCs w:val="21"/>
              </w:rPr>
            </w:pPr>
          </w:p>
        </w:tc>
        <w:tc>
          <w:tcPr>
            <w:tcW w:w="709" w:type="dxa"/>
            <w:tcBorders>
              <w:right w:val="single" w:color="auto" w:sz="4" w:space="0"/>
            </w:tcBorders>
          </w:tcPr>
          <w:p w14:paraId="139AD0E0">
            <w:pPr>
              <w:spacing w:line="360" w:lineRule="auto"/>
              <w:rPr>
                <w:rFonts w:ascii="宋体" w:hAnsi="宋体" w:eastAsia="宋体"/>
                <w:szCs w:val="21"/>
              </w:rPr>
            </w:pPr>
          </w:p>
        </w:tc>
        <w:tc>
          <w:tcPr>
            <w:tcW w:w="708" w:type="dxa"/>
            <w:tcBorders>
              <w:left w:val="single" w:color="auto" w:sz="4" w:space="0"/>
              <w:right w:val="single" w:color="auto" w:sz="4" w:space="0"/>
            </w:tcBorders>
          </w:tcPr>
          <w:p w14:paraId="129F94E7">
            <w:pPr>
              <w:spacing w:line="360" w:lineRule="auto"/>
              <w:rPr>
                <w:rFonts w:ascii="宋体" w:hAnsi="宋体" w:eastAsia="宋体"/>
                <w:szCs w:val="21"/>
              </w:rPr>
            </w:pPr>
          </w:p>
        </w:tc>
        <w:tc>
          <w:tcPr>
            <w:tcW w:w="749" w:type="dxa"/>
            <w:tcBorders>
              <w:left w:val="single" w:color="auto" w:sz="4" w:space="0"/>
              <w:right w:val="single" w:color="auto" w:sz="4" w:space="0"/>
            </w:tcBorders>
          </w:tcPr>
          <w:p w14:paraId="226B238C">
            <w:pPr>
              <w:spacing w:line="360" w:lineRule="auto"/>
              <w:rPr>
                <w:rFonts w:ascii="宋体" w:hAnsi="宋体" w:eastAsia="宋体"/>
                <w:szCs w:val="21"/>
              </w:rPr>
            </w:pPr>
          </w:p>
        </w:tc>
      </w:tr>
      <w:tr w14:paraId="065AC7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Pr>
          <w:p w14:paraId="413127D3">
            <w:pPr>
              <w:spacing w:line="360" w:lineRule="auto"/>
              <w:jc w:val="center"/>
              <w:rPr>
                <w:rFonts w:ascii="宋体" w:hAnsi="宋体" w:eastAsia="宋体"/>
                <w:szCs w:val="21"/>
              </w:rPr>
            </w:pPr>
            <w:r>
              <w:rPr>
                <w:rFonts w:hint="eastAsia" w:ascii="宋体" w:hAnsi="宋体" w:eastAsia="宋体"/>
                <w:szCs w:val="21"/>
              </w:rPr>
              <w:t>合计</w:t>
            </w:r>
          </w:p>
        </w:tc>
        <w:tc>
          <w:tcPr>
            <w:tcW w:w="2166" w:type="dxa"/>
            <w:gridSpan w:val="3"/>
            <w:tcBorders>
              <w:right w:val="single" w:color="auto" w:sz="4" w:space="0"/>
            </w:tcBorders>
          </w:tcPr>
          <w:p w14:paraId="3FC1462B">
            <w:pPr>
              <w:spacing w:line="360" w:lineRule="auto"/>
              <w:rPr>
                <w:rFonts w:ascii="宋体" w:hAnsi="宋体" w:eastAsia="宋体"/>
                <w:szCs w:val="21"/>
              </w:rPr>
            </w:pPr>
          </w:p>
        </w:tc>
      </w:tr>
    </w:tbl>
    <w:p w14:paraId="4498C25E">
      <w:pPr>
        <w:spacing w:line="360" w:lineRule="auto"/>
        <w:ind w:firstLine="105" w:firstLineChars="50"/>
        <w:rPr>
          <w:rFonts w:ascii="宋体" w:hAnsi="宋体" w:eastAsia="宋体"/>
          <w:szCs w:val="21"/>
        </w:rPr>
      </w:pPr>
      <w:r>
        <w:rPr>
          <w:rFonts w:hint="eastAsia" w:ascii="宋体" w:hAnsi="宋体" w:eastAsia="宋体"/>
          <w:szCs w:val="21"/>
        </w:rPr>
        <w:t>注：如上述表格不适用相关货物的，具体品牌、数量、规格型号（技术参数）及质保期等可用附件形式列明，作为本合同组成部分。</w:t>
      </w:r>
    </w:p>
    <w:p w14:paraId="045CA8F8">
      <w:pPr>
        <w:spacing w:line="360" w:lineRule="auto"/>
        <w:outlineLvl w:val="1"/>
        <w:rPr>
          <w:rFonts w:ascii="宋体" w:hAnsi="宋体" w:eastAsia="宋体"/>
          <w:szCs w:val="21"/>
        </w:rPr>
      </w:pPr>
      <w:r>
        <w:rPr>
          <w:rFonts w:hint="eastAsia" w:ascii="宋体" w:hAnsi="宋体" w:eastAsia="宋体"/>
          <w:szCs w:val="21"/>
        </w:rPr>
        <w:t>第二条  合同总金额</w:t>
      </w:r>
    </w:p>
    <w:p w14:paraId="75163927">
      <w:pPr>
        <w:spacing w:line="360" w:lineRule="auto"/>
        <w:ind w:firstLine="315" w:firstLineChars="150"/>
        <w:rPr>
          <w:rFonts w:ascii="宋体" w:hAnsi="宋体" w:eastAsia="宋体"/>
          <w:szCs w:val="21"/>
          <w:u w:val="single"/>
        </w:rPr>
      </w:pPr>
      <w:r>
        <w:rPr>
          <w:rFonts w:hint="eastAsia" w:ascii="宋体" w:hAnsi="宋体" w:eastAsia="宋体"/>
          <w:szCs w:val="21"/>
        </w:rPr>
        <w:t>合同总金额为人民币（大写）：￥</w:t>
      </w:r>
    </w:p>
    <w:p w14:paraId="5834840F">
      <w:pPr>
        <w:spacing w:line="360" w:lineRule="auto"/>
        <w:ind w:firstLine="315" w:firstLineChars="150"/>
        <w:rPr>
          <w:rFonts w:ascii="宋体" w:hAnsi="宋体" w:eastAsia="宋体"/>
          <w:szCs w:val="21"/>
        </w:rPr>
      </w:pPr>
      <w:r>
        <w:rPr>
          <w:rFonts w:hint="eastAsia" w:ascii="宋体" w:hAnsi="宋体" w:eastAsia="宋体"/>
          <w:szCs w:val="21"/>
        </w:rPr>
        <w:t>此价格为合同执行不变价，不因国家政策变化面变化，该价款包括了货物及与之配套的设计、制造、正版软件、检验、包装、运输、保险、税费以及安装、组织验收、培训，技术服务（包括技术资料、团纸提供等）.质保期服务等全部价款，除此之外，甲方不再向乙方支付其他任何费用。</w:t>
      </w:r>
    </w:p>
    <w:p w14:paraId="1EC54998">
      <w:pPr>
        <w:spacing w:line="360" w:lineRule="auto"/>
        <w:outlineLvl w:val="1"/>
        <w:rPr>
          <w:rFonts w:ascii="宋体" w:hAnsi="宋体" w:eastAsia="宋体"/>
          <w:szCs w:val="21"/>
        </w:rPr>
      </w:pPr>
      <w:r>
        <w:rPr>
          <w:rFonts w:hint="eastAsia" w:ascii="宋体" w:hAnsi="宋体" w:eastAsia="宋体"/>
          <w:szCs w:val="21"/>
        </w:rPr>
        <w:t>第三条   质量要求及技术标准</w:t>
      </w:r>
    </w:p>
    <w:p w14:paraId="51C6659F">
      <w:pPr>
        <w:spacing w:line="360" w:lineRule="auto"/>
        <w:ind w:firstLine="315" w:firstLineChars="150"/>
        <w:rPr>
          <w:rFonts w:ascii="宋体" w:hAnsi="宋体" w:eastAsia="宋体"/>
          <w:szCs w:val="21"/>
        </w:rPr>
      </w:pPr>
      <w:r>
        <w:rPr>
          <w:rFonts w:hint="eastAsia" w:ascii="宋体" w:hAnsi="宋体" w:eastAsia="宋体"/>
          <w:szCs w:val="21"/>
        </w:rPr>
        <w:t>1.货物原产地：</w:t>
      </w:r>
    </w:p>
    <w:p w14:paraId="139FCB92">
      <w:pPr>
        <w:spacing w:line="360" w:lineRule="auto"/>
        <w:ind w:firstLine="315" w:firstLineChars="150"/>
        <w:rPr>
          <w:rFonts w:ascii="宋体" w:hAnsi="宋体" w:eastAsia="宋体"/>
          <w:szCs w:val="21"/>
        </w:rPr>
      </w:pPr>
      <w:r>
        <w:rPr>
          <w:rFonts w:hint="eastAsia" w:ascii="宋体" w:hAnsi="宋体" w:eastAsia="宋体"/>
          <w:szCs w:val="21"/>
        </w:rPr>
        <w:t>2.货物的 质量要求：</w:t>
      </w:r>
    </w:p>
    <w:p w14:paraId="38411C3E">
      <w:pPr>
        <w:spacing w:line="360" w:lineRule="auto"/>
        <w:ind w:firstLine="315" w:firstLineChars="150"/>
        <w:rPr>
          <w:rFonts w:ascii="宋体" w:hAnsi="宋体" w:eastAsia="宋体"/>
          <w:szCs w:val="21"/>
        </w:rPr>
      </w:pPr>
      <w:r>
        <w:rPr>
          <w:rFonts w:hint="eastAsia" w:ascii="宋体" w:hAnsi="宋体" w:eastAsia="宋体"/>
          <w:szCs w:val="21"/>
        </w:rPr>
        <w:t>3.货物的技术标准：</w:t>
      </w:r>
    </w:p>
    <w:p w14:paraId="6EECC475">
      <w:pPr>
        <w:spacing w:line="360" w:lineRule="auto"/>
        <w:outlineLvl w:val="1"/>
        <w:rPr>
          <w:rFonts w:ascii="宋体" w:hAnsi="宋体" w:eastAsia="宋体"/>
          <w:szCs w:val="21"/>
        </w:rPr>
      </w:pPr>
      <w:r>
        <w:rPr>
          <w:rFonts w:hint="eastAsia" w:ascii="宋体" w:hAnsi="宋体" w:eastAsia="宋体"/>
          <w:szCs w:val="21"/>
        </w:rPr>
        <w:t>第四条   交货</w:t>
      </w:r>
    </w:p>
    <w:p w14:paraId="7FC373EE">
      <w:pPr>
        <w:spacing w:line="360" w:lineRule="auto"/>
        <w:ind w:firstLine="315" w:firstLineChars="150"/>
        <w:rPr>
          <w:rFonts w:ascii="宋体" w:hAnsi="宋体" w:eastAsia="宋体"/>
          <w:szCs w:val="21"/>
        </w:rPr>
      </w:pPr>
      <w:r>
        <w:rPr>
          <w:rFonts w:hint="eastAsia" w:ascii="宋体" w:hAnsi="宋体" w:eastAsia="宋体"/>
          <w:szCs w:val="21"/>
        </w:rPr>
        <w:t>1.交货日期：</w:t>
      </w:r>
    </w:p>
    <w:p w14:paraId="2B2E5554">
      <w:pPr>
        <w:spacing w:line="360" w:lineRule="auto"/>
        <w:ind w:firstLine="315" w:firstLineChars="150"/>
        <w:rPr>
          <w:rFonts w:ascii="宋体" w:hAnsi="宋体" w:eastAsia="宋体"/>
          <w:szCs w:val="21"/>
        </w:rPr>
      </w:pPr>
      <w:r>
        <w:rPr>
          <w:rFonts w:hint="eastAsia" w:ascii="宋体" w:hAnsi="宋体" w:eastAsia="宋体"/>
          <w:szCs w:val="21"/>
        </w:rPr>
        <w:t>2.交货地点：</w:t>
      </w:r>
    </w:p>
    <w:p w14:paraId="4D6C3182">
      <w:pPr>
        <w:spacing w:line="360" w:lineRule="auto"/>
        <w:outlineLvl w:val="1"/>
        <w:rPr>
          <w:rFonts w:ascii="宋体" w:hAnsi="宋体" w:eastAsia="宋体"/>
          <w:szCs w:val="21"/>
        </w:rPr>
      </w:pPr>
      <w:r>
        <w:rPr>
          <w:rFonts w:hint="eastAsia" w:ascii="宋体" w:hAnsi="宋体" w:eastAsia="宋体"/>
          <w:szCs w:val="21"/>
        </w:rPr>
        <w:t>第五条   包装、 装运及运输</w:t>
      </w:r>
    </w:p>
    <w:p w14:paraId="7E5845B9">
      <w:pPr>
        <w:spacing w:line="360" w:lineRule="auto"/>
        <w:ind w:firstLine="315" w:firstLineChars="150"/>
        <w:rPr>
          <w:rFonts w:ascii="宋体" w:hAnsi="宋体" w:eastAsia="宋体"/>
          <w:szCs w:val="21"/>
        </w:rPr>
      </w:pPr>
      <w:r>
        <w:rPr>
          <w:rFonts w:hint="eastAsia" w:ascii="宋体" w:hAnsi="宋体" w:eastAsia="宋体"/>
          <w:szCs w:val="21"/>
        </w:rPr>
        <w:t>1.乙方负责包装、装运和运输，由于不适当的包装、装运和运输造成货物有任何损坏均由乙方负责。</w:t>
      </w:r>
    </w:p>
    <w:p w14:paraId="747CC044">
      <w:pPr>
        <w:spacing w:line="360" w:lineRule="auto"/>
        <w:ind w:firstLine="315" w:firstLineChars="150"/>
        <w:outlineLvl w:val="2"/>
        <w:rPr>
          <w:rFonts w:ascii="宋体" w:hAnsi="宋体" w:eastAsia="宋体"/>
          <w:szCs w:val="21"/>
        </w:rPr>
      </w:pPr>
      <w:r>
        <w:rPr>
          <w:rFonts w:hint="eastAsia" w:ascii="宋体" w:hAnsi="宋体" w:eastAsia="宋体"/>
          <w:szCs w:val="21"/>
        </w:rPr>
        <w:t>2.包装费、运费及相关费用已包含在合同总金额内。</w:t>
      </w:r>
    </w:p>
    <w:p w14:paraId="5A6F1D4C">
      <w:pPr>
        <w:spacing w:line="360" w:lineRule="auto"/>
        <w:ind w:firstLine="315" w:firstLineChars="150"/>
        <w:rPr>
          <w:rFonts w:ascii="宋体" w:hAnsi="宋体" w:eastAsia="宋体"/>
          <w:szCs w:val="21"/>
        </w:rPr>
      </w:pPr>
      <w:r>
        <w:rPr>
          <w:rFonts w:hint="eastAsia" w:ascii="宋体" w:hAnsi="宋体" w:eastAsia="宋体"/>
          <w:szCs w:val="21"/>
        </w:rPr>
        <w:t>3.根据财政部等三部门《关于印发〈商品包装政府采购需求标准（试行）〉〈快递包装政府采购需求标准（试行）的通知》规定，对乙方提出的具体包装要求：</w:t>
      </w:r>
    </w:p>
    <w:p w14:paraId="6037DD5D">
      <w:pPr>
        <w:spacing w:line="360" w:lineRule="auto"/>
        <w:outlineLvl w:val="1"/>
        <w:rPr>
          <w:rFonts w:ascii="宋体" w:hAnsi="宋体" w:eastAsia="宋体"/>
          <w:szCs w:val="21"/>
        </w:rPr>
      </w:pPr>
      <w:r>
        <w:rPr>
          <w:rFonts w:hint="eastAsia" w:ascii="宋体" w:hAnsi="宋体" w:eastAsia="宋体"/>
          <w:szCs w:val="21"/>
        </w:rPr>
        <w:t>第六条    货款支付</w:t>
      </w:r>
    </w:p>
    <w:p w14:paraId="0B31558C">
      <w:pPr>
        <w:spacing w:line="360" w:lineRule="auto"/>
        <w:ind w:firstLine="420" w:firstLineChars="200"/>
        <w:rPr>
          <w:rFonts w:ascii="宋体" w:hAnsi="宋体" w:eastAsia="宋体"/>
          <w:szCs w:val="21"/>
        </w:rPr>
      </w:pPr>
      <w:r>
        <w:rPr>
          <w:rFonts w:hint="eastAsia" w:ascii="宋体" w:hAnsi="宋体" w:eastAsia="宋体"/>
          <w:szCs w:val="21"/>
        </w:rPr>
        <w:t>1.货物运到交货地点，经甲乙双方共同验收合格后由甲方负责办理贷款支付手续。</w:t>
      </w:r>
    </w:p>
    <w:p w14:paraId="6D7CB417">
      <w:pPr>
        <w:spacing w:line="360" w:lineRule="auto"/>
        <w:ind w:firstLine="420" w:firstLineChars="200"/>
        <w:rPr>
          <w:rFonts w:ascii="宋体" w:hAnsi="宋体" w:eastAsia="宋体"/>
          <w:szCs w:val="21"/>
        </w:rPr>
      </w:pPr>
      <w:r>
        <w:rPr>
          <w:rFonts w:hint="eastAsia" w:ascii="宋体" w:hAnsi="宋体" w:eastAsia="宋体"/>
          <w:szCs w:val="21"/>
        </w:rPr>
        <w:t>2.允许并鼓励乙方提供电子发票，甲方自收到发票之日起2个工作日内支付资金，并不得附加未经约定的其他条件。</w:t>
      </w:r>
    </w:p>
    <w:p w14:paraId="326DFEDC">
      <w:pPr>
        <w:spacing w:line="360" w:lineRule="auto"/>
        <w:ind w:firstLine="210" w:firstLineChars="100"/>
        <w:outlineLvl w:val="2"/>
        <w:rPr>
          <w:rFonts w:ascii="宋体" w:hAnsi="宋体" w:eastAsia="宋体"/>
          <w:szCs w:val="21"/>
        </w:rPr>
      </w:pPr>
      <w:r>
        <w:rPr>
          <w:rFonts w:hint="eastAsia" w:ascii="宋体" w:hAnsi="宋体" w:eastAsia="宋体"/>
          <w:szCs w:val="21"/>
        </w:rPr>
        <w:t>3.付款方式</w:t>
      </w:r>
    </w:p>
    <w:p w14:paraId="6303B6E1">
      <w:pPr>
        <w:spacing w:line="360" w:lineRule="auto"/>
        <w:ind w:firstLine="210" w:firstLineChars="100"/>
        <w:rPr>
          <w:rFonts w:ascii="宋体" w:hAnsi="宋体" w:eastAsia="宋体"/>
          <w:szCs w:val="21"/>
        </w:rPr>
      </w:pPr>
      <w:r>
        <w:rPr>
          <w:rFonts w:hint="eastAsia" w:ascii="宋体" w:hAnsi="宋体" w:eastAsia="宋体"/>
          <w:szCs w:val="21"/>
        </w:rPr>
        <w:t>3.1预付款比例： _ %， 于政府采购合同签订生效并具备实施条件后2个工作日内支付。</w:t>
      </w:r>
    </w:p>
    <w:p w14:paraId="1D519AC8">
      <w:pPr>
        <w:spacing w:line="360" w:lineRule="auto"/>
        <w:outlineLvl w:val="1"/>
        <w:rPr>
          <w:rFonts w:ascii="宋体" w:hAnsi="宋体" w:eastAsia="宋体"/>
          <w:szCs w:val="21"/>
        </w:rPr>
      </w:pPr>
      <w:r>
        <w:rPr>
          <w:rFonts w:hint="eastAsia" w:ascii="宋体" w:hAnsi="宋体" w:eastAsia="宋体"/>
          <w:szCs w:val="21"/>
        </w:rPr>
        <w:t>第七条   履约保证金</w:t>
      </w:r>
    </w:p>
    <w:p w14:paraId="2298ECBB">
      <w:pPr>
        <w:spacing w:line="360" w:lineRule="auto"/>
        <w:ind w:firstLine="105" w:firstLineChars="50"/>
        <w:rPr>
          <w:rFonts w:ascii="宋体" w:hAnsi="宋体" w:eastAsia="宋体"/>
          <w:szCs w:val="21"/>
        </w:rPr>
      </w:pPr>
      <w:r>
        <w:rPr>
          <w:rFonts w:hint="eastAsia" w:ascii="宋体" w:hAnsi="宋体" w:eastAsia="宋体"/>
          <w:szCs w:val="21"/>
        </w:rPr>
        <w:t>根据许昌市优化政府采购营商环境要求，项目不收取履约保证金。</w:t>
      </w:r>
    </w:p>
    <w:p w14:paraId="7E051AA0">
      <w:pPr>
        <w:spacing w:line="360" w:lineRule="auto"/>
        <w:outlineLvl w:val="1"/>
        <w:rPr>
          <w:rFonts w:ascii="宋体" w:hAnsi="宋体" w:eastAsia="宋体"/>
          <w:szCs w:val="21"/>
        </w:rPr>
      </w:pPr>
      <w:r>
        <w:rPr>
          <w:rFonts w:hint="eastAsia" w:ascii="宋体" w:hAnsi="宋体" w:eastAsia="宋体"/>
          <w:szCs w:val="21"/>
        </w:rPr>
        <w:t>第八条   售后服务及承诺</w:t>
      </w:r>
    </w:p>
    <w:p w14:paraId="5CFEC9E2">
      <w:pPr>
        <w:spacing w:line="360" w:lineRule="auto"/>
        <w:ind w:firstLine="315" w:firstLineChars="150"/>
        <w:outlineLvl w:val="2"/>
        <w:rPr>
          <w:rFonts w:ascii="宋体" w:hAnsi="宋体" w:eastAsia="宋体"/>
          <w:szCs w:val="21"/>
        </w:rPr>
      </w:pPr>
      <w:r>
        <w:rPr>
          <w:rFonts w:hint="eastAsia" w:ascii="宋体" w:hAnsi="宋体" w:eastAsia="宋体"/>
          <w:szCs w:val="21"/>
        </w:rPr>
        <w:t>1.乙方有完善的服务体系，有能力提供持续的、本地化售后服务。</w:t>
      </w:r>
    </w:p>
    <w:p w14:paraId="7E82AAAB">
      <w:pPr>
        <w:spacing w:line="360" w:lineRule="auto"/>
        <w:ind w:firstLine="315" w:firstLineChars="150"/>
        <w:rPr>
          <w:rFonts w:ascii="宋体" w:hAnsi="宋体" w:eastAsia="宋体"/>
          <w:szCs w:val="21"/>
        </w:rPr>
      </w:pPr>
      <w:r>
        <w:rPr>
          <w:rFonts w:hint="eastAsia" w:ascii="宋体" w:hAnsi="宋体" w:eastAsia="宋体"/>
          <w:szCs w:val="21"/>
        </w:rPr>
        <w:t>2.乙方负责系统安装和调试以及操作人员培训，并制定详细的培训计划，使操作人员能独立进行管理、操作、维护和故障处理等工作，做好相关记录及技术文档收集整理，待验收合格后移交给甲方。</w:t>
      </w:r>
    </w:p>
    <w:p w14:paraId="115A07F3">
      <w:pPr>
        <w:spacing w:line="360" w:lineRule="auto"/>
        <w:ind w:firstLine="315" w:firstLineChars="150"/>
        <w:rPr>
          <w:rFonts w:ascii="宋体" w:hAnsi="宋体" w:eastAsia="宋体"/>
          <w:szCs w:val="21"/>
        </w:rPr>
      </w:pPr>
      <w:r>
        <w:rPr>
          <w:rFonts w:hint="eastAsia" w:ascii="宋体" w:hAnsi="宋体" w:eastAsia="宋体"/>
          <w:szCs w:val="21"/>
        </w:rPr>
        <w:t>3.供货及服务范围：乙方负责货物的</w:t>
      </w:r>
      <w:r>
        <w:rPr>
          <w:rFonts w:hint="eastAsia" w:ascii="宋体" w:hAnsi="宋体" w:eastAsia="宋体"/>
          <w:szCs w:val="21"/>
          <w:lang w:val="en-US" w:eastAsia="zh-CN"/>
        </w:rPr>
        <w:t>供应</w:t>
      </w:r>
      <w:r>
        <w:rPr>
          <w:rFonts w:hint="eastAsia" w:ascii="宋体" w:hAnsi="宋体" w:eastAsia="宋体"/>
          <w:szCs w:val="21"/>
        </w:rPr>
        <w:t>、运输、安装调试。免费培训、售后服务。</w:t>
      </w:r>
    </w:p>
    <w:p w14:paraId="1042F35C">
      <w:pPr>
        <w:spacing w:line="360" w:lineRule="auto"/>
        <w:outlineLvl w:val="1"/>
        <w:rPr>
          <w:rFonts w:ascii="宋体" w:hAnsi="宋体" w:eastAsia="宋体"/>
          <w:szCs w:val="21"/>
        </w:rPr>
      </w:pPr>
      <w:r>
        <w:rPr>
          <w:rFonts w:hint="eastAsia" w:ascii="宋体" w:hAnsi="宋体" w:eastAsia="宋体"/>
          <w:szCs w:val="21"/>
        </w:rPr>
        <w:t>第九条   验收</w:t>
      </w:r>
    </w:p>
    <w:p w14:paraId="1FD1C6DE">
      <w:pPr>
        <w:spacing w:line="360" w:lineRule="auto"/>
        <w:ind w:firstLine="315" w:firstLineChars="150"/>
        <w:rPr>
          <w:rFonts w:ascii="宋体" w:hAnsi="宋体" w:eastAsia="宋体"/>
          <w:szCs w:val="21"/>
        </w:rPr>
      </w:pPr>
      <w:r>
        <w:rPr>
          <w:rFonts w:hint="eastAsia" w:ascii="宋体" w:hAnsi="宋体" w:eastAsia="宋体"/>
          <w:szCs w:val="21"/>
        </w:rPr>
        <w:t>1.货物运抵现场后，采购人将对货物数量、质量、规格等进行检验。如发现货物和规格或者两者都与合同不符，采购人有权根据检验结果要求中标人立即更换或者提出索赔要求。</w:t>
      </w:r>
    </w:p>
    <w:p w14:paraId="312C190C">
      <w:pPr>
        <w:spacing w:line="360" w:lineRule="auto"/>
        <w:ind w:firstLine="315" w:firstLineChars="150"/>
        <w:outlineLvl w:val="2"/>
        <w:rPr>
          <w:rFonts w:ascii="宋体" w:hAnsi="宋体" w:eastAsia="宋体"/>
          <w:szCs w:val="21"/>
        </w:rPr>
      </w:pPr>
      <w:r>
        <w:rPr>
          <w:rFonts w:hint="eastAsia" w:ascii="宋体" w:hAnsi="宋体" w:eastAsia="宋体"/>
          <w:szCs w:val="21"/>
        </w:rPr>
        <w:t>2.开箱检查设备外观，如有损伤或质量缺陷，乙方应及时更换。</w:t>
      </w:r>
    </w:p>
    <w:p w14:paraId="20588872">
      <w:pPr>
        <w:spacing w:line="360" w:lineRule="auto"/>
        <w:ind w:firstLine="315" w:firstLineChars="150"/>
        <w:rPr>
          <w:rFonts w:ascii="宋体" w:hAnsi="宋体" w:eastAsia="宋体"/>
          <w:szCs w:val="21"/>
        </w:rPr>
      </w:pPr>
      <w:r>
        <w:rPr>
          <w:rFonts w:hint="eastAsia" w:ascii="宋体" w:hAnsi="宋体" w:eastAsia="宋体"/>
          <w:szCs w:val="21"/>
        </w:rPr>
        <w:t>3.依据合同设备清单，对设备品牌、规格型号（技术参数）、数量、质保书等必备附件进行检查。</w:t>
      </w:r>
    </w:p>
    <w:p w14:paraId="607193F2">
      <w:pPr>
        <w:spacing w:line="360" w:lineRule="auto"/>
        <w:ind w:firstLine="315" w:firstLineChars="150"/>
        <w:rPr>
          <w:rFonts w:ascii="宋体" w:hAnsi="宋体" w:eastAsia="宋体"/>
          <w:szCs w:val="21"/>
        </w:rPr>
      </w:pPr>
      <w:r>
        <w:rPr>
          <w:rFonts w:hint="eastAsia" w:ascii="宋体" w:hAnsi="宋体" w:eastAsia="宋体"/>
          <w:szCs w:val="21"/>
        </w:rPr>
        <w:t>4.货物由中标人进行安装。完毕后，采购人应对货物的数量、质量、规格、性能等进行详细全面地检验。在收到乙方项目验收建议之日起7个工作日内，对采购项目进行实质性验收（验收建议有明显不当的除外）。</w:t>
      </w:r>
    </w:p>
    <w:p w14:paraId="337AC30F">
      <w:pPr>
        <w:spacing w:line="360" w:lineRule="auto"/>
        <w:ind w:firstLine="315" w:firstLineChars="150"/>
        <w:rPr>
          <w:rFonts w:ascii="宋体" w:hAnsi="宋体" w:eastAsia="宋体"/>
          <w:szCs w:val="21"/>
        </w:rPr>
      </w:pPr>
      <w:r>
        <w:rPr>
          <w:rFonts w:hint="eastAsia" w:ascii="宋体" w:hAnsi="宋体" w:eastAsia="宋体"/>
          <w:szCs w:val="21"/>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14:paraId="55B569F9">
      <w:pPr>
        <w:spacing w:line="360" w:lineRule="auto"/>
        <w:ind w:firstLine="315" w:firstLineChars="150"/>
        <w:rPr>
          <w:rFonts w:ascii="宋体" w:hAnsi="宋体" w:eastAsia="宋体"/>
          <w:szCs w:val="21"/>
        </w:rPr>
      </w:pPr>
      <w:r>
        <w:rPr>
          <w:rFonts w:hint="eastAsia" w:ascii="宋体" w:hAnsi="宋体" w:eastAsia="宋体"/>
          <w:szCs w:val="21"/>
        </w:rPr>
        <w:t>6.根据财政部等三部门《关于印发〈商品包装政府采购需求标准（试行）〉〈</w:t>
      </w:r>
      <w:r>
        <w:rPr>
          <w:rFonts w:hint="eastAsia" w:ascii="宋体" w:hAnsi="宋体" w:eastAsia="宋体"/>
          <w:szCs w:val="21"/>
          <w:lang w:val="en-US" w:eastAsia="zh-CN"/>
        </w:rPr>
        <w:t>快递</w:t>
      </w:r>
      <w:r>
        <w:rPr>
          <w:rFonts w:hint="eastAsia" w:ascii="宋体" w:hAnsi="宋体" w:eastAsia="宋体"/>
          <w:szCs w:val="21"/>
        </w:rPr>
        <w:t>包装政府采购需求标准（试行）〉的通知》规定，采购文件对商品包装和快递包装提出具体要求的，对乙方所提供包装的履约验收要求（必要时要求乙方在履约验收环节出具检测报告）：</w:t>
      </w:r>
    </w:p>
    <w:p w14:paraId="4D782D4B">
      <w:pPr>
        <w:spacing w:line="360" w:lineRule="auto"/>
        <w:outlineLvl w:val="1"/>
        <w:rPr>
          <w:rFonts w:ascii="宋体" w:hAnsi="宋体" w:eastAsia="宋体"/>
          <w:szCs w:val="21"/>
        </w:rPr>
      </w:pPr>
      <w:r>
        <w:rPr>
          <w:rFonts w:hint="eastAsia" w:ascii="宋体" w:hAnsi="宋体" w:eastAsia="宋体"/>
          <w:szCs w:val="21"/>
        </w:rPr>
        <w:t>第十条   权利瑕疵担当</w:t>
      </w:r>
    </w:p>
    <w:p w14:paraId="7423FA55">
      <w:pPr>
        <w:spacing w:line="360" w:lineRule="auto"/>
        <w:ind w:firstLine="315" w:firstLineChars="150"/>
        <w:outlineLvl w:val="2"/>
        <w:rPr>
          <w:rFonts w:ascii="宋体" w:hAnsi="宋体" w:eastAsia="宋体"/>
          <w:szCs w:val="21"/>
        </w:rPr>
      </w:pPr>
      <w:r>
        <w:rPr>
          <w:rFonts w:hint="eastAsia" w:ascii="宋体" w:hAnsi="宋体" w:eastAsia="宋体"/>
          <w:szCs w:val="21"/>
        </w:rPr>
        <w:t>1.乙方保证对其出售的标的物享有合法的权利：</w:t>
      </w:r>
    </w:p>
    <w:p w14:paraId="78C30428">
      <w:pPr>
        <w:spacing w:line="360" w:lineRule="auto"/>
        <w:ind w:firstLine="315" w:firstLineChars="150"/>
        <w:rPr>
          <w:rFonts w:ascii="宋体" w:hAnsi="宋体" w:eastAsia="宋体"/>
          <w:szCs w:val="21"/>
        </w:rPr>
      </w:pPr>
      <w:r>
        <w:rPr>
          <w:rFonts w:hint="eastAsia" w:ascii="宋体" w:hAnsi="宋体" w:eastAsia="宋体"/>
          <w:szCs w:val="21"/>
        </w:rPr>
        <w:t>2.乙方应保证在其出售的标的物上不存在任何未曾向甲方</w:t>
      </w:r>
      <w:r>
        <w:rPr>
          <w:rFonts w:hint="eastAsia" w:ascii="宋体" w:hAnsi="宋体" w:eastAsia="宋体"/>
          <w:szCs w:val="21"/>
          <w:lang w:val="en-US" w:eastAsia="zh-CN"/>
        </w:rPr>
        <w:t>纰漏</w:t>
      </w:r>
      <w:r>
        <w:rPr>
          <w:rFonts w:hint="eastAsia" w:ascii="宋体" w:hAnsi="宋体" w:eastAsia="宋体"/>
          <w:szCs w:val="21"/>
        </w:rPr>
        <w:t>的担保物权，如抵押权、质押权、留置权等：</w:t>
      </w:r>
    </w:p>
    <w:p w14:paraId="22605AEF">
      <w:pPr>
        <w:spacing w:line="360" w:lineRule="auto"/>
        <w:ind w:firstLine="315" w:firstLineChars="150"/>
        <w:rPr>
          <w:rFonts w:ascii="宋体" w:hAnsi="宋体" w:eastAsia="宋体"/>
          <w:szCs w:val="21"/>
        </w:rPr>
      </w:pPr>
      <w:r>
        <w:rPr>
          <w:rFonts w:hint="eastAsia" w:ascii="宋体" w:hAnsi="宋体" w:eastAsia="宋体"/>
          <w:szCs w:val="21"/>
        </w:rPr>
        <w:t>3.乙方应保证其所出售的标的物没有侵害任何第三人的知识产权和商业秘密等权利：</w:t>
      </w:r>
    </w:p>
    <w:p w14:paraId="06F884AE">
      <w:pPr>
        <w:spacing w:line="360" w:lineRule="auto"/>
        <w:ind w:firstLine="315" w:firstLineChars="150"/>
        <w:outlineLvl w:val="2"/>
        <w:rPr>
          <w:rFonts w:ascii="宋体" w:hAnsi="宋体" w:eastAsia="宋体"/>
          <w:szCs w:val="21"/>
        </w:rPr>
      </w:pPr>
      <w:r>
        <w:rPr>
          <w:rFonts w:hint="eastAsia" w:ascii="宋体" w:hAnsi="宋体" w:eastAsia="宋体"/>
          <w:szCs w:val="21"/>
        </w:rPr>
        <w:t>4.如甲方使用该标的物构成上述侵权的，则由乙方承担全部责任。</w:t>
      </w:r>
    </w:p>
    <w:p w14:paraId="03DB8CAF">
      <w:pPr>
        <w:spacing w:line="360" w:lineRule="auto"/>
        <w:outlineLvl w:val="1"/>
        <w:rPr>
          <w:rFonts w:ascii="宋体" w:hAnsi="宋体" w:eastAsia="宋体"/>
          <w:szCs w:val="21"/>
        </w:rPr>
      </w:pPr>
      <w:r>
        <w:rPr>
          <w:rFonts w:hint="eastAsia" w:ascii="宋体" w:hAnsi="宋体" w:eastAsia="宋体"/>
          <w:szCs w:val="21"/>
        </w:rPr>
        <w:t>第十一条   知识产权</w:t>
      </w:r>
    </w:p>
    <w:p w14:paraId="15D773F3">
      <w:pPr>
        <w:spacing w:line="360" w:lineRule="auto"/>
        <w:ind w:firstLine="315" w:firstLineChars="150"/>
        <w:rPr>
          <w:rFonts w:ascii="宋体" w:hAnsi="宋体" w:eastAsia="宋体"/>
          <w:szCs w:val="21"/>
        </w:rPr>
      </w:pPr>
      <w:r>
        <w:rPr>
          <w:rFonts w:hint="eastAsia" w:ascii="宋体" w:hAnsi="宋体" w:eastAsia="宋体"/>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14:paraId="63D557D6">
      <w:pPr>
        <w:spacing w:line="360" w:lineRule="auto"/>
        <w:ind w:firstLine="315" w:firstLineChars="150"/>
        <w:rPr>
          <w:rFonts w:ascii="宋体" w:hAnsi="宋体" w:eastAsia="宋体"/>
          <w:szCs w:val="21"/>
        </w:rPr>
      </w:pPr>
      <w:r>
        <w:rPr>
          <w:rFonts w:hint="eastAsia" w:ascii="宋体" w:hAnsi="宋体" w:eastAsia="宋体"/>
          <w:szCs w:val="21"/>
        </w:rPr>
        <w:t>2.乙方为执行本合同而提供的技术资料或者其他相关资料、软件等由甲方永久免费使用。</w:t>
      </w:r>
    </w:p>
    <w:p w14:paraId="15A4A9BC">
      <w:pPr>
        <w:spacing w:line="360" w:lineRule="auto"/>
        <w:outlineLvl w:val="1"/>
        <w:rPr>
          <w:rFonts w:ascii="宋体" w:hAnsi="宋体" w:eastAsia="宋体"/>
          <w:szCs w:val="21"/>
        </w:rPr>
      </w:pPr>
      <w:r>
        <w:rPr>
          <w:rFonts w:hint="eastAsia" w:ascii="宋体" w:hAnsi="宋体" w:eastAsia="宋体"/>
          <w:szCs w:val="21"/>
        </w:rPr>
        <w:t>第十二条    甲方责任</w:t>
      </w:r>
    </w:p>
    <w:p w14:paraId="3BC7296B">
      <w:pPr>
        <w:spacing w:line="360" w:lineRule="auto"/>
        <w:ind w:firstLine="315" w:firstLineChars="150"/>
        <w:rPr>
          <w:rFonts w:ascii="宋体" w:hAnsi="宋体" w:eastAsia="宋体"/>
          <w:szCs w:val="21"/>
        </w:rPr>
      </w:pPr>
      <w:r>
        <w:rPr>
          <w:rFonts w:hint="eastAsia" w:ascii="宋体" w:hAnsi="宋体" w:eastAsia="宋体"/>
          <w:szCs w:val="21"/>
        </w:rPr>
        <w:t>1.及时办理付款手续。</w:t>
      </w:r>
    </w:p>
    <w:p w14:paraId="3D068CFC">
      <w:pPr>
        <w:spacing w:line="360" w:lineRule="auto"/>
        <w:ind w:firstLine="315" w:firstLineChars="150"/>
        <w:rPr>
          <w:rFonts w:ascii="宋体" w:hAnsi="宋体" w:eastAsia="宋体"/>
          <w:szCs w:val="21"/>
        </w:rPr>
      </w:pPr>
      <w:r>
        <w:rPr>
          <w:rFonts w:hint="eastAsia" w:ascii="宋体" w:hAnsi="宋体" w:eastAsia="宋体"/>
          <w:szCs w:val="21"/>
        </w:rPr>
        <w:t>2.负责提供工作场地，协助乙方办理有关事宜。</w:t>
      </w:r>
    </w:p>
    <w:p w14:paraId="3E02922C">
      <w:pPr>
        <w:spacing w:line="360" w:lineRule="auto"/>
        <w:ind w:firstLine="315" w:firstLineChars="150"/>
        <w:rPr>
          <w:rFonts w:ascii="宋体" w:hAnsi="宋体" w:eastAsia="宋体"/>
          <w:szCs w:val="21"/>
        </w:rPr>
      </w:pPr>
      <w:r>
        <w:rPr>
          <w:rFonts w:hint="eastAsia" w:ascii="宋体" w:hAnsi="宋体" w:eastAsia="宋体"/>
          <w:szCs w:val="21"/>
        </w:rPr>
        <w:t>3.对合同条款及所知悉的乙方商业秘密负有保密义务。</w:t>
      </w:r>
    </w:p>
    <w:p w14:paraId="483CA548">
      <w:pPr>
        <w:spacing w:line="360" w:lineRule="auto"/>
        <w:outlineLvl w:val="1"/>
        <w:rPr>
          <w:rFonts w:ascii="宋体" w:hAnsi="宋体" w:eastAsia="宋体"/>
          <w:szCs w:val="21"/>
        </w:rPr>
      </w:pPr>
      <w:r>
        <w:rPr>
          <w:rFonts w:hint="eastAsia" w:ascii="宋体" w:hAnsi="宋体" w:eastAsia="宋体"/>
          <w:szCs w:val="21"/>
        </w:rPr>
        <w:t>第十三条    乙方责任</w:t>
      </w:r>
    </w:p>
    <w:p w14:paraId="712647E5">
      <w:pPr>
        <w:spacing w:line="360" w:lineRule="auto"/>
        <w:ind w:firstLine="315" w:firstLineChars="150"/>
        <w:rPr>
          <w:rFonts w:ascii="宋体" w:hAnsi="宋体" w:eastAsia="宋体"/>
          <w:szCs w:val="21"/>
        </w:rPr>
      </w:pPr>
      <w:r>
        <w:rPr>
          <w:rFonts w:hint="eastAsia" w:ascii="宋体" w:hAnsi="宋体" w:eastAsia="宋体"/>
          <w:szCs w:val="21"/>
        </w:rPr>
        <w:t>1.保证所供货物均为投标文件承诺的货物，符合相关质量检测标准， 具有该产品的出厂标准或国家鉴定证书。保证其全部部件为全新的未使用的且符合相关质量要求。</w:t>
      </w:r>
    </w:p>
    <w:p w14:paraId="0645342F">
      <w:pPr>
        <w:spacing w:line="360" w:lineRule="auto"/>
        <w:ind w:firstLine="315" w:firstLineChars="150"/>
        <w:rPr>
          <w:rFonts w:ascii="宋体" w:hAnsi="宋体" w:eastAsia="宋体"/>
          <w:szCs w:val="21"/>
        </w:rPr>
      </w:pPr>
      <w:r>
        <w:rPr>
          <w:rFonts w:hint="eastAsia" w:ascii="宋体" w:hAnsi="宋体" w:eastAsia="宋体"/>
          <w:szCs w:val="21"/>
        </w:rPr>
        <w:t>2.保证货物的售后服务，严格依据投标文件及相关承诺，对货物及系统进行保修、维护等服务。</w:t>
      </w:r>
    </w:p>
    <w:p w14:paraId="4CF28622">
      <w:pPr>
        <w:spacing w:line="360" w:lineRule="auto"/>
        <w:ind w:firstLine="315" w:firstLineChars="150"/>
        <w:rPr>
          <w:rFonts w:ascii="宋体" w:hAnsi="宋体" w:eastAsia="宋体"/>
          <w:szCs w:val="21"/>
        </w:rPr>
      </w:pPr>
      <w:r>
        <w:rPr>
          <w:rFonts w:hint="eastAsia" w:ascii="宋体" w:hAnsi="宋体" w:eastAsia="宋体"/>
          <w:szCs w:val="21"/>
        </w:rPr>
        <w:t>3.保证其所供货物不存在侵犯第三方知识产权的行为，否则由此产生的损失由己方承担。</w:t>
      </w:r>
    </w:p>
    <w:p w14:paraId="454D8D07">
      <w:pPr>
        <w:spacing w:line="360" w:lineRule="auto"/>
        <w:outlineLvl w:val="1"/>
        <w:rPr>
          <w:rFonts w:ascii="宋体" w:hAnsi="宋体" w:eastAsia="宋体"/>
          <w:szCs w:val="21"/>
        </w:rPr>
      </w:pPr>
      <w:r>
        <w:rPr>
          <w:rFonts w:hint="eastAsia" w:ascii="宋体" w:hAnsi="宋体" w:eastAsia="宋体"/>
          <w:szCs w:val="21"/>
        </w:rPr>
        <w:t>第十四条   违约责任</w:t>
      </w:r>
    </w:p>
    <w:p w14:paraId="6FDFE87E">
      <w:pPr>
        <w:spacing w:line="360" w:lineRule="auto"/>
        <w:ind w:firstLine="315" w:firstLineChars="150"/>
        <w:rPr>
          <w:rFonts w:ascii="宋体" w:hAnsi="宋体" w:eastAsia="宋体"/>
          <w:szCs w:val="21"/>
        </w:rPr>
      </w:pPr>
      <w:r>
        <w:rPr>
          <w:rFonts w:hint="eastAsia" w:ascii="宋体" w:hAnsi="宋体" w:eastAsia="宋体"/>
          <w:szCs w:val="21"/>
        </w:rPr>
        <w:t>1.甲乙双方任意一方无故终止合同的，</w:t>
      </w:r>
      <w:r>
        <w:rPr>
          <w:rFonts w:hint="eastAsia" w:ascii="宋体" w:hAnsi="宋体" w:eastAsia="宋体"/>
          <w:szCs w:val="21"/>
          <w:lang w:val="en-US" w:eastAsia="zh-CN"/>
        </w:rPr>
        <w:t>违约</w:t>
      </w:r>
      <w:r>
        <w:rPr>
          <w:rFonts w:hint="eastAsia" w:ascii="宋体" w:hAnsi="宋体" w:eastAsia="宋体"/>
          <w:szCs w:val="21"/>
        </w:rPr>
        <w:t>方应当按照合同总金额的_ %向守约方支付违约金。</w:t>
      </w:r>
    </w:p>
    <w:p w14:paraId="2C111BBA">
      <w:pPr>
        <w:spacing w:line="360" w:lineRule="auto"/>
        <w:ind w:firstLine="315" w:firstLineChars="150"/>
        <w:rPr>
          <w:rFonts w:ascii="宋体" w:hAnsi="宋体" w:eastAsia="宋体"/>
          <w:szCs w:val="21"/>
        </w:rPr>
      </w:pPr>
      <w:r>
        <w:rPr>
          <w:rFonts w:hint="eastAsia" w:ascii="宋体" w:hAnsi="宋体" w:eastAsia="宋体"/>
          <w:szCs w:val="21"/>
        </w:rPr>
        <w:t>2.乙方逾期交付货物时，每逾_日乙方向甲方支付合同总金 额%的潜纳金。逾期交货超过__日的， 甲方有权决定是否继续履行合同，如甲方决定终止履行合同的，乙方应按照第1款的规定赔偿甲方违约金。</w:t>
      </w:r>
    </w:p>
    <w:p w14:paraId="53C836CF">
      <w:pPr>
        <w:spacing w:line="360" w:lineRule="auto"/>
        <w:ind w:firstLine="315" w:firstLineChars="150"/>
        <w:rPr>
          <w:rFonts w:ascii="宋体" w:hAnsi="宋体" w:eastAsia="宋体"/>
          <w:szCs w:val="21"/>
        </w:rPr>
      </w:pPr>
      <w:r>
        <w:rPr>
          <w:rFonts w:hint="eastAsia" w:ascii="宋体" w:hAnsi="宋体" w:eastAsia="宋体"/>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14:paraId="22BBB77C">
      <w:pPr>
        <w:spacing w:line="360" w:lineRule="auto"/>
        <w:ind w:firstLine="315" w:firstLineChars="150"/>
        <w:rPr>
          <w:rFonts w:ascii="宋体" w:hAnsi="宋体" w:eastAsia="宋体"/>
          <w:szCs w:val="21"/>
        </w:rPr>
      </w:pPr>
      <w:r>
        <w:rPr>
          <w:rFonts w:hint="eastAsia" w:ascii="宋体" w:hAnsi="宋体" w:eastAsia="宋体"/>
          <w:szCs w:val="21"/>
        </w:rPr>
        <w:t>4.在质保期内产品出现质量问题，乙方必须在接到甲方通知后_小时内到达现场解决，否则甲方有权另请单位解决，由此产生的费用由乙方承担，产生的损失由乙方赔偿。</w:t>
      </w:r>
    </w:p>
    <w:p w14:paraId="10D60471">
      <w:pPr>
        <w:spacing w:line="360" w:lineRule="auto"/>
        <w:ind w:firstLine="315" w:firstLineChars="150"/>
        <w:outlineLvl w:val="2"/>
        <w:rPr>
          <w:rFonts w:ascii="宋体" w:hAnsi="宋体" w:eastAsia="宋体"/>
          <w:szCs w:val="21"/>
        </w:rPr>
      </w:pPr>
      <w:r>
        <w:rPr>
          <w:rFonts w:hint="eastAsia" w:ascii="宋体" w:hAnsi="宋体" w:eastAsia="宋体"/>
          <w:szCs w:val="21"/>
        </w:rPr>
        <w:t>5.甲方逾期支付资金的违约责任：</w:t>
      </w:r>
    </w:p>
    <w:p w14:paraId="52B3F73D">
      <w:pPr>
        <w:spacing w:line="360" w:lineRule="auto"/>
        <w:ind w:firstLine="315" w:firstLineChars="150"/>
        <w:rPr>
          <w:rFonts w:ascii="宋体" w:hAnsi="宋体" w:eastAsia="宋体"/>
          <w:szCs w:val="21"/>
        </w:rPr>
      </w:pPr>
      <w:r>
        <w:rPr>
          <w:rFonts w:hint="eastAsia" w:ascii="宋体" w:hAnsi="宋体" w:eastAsia="宋体"/>
          <w:szCs w:val="21"/>
        </w:rPr>
        <w:t>6.因甲方原因导致变更，中止或者终止政府采购合同的，甲方对供应商受到的损失予以</w:t>
      </w:r>
      <w:r>
        <w:rPr>
          <w:rFonts w:hint="eastAsia" w:ascii="宋体" w:hAnsi="宋体" w:eastAsia="宋体"/>
          <w:szCs w:val="21"/>
          <w:lang w:val="en-US" w:eastAsia="zh-CN"/>
        </w:rPr>
        <w:t>赔偿</w:t>
      </w:r>
      <w:r>
        <w:rPr>
          <w:rFonts w:hint="eastAsia" w:ascii="宋体" w:hAnsi="宋体" w:eastAsia="宋体"/>
          <w:szCs w:val="21"/>
        </w:rPr>
        <w:t>或者补偿：</w:t>
      </w:r>
    </w:p>
    <w:p w14:paraId="097704BE">
      <w:pPr>
        <w:spacing w:line="360" w:lineRule="auto"/>
        <w:ind w:firstLine="315" w:firstLineChars="150"/>
        <w:outlineLvl w:val="2"/>
        <w:rPr>
          <w:rFonts w:ascii="宋体" w:hAnsi="宋体" w:eastAsia="宋体"/>
          <w:szCs w:val="21"/>
        </w:rPr>
      </w:pPr>
      <w:r>
        <w:rPr>
          <w:rFonts w:hint="eastAsia" w:ascii="宋体" w:hAnsi="宋体" w:eastAsia="宋体"/>
          <w:szCs w:val="21"/>
        </w:rPr>
        <w:t>7.甲乙双方违背其他合间条款。违约方赔偿对方损失。</w:t>
      </w:r>
    </w:p>
    <w:p w14:paraId="2856832B">
      <w:pPr>
        <w:spacing w:line="360" w:lineRule="auto"/>
        <w:outlineLvl w:val="1"/>
        <w:rPr>
          <w:rFonts w:ascii="宋体" w:hAnsi="宋体" w:eastAsia="宋体"/>
          <w:szCs w:val="21"/>
        </w:rPr>
      </w:pPr>
      <w:r>
        <w:rPr>
          <w:rFonts w:hint="eastAsia" w:ascii="宋体" w:hAnsi="宋体" w:eastAsia="宋体"/>
          <w:szCs w:val="21"/>
        </w:rPr>
        <w:t>第十五条   不可抗力</w:t>
      </w:r>
    </w:p>
    <w:p w14:paraId="629AE05C">
      <w:pPr>
        <w:spacing w:line="360" w:lineRule="auto"/>
        <w:ind w:firstLine="315" w:firstLineChars="150"/>
        <w:rPr>
          <w:rFonts w:ascii="宋体" w:hAnsi="宋体" w:eastAsia="宋体"/>
          <w:szCs w:val="21"/>
        </w:rPr>
      </w:pPr>
      <w:r>
        <w:rPr>
          <w:rFonts w:hint="eastAsia" w:ascii="宋体" w:hAnsi="宋体" w:eastAsia="宋体"/>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14:paraId="690B5DA6">
      <w:pPr>
        <w:spacing w:line="360" w:lineRule="auto"/>
        <w:outlineLvl w:val="1"/>
        <w:rPr>
          <w:rFonts w:ascii="宋体" w:hAnsi="宋体" w:eastAsia="宋体"/>
          <w:szCs w:val="21"/>
        </w:rPr>
      </w:pPr>
      <w:r>
        <w:rPr>
          <w:rFonts w:hint="eastAsia" w:ascii="宋体" w:hAnsi="宋体" w:eastAsia="宋体"/>
          <w:szCs w:val="21"/>
        </w:rPr>
        <w:t>第十六条   保密</w:t>
      </w:r>
    </w:p>
    <w:p w14:paraId="65A52254">
      <w:pPr>
        <w:spacing w:line="360" w:lineRule="auto"/>
        <w:ind w:firstLine="315" w:firstLineChars="150"/>
        <w:rPr>
          <w:rFonts w:ascii="宋体" w:hAnsi="宋体" w:eastAsia="宋体"/>
          <w:szCs w:val="21"/>
        </w:rPr>
      </w:pPr>
      <w:r>
        <w:rPr>
          <w:rFonts w:hint="eastAsia" w:ascii="宋体" w:hAnsi="宋体" w:eastAsia="宋体"/>
          <w:szCs w:val="21"/>
        </w:rPr>
        <w:t>乙方在合同履行期间知悉甲方的工作秘密（包括相关业务信息），不得透露或以其他方式提供给合同双方以外的其他方（包括乙方内部与本合同无关的任何人员）。乙方的保密责任不因本合同的终止面终止。</w:t>
      </w:r>
    </w:p>
    <w:p w14:paraId="7787A437">
      <w:pPr>
        <w:spacing w:line="360" w:lineRule="auto"/>
        <w:ind w:firstLine="315" w:firstLineChars="150"/>
        <w:rPr>
          <w:rFonts w:ascii="宋体" w:hAnsi="宋体" w:eastAsia="宋体"/>
          <w:szCs w:val="21"/>
        </w:rPr>
      </w:pPr>
      <w:r>
        <w:rPr>
          <w:rFonts w:hint="eastAsia" w:ascii="宋体" w:hAnsi="宋体" w:eastAsia="宋体"/>
          <w:szCs w:val="21"/>
        </w:rPr>
        <w:t>乙方违反本合同所规定的</w:t>
      </w:r>
      <w:r>
        <w:rPr>
          <w:rFonts w:hint="eastAsia" w:ascii="宋体" w:hAnsi="宋体" w:eastAsia="宋体"/>
          <w:szCs w:val="21"/>
          <w:lang w:val="en-US" w:eastAsia="zh-CN"/>
        </w:rPr>
        <w:t>保密</w:t>
      </w:r>
      <w:r>
        <w:rPr>
          <w:rFonts w:hint="eastAsia" w:ascii="宋体" w:hAnsi="宋体" w:eastAsia="宋体"/>
          <w:szCs w:val="21"/>
        </w:rPr>
        <w:t>义务，应按照本合同总金额的_ %支付违约金。</w:t>
      </w:r>
    </w:p>
    <w:p w14:paraId="18227A57">
      <w:pPr>
        <w:spacing w:line="360" w:lineRule="auto"/>
        <w:outlineLvl w:val="1"/>
        <w:rPr>
          <w:rFonts w:ascii="宋体" w:hAnsi="宋体" w:eastAsia="宋体"/>
          <w:szCs w:val="21"/>
        </w:rPr>
      </w:pPr>
      <w:r>
        <w:rPr>
          <w:rFonts w:hint="eastAsia" w:ascii="宋体" w:hAnsi="宋体" w:eastAsia="宋体"/>
          <w:szCs w:val="21"/>
        </w:rPr>
        <w:t>第十七条   争议解决</w:t>
      </w:r>
    </w:p>
    <w:p w14:paraId="38D8459F">
      <w:pPr>
        <w:spacing w:line="360" w:lineRule="auto"/>
        <w:ind w:firstLine="315" w:firstLineChars="150"/>
        <w:rPr>
          <w:rFonts w:ascii="宋体" w:hAnsi="宋体" w:eastAsia="宋体"/>
          <w:szCs w:val="21"/>
        </w:rPr>
      </w:pPr>
      <w:r>
        <w:rPr>
          <w:rFonts w:hint="eastAsia" w:ascii="宋体" w:hAnsi="宋体" w:eastAsia="宋体"/>
          <w:szCs w:val="21"/>
        </w:rPr>
        <w:t>甲乙双方在合同履行中发生争议，应通过协商解决。如协商不成，可以向合同签订地法院提起</w:t>
      </w:r>
      <w:r>
        <w:rPr>
          <w:rFonts w:hint="eastAsia" w:ascii="宋体" w:hAnsi="宋体" w:eastAsia="宋体"/>
          <w:szCs w:val="21"/>
          <w:lang w:val="en-US" w:eastAsia="zh-CN"/>
        </w:rPr>
        <w:t>诉讼</w:t>
      </w:r>
      <w:r>
        <w:rPr>
          <w:rFonts w:hint="eastAsia" w:ascii="宋体" w:hAnsi="宋体" w:eastAsia="宋体"/>
          <w:szCs w:val="21"/>
        </w:rPr>
        <w:t>。</w:t>
      </w:r>
    </w:p>
    <w:p w14:paraId="786D2A38">
      <w:pPr>
        <w:spacing w:line="360" w:lineRule="auto"/>
        <w:outlineLvl w:val="1"/>
        <w:rPr>
          <w:rFonts w:ascii="宋体" w:hAnsi="宋体" w:eastAsia="宋体"/>
          <w:szCs w:val="21"/>
        </w:rPr>
      </w:pPr>
      <w:r>
        <w:rPr>
          <w:rFonts w:hint="eastAsia" w:ascii="宋体" w:hAnsi="宋体" w:eastAsia="宋体"/>
          <w:szCs w:val="21"/>
        </w:rPr>
        <w:t>第十八条   合同生效及其他</w:t>
      </w:r>
    </w:p>
    <w:p w14:paraId="07C3891B">
      <w:pPr>
        <w:spacing w:line="360" w:lineRule="auto"/>
        <w:ind w:firstLine="315" w:firstLineChars="150"/>
        <w:rPr>
          <w:rFonts w:ascii="宋体" w:hAnsi="宋体" w:eastAsia="宋体"/>
          <w:szCs w:val="21"/>
        </w:rPr>
      </w:pPr>
      <w:r>
        <w:rPr>
          <w:rFonts w:hint="eastAsia" w:ascii="宋体" w:hAnsi="宋体" w:eastAsia="宋体"/>
          <w:szCs w:val="21"/>
        </w:rPr>
        <w:t>1.除招标文件规定且甲方事先书面同意外，乙方不得部分或者全部转让、分包履行其应履行的合同项下的义务。</w:t>
      </w:r>
    </w:p>
    <w:p w14:paraId="7383C3D4">
      <w:pPr>
        <w:spacing w:line="360" w:lineRule="auto"/>
        <w:ind w:firstLine="315" w:firstLineChars="150"/>
        <w:rPr>
          <w:rFonts w:ascii="宋体" w:hAnsi="宋体" w:eastAsia="宋体"/>
          <w:szCs w:val="21"/>
        </w:rPr>
      </w:pPr>
      <w:r>
        <w:rPr>
          <w:rFonts w:hint="eastAsia" w:ascii="宋体" w:hAnsi="宋体" w:eastAsia="宋体"/>
          <w:szCs w:val="21"/>
        </w:rPr>
        <w:t>2.合同由甲，乙双方法定代表人（或者授权代表）签字并加盖单位公章，以最后一方签字日期为合同生效日期。</w:t>
      </w:r>
    </w:p>
    <w:p w14:paraId="03D96F88">
      <w:pPr>
        <w:spacing w:line="360" w:lineRule="auto"/>
        <w:ind w:firstLine="315" w:firstLineChars="150"/>
        <w:outlineLvl w:val="2"/>
        <w:rPr>
          <w:rFonts w:ascii="宋体" w:hAnsi="宋体" w:eastAsia="宋体"/>
          <w:szCs w:val="21"/>
        </w:rPr>
      </w:pPr>
      <w:r>
        <w:rPr>
          <w:rFonts w:hint="eastAsia" w:ascii="宋体" w:hAnsi="宋体" w:eastAsia="宋体"/>
          <w:szCs w:val="21"/>
        </w:rPr>
        <w:t>3.本合同一式份，甲方份，乙方份。</w:t>
      </w:r>
    </w:p>
    <w:p w14:paraId="6342B4ED">
      <w:pPr>
        <w:spacing w:line="360" w:lineRule="auto"/>
        <w:outlineLvl w:val="1"/>
        <w:rPr>
          <w:rFonts w:ascii="宋体" w:hAnsi="宋体" w:eastAsia="宋体"/>
          <w:szCs w:val="21"/>
        </w:rPr>
      </w:pPr>
      <w:r>
        <w:rPr>
          <w:rFonts w:hint="eastAsia" w:ascii="宋体" w:hAnsi="宋体" w:eastAsia="宋体"/>
          <w:szCs w:val="21"/>
        </w:rPr>
        <w:t>第十九条   政府采购</w:t>
      </w:r>
      <w:r>
        <w:rPr>
          <w:rFonts w:hint="eastAsia" w:ascii="宋体" w:hAnsi="宋体" w:eastAsia="宋体"/>
          <w:szCs w:val="21"/>
          <w:lang w:val="en-US" w:eastAsia="zh-CN"/>
        </w:rPr>
        <w:t>合同</w:t>
      </w:r>
      <w:r>
        <w:rPr>
          <w:rFonts w:hint="eastAsia" w:ascii="宋体" w:hAnsi="宋体" w:eastAsia="宋体"/>
          <w:szCs w:val="21"/>
        </w:rPr>
        <w:t>融资</w:t>
      </w:r>
    </w:p>
    <w:p w14:paraId="6E4E65F2">
      <w:pPr>
        <w:spacing w:line="360" w:lineRule="auto"/>
        <w:ind w:firstLine="315" w:firstLineChars="150"/>
        <w:rPr>
          <w:rFonts w:ascii="宋体" w:hAnsi="宋体" w:eastAsia="宋体"/>
          <w:szCs w:val="21"/>
        </w:rPr>
      </w:pPr>
      <w:r>
        <w:rPr>
          <w:rFonts w:hint="eastAsia" w:ascii="宋体" w:hAnsi="宋体" w:eastAsia="宋体"/>
          <w:szCs w:val="21"/>
        </w:rPr>
        <w:t>1.政府采购合同签订前开展融资业务的。中标（成交）供应商持政府采购中标（成交）通知书提前与金融机构进行合同融资</w:t>
      </w:r>
      <w:r>
        <w:rPr>
          <w:rFonts w:hint="eastAsia" w:ascii="宋体" w:hAnsi="宋体" w:eastAsia="宋体"/>
          <w:szCs w:val="21"/>
          <w:lang w:val="en-US" w:eastAsia="zh-CN"/>
        </w:rPr>
        <w:t>商洽</w:t>
      </w:r>
      <w:r>
        <w:rPr>
          <w:rFonts w:hint="eastAsia" w:ascii="宋体" w:hAnsi="宋体" w:eastAsia="宋体"/>
          <w:szCs w:val="21"/>
        </w:rPr>
        <w:t>，双方达成融资意向后，中标（成交）供应商与采购人签订政府采购合同，合同中供应商的银行账户要与合同融资的</w:t>
      </w:r>
      <w:r>
        <w:rPr>
          <w:rFonts w:hint="eastAsia" w:ascii="宋体" w:hAnsi="宋体" w:eastAsia="宋体"/>
          <w:szCs w:val="21"/>
          <w:lang w:val="en-US" w:eastAsia="zh-CN"/>
        </w:rPr>
        <w:t>汇缴</w:t>
      </w:r>
      <w:r>
        <w:rPr>
          <w:rFonts w:hint="eastAsia" w:ascii="宋体" w:hAnsi="宋体" w:eastAsia="宋体"/>
          <w:szCs w:val="21"/>
        </w:rPr>
        <w:t>账户一致。中标（成交）供应商和贷款金融机构应及时将政府采购合同作为融资质押的信息告知采购人。采购人要从严加强合同付款账户管理，未经贷款银行同意，不随意更改合同</w:t>
      </w:r>
      <w:r>
        <w:rPr>
          <w:rFonts w:hint="eastAsia" w:ascii="宋体" w:hAnsi="宋体" w:eastAsia="宋体"/>
          <w:szCs w:val="21"/>
          <w:lang w:val="en-US" w:eastAsia="zh-CN"/>
        </w:rPr>
        <w:t>付款</w:t>
      </w:r>
      <w:r>
        <w:rPr>
          <w:rFonts w:hint="eastAsia" w:ascii="宋体" w:hAnsi="宋体" w:eastAsia="宋体"/>
          <w:szCs w:val="21"/>
        </w:rPr>
        <w:t>账户。</w:t>
      </w:r>
    </w:p>
    <w:p w14:paraId="0CF91436">
      <w:pPr>
        <w:spacing w:line="360" w:lineRule="auto"/>
        <w:ind w:firstLine="315" w:firstLineChars="150"/>
        <w:rPr>
          <w:rFonts w:ascii="宋体" w:hAnsi="宋体" w:eastAsia="宋体"/>
          <w:szCs w:val="21"/>
        </w:rPr>
      </w:pPr>
      <w:r>
        <w:rPr>
          <w:rFonts w:hint="eastAsia" w:ascii="宋体" w:hAnsi="宋体" w:eastAsia="宋体"/>
          <w:szCs w:val="21"/>
        </w:rPr>
        <w:t>2.政府采购</w:t>
      </w:r>
      <w:r>
        <w:rPr>
          <w:rFonts w:hint="eastAsia" w:ascii="宋体" w:hAnsi="宋体" w:eastAsia="宋体"/>
          <w:szCs w:val="21"/>
          <w:lang w:val="en-US" w:eastAsia="zh-CN"/>
        </w:rPr>
        <w:t>合同</w:t>
      </w:r>
      <w:r>
        <w:rPr>
          <w:rFonts w:hint="eastAsia" w:ascii="宋体" w:hAnsi="宋体" w:eastAsia="宋体"/>
          <w:szCs w:val="21"/>
        </w:rPr>
        <w:t>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14:paraId="59070629">
      <w:pPr>
        <w:spacing w:line="360" w:lineRule="auto"/>
        <w:ind w:firstLine="315" w:firstLineChars="150"/>
        <w:rPr>
          <w:rFonts w:ascii="宋体" w:hAnsi="宋体" w:eastAsia="宋体"/>
          <w:szCs w:val="21"/>
        </w:rPr>
      </w:pPr>
      <w:r>
        <w:rPr>
          <w:rFonts w:hint="eastAsia" w:ascii="宋体" w:hAnsi="宋体" w:eastAsia="宋体"/>
          <w:szCs w:val="21"/>
        </w:rPr>
        <w:t>3.当中标（成交）供应商成功获取银行贷款后，采购人还应根据信息公开要求，加强合同账户及资金支付管理，确保</w:t>
      </w:r>
      <w:r>
        <w:rPr>
          <w:rFonts w:hint="eastAsia" w:ascii="宋体" w:hAnsi="宋体" w:eastAsia="宋体"/>
          <w:szCs w:val="21"/>
          <w:lang w:val="en-US" w:eastAsia="zh-CN"/>
        </w:rPr>
        <w:t>合同</w:t>
      </w:r>
      <w:r>
        <w:rPr>
          <w:rFonts w:hint="eastAsia" w:ascii="宋体" w:hAnsi="宋体" w:eastAsia="宋体"/>
          <w:szCs w:val="21"/>
        </w:rPr>
        <w:t>资金准确支付到贷款银行确认的回款账户。采购人不得</w:t>
      </w:r>
      <w:r>
        <w:rPr>
          <w:rFonts w:hint="eastAsia" w:ascii="宋体" w:hAnsi="宋体" w:eastAsia="宋体"/>
          <w:szCs w:val="21"/>
          <w:lang w:val="en-US" w:eastAsia="zh-CN"/>
        </w:rPr>
        <w:t>未经</w:t>
      </w:r>
      <w:r>
        <w:rPr>
          <w:rFonts w:hint="eastAsia" w:ascii="宋体" w:hAnsi="宋体" w:eastAsia="宋体"/>
          <w:szCs w:val="21"/>
        </w:rPr>
        <w:t>贷款银行同意擅自更改合同账户。非法支付项目资金，造成不良后果的，将承担相应法律责任。</w:t>
      </w:r>
    </w:p>
    <w:p w14:paraId="6B7B3BC2">
      <w:pPr>
        <w:spacing w:line="360" w:lineRule="auto"/>
        <w:outlineLvl w:val="1"/>
        <w:rPr>
          <w:rFonts w:ascii="宋体" w:hAnsi="宋体" w:eastAsia="宋体"/>
          <w:szCs w:val="21"/>
        </w:rPr>
      </w:pPr>
      <w:r>
        <w:rPr>
          <w:rFonts w:hint="eastAsia" w:ascii="宋体" w:hAnsi="宋体" w:eastAsia="宋体"/>
          <w:szCs w:val="21"/>
        </w:rPr>
        <w:t>第二十条        本合同附件</w:t>
      </w:r>
    </w:p>
    <w:p w14:paraId="6587BC19">
      <w:pPr>
        <w:spacing w:line="360" w:lineRule="auto"/>
        <w:ind w:firstLine="315" w:firstLineChars="150"/>
        <w:rPr>
          <w:rFonts w:ascii="宋体" w:hAnsi="宋体" w:eastAsia="宋体"/>
          <w:szCs w:val="21"/>
        </w:rPr>
      </w:pPr>
      <w:r>
        <w:rPr>
          <w:rFonts w:hint="eastAsia" w:ascii="宋体" w:hAnsi="宋体" w:eastAsia="宋体"/>
          <w:szCs w:val="21"/>
        </w:rPr>
        <w:t>1.中标通知书：</w:t>
      </w:r>
    </w:p>
    <w:p w14:paraId="1E0ED9DA">
      <w:pPr>
        <w:spacing w:line="360" w:lineRule="auto"/>
        <w:ind w:firstLine="315" w:firstLineChars="150"/>
        <w:rPr>
          <w:rFonts w:ascii="宋体" w:hAnsi="宋体" w:eastAsia="宋体"/>
          <w:szCs w:val="21"/>
        </w:rPr>
      </w:pPr>
      <w:r>
        <w:rPr>
          <w:rFonts w:hint="eastAsia" w:ascii="宋体" w:hAnsi="宋体" w:eastAsia="宋体"/>
          <w:szCs w:val="21"/>
        </w:rPr>
        <w:t>2.政府采购招标文件（含招标文件的澄清，修改等）：</w:t>
      </w:r>
    </w:p>
    <w:p w14:paraId="5596BA4A">
      <w:pPr>
        <w:spacing w:line="360" w:lineRule="auto"/>
        <w:ind w:firstLine="315" w:firstLineChars="150"/>
        <w:rPr>
          <w:rFonts w:ascii="宋体" w:hAnsi="宋体" w:eastAsia="宋体"/>
          <w:szCs w:val="21"/>
        </w:rPr>
      </w:pPr>
      <w:r>
        <w:rPr>
          <w:rFonts w:hint="eastAsia" w:ascii="宋体" w:hAnsi="宋体" w:eastAsia="宋体"/>
          <w:szCs w:val="21"/>
        </w:rPr>
        <w:t>3.乙方投标文件：</w:t>
      </w:r>
    </w:p>
    <w:p w14:paraId="34AB9F3B">
      <w:pPr>
        <w:spacing w:line="360" w:lineRule="auto"/>
        <w:ind w:firstLine="315" w:firstLineChars="150"/>
        <w:rPr>
          <w:rFonts w:ascii="宋体" w:hAnsi="宋体" w:eastAsia="宋体"/>
          <w:szCs w:val="21"/>
        </w:rPr>
      </w:pPr>
      <w:r>
        <w:rPr>
          <w:rFonts w:hint="eastAsia" w:ascii="宋体" w:hAnsi="宋体" w:eastAsia="宋体"/>
          <w:szCs w:val="21"/>
        </w:rPr>
        <w:t>4.中标人在评标过程中作出的有关澄清、说明，承诺或者补正文件（材料）。</w:t>
      </w:r>
    </w:p>
    <w:p w14:paraId="03815366">
      <w:pPr>
        <w:spacing w:line="360" w:lineRule="auto"/>
        <w:rPr>
          <w:rFonts w:ascii="宋体" w:hAnsi="宋体" w:eastAsia="宋体"/>
          <w:szCs w:val="21"/>
        </w:rPr>
      </w:pPr>
      <w:r>
        <w:rPr>
          <w:rFonts w:hint="eastAsia" w:ascii="宋体" w:hAnsi="宋体" w:eastAsia="宋体"/>
          <w:szCs w:val="21"/>
        </w:rPr>
        <w:t>甲  方：                                      乙  方：</w:t>
      </w:r>
    </w:p>
    <w:p w14:paraId="3946EC69">
      <w:pPr>
        <w:spacing w:line="360" w:lineRule="auto"/>
        <w:rPr>
          <w:rFonts w:ascii="宋体" w:hAnsi="宋体" w:eastAsia="宋体"/>
          <w:szCs w:val="21"/>
        </w:rPr>
      </w:pPr>
      <w:r>
        <w:rPr>
          <w:rFonts w:hint="eastAsia" w:ascii="宋体" w:hAnsi="宋体" w:eastAsia="宋体"/>
          <w:szCs w:val="21"/>
        </w:rPr>
        <w:t>单位名称（公章）：                              单位名称（公章）：</w:t>
      </w:r>
    </w:p>
    <w:p w14:paraId="29C34C4E">
      <w:pPr>
        <w:spacing w:line="360" w:lineRule="auto"/>
        <w:rPr>
          <w:rFonts w:ascii="宋体" w:hAnsi="宋体" w:eastAsia="宋体"/>
          <w:szCs w:val="21"/>
        </w:rPr>
      </w:pPr>
      <w:r>
        <w:rPr>
          <w:rFonts w:hint="eastAsia" w:ascii="宋体" w:hAnsi="宋体" w:eastAsia="宋体"/>
          <w:szCs w:val="21"/>
        </w:rPr>
        <w:t>法定代表人（授权代表）签字：                    法定代表人（授权代表）签字：</w:t>
      </w:r>
    </w:p>
    <w:p w14:paraId="0B89F0B5">
      <w:pPr>
        <w:tabs>
          <w:tab w:val="left" w:pos="4587"/>
        </w:tabs>
        <w:spacing w:line="360" w:lineRule="auto"/>
        <w:rPr>
          <w:rFonts w:ascii="宋体" w:hAnsi="宋体" w:eastAsia="宋体"/>
          <w:szCs w:val="21"/>
        </w:rPr>
      </w:pPr>
      <w:r>
        <w:rPr>
          <w:rFonts w:hint="eastAsia" w:ascii="宋体" w:hAnsi="宋体" w:eastAsia="宋体"/>
          <w:szCs w:val="21"/>
        </w:rPr>
        <w:t xml:space="preserve">  电  话：                                    </w:t>
      </w:r>
      <w:r>
        <w:rPr>
          <w:rFonts w:ascii="宋体" w:hAnsi="宋体" w:eastAsia="宋体"/>
          <w:szCs w:val="21"/>
        </w:rPr>
        <w:t>电话：</w:t>
      </w:r>
      <w:r>
        <w:rPr>
          <w:rFonts w:ascii="宋体" w:hAnsi="宋体" w:eastAsia="宋体"/>
          <w:szCs w:val="21"/>
        </w:rPr>
        <w:tab/>
      </w:r>
    </w:p>
    <w:p w14:paraId="366FF1AA">
      <w:pPr>
        <w:spacing w:line="360" w:lineRule="auto"/>
        <w:rPr>
          <w:rFonts w:ascii="宋体" w:hAnsi="宋体" w:eastAsia="宋体"/>
          <w:szCs w:val="21"/>
        </w:rPr>
      </w:pPr>
      <w:r>
        <w:rPr>
          <w:rFonts w:hint="eastAsia" w:ascii="宋体" w:hAnsi="宋体" w:eastAsia="宋体"/>
          <w:szCs w:val="21"/>
        </w:rPr>
        <w:t>年     月    日                                年   月   日</w:t>
      </w:r>
    </w:p>
    <w:p w14:paraId="59E93BE2">
      <w:pPr>
        <w:tabs>
          <w:tab w:val="left" w:pos="1260"/>
        </w:tabs>
        <w:autoSpaceDE w:val="0"/>
        <w:autoSpaceDN w:val="0"/>
        <w:adjustRightInd w:val="0"/>
        <w:spacing w:line="360" w:lineRule="auto"/>
        <w:rPr>
          <w:rFonts w:ascii="宋体" w:hAnsi="宋体" w:eastAsia="宋体" w:cs="宋体"/>
          <w:b/>
          <w:kern w:val="0"/>
          <w:sz w:val="32"/>
          <w:szCs w:val="32"/>
        </w:rPr>
      </w:pPr>
    </w:p>
    <w:p w14:paraId="31A0D399">
      <w:pPr>
        <w:pStyle w:val="15"/>
        <w:spacing w:line="360" w:lineRule="auto"/>
        <w:contextualSpacing/>
        <w:jc w:val="center"/>
        <w:rPr>
          <w:rFonts w:cs="宋体" w:asciiTheme="majorEastAsia" w:hAnsiTheme="majorEastAsia" w:eastAsiaTheme="majorEastAsia"/>
          <w:b/>
          <w:kern w:val="0"/>
          <w:sz w:val="36"/>
          <w:szCs w:val="36"/>
        </w:rPr>
      </w:pPr>
    </w:p>
    <w:p w14:paraId="41147F8D">
      <w:pPr>
        <w:pStyle w:val="15"/>
        <w:spacing w:line="360" w:lineRule="auto"/>
        <w:contextualSpacing/>
        <w:jc w:val="center"/>
        <w:rPr>
          <w:rFonts w:cs="宋体" w:asciiTheme="majorEastAsia" w:hAnsiTheme="majorEastAsia" w:eastAsiaTheme="majorEastAsia"/>
          <w:b/>
          <w:kern w:val="0"/>
          <w:sz w:val="36"/>
          <w:szCs w:val="36"/>
        </w:rPr>
      </w:pPr>
    </w:p>
    <w:p w14:paraId="42EDA41E">
      <w:pPr>
        <w:pStyle w:val="15"/>
        <w:spacing w:line="360" w:lineRule="auto"/>
        <w:contextualSpacing/>
        <w:jc w:val="center"/>
        <w:rPr>
          <w:rFonts w:cs="宋体" w:asciiTheme="majorEastAsia" w:hAnsiTheme="majorEastAsia" w:eastAsiaTheme="majorEastAsia"/>
          <w:b/>
          <w:kern w:val="0"/>
          <w:sz w:val="36"/>
          <w:szCs w:val="36"/>
        </w:rPr>
      </w:pPr>
    </w:p>
    <w:p w14:paraId="34602ECD">
      <w:pPr>
        <w:pStyle w:val="15"/>
        <w:spacing w:line="360" w:lineRule="auto"/>
        <w:contextualSpacing/>
        <w:jc w:val="center"/>
        <w:rPr>
          <w:rFonts w:cs="宋体" w:asciiTheme="majorEastAsia" w:hAnsiTheme="majorEastAsia" w:eastAsiaTheme="majorEastAsia"/>
          <w:b/>
          <w:kern w:val="0"/>
          <w:sz w:val="36"/>
          <w:szCs w:val="36"/>
        </w:rPr>
      </w:pPr>
    </w:p>
    <w:p w14:paraId="21DFEA62">
      <w:pPr>
        <w:pStyle w:val="15"/>
        <w:spacing w:line="360" w:lineRule="auto"/>
        <w:contextualSpacing/>
        <w:jc w:val="center"/>
        <w:rPr>
          <w:rFonts w:cs="宋体" w:asciiTheme="majorEastAsia" w:hAnsiTheme="majorEastAsia" w:eastAsiaTheme="majorEastAsia"/>
          <w:b/>
          <w:kern w:val="0"/>
          <w:sz w:val="36"/>
          <w:szCs w:val="36"/>
        </w:rPr>
      </w:pPr>
    </w:p>
    <w:p w14:paraId="192A30AF">
      <w:pPr>
        <w:pStyle w:val="15"/>
        <w:spacing w:line="360" w:lineRule="auto"/>
        <w:contextualSpacing/>
        <w:jc w:val="center"/>
        <w:rPr>
          <w:rFonts w:cs="宋体" w:asciiTheme="majorEastAsia" w:hAnsiTheme="majorEastAsia" w:eastAsiaTheme="majorEastAsia"/>
          <w:b/>
          <w:kern w:val="0"/>
          <w:sz w:val="36"/>
          <w:szCs w:val="36"/>
        </w:rPr>
      </w:pPr>
    </w:p>
    <w:p w14:paraId="19A41FDA">
      <w:pPr>
        <w:pStyle w:val="15"/>
        <w:spacing w:line="360" w:lineRule="auto"/>
        <w:contextualSpacing/>
        <w:jc w:val="center"/>
        <w:rPr>
          <w:rFonts w:cs="宋体" w:asciiTheme="majorEastAsia" w:hAnsiTheme="majorEastAsia" w:eastAsiaTheme="majorEastAsia"/>
          <w:b/>
          <w:kern w:val="0"/>
          <w:sz w:val="36"/>
          <w:szCs w:val="36"/>
        </w:rPr>
      </w:pPr>
    </w:p>
    <w:p w14:paraId="07C6DA82">
      <w:pPr>
        <w:pStyle w:val="15"/>
        <w:spacing w:line="360" w:lineRule="auto"/>
        <w:contextualSpacing/>
        <w:jc w:val="center"/>
        <w:rPr>
          <w:rFonts w:cs="宋体" w:asciiTheme="majorEastAsia" w:hAnsiTheme="majorEastAsia" w:eastAsiaTheme="majorEastAsia"/>
          <w:b/>
          <w:kern w:val="0"/>
          <w:sz w:val="36"/>
          <w:szCs w:val="36"/>
        </w:rPr>
      </w:pPr>
    </w:p>
    <w:p w14:paraId="49844736">
      <w:pPr>
        <w:pStyle w:val="15"/>
        <w:spacing w:line="360" w:lineRule="auto"/>
        <w:contextualSpacing/>
        <w:rPr>
          <w:rFonts w:cs="宋体" w:asciiTheme="majorEastAsia" w:hAnsiTheme="majorEastAsia" w:eastAsiaTheme="majorEastAsia"/>
          <w:b/>
          <w:kern w:val="0"/>
          <w:sz w:val="36"/>
          <w:szCs w:val="36"/>
        </w:rPr>
      </w:pPr>
    </w:p>
    <w:p w14:paraId="786D1A2A">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14:paraId="3E1C7B03">
      <w:pPr>
        <w:pStyle w:val="6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44865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34CBD81F">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142182BF">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1AA9AF75">
            <w:pPr>
              <w:snapToGrid w:val="0"/>
              <w:spacing w:line="400" w:lineRule="exact"/>
              <w:jc w:val="center"/>
              <w:rPr>
                <w:rFonts w:ascii="宋体" w:hAnsi="宋体" w:cs="微软雅黑"/>
                <w:b/>
                <w:szCs w:val="21"/>
              </w:rPr>
            </w:pPr>
            <w:r>
              <w:rPr>
                <w:rFonts w:hint="eastAsia" w:ascii="宋体" w:hAnsi="宋体" w:cs="微软雅黑"/>
                <w:b/>
                <w:szCs w:val="21"/>
                <w:lang w:eastAsia="zh-CN"/>
              </w:rPr>
              <w:t>供应商</w:t>
            </w:r>
            <w:r>
              <w:rPr>
                <w:rFonts w:hint="eastAsia" w:ascii="宋体" w:hAnsi="宋体" w:cs="微软雅黑"/>
                <w:b/>
                <w:szCs w:val="21"/>
              </w:rPr>
              <w:t>应答</w:t>
            </w:r>
          </w:p>
          <w:p w14:paraId="5AEDDBD2">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1550505D">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14:paraId="424315B7">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751A4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0299F5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w:t>
            </w:r>
          </w:p>
        </w:tc>
        <w:tc>
          <w:tcPr>
            <w:tcW w:w="3751" w:type="dxa"/>
            <w:vAlign w:val="center"/>
          </w:tcPr>
          <w:p w14:paraId="6C866071">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lang w:eastAsia="zh-CN"/>
                <w14:textFill>
                  <w14:solidFill>
                    <w14:schemeClr w14:val="tx1"/>
                  </w14:solidFill>
                </w14:textFill>
              </w:rPr>
              <w:t>供应商</w:t>
            </w:r>
            <w:r>
              <w:rPr>
                <w:rFonts w:hint="eastAsia" w:hAnsi="宋体"/>
                <w:color w:val="000000" w:themeColor="text1"/>
                <w:kern w:val="0"/>
                <w:sz w:val="21"/>
                <w:szCs w:val="21"/>
                <w14:textFill>
                  <w14:solidFill>
                    <w14:schemeClr w14:val="tx1"/>
                  </w14:solidFill>
                </w14:textFill>
              </w:rPr>
              <w:t>应答索引表</w:t>
            </w:r>
          </w:p>
        </w:tc>
        <w:tc>
          <w:tcPr>
            <w:tcW w:w="1559" w:type="dxa"/>
            <w:vAlign w:val="center"/>
          </w:tcPr>
          <w:p w14:paraId="2C95C71E">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18C9309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BA0041F">
            <w:pPr>
              <w:snapToGrid w:val="0"/>
              <w:spacing w:line="400" w:lineRule="exact"/>
              <w:rPr>
                <w:rFonts w:ascii="宋体" w:hAnsi="宋体" w:cs="微软雅黑"/>
                <w:color w:val="000000" w:themeColor="text1"/>
                <w:szCs w:val="21"/>
                <w14:textFill>
                  <w14:solidFill>
                    <w14:schemeClr w14:val="tx1"/>
                  </w14:solidFill>
                </w14:textFill>
              </w:rPr>
            </w:pPr>
          </w:p>
        </w:tc>
      </w:tr>
      <w:tr w14:paraId="5ADEF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5E12BC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w:t>
            </w:r>
          </w:p>
        </w:tc>
        <w:tc>
          <w:tcPr>
            <w:tcW w:w="3751" w:type="dxa"/>
            <w:vAlign w:val="center"/>
          </w:tcPr>
          <w:p w14:paraId="317BF0A5">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报价一览表</w:t>
            </w:r>
          </w:p>
        </w:tc>
        <w:tc>
          <w:tcPr>
            <w:tcW w:w="1559" w:type="dxa"/>
            <w:vAlign w:val="center"/>
          </w:tcPr>
          <w:p w14:paraId="1B679661">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52CFEA5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9ECA738">
            <w:pPr>
              <w:snapToGrid w:val="0"/>
              <w:spacing w:line="400" w:lineRule="exact"/>
              <w:rPr>
                <w:rFonts w:ascii="宋体" w:hAnsi="宋体" w:cs="微软雅黑"/>
                <w:color w:val="000000" w:themeColor="text1"/>
                <w:szCs w:val="21"/>
                <w14:textFill>
                  <w14:solidFill>
                    <w14:schemeClr w14:val="tx1"/>
                  </w14:solidFill>
                </w14:textFill>
              </w:rPr>
            </w:pPr>
          </w:p>
        </w:tc>
      </w:tr>
      <w:tr w14:paraId="6BE79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A3C385C">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3</w:t>
            </w:r>
          </w:p>
        </w:tc>
        <w:tc>
          <w:tcPr>
            <w:tcW w:w="3751" w:type="dxa"/>
            <w:vAlign w:val="center"/>
          </w:tcPr>
          <w:p w14:paraId="67A4448E">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投标函</w:t>
            </w:r>
          </w:p>
        </w:tc>
        <w:tc>
          <w:tcPr>
            <w:tcW w:w="1559" w:type="dxa"/>
            <w:vAlign w:val="center"/>
          </w:tcPr>
          <w:p w14:paraId="30FEF9C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22696A4D">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B67CA28">
            <w:pPr>
              <w:snapToGrid w:val="0"/>
              <w:spacing w:line="400" w:lineRule="exact"/>
              <w:rPr>
                <w:rFonts w:ascii="宋体" w:hAnsi="宋体" w:cs="微软雅黑"/>
                <w:color w:val="000000" w:themeColor="text1"/>
                <w:szCs w:val="21"/>
                <w14:textFill>
                  <w14:solidFill>
                    <w14:schemeClr w14:val="tx1"/>
                  </w14:solidFill>
                </w14:textFill>
              </w:rPr>
            </w:pPr>
          </w:p>
        </w:tc>
      </w:tr>
      <w:tr w14:paraId="08D13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9B9EB2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4</w:t>
            </w:r>
          </w:p>
        </w:tc>
        <w:tc>
          <w:tcPr>
            <w:tcW w:w="3751" w:type="dxa"/>
            <w:vAlign w:val="center"/>
          </w:tcPr>
          <w:p w14:paraId="366AC96C">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法定代表人（单位负责人）</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资</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格</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证</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明</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书</w:t>
            </w:r>
          </w:p>
        </w:tc>
        <w:tc>
          <w:tcPr>
            <w:tcW w:w="1559" w:type="dxa"/>
            <w:vAlign w:val="center"/>
          </w:tcPr>
          <w:p w14:paraId="6E90E1E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0BA886B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05A5364C">
            <w:pPr>
              <w:snapToGrid w:val="0"/>
              <w:spacing w:line="400" w:lineRule="exact"/>
              <w:rPr>
                <w:rFonts w:ascii="宋体" w:hAnsi="宋体" w:cs="微软雅黑"/>
                <w:color w:val="000000" w:themeColor="text1"/>
                <w:szCs w:val="21"/>
                <w14:textFill>
                  <w14:solidFill>
                    <w14:schemeClr w14:val="tx1"/>
                  </w14:solidFill>
                </w14:textFill>
              </w:rPr>
            </w:pPr>
          </w:p>
        </w:tc>
      </w:tr>
      <w:tr w14:paraId="75FAE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99018C5">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5</w:t>
            </w:r>
          </w:p>
        </w:tc>
        <w:tc>
          <w:tcPr>
            <w:tcW w:w="3751" w:type="dxa"/>
            <w:vAlign w:val="center"/>
          </w:tcPr>
          <w:p w14:paraId="509D8EC6">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法定代表人（单位负责人）授权书</w:t>
            </w:r>
          </w:p>
        </w:tc>
        <w:tc>
          <w:tcPr>
            <w:tcW w:w="1559" w:type="dxa"/>
            <w:vAlign w:val="center"/>
          </w:tcPr>
          <w:p w14:paraId="4B20835F">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18537775">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DD56E84">
            <w:pPr>
              <w:snapToGrid w:val="0"/>
              <w:spacing w:line="400" w:lineRule="exact"/>
              <w:rPr>
                <w:rFonts w:ascii="宋体" w:hAnsi="宋体" w:cs="微软雅黑"/>
                <w:color w:val="000000" w:themeColor="text1"/>
                <w:szCs w:val="21"/>
                <w14:textFill>
                  <w14:solidFill>
                    <w14:schemeClr w14:val="tx1"/>
                  </w14:solidFill>
                </w14:textFill>
              </w:rPr>
            </w:pPr>
          </w:p>
        </w:tc>
      </w:tr>
      <w:tr w14:paraId="15189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56F22A8">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6</w:t>
            </w:r>
          </w:p>
        </w:tc>
        <w:tc>
          <w:tcPr>
            <w:tcW w:w="3751" w:type="dxa"/>
            <w:vAlign w:val="center"/>
          </w:tcPr>
          <w:p w14:paraId="5A0BFA34">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谈判承诺函</w:t>
            </w:r>
          </w:p>
        </w:tc>
        <w:tc>
          <w:tcPr>
            <w:tcW w:w="1559" w:type="dxa"/>
            <w:vAlign w:val="center"/>
          </w:tcPr>
          <w:p w14:paraId="649B110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66F5EB70">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916B798">
            <w:pPr>
              <w:snapToGrid w:val="0"/>
              <w:spacing w:line="400" w:lineRule="exact"/>
              <w:rPr>
                <w:rFonts w:ascii="宋体" w:hAnsi="宋体" w:cs="微软雅黑"/>
                <w:color w:val="000000" w:themeColor="text1"/>
                <w:szCs w:val="21"/>
                <w14:textFill>
                  <w14:solidFill>
                    <w14:schemeClr w14:val="tx1"/>
                  </w14:solidFill>
                </w14:textFill>
              </w:rPr>
            </w:pPr>
          </w:p>
        </w:tc>
      </w:tr>
      <w:tr w14:paraId="7EA24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ECFDC8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7</w:t>
            </w:r>
          </w:p>
        </w:tc>
        <w:tc>
          <w:tcPr>
            <w:tcW w:w="3751" w:type="dxa"/>
            <w:vAlign w:val="center"/>
          </w:tcPr>
          <w:p w14:paraId="73327B58">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禹州市政府采购供应商信用承诺函</w:t>
            </w:r>
          </w:p>
        </w:tc>
        <w:tc>
          <w:tcPr>
            <w:tcW w:w="1559" w:type="dxa"/>
            <w:vAlign w:val="center"/>
          </w:tcPr>
          <w:p w14:paraId="11647C4A">
            <w:pPr>
              <w:jc w:val="center"/>
              <w:rPr>
                <w:color w:val="000000" w:themeColor="text1"/>
                <w:szCs w:val="21"/>
                <w14:textFill>
                  <w14:solidFill>
                    <w14:schemeClr w14:val="tx1"/>
                  </w14:solidFill>
                </w14:textFill>
              </w:rPr>
            </w:pPr>
          </w:p>
        </w:tc>
        <w:tc>
          <w:tcPr>
            <w:tcW w:w="1560" w:type="dxa"/>
            <w:vAlign w:val="center"/>
          </w:tcPr>
          <w:p w14:paraId="0E435F6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28101B5">
            <w:pPr>
              <w:snapToGrid w:val="0"/>
              <w:spacing w:line="400" w:lineRule="exact"/>
              <w:rPr>
                <w:rFonts w:ascii="宋体" w:hAnsi="宋体" w:cs="微软雅黑"/>
                <w:color w:val="000000" w:themeColor="text1"/>
                <w:szCs w:val="21"/>
                <w14:textFill>
                  <w14:solidFill>
                    <w14:schemeClr w14:val="tx1"/>
                  </w14:solidFill>
                </w14:textFill>
              </w:rPr>
            </w:pPr>
          </w:p>
        </w:tc>
      </w:tr>
      <w:tr w14:paraId="5C164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5AEA2D7">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8</w:t>
            </w:r>
          </w:p>
        </w:tc>
        <w:tc>
          <w:tcPr>
            <w:tcW w:w="3751" w:type="dxa"/>
            <w:vAlign w:val="center"/>
          </w:tcPr>
          <w:p w14:paraId="2791608B">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联合体协议</w:t>
            </w:r>
          </w:p>
        </w:tc>
        <w:tc>
          <w:tcPr>
            <w:tcW w:w="1559" w:type="dxa"/>
            <w:vAlign w:val="center"/>
          </w:tcPr>
          <w:p w14:paraId="61A61BF6">
            <w:pPr>
              <w:jc w:val="center"/>
              <w:rPr>
                <w:color w:val="000000" w:themeColor="text1"/>
                <w:szCs w:val="21"/>
                <w14:textFill>
                  <w14:solidFill>
                    <w14:schemeClr w14:val="tx1"/>
                  </w14:solidFill>
                </w14:textFill>
              </w:rPr>
            </w:pPr>
          </w:p>
        </w:tc>
        <w:tc>
          <w:tcPr>
            <w:tcW w:w="1560" w:type="dxa"/>
            <w:vAlign w:val="center"/>
          </w:tcPr>
          <w:p w14:paraId="25FEE50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8F16FC1">
            <w:pPr>
              <w:snapToGrid w:val="0"/>
              <w:spacing w:line="400" w:lineRule="exact"/>
              <w:rPr>
                <w:rFonts w:ascii="宋体" w:hAnsi="宋体" w:cs="微软雅黑"/>
                <w:color w:val="000000" w:themeColor="text1"/>
                <w:szCs w:val="21"/>
                <w14:textFill>
                  <w14:solidFill>
                    <w14:schemeClr w14:val="tx1"/>
                  </w14:solidFill>
                </w14:textFill>
              </w:rPr>
            </w:pPr>
          </w:p>
        </w:tc>
      </w:tr>
      <w:tr w14:paraId="184A6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4DBA9F5">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9</w:t>
            </w:r>
          </w:p>
        </w:tc>
        <w:tc>
          <w:tcPr>
            <w:tcW w:w="3751" w:type="dxa"/>
            <w:vAlign w:val="center"/>
          </w:tcPr>
          <w:p w14:paraId="4B7523AC">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供应商与参加本项目投标的其他供应商之间，单位负责人不为同一人并且不存在直接控股、管理关系承诺函</w:t>
            </w:r>
          </w:p>
        </w:tc>
        <w:tc>
          <w:tcPr>
            <w:tcW w:w="1559" w:type="dxa"/>
            <w:vAlign w:val="center"/>
          </w:tcPr>
          <w:p w14:paraId="73192FF7">
            <w:pPr>
              <w:jc w:val="center"/>
              <w:rPr>
                <w:color w:val="000000" w:themeColor="text1"/>
                <w:szCs w:val="21"/>
                <w14:textFill>
                  <w14:solidFill>
                    <w14:schemeClr w14:val="tx1"/>
                  </w14:solidFill>
                </w14:textFill>
              </w:rPr>
            </w:pPr>
          </w:p>
        </w:tc>
        <w:tc>
          <w:tcPr>
            <w:tcW w:w="1560" w:type="dxa"/>
            <w:vAlign w:val="center"/>
          </w:tcPr>
          <w:p w14:paraId="27A4B8A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EAEF539">
            <w:pPr>
              <w:snapToGrid w:val="0"/>
              <w:spacing w:line="400" w:lineRule="exact"/>
              <w:rPr>
                <w:rFonts w:ascii="宋体" w:hAnsi="宋体" w:cs="微软雅黑"/>
                <w:color w:val="000000" w:themeColor="text1"/>
                <w:szCs w:val="21"/>
                <w14:textFill>
                  <w14:solidFill>
                    <w14:schemeClr w14:val="tx1"/>
                  </w14:solidFill>
                </w14:textFill>
              </w:rPr>
            </w:pPr>
          </w:p>
        </w:tc>
      </w:tr>
      <w:tr w14:paraId="25884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948D059">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10</w:t>
            </w:r>
          </w:p>
        </w:tc>
        <w:tc>
          <w:tcPr>
            <w:tcW w:w="3751" w:type="dxa"/>
            <w:vAlign w:val="center"/>
          </w:tcPr>
          <w:p w14:paraId="64A1DC45">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仿宋_GB2312" w:asciiTheme="minorEastAsia" w:hAnsiTheme="minorEastAsia"/>
                <w:color w:val="000000" w:themeColor="text1"/>
                <w:sz w:val="21"/>
                <w:szCs w:val="21"/>
                <w:lang w:val="zh-CN"/>
                <w14:textFill>
                  <w14:solidFill>
                    <w14:schemeClr w14:val="tx1"/>
                  </w14:solidFill>
                </w14:textFill>
              </w:rPr>
              <w:t>供应商未为本项目提供整体设计、规范编制或者项目管理、监理、检测等服务承诺函</w:t>
            </w:r>
          </w:p>
        </w:tc>
        <w:tc>
          <w:tcPr>
            <w:tcW w:w="1559" w:type="dxa"/>
            <w:vAlign w:val="center"/>
          </w:tcPr>
          <w:p w14:paraId="603032E9">
            <w:pPr>
              <w:jc w:val="center"/>
              <w:rPr>
                <w:color w:val="000000" w:themeColor="text1"/>
                <w:szCs w:val="21"/>
                <w14:textFill>
                  <w14:solidFill>
                    <w14:schemeClr w14:val="tx1"/>
                  </w14:solidFill>
                </w14:textFill>
              </w:rPr>
            </w:pPr>
          </w:p>
        </w:tc>
        <w:tc>
          <w:tcPr>
            <w:tcW w:w="1560" w:type="dxa"/>
            <w:vAlign w:val="center"/>
          </w:tcPr>
          <w:p w14:paraId="490F6C5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99E6490">
            <w:pPr>
              <w:snapToGrid w:val="0"/>
              <w:spacing w:line="400" w:lineRule="exact"/>
              <w:rPr>
                <w:rFonts w:ascii="宋体" w:hAnsi="宋体" w:cs="微软雅黑"/>
                <w:color w:val="000000" w:themeColor="text1"/>
                <w:szCs w:val="21"/>
                <w14:textFill>
                  <w14:solidFill>
                    <w14:schemeClr w14:val="tx1"/>
                  </w14:solidFill>
                </w14:textFill>
              </w:rPr>
            </w:pPr>
          </w:p>
        </w:tc>
      </w:tr>
      <w:tr w14:paraId="45B25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146FED12">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11</w:t>
            </w:r>
          </w:p>
        </w:tc>
        <w:tc>
          <w:tcPr>
            <w:tcW w:w="3751" w:type="dxa"/>
            <w:tcBorders>
              <w:top w:val="double" w:color="auto" w:sz="4" w:space="0"/>
            </w:tcBorders>
            <w:vAlign w:val="center"/>
          </w:tcPr>
          <w:p w14:paraId="5D224BED">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投标分项报价表</w:t>
            </w:r>
          </w:p>
        </w:tc>
        <w:tc>
          <w:tcPr>
            <w:tcW w:w="1559" w:type="dxa"/>
            <w:tcBorders>
              <w:top w:val="double" w:color="auto" w:sz="4" w:space="0"/>
            </w:tcBorders>
            <w:vAlign w:val="center"/>
          </w:tcPr>
          <w:p w14:paraId="4AE8107C">
            <w:pPr>
              <w:jc w:val="center"/>
              <w:rPr>
                <w:color w:val="000000" w:themeColor="text1"/>
                <w:szCs w:val="21"/>
                <w14:textFill>
                  <w14:solidFill>
                    <w14:schemeClr w14:val="tx1"/>
                  </w14:solidFill>
                </w14:textFill>
              </w:rPr>
            </w:pPr>
          </w:p>
        </w:tc>
        <w:tc>
          <w:tcPr>
            <w:tcW w:w="1560" w:type="dxa"/>
            <w:tcBorders>
              <w:top w:val="double" w:color="auto" w:sz="4" w:space="0"/>
            </w:tcBorders>
            <w:vAlign w:val="center"/>
          </w:tcPr>
          <w:p w14:paraId="225D27B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double" w:color="auto" w:sz="4" w:space="0"/>
            </w:tcBorders>
            <w:vAlign w:val="center"/>
          </w:tcPr>
          <w:p w14:paraId="3CF3BD76">
            <w:pPr>
              <w:snapToGrid w:val="0"/>
              <w:spacing w:line="400" w:lineRule="exact"/>
              <w:rPr>
                <w:rFonts w:ascii="宋体" w:hAnsi="宋体" w:cs="微软雅黑"/>
                <w:color w:val="000000" w:themeColor="text1"/>
                <w:szCs w:val="21"/>
                <w14:textFill>
                  <w14:solidFill>
                    <w14:schemeClr w14:val="tx1"/>
                  </w14:solidFill>
                </w14:textFill>
              </w:rPr>
            </w:pPr>
          </w:p>
        </w:tc>
      </w:tr>
      <w:tr w14:paraId="37AA0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EF501A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12</w:t>
            </w:r>
          </w:p>
        </w:tc>
        <w:tc>
          <w:tcPr>
            <w:tcW w:w="3751" w:type="dxa"/>
            <w:vAlign w:val="center"/>
          </w:tcPr>
          <w:p w14:paraId="6ACBC821">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技术规格偏离表</w:t>
            </w:r>
          </w:p>
        </w:tc>
        <w:tc>
          <w:tcPr>
            <w:tcW w:w="1559" w:type="dxa"/>
            <w:vAlign w:val="center"/>
          </w:tcPr>
          <w:p w14:paraId="3DA91531">
            <w:pPr>
              <w:jc w:val="center"/>
              <w:rPr>
                <w:color w:val="000000" w:themeColor="text1"/>
                <w:szCs w:val="21"/>
                <w14:textFill>
                  <w14:solidFill>
                    <w14:schemeClr w14:val="tx1"/>
                  </w14:solidFill>
                </w14:textFill>
              </w:rPr>
            </w:pPr>
          </w:p>
        </w:tc>
        <w:tc>
          <w:tcPr>
            <w:tcW w:w="1560" w:type="dxa"/>
            <w:vAlign w:val="center"/>
          </w:tcPr>
          <w:p w14:paraId="7054A26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E7E01CC">
            <w:pPr>
              <w:snapToGrid w:val="0"/>
              <w:spacing w:line="400" w:lineRule="exact"/>
              <w:rPr>
                <w:rFonts w:ascii="宋体" w:hAnsi="宋体" w:cs="微软雅黑"/>
                <w:color w:val="000000" w:themeColor="text1"/>
                <w:szCs w:val="21"/>
                <w14:textFill>
                  <w14:solidFill>
                    <w14:schemeClr w14:val="tx1"/>
                  </w14:solidFill>
                </w14:textFill>
              </w:rPr>
            </w:pPr>
          </w:p>
        </w:tc>
      </w:tr>
      <w:tr w14:paraId="1E455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FBFD86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13</w:t>
            </w:r>
          </w:p>
        </w:tc>
        <w:tc>
          <w:tcPr>
            <w:tcW w:w="3751" w:type="dxa"/>
            <w:vAlign w:val="center"/>
          </w:tcPr>
          <w:p w14:paraId="1628B6B6">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技术方案（实施方案）</w:t>
            </w:r>
          </w:p>
        </w:tc>
        <w:tc>
          <w:tcPr>
            <w:tcW w:w="1559" w:type="dxa"/>
            <w:vAlign w:val="center"/>
          </w:tcPr>
          <w:p w14:paraId="6A315D6D">
            <w:pPr>
              <w:jc w:val="center"/>
              <w:rPr>
                <w:color w:val="000000" w:themeColor="text1"/>
                <w:szCs w:val="21"/>
                <w14:textFill>
                  <w14:solidFill>
                    <w14:schemeClr w14:val="tx1"/>
                  </w14:solidFill>
                </w14:textFill>
              </w:rPr>
            </w:pPr>
          </w:p>
        </w:tc>
        <w:tc>
          <w:tcPr>
            <w:tcW w:w="1560" w:type="dxa"/>
            <w:tcBorders>
              <w:top w:val="single" w:color="auto" w:sz="4" w:space="0"/>
            </w:tcBorders>
            <w:vAlign w:val="center"/>
          </w:tcPr>
          <w:p w14:paraId="0D0AB0DD">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auto" w:sz="4" w:space="0"/>
            </w:tcBorders>
            <w:vAlign w:val="center"/>
          </w:tcPr>
          <w:p w14:paraId="07495AD9">
            <w:pPr>
              <w:snapToGrid w:val="0"/>
              <w:spacing w:line="400" w:lineRule="exact"/>
              <w:rPr>
                <w:rFonts w:ascii="宋体" w:hAnsi="宋体" w:cs="微软雅黑"/>
                <w:color w:val="000000" w:themeColor="text1"/>
                <w:szCs w:val="21"/>
                <w14:textFill>
                  <w14:solidFill>
                    <w14:schemeClr w14:val="tx1"/>
                  </w14:solidFill>
                </w14:textFill>
              </w:rPr>
            </w:pPr>
          </w:p>
        </w:tc>
      </w:tr>
      <w:tr w14:paraId="26C95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B91BB3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14</w:t>
            </w:r>
          </w:p>
        </w:tc>
        <w:tc>
          <w:tcPr>
            <w:tcW w:w="3751" w:type="dxa"/>
            <w:vAlign w:val="center"/>
          </w:tcPr>
          <w:p w14:paraId="721BC172">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售后服务方案</w:t>
            </w:r>
          </w:p>
        </w:tc>
        <w:tc>
          <w:tcPr>
            <w:tcW w:w="1559" w:type="dxa"/>
            <w:vAlign w:val="center"/>
          </w:tcPr>
          <w:p w14:paraId="7252BE32">
            <w:pPr>
              <w:jc w:val="center"/>
              <w:rPr>
                <w:color w:val="000000" w:themeColor="text1"/>
                <w:szCs w:val="21"/>
                <w14:textFill>
                  <w14:solidFill>
                    <w14:schemeClr w14:val="tx1"/>
                  </w14:solidFill>
                </w14:textFill>
              </w:rPr>
            </w:pPr>
          </w:p>
        </w:tc>
        <w:tc>
          <w:tcPr>
            <w:tcW w:w="1560" w:type="dxa"/>
            <w:vAlign w:val="center"/>
          </w:tcPr>
          <w:p w14:paraId="250B23F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63EDD02">
            <w:pPr>
              <w:snapToGrid w:val="0"/>
              <w:spacing w:line="400" w:lineRule="exact"/>
              <w:rPr>
                <w:rFonts w:ascii="宋体" w:hAnsi="宋体" w:cs="微软雅黑"/>
                <w:color w:val="000000" w:themeColor="text1"/>
                <w:szCs w:val="21"/>
                <w14:textFill>
                  <w14:solidFill>
                    <w14:schemeClr w14:val="tx1"/>
                  </w14:solidFill>
                </w14:textFill>
              </w:rPr>
            </w:pPr>
          </w:p>
        </w:tc>
      </w:tr>
      <w:tr w14:paraId="1C9F9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5679AB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15</w:t>
            </w:r>
          </w:p>
        </w:tc>
        <w:tc>
          <w:tcPr>
            <w:tcW w:w="3751" w:type="dxa"/>
            <w:vAlign w:val="center"/>
          </w:tcPr>
          <w:p w14:paraId="449DE53C">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业绩情况表</w:t>
            </w:r>
          </w:p>
        </w:tc>
        <w:tc>
          <w:tcPr>
            <w:tcW w:w="1559" w:type="dxa"/>
            <w:vAlign w:val="center"/>
          </w:tcPr>
          <w:p w14:paraId="35DAF33B">
            <w:pPr>
              <w:jc w:val="center"/>
              <w:rPr>
                <w:color w:val="000000" w:themeColor="text1"/>
                <w:szCs w:val="21"/>
                <w14:textFill>
                  <w14:solidFill>
                    <w14:schemeClr w14:val="tx1"/>
                  </w14:solidFill>
                </w14:textFill>
              </w:rPr>
            </w:pPr>
          </w:p>
        </w:tc>
        <w:tc>
          <w:tcPr>
            <w:tcW w:w="1560" w:type="dxa"/>
            <w:vAlign w:val="center"/>
          </w:tcPr>
          <w:p w14:paraId="2694A3B5">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16653E7">
            <w:pPr>
              <w:snapToGrid w:val="0"/>
              <w:spacing w:line="400" w:lineRule="exact"/>
              <w:rPr>
                <w:rFonts w:ascii="宋体" w:hAnsi="宋体" w:cs="微软雅黑"/>
                <w:color w:val="000000" w:themeColor="text1"/>
                <w:szCs w:val="21"/>
                <w14:textFill>
                  <w14:solidFill>
                    <w14:schemeClr w14:val="tx1"/>
                  </w14:solidFill>
                </w14:textFill>
              </w:rPr>
            </w:pPr>
          </w:p>
        </w:tc>
      </w:tr>
      <w:tr w14:paraId="51C3A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40E2F2B">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16</w:t>
            </w:r>
          </w:p>
        </w:tc>
        <w:tc>
          <w:tcPr>
            <w:tcW w:w="3751" w:type="dxa"/>
            <w:vAlign w:val="center"/>
          </w:tcPr>
          <w:p w14:paraId="6AFBFBDC">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政府强制采购节能产品品目清单情况</w:t>
            </w:r>
          </w:p>
        </w:tc>
        <w:tc>
          <w:tcPr>
            <w:tcW w:w="1559" w:type="dxa"/>
            <w:vAlign w:val="center"/>
          </w:tcPr>
          <w:p w14:paraId="307E53B5">
            <w:pPr>
              <w:jc w:val="center"/>
              <w:rPr>
                <w:color w:val="000000" w:themeColor="text1"/>
                <w:szCs w:val="21"/>
                <w14:textFill>
                  <w14:solidFill>
                    <w14:schemeClr w14:val="tx1"/>
                  </w14:solidFill>
                </w14:textFill>
              </w:rPr>
            </w:pPr>
          </w:p>
        </w:tc>
        <w:tc>
          <w:tcPr>
            <w:tcW w:w="1560" w:type="dxa"/>
            <w:vAlign w:val="center"/>
          </w:tcPr>
          <w:p w14:paraId="02AFE69F">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62D6FF39">
            <w:pPr>
              <w:snapToGrid w:val="0"/>
              <w:spacing w:line="400" w:lineRule="exact"/>
              <w:rPr>
                <w:rFonts w:ascii="宋体" w:hAnsi="宋体" w:cs="微软雅黑"/>
                <w:color w:val="000000" w:themeColor="text1"/>
                <w:szCs w:val="21"/>
                <w14:textFill>
                  <w14:solidFill>
                    <w14:schemeClr w14:val="tx1"/>
                  </w14:solidFill>
                </w14:textFill>
              </w:rPr>
            </w:pPr>
          </w:p>
        </w:tc>
      </w:tr>
      <w:tr w14:paraId="32F84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281941C">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17</w:t>
            </w:r>
          </w:p>
        </w:tc>
        <w:tc>
          <w:tcPr>
            <w:tcW w:w="3751" w:type="dxa"/>
            <w:vAlign w:val="center"/>
          </w:tcPr>
          <w:p w14:paraId="3B0CA402">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优先采购节能产品政府采购品目清单情况</w:t>
            </w:r>
          </w:p>
        </w:tc>
        <w:tc>
          <w:tcPr>
            <w:tcW w:w="1559" w:type="dxa"/>
            <w:vAlign w:val="center"/>
          </w:tcPr>
          <w:p w14:paraId="267B52AA">
            <w:pPr>
              <w:jc w:val="center"/>
              <w:rPr>
                <w:color w:val="000000" w:themeColor="text1"/>
                <w:szCs w:val="21"/>
                <w14:textFill>
                  <w14:solidFill>
                    <w14:schemeClr w14:val="tx1"/>
                  </w14:solidFill>
                </w14:textFill>
              </w:rPr>
            </w:pPr>
          </w:p>
        </w:tc>
        <w:tc>
          <w:tcPr>
            <w:tcW w:w="1560" w:type="dxa"/>
            <w:vAlign w:val="center"/>
          </w:tcPr>
          <w:p w14:paraId="48596814">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7D8AFA6">
            <w:pPr>
              <w:snapToGrid w:val="0"/>
              <w:spacing w:line="400" w:lineRule="exact"/>
              <w:rPr>
                <w:rFonts w:ascii="宋体" w:hAnsi="宋体" w:cs="微软雅黑"/>
                <w:color w:val="000000" w:themeColor="text1"/>
                <w:szCs w:val="21"/>
                <w14:textFill>
                  <w14:solidFill>
                    <w14:schemeClr w14:val="tx1"/>
                  </w14:solidFill>
                </w14:textFill>
              </w:rPr>
            </w:pPr>
          </w:p>
        </w:tc>
      </w:tr>
      <w:tr w14:paraId="2F288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DAFED2F">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18</w:t>
            </w:r>
          </w:p>
        </w:tc>
        <w:tc>
          <w:tcPr>
            <w:tcW w:w="3751" w:type="dxa"/>
            <w:vAlign w:val="center"/>
          </w:tcPr>
          <w:p w14:paraId="1B37C3FF">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宋体" w:hAnsi="宋体"/>
                <w:color w:val="000000" w:themeColor="text1"/>
                <w:sz w:val="21"/>
                <w:szCs w:val="21"/>
                <w:lang w:val="en-GB"/>
                <w14:textFill>
                  <w14:solidFill>
                    <w14:schemeClr w14:val="tx1"/>
                  </w14:solidFill>
                </w14:textFill>
              </w:rPr>
              <w:t>优先采购环境标志产品政府采购品目清单情况</w:t>
            </w:r>
          </w:p>
        </w:tc>
        <w:tc>
          <w:tcPr>
            <w:tcW w:w="1559" w:type="dxa"/>
            <w:vAlign w:val="center"/>
          </w:tcPr>
          <w:p w14:paraId="17D2081B">
            <w:pPr>
              <w:jc w:val="center"/>
              <w:rPr>
                <w:color w:val="000000" w:themeColor="text1"/>
                <w:szCs w:val="21"/>
                <w14:textFill>
                  <w14:solidFill>
                    <w14:schemeClr w14:val="tx1"/>
                  </w14:solidFill>
                </w14:textFill>
              </w:rPr>
            </w:pPr>
          </w:p>
        </w:tc>
        <w:tc>
          <w:tcPr>
            <w:tcW w:w="1560" w:type="dxa"/>
            <w:vAlign w:val="center"/>
          </w:tcPr>
          <w:p w14:paraId="38E3705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CD2DDDF">
            <w:pPr>
              <w:snapToGrid w:val="0"/>
              <w:spacing w:line="400" w:lineRule="exact"/>
              <w:rPr>
                <w:rFonts w:ascii="宋体" w:hAnsi="宋体" w:cs="微软雅黑"/>
                <w:color w:val="000000" w:themeColor="text1"/>
                <w:szCs w:val="21"/>
                <w14:textFill>
                  <w14:solidFill>
                    <w14:schemeClr w14:val="tx1"/>
                  </w14:solidFill>
                </w14:textFill>
              </w:rPr>
            </w:pPr>
          </w:p>
        </w:tc>
      </w:tr>
      <w:tr w14:paraId="00A5C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44F0D9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19</w:t>
            </w:r>
          </w:p>
        </w:tc>
        <w:tc>
          <w:tcPr>
            <w:tcW w:w="3751" w:type="dxa"/>
            <w:vAlign w:val="center"/>
          </w:tcPr>
          <w:p w14:paraId="356BADA5">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中小企业声明函</w:t>
            </w:r>
          </w:p>
        </w:tc>
        <w:tc>
          <w:tcPr>
            <w:tcW w:w="1559" w:type="dxa"/>
            <w:vAlign w:val="center"/>
          </w:tcPr>
          <w:p w14:paraId="19E026E4">
            <w:pPr>
              <w:jc w:val="center"/>
              <w:rPr>
                <w:color w:val="000000" w:themeColor="text1"/>
                <w:szCs w:val="21"/>
                <w14:textFill>
                  <w14:solidFill>
                    <w14:schemeClr w14:val="tx1"/>
                  </w14:solidFill>
                </w14:textFill>
              </w:rPr>
            </w:pPr>
          </w:p>
        </w:tc>
        <w:tc>
          <w:tcPr>
            <w:tcW w:w="1560" w:type="dxa"/>
            <w:vAlign w:val="center"/>
          </w:tcPr>
          <w:p w14:paraId="09E93D5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8F7CE11">
            <w:pPr>
              <w:snapToGrid w:val="0"/>
              <w:spacing w:line="400" w:lineRule="exact"/>
              <w:rPr>
                <w:rFonts w:ascii="宋体" w:hAnsi="宋体" w:cs="微软雅黑"/>
                <w:color w:val="000000" w:themeColor="text1"/>
                <w:szCs w:val="21"/>
                <w14:textFill>
                  <w14:solidFill>
                    <w14:schemeClr w14:val="tx1"/>
                  </w14:solidFill>
                </w14:textFill>
              </w:rPr>
            </w:pPr>
          </w:p>
        </w:tc>
      </w:tr>
      <w:tr w14:paraId="00376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49D5FCD">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20</w:t>
            </w:r>
          </w:p>
        </w:tc>
        <w:tc>
          <w:tcPr>
            <w:tcW w:w="3751" w:type="dxa"/>
            <w:vAlign w:val="center"/>
          </w:tcPr>
          <w:p w14:paraId="45E07B62">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残疾人福利性单位声明函</w:t>
            </w:r>
          </w:p>
        </w:tc>
        <w:tc>
          <w:tcPr>
            <w:tcW w:w="1559" w:type="dxa"/>
            <w:vAlign w:val="center"/>
          </w:tcPr>
          <w:p w14:paraId="0EE65545">
            <w:pPr>
              <w:jc w:val="center"/>
              <w:rPr>
                <w:color w:val="000000" w:themeColor="text1"/>
                <w:szCs w:val="21"/>
                <w14:textFill>
                  <w14:solidFill>
                    <w14:schemeClr w14:val="tx1"/>
                  </w14:solidFill>
                </w14:textFill>
              </w:rPr>
            </w:pPr>
          </w:p>
        </w:tc>
        <w:tc>
          <w:tcPr>
            <w:tcW w:w="1560" w:type="dxa"/>
            <w:vAlign w:val="center"/>
          </w:tcPr>
          <w:p w14:paraId="7C3DE04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1243FB6">
            <w:pPr>
              <w:snapToGrid w:val="0"/>
              <w:spacing w:line="400" w:lineRule="exact"/>
              <w:rPr>
                <w:rFonts w:ascii="宋体" w:hAnsi="宋体" w:cs="微软雅黑"/>
                <w:color w:val="000000" w:themeColor="text1"/>
                <w:szCs w:val="21"/>
                <w14:textFill>
                  <w14:solidFill>
                    <w14:schemeClr w14:val="tx1"/>
                  </w14:solidFill>
                </w14:textFill>
              </w:rPr>
            </w:pPr>
          </w:p>
        </w:tc>
      </w:tr>
      <w:tr w14:paraId="7DC7E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4F226C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21</w:t>
            </w:r>
          </w:p>
        </w:tc>
        <w:tc>
          <w:tcPr>
            <w:tcW w:w="3751" w:type="dxa"/>
            <w:vAlign w:val="center"/>
          </w:tcPr>
          <w:p w14:paraId="393B691A">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监狱企业证明文件</w:t>
            </w:r>
          </w:p>
        </w:tc>
        <w:tc>
          <w:tcPr>
            <w:tcW w:w="1559" w:type="dxa"/>
            <w:vAlign w:val="center"/>
          </w:tcPr>
          <w:p w14:paraId="2C811320">
            <w:pPr>
              <w:jc w:val="center"/>
              <w:rPr>
                <w:color w:val="000000" w:themeColor="text1"/>
                <w:szCs w:val="21"/>
                <w14:textFill>
                  <w14:solidFill>
                    <w14:schemeClr w14:val="tx1"/>
                  </w14:solidFill>
                </w14:textFill>
              </w:rPr>
            </w:pPr>
          </w:p>
        </w:tc>
        <w:tc>
          <w:tcPr>
            <w:tcW w:w="1560" w:type="dxa"/>
            <w:vAlign w:val="center"/>
          </w:tcPr>
          <w:p w14:paraId="3B61E3B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5843B58">
            <w:pPr>
              <w:snapToGrid w:val="0"/>
              <w:spacing w:line="400" w:lineRule="exact"/>
              <w:rPr>
                <w:rFonts w:ascii="宋体" w:hAnsi="宋体" w:cs="微软雅黑"/>
                <w:color w:val="000000" w:themeColor="text1"/>
                <w:szCs w:val="21"/>
                <w14:textFill>
                  <w14:solidFill>
                    <w14:schemeClr w14:val="tx1"/>
                  </w14:solidFill>
                </w14:textFill>
              </w:rPr>
            </w:pPr>
          </w:p>
        </w:tc>
      </w:tr>
      <w:tr w14:paraId="64465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14:paraId="642CEB7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22</w:t>
            </w:r>
          </w:p>
        </w:tc>
        <w:tc>
          <w:tcPr>
            <w:tcW w:w="3751" w:type="dxa"/>
            <w:vAlign w:val="center"/>
          </w:tcPr>
          <w:p w14:paraId="49502119">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宋体" w:asciiTheme="minorEastAsia" w:hAnsiTheme="minorEastAsia"/>
                <w:bCs/>
                <w:color w:val="000000" w:themeColor="text1"/>
                <w:sz w:val="21"/>
                <w:szCs w:val="21"/>
                <w:lang w:val="zh-CN"/>
                <w14:textFill>
                  <w14:solidFill>
                    <w14:schemeClr w14:val="tx1"/>
                  </w14:solidFill>
                </w14:textFill>
              </w:rPr>
              <w:t>中国信息安全认证中心按国家标准认证颁发的</w:t>
            </w:r>
            <w:r>
              <w:rPr>
                <w:rFonts w:cs="宋体" w:asciiTheme="minorEastAsia" w:hAnsiTheme="minorEastAsia"/>
                <w:color w:val="000000" w:themeColor="text1"/>
                <w:kern w:val="0"/>
                <w:sz w:val="21"/>
                <w:szCs w:val="21"/>
                <w14:textFill>
                  <w14:solidFill>
                    <w14:schemeClr w14:val="tx1"/>
                  </w14:solidFill>
                </w14:textFill>
              </w:rPr>
              <w:t>信息安全产品</w:t>
            </w:r>
            <w:r>
              <w:rPr>
                <w:rFonts w:hint="eastAsia" w:cs="宋体" w:asciiTheme="minorEastAsia" w:hAnsiTheme="minorEastAsia"/>
                <w:bCs/>
                <w:color w:val="000000" w:themeColor="text1"/>
                <w:sz w:val="21"/>
                <w:szCs w:val="21"/>
                <w:lang w:val="zh-CN"/>
                <w14:textFill>
                  <w14:solidFill>
                    <w14:schemeClr w14:val="tx1"/>
                  </w14:solidFill>
                </w14:textFill>
              </w:rPr>
              <w:t>有效认证证书</w:t>
            </w:r>
          </w:p>
        </w:tc>
        <w:tc>
          <w:tcPr>
            <w:tcW w:w="1559" w:type="dxa"/>
            <w:vAlign w:val="center"/>
          </w:tcPr>
          <w:p w14:paraId="0FFA22DD">
            <w:pPr>
              <w:pStyle w:val="15"/>
              <w:rPr>
                <w:color w:val="000000" w:themeColor="text1"/>
                <w:sz w:val="21"/>
                <w:szCs w:val="21"/>
                <w14:textFill>
                  <w14:solidFill>
                    <w14:schemeClr w14:val="tx1"/>
                  </w14:solidFill>
                </w14:textFill>
              </w:rPr>
            </w:pPr>
          </w:p>
        </w:tc>
        <w:tc>
          <w:tcPr>
            <w:tcW w:w="1560" w:type="dxa"/>
            <w:vAlign w:val="center"/>
          </w:tcPr>
          <w:p w14:paraId="69CE3C9C">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B504D2E">
            <w:pPr>
              <w:snapToGrid w:val="0"/>
              <w:spacing w:line="400" w:lineRule="exact"/>
              <w:rPr>
                <w:rFonts w:ascii="宋体" w:hAnsi="宋体" w:cs="微软雅黑"/>
                <w:color w:val="000000" w:themeColor="text1"/>
                <w:szCs w:val="21"/>
                <w14:textFill>
                  <w14:solidFill>
                    <w14:schemeClr w14:val="tx1"/>
                  </w14:solidFill>
                </w14:textFill>
              </w:rPr>
            </w:pPr>
          </w:p>
        </w:tc>
      </w:tr>
      <w:tr w14:paraId="61C5C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0088B28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23</w:t>
            </w:r>
          </w:p>
        </w:tc>
        <w:tc>
          <w:tcPr>
            <w:tcW w:w="3751" w:type="dxa"/>
            <w:tcBorders>
              <w:bottom w:val="single" w:color="auto" w:sz="4" w:space="0"/>
            </w:tcBorders>
            <w:vAlign w:val="center"/>
          </w:tcPr>
          <w:p w14:paraId="1C34CFF6">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其它资料</w:t>
            </w:r>
          </w:p>
        </w:tc>
        <w:tc>
          <w:tcPr>
            <w:tcW w:w="1559" w:type="dxa"/>
            <w:vAlign w:val="center"/>
          </w:tcPr>
          <w:p w14:paraId="6D5C3801">
            <w:pPr>
              <w:pStyle w:val="15"/>
              <w:rPr>
                <w:color w:val="000000" w:themeColor="text1"/>
                <w:szCs w:val="21"/>
                <w14:textFill>
                  <w14:solidFill>
                    <w14:schemeClr w14:val="tx1"/>
                  </w14:solidFill>
                </w14:textFill>
              </w:rPr>
            </w:pPr>
          </w:p>
        </w:tc>
        <w:tc>
          <w:tcPr>
            <w:tcW w:w="1560" w:type="dxa"/>
            <w:vAlign w:val="center"/>
          </w:tcPr>
          <w:p w14:paraId="039D3AA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9B8A226">
            <w:pPr>
              <w:snapToGrid w:val="0"/>
              <w:spacing w:line="400" w:lineRule="exact"/>
              <w:rPr>
                <w:rFonts w:ascii="宋体" w:hAnsi="宋体" w:cs="微软雅黑"/>
                <w:color w:val="000000" w:themeColor="text1"/>
                <w:szCs w:val="21"/>
                <w14:textFill>
                  <w14:solidFill>
                    <w14:schemeClr w14:val="tx1"/>
                  </w14:solidFill>
                </w14:textFill>
              </w:rPr>
            </w:pPr>
          </w:p>
        </w:tc>
      </w:tr>
    </w:tbl>
    <w:p w14:paraId="126033C5">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color w:val="000000" w:themeColor="text1"/>
          <w:kern w:val="0"/>
          <w:sz w:val="28"/>
          <w:szCs w:val="28"/>
          <w14:textFill>
            <w14:solidFill>
              <w14:schemeClr w14:val="tx1"/>
            </w14:solidFill>
          </w14:textFill>
        </w:rPr>
        <w:br w:type="page"/>
      </w:r>
    </w:p>
    <w:p w14:paraId="081DD1D3">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14:paraId="51FAEDAE">
      <w:pPr>
        <w:pStyle w:val="15"/>
        <w:spacing w:line="360" w:lineRule="auto"/>
        <w:jc w:val="center"/>
        <w:rPr>
          <w:rFonts w:asciiTheme="majorEastAsia" w:hAnsiTheme="majorEastAsia" w:eastAsiaTheme="majorEastAsia"/>
          <w:b/>
          <w:snapToGrid w:val="0"/>
          <w:kern w:val="0"/>
          <w:sz w:val="28"/>
          <w:szCs w:val="28"/>
        </w:rPr>
      </w:pPr>
    </w:p>
    <w:p w14:paraId="096FF62D">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A5D055A">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2DFBD82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52339A7">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58A0DD">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F0DD9BF">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DE9D77">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5049ADC">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14:paraId="2DB73EAA">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47E1E46C">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183D3D4C">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7A015BD5">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552BC866">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609792E6">
            <w:pPr>
              <w:autoSpaceDE w:val="0"/>
              <w:autoSpaceDN w:val="0"/>
              <w:adjustRightInd w:val="0"/>
              <w:spacing w:line="480" w:lineRule="exact"/>
              <w:ind w:firstLine="240"/>
              <w:rPr>
                <w:rFonts w:cs="宋体" w:asciiTheme="minorEastAsia" w:hAnsiTheme="minorEastAsia"/>
                <w:szCs w:val="21"/>
                <w:lang w:val="zh-CN"/>
              </w:rPr>
            </w:pPr>
          </w:p>
        </w:tc>
      </w:tr>
      <w:tr w14:paraId="7BB1949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63713B27">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1B662348">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3C92FF84">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17148EDE">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432FF03C">
            <w:pPr>
              <w:autoSpaceDE w:val="0"/>
              <w:autoSpaceDN w:val="0"/>
              <w:adjustRightInd w:val="0"/>
              <w:spacing w:line="480" w:lineRule="exact"/>
              <w:ind w:firstLine="240"/>
              <w:rPr>
                <w:rFonts w:cs="宋体" w:asciiTheme="minorEastAsia" w:hAnsiTheme="minorEastAsia"/>
                <w:szCs w:val="21"/>
                <w:lang w:val="zh-CN"/>
              </w:rPr>
            </w:pPr>
          </w:p>
        </w:tc>
      </w:tr>
    </w:tbl>
    <w:p w14:paraId="2E89B304">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14:paraId="2ABEBEF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14:paraId="7059183C">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14:paraId="03D26B34">
      <w:pPr>
        <w:autoSpaceDE w:val="0"/>
        <w:autoSpaceDN w:val="0"/>
        <w:adjustRightInd w:val="0"/>
        <w:spacing w:line="480" w:lineRule="auto"/>
        <w:ind w:firstLine="420" w:firstLineChars="200"/>
        <w:outlineLvl w:val="2"/>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14:paraId="6C74B38E">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14:paraId="6012C52B">
      <w:pPr>
        <w:autoSpaceDE w:val="0"/>
        <w:autoSpaceDN w:val="0"/>
        <w:adjustRightInd w:val="0"/>
        <w:spacing w:line="360" w:lineRule="auto"/>
        <w:rPr>
          <w:rFonts w:ascii="宋体" w:cs="宋体"/>
          <w:sz w:val="24"/>
          <w:lang w:val="zh-CN"/>
        </w:rPr>
      </w:pPr>
    </w:p>
    <w:p w14:paraId="6DF11E84">
      <w:pPr>
        <w:autoSpaceDE w:val="0"/>
        <w:autoSpaceDN w:val="0"/>
        <w:adjustRightInd w:val="0"/>
        <w:spacing w:line="360" w:lineRule="auto"/>
        <w:rPr>
          <w:rFonts w:ascii="宋体" w:cs="宋体"/>
          <w:sz w:val="24"/>
          <w:lang w:val="zh-CN"/>
        </w:rPr>
      </w:pPr>
    </w:p>
    <w:p w14:paraId="3A19D851">
      <w:pPr>
        <w:autoSpaceDE w:val="0"/>
        <w:autoSpaceDN w:val="0"/>
        <w:adjustRightInd w:val="0"/>
        <w:spacing w:line="360" w:lineRule="auto"/>
        <w:rPr>
          <w:rFonts w:ascii="宋体" w:cs="宋体"/>
          <w:sz w:val="24"/>
          <w:lang w:val="zh-CN"/>
        </w:rPr>
      </w:pPr>
    </w:p>
    <w:p w14:paraId="124DF74D">
      <w:pPr>
        <w:autoSpaceDE w:val="0"/>
        <w:autoSpaceDN w:val="0"/>
        <w:adjustRightInd w:val="0"/>
        <w:spacing w:line="360" w:lineRule="auto"/>
        <w:rPr>
          <w:rFonts w:ascii="宋体" w:cs="宋体"/>
          <w:sz w:val="24"/>
          <w:lang w:val="zh-CN"/>
        </w:rPr>
      </w:pPr>
    </w:p>
    <w:p w14:paraId="62C74731">
      <w:pPr>
        <w:autoSpaceDE w:val="0"/>
        <w:autoSpaceDN w:val="0"/>
        <w:adjustRightInd w:val="0"/>
        <w:spacing w:line="360" w:lineRule="auto"/>
        <w:rPr>
          <w:rFonts w:ascii="宋体" w:cs="宋体"/>
          <w:sz w:val="24"/>
          <w:lang w:val="zh-CN"/>
        </w:rPr>
      </w:pPr>
    </w:p>
    <w:p w14:paraId="1E8F5F44">
      <w:pPr>
        <w:autoSpaceDE w:val="0"/>
        <w:autoSpaceDN w:val="0"/>
        <w:adjustRightInd w:val="0"/>
        <w:spacing w:line="360" w:lineRule="auto"/>
        <w:rPr>
          <w:rFonts w:ascii="宋体" w:cs="宋体"/>
          <w:sz w:val="24"/>
          <w:lang w:val="zh-CN"/>
        </w:rPr>
      </w:pPr>
    </w:p>
    <w:p w14:paraId="16144DCD">
      <w:pPr>
        <w:autoSpaceDE w:val="0"/>
        <w:autoSpaceDN w:val="0"/>
        <w:adjustRightInd w:val="0"/>
        <w:spacing w:line="360" w:lineRule="auto"/>
        <w:rPr>
          <w:rFonts w:cs="黑体" w:asciiTheme="minorEastAsia" w:hAnsiTheme="minorEastAsia"/>
          <w:b/>
          <w:bCs/>
          <w:sz w:val="44"/>
          <w:szCs w:val="44"/>
          <w:lang w:val="zh-CN"/>
        </w:rPr>
      </w:pPr>
    </w:p>
    <w:p w14:paraId="4B319E0E">
      <w:pPr>
        <w:pStyle w:val="32"/>
        <w:rPr>
          <w:lang w:val="zh-CN"/>
        </w:rPr>
      </w:pPr>
    </w:p>
    <w:p w14:paraId="6418E7B1">
      <w:pPr>
        <w:pStyle w:val="32"/>
        <w:rPr>
          <w:lang w:val="zh-CN"/>
        </w:rPr>
      </w:pPr>
    </w:p>
    <w:p w14:paraId="6834617F">
      <w:pPr>
        <w:pStyle w:val="32"/>
        <w:rPr>
          <w:lang w:val="zh-CN"/>
        </w:rPr>
      </w:pPr>
    </w:p>
    <w:p w14:paraId="7A2D49EA">
      <w:pPr>
        <w:autoSpaceDE w:val="0"/>
        <w:autoSpaceDN w:val="0"/>
        <w:adjustRightInd w:val="0"/>
        <w:spacing w:line="360" w:lineRule="auto"/>
        <w:jc w:val="center"/>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14:paraId="4282E6D4">
      <w:pPr>
        <w:pStyle w:val="15"/>
        <w:spacing w:line="360" w:lineRule="auto"/>
        <w:jc w:val="center"/>
        <w:outlineLvl w:val="2"/>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14:paraId="0B050185">
      <w:pPr>
        <w:pStyle w:val="15"/>
        <w:spacing w:line="360" w:lineRule="auto"/>
        <w:jc w:val="center"/>
        <w:rPr>
          <w:rFonts w:asciiTheme="majorEastAsia" w:hAnsiTheme="majorEastAsia" w:eastAsiaTheme="majorEastAsia"/>
          <w:b/>
          <w:snapToGrid w:val="0"/>
          <w:kern w:val="0"/>
          <w:sz w:val="28"/>
          <w:szCs w:val="28"/>
        </w:rPr>
      </w:pPr>
    </w:p>
    <w:p w14:paraId="1254593C">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14:paraId="345E24D7">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14:paraId="788320B9">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14:paraId="4BA03670">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14:paraId="24B15322">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14:paraId="2A668580">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14:paraId="192C9A4C">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w:t>
      </w:r>
      <w:r>
        <w:rPr>
          <w:rFonts w:hint="eastAsia" w:ascii="宋体" w:hAnsi="宋体"/>
          <w:szCs w:val="21"/>
          <w:lang w:eastAsia="zh-CN"/>
        </w:rPr>
        <w:t>供应商</w:t>
      </w:r>
      <w:r>
        <w:rPr>
          <w:rFonts w:hint="eastAsia" w:ascii="宋体" w:hAnsi="宋体"/>
          <w:szCs w:val="21"/>
        </w:rPr>
        <w:t>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0EEAFFA2">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14:paraId="1DDACD4D">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四、我方同意按照贵方可能提出的要求而提供与谈判响应有关的任何其他数据、信息或资料。</w:t>
      </w:r>
    </w:p>
    <w:p w14:paraId="43B2DA31">
      <w:pPr>
        <w:pStyle w:val="23"/>
        <w:adjustRightInd w:val="0"/>
        <w:spacing w:line="360" w:lineRule="auto"/>
        <w:ind w:firstLine="420" w:firstLineChars="200"/>
        <w:contextualSpacing/>
        <w:outlineLvl w:val="1"/>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14:paraId="34B78A41">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14:paraId="60A666D0">
      <w:pPr>
        <w:pStyle w:val="23"/>
        <w:adjustRightInd w:val="0"/>
        <w:spacing w:line="360" w:lineRule="auto"/>
        <w:ind w:firstLine="420" w:firstLineChars="200"/>
        <w:contextualSpacing/>
        <w:outlineLvl w:val="1"/>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14:paraId="6655B48F">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42CD65A4">
      <w:pPr>
        <w:pStyle w:val="15"/>
        <w:adjustRightInd w:val="0"/>
        <w:spacing w:line="360" w:lineRule="auto"/>
        <w:ind w:firstLine="420" w:firstLineChars="200"/>
        <w:contextualSpacing/>
        <w:outlineLvl w:val="1"/>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w:t>
      </w:r>
      <w:r>
        <w:rPr>
          <w:rFonts w:hint="eastAsia" w:cs="Arial" w:asciiTheme="minorEastAsia" w:hAnsiTheme="minorEastAsia" w:eastAsiaTheme="minorEastAsia"/>
          <w:sz w:val="21"/>
          <w:szCs w:val="21"/>
          <w:lang w:val="en-US" w:eastAsia="zh-CN"/>
        </w:rPr>
        <w:t>中华人民共和国</w:t>
      </w:r>
      <w:r>
        <w:rPr>
          <w:rFonts w:hint="eastAsia" w:cs="Arial" w:asciiTheme="minorEastAsia" w:hAnsiTheme="minorEastAsia" w:eastAsiaTheme="minorEastAsia"/>
          <w:sz w:val="21"/>
          <w:szCs w:val="21"/>
        </w:rPr>
        <w:t>政府采购法》第二十二条规定的条件；承诺如下：</w:t>
      </w:r>
    </w:p>
    <w:p w14:paraId="31FEBED6">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14:paraId="05B22EC9">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14:paraId="56E2417E">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14:paraId="356A3EE7">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14:paraId="580EEAB2">
      <w:pPr>
        <w:adjustRightInd w:val="0"/>
        <w:spacing w:line="360" w:lineRule="auto"/>
        <w:ind w:firstLine="441" w:firstLineChars="210"/>
        <w:contextualSpacing/>
        <w:outlineLvl w:val="2"/>
        <w:rPr>
          <w:rFonts w:cs="Arial" w:asciiTheme="minorEastAsia" w:hAnsiTheme="minorEastAsia"/>
          <w:szCs w:val="21"/>
        </w:rPr>
      </w:pPr>
      <w:r>
        <w:rPr>
          <w:rFonts w:hint="eastAsia" w:cs="Arial" w:asciiTheme="minorEastAsia" w:hAnsiTheme="minorEastAsia"/>
          <w:szCs w:val="21"/>
        </w:rPr>
        <w:t>5. 符合法律、行政法规规定的其他条件。</w:t>
      </w:r>
    </w:p>
    <w:p w14:paraId="385547CB">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我方作无效投标处理，我方愿意承担相应的法律责任。</w:t>
      </w:r>
    </w:p>
    <w:p w14:paraId="220D6E48">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14:paraId="223E5C3A">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14:paraId="645B7858">
      <w:pPr>
        <w:pStyle w:val="15"/>
        <w:adjustRightInd w:val="0"/>
        <w:snapToGrid w:val="0"/>
        <w:spacing w:line="360" w:lineRule="auto"/>
        <w:rPr>
          <w:rFonts w:asciiTheme="minorEastAsia" w:hAnsiTheme="minorEastAsia" w:eastAsiaTheme="minorEastAsia"/>
          <w:sz w:val="21"/>
          <w:szCs w:val="21"/>
        </w:rPr>
      </w:pPr>
    </w:p>
    <w:p w14:paraId="7F85629C">
      <w:pPr>
        <w:pStyle w:val="15"/>
        <w:adjustRightInd w:val="0"/>
        <w:snapToGrid w:val="0"/>
        <w:spacing w:line="360" w:lineRule="auto"/>
        <w:rPr>
          <w:rFonts w:asciiTheme="minorEastAsia" w:hAnsiTheme="minorEastAsia" w:eastAsiaTheme="minorEastAsia"/>
          <w:sz w:val="21"/>
          <w:szCs w:val="21"/>
        </w:rPr>
      </w:pPr>
    </w:p>
    <w:p w14:paraId="203D096D">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所有与本项目谈判有关的一切正式往来请联系：</w:t>
      </w:r>
    </w:p>
    <w:p w14:paraId="054AA0E7">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址：邮政编码：</w:t>
      </w:r>
    </w:p>
    <w:p w14:paraId="2D4C5AFE">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供应商代表姓名：职    务：</w:t>
      </w:r>
    </w:p>
    <w:p w14:paraId="50C52E19">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手    机： 固定电话：</w:t>
      </w:r>
    </w:p>
    <w:p w14:paraId="16D385BE">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注：</w:t>
      </w:r>
    </w:p>
    <w:p w14:paraId="2F9BE8A2">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供应商代表应为参加谈判的法定代表人（单位负责人）或</w:t>
      </w:r>
      <w:r>
        <w:rPr>
          <w:rFonts w:hint="eastAsia" w:cs="Arial" w:asciiTheme="minorEastAsia" w:hAnsiTheme="minorEastAsia"/>
          <w:b/>
          <w:szCs w:val="21"/>
        </w:rPr>
        <w:t>法定代表人（单位负责人）</w:t>
      </w:r>
      <w:r>
        <w:rPr>
          <w:rFonts w:hint="eastAsia" w:asciiTheme="minorEastAsia" w:hAnsiTheme="minorEastAsia"/>
          <w:b/>
          <w:szCs w:val="21"/>
        </w:rPr>
        <w:t>授权代表。</w:t>
      </w:r>
    </w:p>
    <w:p w14:paraId="444E6816">
      <w:pPr>
        <w:adjustRightInd w:val="0"/>
        <w:snapToGrid w:val="0"/>
        <w:spacing w:line="360" w:lineRule="auto"/>
        <w:rPr>
          <w:rFonts w:cs="宋体" w:asciiTheme="minorEastAsia" w:hAnsiTheme="minorEastAsia"/>
          <w:szCs w:val="21"/>
          <w:u w:val="single"/>
        </w:rPr>
      </w:pPr>
    </w:p>
    <w:p w14:paraId="221BEE83">
      <w:pPr>
        <w:adjustRightInd w:val="0"/>
        <w:snapToGrid w:val="0"/>
        <w:spacing w:line="360" w:lineRule="auto"/>
        <w:rPr>
          <w:rFonts w:cs="宋体" w:asciiTheme="minorEastAsia" w:hAnsiTheme="minorEastAsia"/>
          <w:szCs w:val="21"/>
          <w:u w:val="single"/>
        </w:rPr>
      </w:pPr>
    </w:p>
    <w:p w14:paraId="6D6FBA98">
      <w:pPr>
        <w:adjustRightInd w:val="0"/>
        <w:snapToGrid w:val="0"/>
        <w:spacing w:line="360" w:lineRule="auto"/>
        <w:rPr>
          <w:rFonts w:cs="宋体" w:asciiTheme="minorEastAsia" w:hAnsiTheme="minorEastAsia"/>
          <w:szCs w:val="21"/>
          <w:u w:val="single"/>
        </w:rPr>
      </w:pPr>
    </w:p>
    <w:p w14:paraId="626B7961">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304A6774">
      <w:pPr>
        <w:adjustRightInd w:val="0"/>
        <w:snapToGrid w:val="0"/>
        <w:spacing w:line="360" w:lineRule="auto"/>
        <w:ind w:firstLine="4305" w:firstLineChars="2050"/>
        <w:rPr>
          <w:rFonts w:cs="宋体" w:asciiTheme="minorEastAsia" w:hAnsiTheme="minorEastAsia"/>
          <w:szCs w:val="21"/>
        </w:rPr>
      </w:pPr>
    </w:p>
    <w:p w14:paraId="7437DD42">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14:paraId="57D26142">
      <w:pPr>
        <w:adjustRightInd w:val="0"/>
        <w:snapToGrid w:val="0"/>
        <w:spacing w:line="360" w:lineRule="auto"/>
        <w:ind w:firstLine="4305" w:firstLineChars="2050"/>
        <w:rPr>
          <w:rFonts w:cs="宋体" w:asciiTheme="minorEastAsia" w:hAnsiTheme="minorEastAsia"/>
          <w:szCs w:val="21"/>
        </w:rPr>
      </w:pPr>
    </w:p>
    <w:p w14:paraId="58D33E8C">
      <w:pPr>
        <w:spacing w:line="480" w:lineRule="exact"/>
        <w:jc w:val="center"/>
        <w:outlineLvl w:val="3"/>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72D8FC48">
      <w:pPr>
        <w:autoSpaceDE w:val="0"/>
        <w:autoSpaceDN w:val="0"/>
        <w:adjustRightInd w:val="0"/>
        <w:spacing w:line="480" w:lineRule="auto"/>
        <w:ind w:firstLine="616" w:firstLineChars="257"/>
        <w:rPr>
          <w:rFonts w:ascii="宋体" w:hAnsi="宋体"/>
          <w:sz w:val="24"/>
          <w:szCs w:val="24"/>
        </w:rPr>
      </w:pPr>
    </w:p>
    <w:p w14:paraId="0B062341">
      <w:pPr>
        <w:pStyle w:val="57"/>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14:paraId="1404CED9">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14:paraId="4759FB05">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14:paraId="5078D433">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14:paraId="1A53F586">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14:paraId="36FE8B03">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14:paraId="57959485">
      <w:pPr>
        <w:pStyle w:val="57"/>
        <w:spacing w:line="480" w:lineRule="auto"/>
        <w:ind w:firstLine="472" w:firstLineChars="225"/>
        <w:jc w:val="left"/>
        <w:rPr>
          <w:rFonts w:asciiTheme="minorEastAsia" w:hAnsiTheme="minorEastAsia"/>
          <w:sz w:val="21"/>
          <w:szCs w:val="21"/>
        </w:rPr>
      </w:pPr>
    </w:p>
    <w:p w14:paraId="62685995">
      <w:pPr>
        <w:pStyle w:val="57"/>
        <w:spacing w:line="480" w:lineRule="auto"/>
        <w:ind w:firstLine="472" w:firstLineChars="225"/>
        <w:jc w:val="left"/>
        <w:rPr>
          <w:rFonts w:asciiTheme="minorEastAsia" w:hAnsiTheme="minorEastAsia"/>
          <w:sz w:val="21"/>
          <w:szCs w:val="21"/>
        </w:rPr>
      </w:pPr>
    </w:p>
    <w:p w14:paraId="6C6B6AEA">
      <w:pPr>
        <w:pStyle w:val="57"/>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14:paraId="6D9D12A6">
      <w:pPr>
        <w:pStyle w:val="57"/>
        <w:spacing w:line="480" w:lineRule="auto"/>
        <w:ind w:left="-538" w:leftChars="-256" w:firstLine="539" w:firstLineChars="257"/>
        <w:jc w:val="center"/>
        <w:rPr>
          <w:rFonts w:asciiTheme="minorEastAsia" w:hAnsiTheme="minorEastAsia"/>
          <w:bCs/>
          <w:sz w:val="21"/>
          <w:szCs w:val="21"/>
        </w:rPr>
      </w:pPr>
    </w:p>
    <w:p w14:paraId="158E3138">
      <w:pPr>
        <w:autoSpaceDE w:val="0"/>
        <w:autoSpaceDN w:val="0"/>
        <w:adjustRightInd w:val="0"/>
        <w:spacing w:line="360" w:lineRule="auto"/>
        <w:ind w:right="-11"/>
        <w:rPr>
          <w:rFonts w:cs="宋体" w:asciiTheme="minorEastAsia" w:hAnsiTheme="minorEastAsia"/>
          <w:szCs w:val="21"/>
          <w:lang w:val="zh-CN"/>
        </w:rPr>
      </w:pPr>
    </w:p>
    <w:p w14:paraId="502AB149">
      <w:pPr>
        <w:autoSpaceDE w:val="0"/>
        <w:autoSpaceDN w:val="0"/>
        <w:adjustRightInd w:val="0"/>
        <w:spacing w:line="360" w:lineRule="auto"/>
        <w:ind w:right="-11"/>
        <w:rPr>
          <w:rFonts w:cs="宋体" w:asciiTheme="minorEastAsia" w:hAnsiTheme="minorEastAsia"/>
          <w:szCs w:val="21"/>
          <w:lang w:val="zh-CN"/>
        </w:rPr>
      </w:pPr>
    </w:p>
    <w:p w14:paraId="3DB2EE16">
      <w:pPr>
        <w:autoSpaceDE w:val="0"/>
        <w:autoSpaceDN w:val="0"/>
        <w:adjustRightInd w:val="0"/>
        <w:spacing w:line="360" w:lineRule="auto"/>
        <w:ind w:right="-11"/>
        <w:rPr>
          <w:rFonts w:cs="宋体" w:asciiTheme="minorEastAsia" w:hAnsiTheme="minorEastAsia"/>
          <w:szCs w:val="21"/>
          <w:lang w:val="zh-CN"/>
        </w:rPr>
      </w:pPr>
    </w:p>
    <w:p w14:paraId="07EAF310">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614EC908">
      <w:pPr>
        <w:pStyle w:val="60"/>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14:paraId="719D5590">
      <w:pPr>
        <w:pStyle w:val="59"/>
        <w:spacing w:line="480" w:lineRule="auto"/>
        <w:rPr>
          <w:rFonts w:cs="Arial" w:asciiTheme="minorEastAsia" w:hAnsiTheme="minorEastAsia"/>
          <w:sz w:val="21"/>
          <w:szCs w:val="21"/>
        </w:rPr>
      </w:pPr>
    </w:p>
    <w:p w14:paraId="6A5D92DD">
      <w:pPr>
        <w:rPr>
          <w:szCs w:val="21"/>
        </w:rPr>
      </w:pPr>
    </w:p>
    <w:p w14:paraId="64A0BFA1">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14:paraId="2123141E">
      <w:pPr>
        <w:spacing w:line="320" w:lineRule="exact"/>
        <w:ind w:firstLine="420" w:firstLineChars="200"/>
        <w:rPr>
          <w:rFonts w:asciiTheme="minorEastAsia" w:hAnsiTheme="minorEastAsia"/>
          <w:bCs/>
          <w:kern w:val="12"/>
          <w:szCs w:val="21"/>
        </w:rPr>
      </w:pPr>
    </w:p>
    <w:p w14:paraId="5268AD2B">
      <w:pPr>
        <w:spacing w:line="480" w:lineRule="exact"/>
        <w:jc w:val="center"/>
        <w:outlineLvl w:val="3"/>
        <w:rPr>
          <w:rFonts w:ascii="宋体" w:hAnsi="宋体"/>
          <w:b/>
          <w:bCs/>
          <w:sz w:val="24"/>
          <w:szCs w:val="24"/>
        </w:rPr>
      </w:pPr>
      <w:r>
        <w:rPr>
          <w:rFonts w:hint="eastAsia" w:ascii="宋体" w:hAnsi="宋体"/>
          <w:b/>
          <w:bCs/>
          <w:sz w:val="24"/>
          <w:szCs w:val="24"/>
        </w:rPr>
        <w:t>3.3 法定代表人（单位负责人）授权书</w:t>
      </w:r>
    </w:p>
    <w:p w14:paraId="3C63DDA1">
      <w:pPr>
        <w:spacing w:line="480" w:lineRule="exact"/>
        <w:jc w:val="center"/>
        <w:rPr>
          <w:rFonts w:ascii="宋体" w:hAnsi="宋体"/>
          <w:b/>
          <w:bCs/>
          <w:sz w:val="36"/>
          <w:szCs w:val="36"/>
        </w:rPr>
      </w:pPr>
    </w:p>
    <w:p w14:paraId="4E9180F3">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14:paraId="6A6E3B42">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22F3CBF6">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68302AFB">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71F1E999">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14:paraId="172669A1">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14:paraId="07EE000F">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14:paraId="6E2119E4">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7B53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3AFF1F65">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14:paraId="5FC0583B">
            <w:pPr>
              <w:jc w:val="center"/>
              <w:rPr>
                <w:rFonts w:asciiTheme="minorEastAsia" w:hAnsiTheme="minorEastAsia"/>
                <w:szCs w:val="21"/>
              </w:rPr>
            </w:pPr>
            <w:r>
              <w:rPr>
                <w:rFonts w:hint="eastAsia" w:asciiTheme="minorEastAsia" w:hAnsiTheme="minorEastAsia"/>
                <w:szCs w:val="21"/>
              </w:rPr>
              <w:t>法定代表人（单位负责人）身份证（反面）</w:t>
            </w:r>
          </w:p>
        </w:tc>
      </w:tr>
      <w:tr w14:paraId="44BC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7494A0EE">
            <w:pPr>
              <w:jc w:val="center"/>
              <w:rPr>
                <w:rFonts w:asciiTheme="minorEastAsia" w:hAnsiTheme="minorEastAsia"/>
                <w:szCs w:val="21"/>
              </w:rPr>
            </w:pPr>
            <w:r>
              <w:rPr>
                <w:rFonts w:hint="eastAsia" w:asciiTheme="minorEastAsia" w:hAnsiTheme="minorEastAsia"/>
                <w:szCs w:val="21"/>
              </w:rPr>
              <w:t>法定代表人（单位负责人）授权代表身份证</w:t>
            </w:r>
          </w:p>
          <w:p w14:paraId="6F86842D">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14:paraId="29EC1D3B">
            <w:pPr>
              <w:jc w:val="center"/>
              <w:rPr>
                <w:rFonts w:asciiTheme="minorEastAsia" w:hAnsiTheme="minorEastAsia"/>
                <w:szCs w:val="21"/>
              </w:rPr>
            </w:pPr>
            <w:r>
              <w:rPr>
                <w:rFonts w:hint="eastAsia" w:asciiTheme="minorEastAsia" w:hAnsiTheme="minorEastAsia"/>
                <w:szCs w:val="21"/>
              </w:rPr>
              <w:t>法定代表人（单位负责人）授权代表身份证</w:t>
            </w:r>
          </w:p>
          <w:p w14:paraId="381913F6">
            <w:pPr>
              <w:jc w:val="center"/>
              <w:rPr>
                <w:rFonts w:asciiTheme="minorEastAsia" w:hAnsiTheme="minorEastAsia"/>
                <w:szCs w:val="21"/>
              </w:rPr>
            </w:pPr>
            <w:r>
              <w:rPr>
                <w:rFonts w:hint="eastAsia" w:asciiTheme="minorEastAsia" w:hAnsiTheme="minorEastAsia"/>
                <w:szCs w:val="21"/>
              </w:rPr>
              <w:t>（反面）</w:t>
            </w:r>
          </w:p>
        </w:tc>
      </w:tr>
    </w:tbl>
    <w:p w14:paraId="1DF20250">
      <w:pPr>
        <w:widowControl/>
        <w:spacing w:before="100" w:beforeAutospacing="1" w:after="100" w:afterAutospacing="1" w:line="360" w:lineRule="auto"/>
        <w:jc w:val="center"/>
        <w:outlineLvl w:val="3"/>
        <w:rPr>
          <w:rFonts w:ascii="宋体" w:hAnsi="宋体"/>
          <w:b/>
          <w:bCs/>
          <w:sz w:val="24"/>
          <w:szCs w:val="24"/>
        </w:rPr>
      </w:pPr>
      <w:r>
        <w:rPr>
          <w:rFonts w:hint="eastAsia" w:ascii="宋体" w:hAnsi="宋体"/>
          <w:b/>
          <w:bCs/>
          <w:sz w:val="24"/>
          <w:szCs w:val="24"/>
        </w:rPr>
        <w:t>3.4谈判承诺函</w:t>
      </w:r>
    </w:p>
    <w:p w14:paraId="2488F09B">
      <w:pPr>
        <w:autoSpaceDE w:val="0"/>
        <w:autoSpaceDN w:val="0"/>
        <w:snapToGrid w:val="0"/>
        <w:spacing w:line="360" w:lineRule="auto"/>
        <w:jc w:val="center"/>
        <w:rPr>
          <w:rFonts w:ascii="宋体" w:hAnsi="宋体"/>
          <w:b/>
          <w:bCs/>
          <w:sz w:val="24"/>
          <w:szCs w:val="24"/>
        </w:rPr>
      </w:pPr>
    </w:p>
    <w:p w14:paraId="3758BFFD">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14:paraId="402BA4DE">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158D83D5">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14:paraId="6EE638DC">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14:paraId="423A4955">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14:paraId="3C0B2C88">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14:paraId="7734F527">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14:paraId="04ABA569">
      <w:pPr>
        <w:rPr>
          <w:sz w:val="28"/>
          <w:szCs w:val="28"/>
          <w:u w:val="single"/>
        </w:rPr>
      </w:pPr>
    </w:p>
    <w:p w14:paraId="2060CC06">
      <w:pPr>
        <w:rPr>
          <w:sz w:val="28"/>
          <w:szCs w:val="28"/>
          <w:u w:val="single"/>
        </w:rPr>
      </w:pPr>
    </w:p>
    <w:p w14:paraId="0947B281">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14:paraId="1D52A487">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5F573465">
      <w:pPr>
        <w:autoSpaceDE w:val="0"/>
        <w:autoSpaceDN w:val="0"/>
        <w:adjustRightInd w:val="0"/>
        <w:spacing w:line="360" w:lineRule="auto"/>
        <w:jc w:val="center"/>
        <w:rPr>
          <w:rFonts w:ascii="宋体" w:cs="宋体"/>
          <w:szCs w:val="21"/>
          <w:lang w:val="zh-CN"/>
        </w:rPr>
      </w:pPr>
    </w:p>
    <w:p w14:paraId="5E33FD4A">
      <w:pPr>
        <w:autoSpaceDE w:val="0"/>
        <w:autoSpaceDN w:val="0"/>
        <w:adjustRightInd w:val="0"/>
        <w:spacing w:line="360" w:lineRule="auto"/>
        <w:ind w:right="-11"/>
        <w:rPr>
          <w:rFonts w:ascii="宋体" w:cs="宋体"/>
          <w:szCs w:val="21"/>
          <w:lang w:val="zh-CN"/>
        </w:rPr>
      </w:pPr>
    </w:p>
    <w:p w14:paraId="7B62B5CB">
      <w:pPr>
        <w:autoSpaceDE w:val="0"/>
        <w:autoSpaceDN w:val="0"/>
        <w:adjustRightInd w:val="0"/>
        <w:spacing w:line="360" w:lineRule="auto"/>
        <w:jc w:val="center"/>
        <w:rPr>
          <w:rFonts w:cs="宋体" w:asciiTheme="minorEastAsia" w:hAnsiTheme="minorEastAsia"/>
          <w:sz w:val="24"/>
          <w:szCs w:val="24"/>
          <w:lang w:val="zh-CN"/>
        </w:rPr>
      </w:pPr>
    </w:p>
    <w:p w14:paraId="117D51F4">
      <w:pPr>
        <w:autoSpaceDE w:val="0"/>
        <w:autoSpaceDN w:val="0"/>
        <w:adjustRightInd w:val="0"/>
        <w:spacing w:line="360" w:lineRule="auto"/>
        <w:jc w:val="center"/>
        <w:rPr>
          <w:rFonts w:cs="宋体" w:asciiTheme="minorEastAsia" w:hAnsiTheme="minorEastAsia"/>
          <w:sz w:val="24"/>
          <w:szCs w:val="24"/>
          <w:lang w:val="zh-CN"/>
        </w:rPr>
      </w:pPr>
    </w:p>
    <w:p w14:paraId="0EEC3706">
      <w:pPr>
        <w:autoSpaceDE w:val="0"/>
        <w:autoSpaceDN w:val="0"/>
        <w:adjustRightInd w:val="0"/>
        <w:spacing w:line="360" w:lineRule="auto"/>
        <w:jc w:val="center"/>
        <w:rPr>
          <w:rFonts w:cs="宋体" w:asciiTheme="minorEastAsia" w:hAnsiTheme="minorEastAsia"/>
          <w:sz w:val="24"/>
          <w:szCs w:val="24"/>
          <w:lang w:val="zh-CN"/>
        </w:rPr>
      </w:pPr>
    </w:p>
    <w:p w14:paraId="71E31664">
      <w:pPr>
        <w:autoSpaceDE w:val="0"/>
        <w:autoSpaceDN w:val="0"/>
        <w:adjustRightInd w:val="0"/>
        <w:spacing w:line="360" w:lineRule="auto"/>
        <w:jc w:val="center"/>
        <w:rPr>
          <w:rFonts w:cs="宋体" w:asciiTheme="minorEastAsia" w:hAnsiTheme="minorEastAsia"/>
          <w:sz w:val="24"/>
          <w:szCs w:val="24"/>
          <w:lang w:val="zh-CN"/>
        </w:rPr>
      </w:pPr>
    </w:p>
    <w:p w14:paraId="3836CCF4">
      <w:pPr>
        <w:autoSpaceDE w:val="0"/>
        <w:autoSpaceDN w:val="0"/>
        <w:adjustRightInd w:val="0"/>
        <w:spacing w:line="360" w:lineRule="auto"/>
        <w:jc w:val="center"/>
        <w:rPr>
          <w:rFonts w:cs="宋体" w:asciiTheme="minorEastAsia" w:hAnsiTheme="minorEastAsia"/>
          <w:sz w:val="24"/>
          <w:szCs w:val="24"/>
          <w:lang w:val="zh-CN"/>
        </w:rPr>
      </w:pPr>
    </w:p>
    <w:p w14:paraId="5B45A99F">
      <w:pPr>
        <w:autoSpaceDE w:val="0"/>
        <w:autoSpaceDN w:val="0"/>
        <w:adjustRightInd w:val="0"/>
        <w:spacing w:line="360" w:lineRule="auto"/>
        <w:jc w:val="center"/>
        <w:rPr>
          <w:rFonts w:cs="宋体" w:asciiTheme="minorEastAsia" w:hAnsiTheme="minorEastAsia"/>
          <w:sz w:val="24"/>
          <w:szCs w:val="24"/>
          <w:lang w:val="zh-CN"/>
        </w:rPr>
      </w:pPr>
    </w:p>
    <w:p w14:paraId="36A9947E">
      <w:pPr>
        <w:autoSpaceDE w:val="0"/>
        <w:autoSpaceDN w:val="0"/>
        <w:adjustRightInd w:val="0"/>
        <w:spacing w:line="360" w:lineRule="auto"/>
        <w:jc w:val="center"/>
        <w:rPr>
          <w:rFonts w:cs="宋体" w:asciiTheme="minorEastAsia" w:hAnsiTheme="minorEastAsia"/>
          <w:sz w:val="24"/>
          <w:szCs w:val="24"/>
          <w:lang w:val="zh-CN"/>
        </w:rPr>
      </w:pPr>
    </w:p>
    <w:p w14:paraId="79BD0921">
      <w:pPr>
        <w:spacing w:line="360" w:lineRule="auto"/>
        <w:jc w:val="center"/>
        <w:outlineLvl w:val="3"/>
        <w:rPr>
          <w:rFonts w:ascii="宋体" w:hAnsi="宋体"/>
          <w:b/>
          <w:bCs/>
          <w:sz w:val="24"/>
          <w:szCs w:val="24"/>
        </w:rPr>
      </w:pPr>
      <w:r>
        <w:rPr>
          <w:rFonts w:hint="eastAsia" w:ascii="宋体" w:hAnsi="宋体"/>
          <w:b/>
          <w:bCs/>
          <w:sz w:val="24"/>
          <w:szCs w:val="24"/>
        </w:rPr>
        <w:t>3.5  禹州市政府采购供应商信用承诺函</w:t>
      </w:r>
    </w:p>
    <w:p w14:paraId="3935F355">
      <w:pPr>
        <w:rPr>
          <w:rFonts w:cs="宋体" w:asciiTheme="minorEastAsia" w:hAnsiTheme="minorEastAsia"/>
          <w:szCs w:val="21"/>
          <w:lang w:val="zh-CN"/>
        </w:rPr>
      </w:pPr>
    </w:p>
    <w:p w14:paraId="48B98E43">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14:paraId="115A6375">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r>
        <w:rPr>
          <w:rFonts w:hint="eastAsia" w:cs="宋体" w:asciiTheme="minorEastAsia" w:hAnsiTheme="minorEastAsia"/>
          <w:szCs w:val="21"/>
          <w:lang w:val="zh-CN"/>
        </w:rPr>
        <w:t>：</w:t>
      </w:r>
    </w:p>
    <w:p w14:paraId="65E6022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r>
        <w:rPr>
          <w:rFonts w:hint="eastAsia" w:cs="宋体" w:asciiTheme="minorEastAsia" w:hAnsiTheme="minorEastAsia"/>
          <w:szCs w:val="21"/>
          <w:lang w:val="zh-CN"/>
        </w:rPr>
        <w:t>：</w:t>
      </w:r>
    </w:p>
    <w:p w14:paraId="1901AEF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r>
        <w:rPr>
          <w:rFonts w:hint="eastAsia" w:cs="宋体" w:asciiTheme="minorEastAsia" w:hAnsiTheme="minorEastAsia"/>
          <w:szCs w:val="21"/>
          <w:lang w:val="zh-CN"/>
        </w:rPr>
        <w:t>：</w:t>
      </w:r>
    </w:p>
    <w:p w14:paraId="0D58C03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14:paraId="1F2223BC">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14:paraId="18AED9E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2E45D01B">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14:paraId="584274A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14:paraId="5B39CF01">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14:paraId="12FF01D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14:paraId="265CC94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14:paraId="765F2F8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14:paraId="77B6CDE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14:paraId="082FDD2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14:paraId="1380837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14:paraId="085DD16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w:t>
      </w:r>
      <w:r>
        <w:rPr>
          <w:rFonts w:hint="eastAsia" w:cs="宋体" w:asciiTheme="minorEastAsia" w:hAnsiTheme="minorEastAsia"/>
          <w:szCs w:val="21"/>
          <w:lang w:val="en-US" w:eastAsia="zh-CN"/>
        </w:rPr>
        <w:t>中华人民共和国</w:t>
      </w:r>
      <w:r>
        <w:rPr>
          <w:rFonts w:cs="宋体" w:asciiTheme="minorEastAsia" w:hAnsiTheme="minorEastAsia"/>
          <w:szCs w:val="21"/>
          <w:lang w:val="zh-CN"/>
        </w:rPr>
        <w:t>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320643A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r>
        <w:rPr>
          <w:rFonts w:hint="eastAsia" w:cs="宋体" w:asciiTheme="minorEastAsia" w:hAnsiTheme="minorEastAsia"/>
          <w:szCs w:val="21"/>
          <w:lang w:val="zh-CN"/>
        </w:rPr>
        <w:t>：</w:t>
      </w:r>
    </w:p>
    <w:p w14:paraId="0B4398C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w:t>
      </w:r>
      <w:r>
        <w:rPr>
          <w:rFonts w:hint="eastAsia" w:cs="宋体" w:asciiTheme="minorEastAsia" w:hAnsiTheme="minorEastAsia"/>
          <w:szCs w:val="21"/>
          <w:lang w:val="zh-CN"/>
        </w:rPr>
        <w:t>或</w:t>
      </w:r>
      <w:r>
        <w:rPr>
          <w:rFonts w:cs="宋体" w:asciiTheme="minorEastAsia" w:hAnsiTheme="minorEastAsia"/>
          <w:szCs w:val="21"/>
          <w:lang w:val="zh-CN"/>
        </w:rPr>
        <w:t>授权代表（签字或电子印章）</w:t>
      </w:r>
      <w:r>
        <w:rPr>
          <w:rFonts w:hint="eastAsia" w:cs="宋体" w:asciiTheme="minorEastAsia" w:hAnsiTheme="minorEastAsia"/>
          <w:szCs w:val="21"/>
          <w:lang w:val="zh-CN"/>
        </w:rPr>
        <w:t>：</w:t>
      </w:r>
    </w:p>
    <w:p w14:paraId="7A4F699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14:paraId="29154E2F">
      <w:pPr>
        <w:rPr>
          <w:rFonts w:cs="宋体" w:asciiTheme="minorEastAsia" w:hAnsiTheme="minorEastAsia"/>
          <w:szCs w:val="21"/>
          <w:lang w:val="zh-CN"/>
        </w:rPr>
      </w:pPr>
    </w:p>
    <w:p w14:paraId="41B57273">
      <w:pPr>
        <w:rPr>
          <w:rFonts w:ascii="仿宋" w:hAnsi="仿宋" w:eastAsia="仿宋" w:cs="华文仿宋"/>
          <w:szCs w:val="21"/>
        </w:rPr>
      </w:pPr>
    </w:p>
    <w:p w14:paraId="0D4F5369">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14:paraId="049DA4A7">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14:paraId="1AC49072">
      <w:pPr>
        <w:rPr>
          <w:rFonts w:ascii="仿宋" w:hAnsi="仿宋" w:eastAsia="仿宋"/>
          <w:sz w:val="32"/>
          <w:szCs w:val="32"/>
        </w:rPr>
      </w:pPr>
    </w:p>
    <w:p w14:paraId="1E778E17">
      <w:pPr>
        <w:rPr>
          <w:rFonts w:ascii="仿宋" w:hAnsi="仿宋" w:eastAsia="仿宋"/>
          <w:sz w:val="32"/>
          <w:szCs w:val="32"/>
        </w:rPr>
      </w:pPr>
    </w:p>
    <w:p w14:paraId="6B2D13BF">
      <w:pPr>
        <w:rPr>
          <w:rFonts w:ascii="仿宋" w:hAnsi="仿宋" w:eastAsia="仿宋"/>
          <w:sz w:val="32"/>
          <w:szCs w:val="32"/>
        </w:rPr>
      </w:pPr>
    </w:p>
    <w:p w14:paraId="3B2D2510">
      <w:pPr>
        <w:rPr>
          <w:rFonts w:ascii="仿宋" w:hAnsi="仿宋" w:eastAsia="仿宋"/>
          <w:sz w:val="32"/>
          <w:szCs w:val="32"/>
        </w:rPr>
      </w:pPr>
    </w:p>
    <w:p w14:paraId="0341A024">
      <w:pPr>
        <w:rPr>
          <w:rFonts w:ascii="仿宋" w:hAnsi="仿宋" w:eastAsia="仿宋"/>
          <w:sz w:val="32"/>
          <w:szCs w:val="32"/>
        </w:rPr>
      </w:pPr>
    </w:p>
    <w:p w14:paraId="6F29BEF9">
      <w:pPr>
        <w:pStyle w:val="10"/>
        <w:rPr>
          <w:rFonts w:ascii="宋体" w:cs="宋体"/>
          <w:sz w:val="24"/>
          <w:lang w:val="zh-CN"/>
        </w:rPr>
      </w:pPr>
    </w:p>
    <w:p w14:paraId="00CBE165">
      <w:pPr>
        <w:pStyle w:val="10"/>
        <w:rPr>
          <w:rFonts w:ascii="宋体" w:cs="宋体"/>
          <w:sz w:val="24"/>
          <w:lang w:val="zh-CN"/>
        </w:rPr>
      </w:pPr>
    </w:p>
    <w:p w14:paraId="21A4412C">
      <w:pPr>
        <w:pStyle w:val="10"/>
        <w:rPr>
          <w:rFonts w:ascii="宋体" w:cs="宋体"/>
          <w:sz w:val="24"/>
          <w:lang w:val="zh-CN"/>
        </w:rPr>
      </w:pPr>
    </w:p>
    <w:p w14:paraId="12DFDE5F">
      <w:pPr>
        <w:spacing w:line="360" w:lineRule="auto"/>
        <w:jc w:val="center"/>
        <w:rPr>
          <w:rFonts w:ascii="宋体" w:hAnsi="宋体"/>
          <w:b/>
          <w:bCs/>
          <w:sz w:val="24"/>
          <w:szCs w:val="24"/>
        </w:rPr>
      </w:pPr>
    </w:p>
    <w:p w14:paraId="55F5E596">
      <w:pPr>
        <w:spacing w:line="360" w:lineRule="auto"/>
        <w:jc w:val="center"/>
        <w:rPr>
          <w:rFonts w:ascii="宋体" w:hAnsi="宋体"/>
          <w:b/>
          <w:bCs/>
          <w:sz w:val="24"/>
          <w:szCs w:val="24"/>
        </w:rPr>
      </w:pPr>
      <w:r>
        <w:rPr>
          <w:rFonts w:hint="eastAsia" w:ascii="宋体" w:hAnsi="宋体"/>
          <w:b/>
          <w:bCs/>
          <w:sz w:val="24"/>
          <w:szCs w:val="24"/>
        </w:rPr>
        <w:t>3.6</w:t>
      </w:r>
      <w:r>
        <w:rPr>
          <w:rFonts w:hint="eastAsia" w:ascii="宋体" w:hAnsi="宋体"/>
          <w:b/>
          <w:bCs/>
          <w:sz w:val="24"/>
          <w:szCs w:val="24"/>
          <w:lang w:eastAsia="zh-CN"/>
        </w:rPr>
        <w:t>供应商</w:t>
      </w:r>
      <w:r>
        <w:rPr>
          <w:rFonts w:hint="eastAsia" w:ascii="宋体" w:hAnsi="宋体"/>
          <w:b/>
          <w:bCs/>
          <w:sz w:val="24"/>
          <w:szCs w:val="24"/>
        </w:rPr>
        <w:t>提供与参加本项目投标的其他供应商之间，单位负责人不为同一人并且不存在直接控股、管理关系承诺函</w:t>
      </w:r>
    </w:p>
    <w:p w14:paraId="61678A31">
      <w:pPr>
        <w:spacing w:line="360" w:lineRule="auto"/>
        <w:jc w:val="center"/>
        <w:rPr>
          <w:rFonts w:ascii="宋体" w:hAnsi="宋体"/>
          <w:bCs/>
          <w:sz w:val="24"/>
          <w:szCs w:val="24"/>
        </w:rPr>
      </w:pPr>
      <w:r>
        <w:rPr>
          <w:rFonts w:hint="eastAsia" w:ascii="宋体" w:hAnsi="宋体"/>
          <w:bCs/>
          <w:sz w:val="24"/>
          <w:szCs w:val="24"/>
        </w:rPr>
        <w:t>（承诺函格式自拟）</w:t>
      </w:r>
    </w:p>
    <w:p w14:paraId="3307A057">
      <w:pPr>
        <w:autoSpaceDE w:val="0"/>
        <w:autoSpaceDN w:val="0"/>
        <w:adjustRightInd w:val="0"/>
        <w:spacing w:line="360" w:lineRule="auto"/>
        <w:jc w:val="center"/>
        <w:outlineLvl w:val="9"/>
        <w:rPr>
          <w:rFonts w:ascii="宋体" w:hAnsi="宋体"/>
          <w:b/>
          <w:bCs/>
          <w:sz w:val="24"/>
          <w:szCs w:val="24"/>
        </w:rPr>
      </w:pPr>
    </w:p>
    <w:p w14:paraId="753CCCB5">
      <w:pPr>
        <w:autoSpaceDE w:val="0"/>
        <w:autoSpaceDN w:val="0"/>
        <w:adjustRightInd w:val="0"/>
        <w:spacing w:line="360" w:lineRule="auto"/>
        <w:jc w:val="center"/>
        <w:outlineLvl w:val="9"/>
        <w:rPr>
          <w:rFonts w:ascii="宋体" w:hAnsi="宋体"/>
          <w:b/>
          <w:bCs/>
          <w:sz w:val="24"/>
          <w:szCs w:val="24"/>
        </w:rPr>
      </w:pPr>
    </w:p>
    <w:p w14:paraId="7814DB79">
      <w:pPr>
        <w:widowControl/>
        <w:jc w:val="left"/>
        <w:rPr>
          <w:rFonts w:ascii="宋体" w:hAnsi="宋体"/>
          <w:b/>
          <w:bCs/>
          <w:sz w:val="24"/>
          <w:szCs w:val="24"/>
        </w:rPr>
      </w:pPr>
      <w:r>
        <w:rPr>
          <w:rFonts w:ascii="宋体" w:hAnsi="宋体"/>
          <w:b/>
          <w:bCs/>
          <w:sz w:val="24"/>
          <w:szCs w:val="24"/>
        </w:rPr>
        <w:br w:type="page"/>
      </w:r>
    </w:p>
    <w:p w14:paraId="4CA0DDFA">
      <w:pPr>
        <w:spacing w:line="360" w:lineRule="auto"/>
        <w:jc w:val="center"/>
        <w:rPr>
          <w:rFonts w:ascii="宋体" w:hAnsi="宋体"/>
          <w:b/>
          <w:bCs/>
          <w:sz w:val="24"/>
          <w:szCs w:val="24"/>
        </w:rPr>
      </w:pPr>
      <w:r>
        <w:rPr>
          <w:rFonts w:hint="eastAsia" w:ascii="宋体" w:hAnsi="宋体"/>
          <w:b/>
          <w:bCs/>
          <w:sz w:val="24"/>
          <w:szCs w:val="24"/>
        </w:rPr>
        <w:t>3.7</w:t>
      </w:r>
      <w:r>
        <w:rPr>
          <w:rFonts w:hint="eastAsia" w:ascii="宋体" w:hAnsi="宋体"/>
          <w:b/>
          <w:bCs/>
          <w:sz w:val="24"/>
          <w:szCs w:val="24"/>
          <w:lang w:eastAsia="zh-CN"/>
        </w:rPr>
        <w:t>供应商</w:t>
      </w:r>
      <w:r>
        <w:rPr>
          <w:rFonts w:hint="eastAsia" w:ascii="宋体" w:hAnsi="宋体"/>
          <w:b/>
          <w:bCs/>
          <w:sz w:val="24"/>
          <w:szCs w:val="24"/>
        </w:rPr>
        <w:t>提供未为本项目提供整体设计、规范编制或者项目管理、监理、检测等服务承诺函</w:t>
      </w:r>
    </w:p>
    <w:p w14:paraId="6F4AF306">
      <w:pPr>
        <w:spacing w:line="360" w:lineRule="auto"/>
        <w:jc w:val="center"/>
        <w:rPr>
          <w:rFonts w:ascii="宋体" w:hAnsi="宋体"/>
          <w:bCs/>
          <w:sz w:val="24"/>
          <w:szCs w:val="24"/>
        </w:rPr>
      </w:pPr>
      <w:r>
        <w:rPr>
          <w:rFonts w:hint="eastAsia" w:ascii="宋体" w:hAnsi="宋体"/>
          <w:bCs/>
          <w:sz w:val="24"/>
          <w:szCs w:val="24"/>
        </w:rPr>
        <w:t>（承诺函格式自拟）</w:t>
      </w:r>
    </w:p>
    <w:p w14:paraId="2D200A2B">
      <w:pPr>
        <w:autoSpaceDE w:val="0"/>
        <w:autoSpaceDN w:val="0"/>
        <w:adjustRightInd w:val="0"/>
        <w:spacing w:line="360" w:lineRule="auto"/>
        <w:jc w:val="center"/>
        <w:outlineLvl w:val="9"/>
        <w:rPr>
          <w:rFonts w:ascii="宋体" w:hAnsi="宋体"/>
          <w:b/>
          <w:bCs/>
          <w:sz w:val="24"/>
          <w:szCs w:val="24"/>
        </w:rPr>
      </w:pPr>
    </w:p>
    <w:p w14:paraId="5A26C0B5">
      <w:pPr>
        <w:autoSpaceDE w:val="0"/>
        <w:autoSpaceDN w:val="0"/>
        <w:adjustRightInd w:val="0"/>
        <w:spacing w:line="360" w:lineRule="auto"/>
        <w:jc w:val="center"/>
        <w:outlineLvl w:val="9"/>
        <w:rPr>
          <w:rFonts w:ascii="宋体" w:hAnsi="宋体"/>
          <w:b/>
          <w:bCs/>
          <w:sz w:val="24"/>
          <w:szCs w:val="24"/>
        </w:rPr>
      </w:pPr>
    </w:p>
    <w:p w14:paraId="79BDBAD6">
      <w:pPr>
        <w:autoSpaceDE w:val="0"/>
        <w:autoSpaceDN w:val="0"/>
        <w:adjustRightInd w:val="0"/>
        <w:spacing w:line="360" w:lineRule="auto"/>
        <w:jc w:val="center"/>
        <w:outlineLvl w:val="9"/>
        <w:rPr>
          <w:rFonts w:ascii="宋体" w:hAnsi="宋体"/>
          <w:b/>
          <w:bCs/>
          <w:sz w:val="24"/>
          <w:szCs w:val="24"/>
        </w:rPr>
      </w:pPr>
    </w:p>
    <w:p w14:paraId="58351B2C">
      <w:pPr>
        <w:widowControl/>
        <w:jc w:val="left"/>
        <w:rPr>
          <w:rFonts w:ascii="宋体" w:hAnsi="宋体"/>
          <w:b/>
          <w:bCs/>
          <w:sz w:val="24"/>
          <w:szCs w:val="24"/>
        </w:rPr>
      </w:pPr>
      <w:r>
        <w:rPr>
          <w:rFonts w:ascii="宋体" w:hAnsi="宋体"/>
          <w:b/>
          <w:bCs/>
          <w:sz w:val="24"/>
          <w:szCs w:val="24"/>
        </w:rPr>
        <w:br w:type="page"/>
      </w:r>
    </w:p>
    <w:p w14:paraId="370C4201">
      <w:pPr>
        <w:autoSpaceDE w:val="0"/>
        <w:autoSpaceDN w:val="0"/>
        <w:adjustRightInd w:val="0"/>
        <w:spacing w:line="360" w:lineRule="auto"/>
        <w:jc w:val="center"/>
        <w:outlineLvl w:val="3"/>
        <w:rPr>
          <w:rFonts w:ascii="宋体" w:hAnsi="宋体"/>
          <w:b/>
          <w:bCs/>
          <w:sz w:val="24"/>
          <w:szCs w:val="24"/>
        </w:rPr>
      </w:pPr>
      <w:r>
        <w:rPr>
          <w:rFonts w:hint="eastAsia" w:ascii="宋体" w:hAnsi="宋体"/>
          <w:b/>
          <w:bCs/>
          <w:sz w:val="24"/>
          <w:szCs w:val="24"/>
        </w:rPr>
        <w:t xml:space="preserve">3.8 其他资格证书或材料 </w:t>
      </w:r>
    </w:p>
    <w:p w14:paraId="7527EF5F">
      <w:pPr>
        <w:autoSpaceDE w:val="0"/>
        <w:autoSpaceDN w:val="0"/>
        <w:adjustRightInd w:val="0"/>
        <w:spacing w:line="360" w:lineRule="auto"/>
        <w:jc w:val="center"/>
        <w:outlineLvl w:val="9"/>
        <w:rPr>
          <w:rFonts w:hAnsi="宋体" w:eastAsia="宋体"/>
          <w:b/>
          <w:snapToGrid w:val="0"/>
          <w:kern w:val="0"/>
          <w:sz w:val="36"/>
          <w:szCs w:val="36"/>
        </w:rPr>
      </w:pPr>
    </w:p>
    <w:p w14:paraId="0081ED68">
      <w:pPr>
        <w:autoSpaceDE w:val="0"/>
        <w:autoSpaceDN w:val="0"/>
        <w:adjustRightInd w:val="0"/>
        <w:spacing w:line="360" w:lineRule="auto"/>
        <w:jc w:val="center"/>
        <w:outlineLvl w:val="9"/>
        <w:rPr>
          <w:rFonts w:hAnsi="宋体" w:eastAsia="宋体"/>
          <w:b/>
          <w:snapToGrid w:val="0"/>
          <w:kern w:val="0"/>
          <w:sz w:val="36"/>
          <w:szCs w:val="36"/>
        </w:rPr>
      </w:pPr>
    </w:p>
    <w:p w14:paraId="0567C16F">
      <w:pPr>
        <w:autoSpaceDE w:val="0"/>
        <w:autoSpaceDN w:val="0"/>
        <w:adjustRightInd w:val="0"/>
        <w:spacing w:line="360" w:lineRule="auto"/>
        <w:jc w:val="center"/>
        <w:outlineLvl w:val="9"/>
        <w:rPr>
          <w:rFonts w:hAnsi="宋体" w:eastAsia="宋体"/>
          <w:b/>
          <w:snapToGrid w:val="0"/>
          <w:kern w:val="0"/>
          <w:sz w:val="36"/>
          <w:szCs w:val="36"/>
        </w:rPr>
      </w:pPr>
    </w:p>
    <w:p w14:paraId="00B11291">
      <w:pPr>
        <w:autoSpaceDE w:val="0"/>
        <w:autoSpaceDN w:val="0"/>
        <w:adjustRightInd w:val="0"/>
        <w:spacing w:line="360" w:lineRule="auto"/>
        <w:jc w:val="center"/>
        <w:outlineLvl w:val="9"/>
        <w:rPr>
          <w:rFonts w:hAnsi="宋体" w:eastAsia="宋体"/>
          <w:b/>
          <w:snapToGrid w:val="0"/>
          <w:kern w:val="0"/>
          <w:sz w:val="36"/>
          <w:szCs w:val="36"/>
        </w:rPr>
      </w:pPr>
    </w:p>
    <w:p w14:paraId="3AE91A23">
      <w:pPr>
        <w:autoSpaceDE w:val="0"/>
        <w:autoSpaceDN w:val="0"/>
        <w:adjustRightInd w:val="0"/>
        <w:spacing w:line="360" w:lineRule="auto"/>
        <w:jc w:val="center"/>
        <w:rPr>
          <w:rFonts w:cs="黑体" w:asciiTheme="minorEastAsia" w:hAnsiTheme="minorEastAsia"/>
          <w:b/>
          <w:bCs/>
          <w:sz w:val="44"/>
          <w:szCs w:val="44"/>
          <w:lang w:val="zh-CN"/>
        </w:rPr>
      </w:pPr>
    </w:p>
    <w:p w14:paraId="763260BB">
      <w:pPr>
        <w:autoSpaceDE w:val="0"/>
        <w:autoSpaceDN w:val="0"/>
        <w:adjustRightInd w:val="0"/>
        <w:spacing w:line="360" w:lineRule="auto"/>
        <w:jc w:val="center"/>
        <w:rPr>
          <w:rFonts w:cs="黑体" w:asciiTheme="minorEastAsia" w:hAnsiTheme="minorEastAsia"/>
          <w:b/>
          <w:bCs/>
          <w:sz w:val="44"/>
          <w:szCs w:val="44"/>
          <w:lang w:val="zh-CN"/>
        </w:rPr>
      </w:pPr>
    </w:p>
    <w:p w14:paraId="0024B6F5">
      <w:pPr>
        <w:autoSpaceDE w:val="0"/>
        <w:autoSpaceDN w:val="0"/>
        <w:adjustRightInd w:val="0"/>
        <w:spacing w:line="360" w:lineRule="auto"/>
        <w:jc w:val="center"/>
        <w:rPr>
          <w:rFonts w:cs="黑体" w:asciiTheme="minorEastAsia" w:hAnsiTheme="minorEastAsia"/>
          <w:b/>
          <w:bCs/>
          <w:sz w:val="44"/>
          <w:szCs w:val="44"/>
          <w:lang w:val="zh-CN"/>
        </w:rPr>
      </w:pPr>
    </w:p>
    <w:p w14:paraId="689196D9">
      <w:pPr>
        <w:autoSpaceDE w:val="0"/>
        <w:autoSpaceDN w:val="0"/>
        <w:adjustRightInd w:val="0"/>
        <w:spacing w:line="360" w:lineRule="auto"/>
        <w:jc w:val="center"/>
        <w:rPr>
          <w:rFonts w:cs="黑体" w:asciiTheme="minorEastAsia" w:hAnsiTheme="minorEastAsia"/>
          <w:b/>
          <w:bCs/>
          <w:sz w:val="44"/>
          <w:szCs w:val="44"/>
          <w:lang w:val="zh-CN"/>
        </w:rPr>
      </w:pPr>
    </w:p>
    <w:p w14:paraId="59AD0BAA">
      <w:pPr>
        <w:autoSpaceDE w:val="0"/>
        <w:autoSpaceDN w:val="0"/>
        <w:adjustRightInd w:val="0"/>
        <w:spacing w:line="360" w:lineRule="auto"/>
        <w:jc w:val="center"/>
        <w:rPr>
          <w:rFonts w:cs="黑体" w:asciiTheme="minorEastAsia" w:hAnsiTheme="minorEastAsia"/>
          <w:b/>
          <w:bCs/>
          <w:sz w:val="44"/>
          <w:szCs w:val="44"/>
          <w:lang w:val="zh-CN"/>
        </w:rPr>
      </w:pPr>
    </w:p>
    <w:p w14:paraId="7AD72A70">
      <w:pPr>
        <w:autoSpaceDE w:val="0"/>
        <w:autoSpaceDN w:val="0"/>
        <w:adjustRightInd w:val="0"/>
        <w:spacing w:line="360" w:lineRule="auto"/>
        <w:jc w:val="center"/>
        <w:rPr>
          <w:rFonts w:cs="黑体" w:asciiTheme="minorEastAsia" w:hAnsiTheme="minorEastAsia"/>
          <w:b/>
          <w:bCs/>
          <w:sz w:val="44"/>
          <w:szCs w:val="44"/>
          <w:lang w:val="zh-CN"/>
        </w:rPr>
      </w:pPr>
    </w:p>
    <w:p w14:paraId="32CC1D89">
      <w:pPr>
        <w:autoSpaceDE w:val="0"/>
        <w:autoSpaceDN w:val="0"/>
        <w:adjustRightInd w:val="0"/>
        <w:spacing w:line="360" w:lineRule="auto"/>
        <w:jc w:val="center"/>
        <w:outlineLvl w:val="9"/>
        <w:rPr>
          <w:rFonts w:hAnsi="宋体" w:eastAsia="宋体"/>
          <w:b/>
          <w:snapToGrid w:val="0"/>
          <w:kern w:val="0"/>
          <w:sz w:val="36"/>
          <w:szCs w:val="36"/>
        </w:rPr>
      </w:pPr>
    </w:p>
    <w:p w14:paraId="42B5D01B">
      <w:pPr>
        <w:autoSpaceDE w:val="0"/>
        <w:autoSpaceDN w:val="0"/>
        <w:adjustRightInd w:val="0"/>
        <w:spacing w:line="360" w:lineRule="auto"/>
        <w:jc w:val="center"/>
        <w:outlineLvl w:val="9"/>
        <w:rPr>
          <w:rFonts w:hAnsi="宋体" w:eastAsia="宋体"/>
          <w:b/>
          <w:snapToGrid w:val="0"/>
          <w:kern w:val="0"/>
          <w:sz w:val="36"/>
          <w:szCs w:val="36"/>
        </w:rPr>
      </w:pPr>
    </w:p>
    <w:p w14:paraId="49CDC28B">
      <w:pPr>
        <w:autoSpaceDE w:val="0"/>
        <w:autoSpaceDN w:val="0"/>
        <w:adjustRightInd w:val="0"/>
        <w:spacing w:line="360" w:lineRule="auto"/>
        <w:jc w:val="center"/>
        <w:outlineLvl w:val="9"/>
        <w:rPr>
          <w:rFonts w:hAnsi="宋体" w:eastAsia="宋体"/>
          <w:b/>
          <w:snapToGrid w:val="0"/>
          <w:kern w:val="0"/>
          <w:sz w:val="36"/>
          <w:szCs w:val="36"/>
        </w:rPr>
      </w:pPr>
    </w:p>
    <w:p w14:paraId="3C8E0332">
      <w:pPr>
        <w:autoSpaceDE w:val="0"/>
        <w:autoSpaceDN w:val="0"/>
        <w:adjustRightInd w:val="0"/>
        <w:spacing w:line="360" w:lineRule="auto"/>
        <w:jc w:val="center"/>
        <w:rPr>
          <w:rFonts w:cs="黑体" w:asciiTheme="minorEastAsia" w:hAnsiTheme="minorEastAsia"/>
          <w:b/>
          <w:bCs/>
          <w:sz w:val="44"/>
          <w:szCs w:val="44"/>
          <w:lang w:val="zh-CN"/>
        </w:rPr>
      </w:pPr>
    </w:p>
    <w:p w14:paraId="14248035">
      <w:pPr>
        <w:autoSpaceDE w:val="0"/>
        <w:autoSpaceDN w:val="0"/>
        <w:adjustRightInd w:val="0"/>
        <w:spacing w:line="360" w:lineRule="auto"/>
        <w:jc w:val="center"/>
        <w:rPr>
          <w:rFonts w:cs="黑体" w:asciiTheme="minorEastAsia" w:hAnsiTheme="minorEastAsia"/>
          <w:b/>
          <w:bCs/>
          <w:sz w:val="44"/>
          <w:szCs w:val="44"/>
          <w:lang w:val="zh-CN"/>
        </w:rPr>
      </w:pPr>
    </w:p>
    <w:p w14:paraId="109254A0">
      <w:pPr>
        <w:autoSpaceDE w:val="0"/>
        <w:autoSpaceDN w:val="0"/>
        <w:adjustRightInd w:val="0"/>
        <w:spacing w:line="360" w:lineRule="auto"/>
        <w:jc w:val="center"/>
        <w:rPr>
          <w:rFonts w:cs="黑体" w:asciiTheme="minorEastAsia" w:hAnsiTheme="minorEastAsia"/>
          <w:b/>
          <w:bCs/>
          <w:sz w:val="44"/>
          <w:szCs w:val="44"/>
          <w:lang w:val="zh-CN"/>
        </w:rPr>
      </w:pPr>
    </w:p>
    <w:p w14:paraId="5291B93B">
      <w:pPr>
        <w:autoSpaceDE w:val="0"/>
        <w:autoSpaceDN w:val="0"/>
        <w:adjustRightInd w:val="0"/>
        <w:spacing w:line="360" w:lineRule="auto"/>
        <w:jc w:val="center"/>
        <w:rPr>
          <w:rFonts w:cs="黑体" w:asciiTheme="minorEastAsia" w:hAnsiTheme="minorEastAsia"/>
          <w:b/>
          <w:bCs/>
          <w:sz w:val="44"/>
          <w:szCs w:val="44"/>
          <w:lang w:val="zh-CN"/>
        </w:rPr>
      </w:pPr>
    </w:p>
    <w:p w14:paraId="1CB4C627">
      <w:pPr>
        <w:autoSpaceDE w:val="0"/>
        <w:autoSpaceDN w:val="0"/>
        <w:adjustRightInd w:val="0"/>
        <w:spacing w:line="360" w:lineRule="auto"/>
        <w:jc w:val="center"/>
        <w:rPr>
          <w:rFonts w:cs="黑体" w:asciiTheme="minorEastAsia" w:hAnsiTheme="minorEastAsia"/>
          <w:b/>
          <w:bCs/>
          <w:sz w:val="44"/>
          <w:szCs w:val="44"/>
          <w:lang w:val="zh-CN"/>
        </w:rPr>
      </w:pPr>
    </w:p>
    <w:p w14:paraId="4F73F088">
      <w:pPr>
        <w:autoSpaceDE w:val="0"/>
        <w:autoSpaceDN w:val="0"/>
        <w:adjustRightInd w:val="0"/>
        <w:spacing w:line="360" w:lineRule="auto"/>
        <w:rPr>
          <w:rFonts w:cs="黑体" w:asciiTheme="minorEastAsia" w:hAnsiTheme="minorEastAsia"/>
          <w:b/>
          <w:bCs/>
          <w:sz w:val="44"/>
          <w:szCs w:val="44"/>
          <w:lang w:val="zh-CN"/>
        </w:rPr>
      </w:pPr>
    </w:p>
    <w:p w14:paraId="28CEBC53">
      <w:pPr>
        <w:widowControl/>
        <w:ind w:firstLine="2389" w:firstLineChars="850"/>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14:paraId="2834FAEB">
      <w:pPr>
        <w:autoSpaceDE w:val="0"/>
        <w:autoSpaceDN w:val="0"/>
        <w:adjustRightInd w:val="0"/>
        <w:spacing w:line="360" w:lineRule="auto"/>
        <w:jc w:val="center"/>
        <w:outlineLvl w:val="9"/>
        <w:rPr>
          <w:rFonts w:hAnsi="宋体" w:eastAsia="宋体"/>
          <w:b/>
          <w:snapToGrid w:val="0"/>
          <w:kern w:val="0"/>
          <w:sz w:val="36"/>
          <w:szCs w:val="36"/>
        </w:rPr>
      </w:pPr>
    </w:p>
    <w:p w14:paraId="75300C6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4.1 投标分项报价表</w:t>
      </w:r>
    </w:p>
    <w:p w14:paraId="282C66A0">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D2300F9">
      <w:pPr>
        <w:autoSpaceDE w:val="0"/>
        <w:autoSpaceDN w:val="0"/>
        <w:adjustRightInd w:val="0"/>
        <w:spacing w:line="360" w:lineRule="auto"/>
        <w:outlineLvl w:val="3"/>
        <w:rPr>
          <w:rFonts w:hAnsi="宋体" w:eastAsia="宋体"/>
          <w:b/>
          <w:snapToGrid w:val="0"/>
          <w:kern w:val="0"/>
          <w:szCs w:val="21"/>
        </w:rPr>
      </w:pPr>
      <w:r>
        <w:rPr>
          <w:rFonts w:hint="eastAsia" w:asciiTheme="minorEastAsia" w:hAnsiTheme="minorEastAsia"/>
          <w:szCs w:val="21"/>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14:paraId="4758077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6CA0753">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40BD5FA">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FF4C340">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14:paraId="5A43ADCD">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6DFCAC">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14:paraId="7E14B373">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04B0B9">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20F3CF6">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45E0F0">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8925DC4">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CF6A3D">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14:paraId="149E5360">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6165B6C0">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14:paraId="18A7A9AD">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532466C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3ABF7336">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51FAE9C9">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4051ABE0">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0895520A">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3AF028A8">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66D88CBD">
            <w:pPr>
              <w:autoSpaceDE w:val="0"/>
              <w:autoSpaceDN w:val="0"/>
              <w:adjustRightInd w:val="0"/>
              <w:spacing w:line="360" w:lineRule="auto"/>
              <w:rPr>
                <w:rFonts w:asciiTheme="minorEastAsia" w:hAnsiTheme="minorEastAsia"/>
                <w:szCs w:val="21"/>
              </w:rPr>
            </w:pPr>
          </w:p>
        </w:tc>
      </w:tr>
      <w:tr w14:paraId="7D778426">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00D1EFAC">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14:paraId="1F254D24">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38DA9D53">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0FB4A140">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1FFB51E5">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24E67FDF">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77C38200">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508EFD4">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264AC44C">
            <w:pPr>
              <w:autoSpaceDE w:val="0"/>
              <w:autoSpaceDN w:val="0"/>
              <w:adjustRightInd w:val="0"/>
              <w:spacing w:line="360" w:lineRule="auto"/>
              <w:rPr>
                <w:rFonts w:asciiTheme="minorEastAsia" w:hAnsiTheme="minorEastAsia"/>
                <w:szCs w:val="21"/>
              </w:rPr>
            </w:pPr>
          </w:p>
        </w:tc>
      </w:tr>
      <w:tr w14:paraId="69936DD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54ECD4D3">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14:paraId="7B514EB1">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2B6A3B3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7C3A6688">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08E897F8">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180C16EE">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6D590D29">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E0F9041">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3F6E2274">
            <w:pPr>
              <w:autoSpaceDE w:val="0"/>
              <w:autoSpaceDN w:val="0"/>
              <w:adjustRightInd w:val="0"/>
              <w:spacing w:line="360" w:lineRule="auto"/>
              <w:rPr>
                <w:rFonts w:asciiTheme="minorEastAsia" w:hAnsiTheme="minorEastAsia"/>
                <w:szCs w:val="21"/>
              </w:rPr>
            </w:pPr>
          </w:p>
        </w:tc>
      </w:tr>
      <w:tr w14:paraId="253EA89D">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65715677">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14:paraId="60D4F2CB">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14:paraId="2EECFB6C">
      <w:pPr>
        <w:autoSpaceDE w:val="0"/>
        <w:autoSpaceDN w:val="0"/>
        <w:adjustRightInd w:val="0"/>
        <w:spacing w:line="480" w:lineRule="auto"/>
        <w:rPr>
          <w:rFonts w:cs="宋体" w:asciiTheme="minorEastAsia" w:hAnsiTheme="minorEastAsia"/>
          <w:szCs w:val="21"/>
          <w:lang w:val="zh-CN"/>
        </w:rPr>
      </w:pPr>
    </w:p>
    <w:p w14:paraId="3DCB609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06DF80AB">
      <w:pPr>
        <w:autoSpaceDE w:val="0"/>
        <w:autoSpaceDN w:val="0"/>
        <w:adjustRightInd w:val="0"/>
        <w:spacing w:line="480" w:lineRule="auto"/>
        <w:rPr>
          <w:rFonts w:cs="宋体" w:asciiTheme="minorEastAsia" w:hAnsiTheme="minorEastAsia"/>
          <w:szCs w:val="21"/>
          <w:lang w:val="zh-CN"/>
        </w:rPr>
      </w:pPr>
    </w:p>
    <w:p w14:paraId="6BD16EA2">
      <w:pPr>
        <w:autoSpaceDE w:val="0"/>
        <w:autoSpaceDN w:val="0"/>
        <w:adjustRightInd w:val="0"/>
        <w:spacing w:line="480" w:lineRule="auto"/>
        <w:rPr>
          <w:rFonts w:cs="宋体" w:asciiTheme="minorEastAsia" w:hAnsiTheme="minorEastAsia"/>
          <w:sz w:val="24"/>
          <w:szCs w:val="24"/>
          <w:lang w:val="zh-CN"/>
        </w:rPr>
      </w:pPr>
    </w:p>
    <w:p w14:paraId="3C8807C9">
      <w:pPr>
        <w:autoSpaceDE w:val="0"/>
        <w:autoSpaceDN w:val="0"/>
        <w:adjustRightInd w:val="0"/>
        <w:spacing w:line="480" w:lineRule="auto"/>
        <w:rPr>
          <w:rFonts w:cs="宋体" w:asciiTheme="minorEastAsia" w:hAnsiTheme="minorEastAsia"/>
          <w:sz w:val="24"/>
          <w:szCs w:val="24"/>
          <w:lang w:val="zh-CN"/>
        </w:rPr>
      </w:pPr>
    </w:p>
    <w:p w14:paraId="299A123E">
      <w:pPr>
        <w:autoSpaceDE w:val="0"/>
        <w:autoSpaceDN w:val="0"/>
        <w:adjustRightInd w:val="0"/>
        <w:spacing w:line="480" w:lineRule="auto"/>
        <w:rPr>
          <w:rFonts w:cs="宋体" w:asciiTheme="minorEastAsia" w:hAnsiTheme="minorEastAsia"/>
          <w:sz w:val="24"/>
          <w:szCs w:val="24"/>
          <w:lang w:val="zh-CN"/>
        </w:rPr>
      </w:pPr>
    </w:p>
    <w:p w14:paraId="3EE77222">
      <w:pPr>
        <w:autoSpaceDE w:val="0"/>
        <w:autoSpaceDN w:val="0"/>
        <w:adjustRightInd w:val="0"/>
        <w:spacing w:line="480" w:lineRule="auto"/>
        <w:rPr>
          <w:rFonts w:cs="宋体" w:asciiTheme="minorEastAsia" w:hAnsiTheme="minorEastAsia"/>
          <w:sz w:val="24"/>
          <w:szCs w:val="24"/>
          <w:lang w:val="zh-CN"/>
        </w:rPr>
      </w:pPr>
    </w:p>
    <w:p w14:paraId="1DDAD527">
      <w:pPr>
        <w:autoSpaceDE w:val="0"/>
        <w:autoSpaceDN w:val="0"/>
        <w:adjustRightInd w:val="0"/>
        <w:spacing w:line="480" w:lineRule="auto"/>
        <w:rPr>
          <w:rFonts w:cs="宋体" w:asciiTheme="minorEastAsia" w:hAnsiTheme="minorEastAsia"/>
          <w:sz w:val="24"/>
          <w:szCs w:val="24"/>
          <w:lang w:val="zh-CN"/>
        </w:rPr>
      </w:pPr>
    </w:p>
    <w:p w14:paraId="5E90E4E2">
      <w:pPr>
        <w:autoSpaceDE w:val="0"/>
        <w:autoSpaceDN w:val="0"/>
        <w:adjustRightInd w:val="0"/>
        <w:spacing w:line="480" w:lineRule="auto"/>
        <w:rPr>
          <w:rFonts w:cs="宋体" w:asciiTheme="minorEastAsia" w:hAnsiTheme="minorEastAsia"/>
          <w:sz w:val="24"/>
          <w:szCs w:val="24"/>
          <w:lang w:val="zh-CN"/>
        </w:rPr>
      </w:pPr>
    </w:p>
    <w:p w14:paraId="0290392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4.2 技术规格偏离表</w:t>
      </w:r>
    </w:p>
    <w:p w14:paraId="6EEBC25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1210C2F1">
      <w:pPr>
        <w:autoSpaceDE w:val="0"/>
        <w:autoSpaceDN w:val="0"/>
        <w:adjustRightInd w:val="0"/>
        <w:spacing w:line="360" w:lineRule="auto"/>
        <w:outlineLvl w:val="3"/>
        <w:rPr>
          <w:rFonts w:asciiTheme="minorEastAsia" w:hAnsiTheme="minorEastAsia"/>
          <w:szCs w:val="21"/>
        </w:rPr>
      </w:pPr>
      <w:r>
        <w:rPr>
          <w:rFonts w:hint="eastAsia" w:asciiTheme="minorEastAsia" w:hAnsiTheme="minorEastAsia"/>
          <w:szCs w:val="21"/>
        </w:rPr>
        <w:t xml:space="preserve">项目名称：   </w:t>
      </w:r>
    </w:p>
    <w:p w14:paraId="0D9DB1DF">
      <w:pPr>
        <w:autoSpaceDE w:val="0"/>
        <w:autoSpaceDN w:val="0"/>
        <w:adjustRightInd w:val="0"/>
        <w:spacing w:line="360" w:lineRule="auto"/>
        <w:outlineLvl w:val="9"/>
        <w:rPr>
          <w:rFonts w:hAnsi="宋体" w:eastAsia="宋体"/>
          <w:b/>
          <w:snapToGrid w:val="0"/>
          <w:kern w:val="0"/>
          <w:szCs w:val="21"/>
        </w:rPr>
      </w:pP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14:paraId="6A102BD2">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F6648E4">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560EC6E">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14:paraId="2CC3CFE3">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C8A3F82">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D076F95">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14:paraId="514B4503">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388AF13">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14:paraId="5C9460A2">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094EDD">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14:paraId="3EFDA704">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53B811">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14:paraId="1BC80BEA">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2A6EA2E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0491CA7E">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74DC4D8E">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4B7D7C7">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4D60EADF">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929F8FC">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23EB4C2">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6CAAFFD9">
            <w:pPr>
              <w:autoSpaceDE w:val="0"/>
              <w:autoSpaceDN w:val="0"/>
              <w:adjustRightInd w:val="0"/>
              <w:spacing w:line="480" w:lineRule="exact"/>
              <w:jc w:val="center"/>
              <w:rPr>
                <w:rFonts w:asciiTheme="minorEastAsia" w:hAnsiTheme="minorEastAsia"/>
                <w:b/>
                <w:bCs/>
                <w:szCs w:val="21"/>
              </w:rPr>
            </w:pPr>
          </w:p>
        </w:tc>
      </w:tr>
      <w:tr w14:paraId="703C627C">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24E48E4F">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14:paraId="7AFD065D">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C392E9D">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F15E2A6">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2FA51338">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63003D4B">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5922EED8">
            <w:pPr>
              <w:autoSpaceDE w:val="0"/>
              <w:autoSpaceDN w:val="0"/>
              <w:adjustRightInd w:val="0"/>
              <w:spacing w:line="480" w:lineRule="exact"/>
              <w:jc w:val="center"/>
              <w:rPr>
                <w:rFonts w:asciiTheme="minorEastAsia" w:hAnsiTheme="minorEastAsia"/>
                <w:b/>
                <w:bCs/>
                <w:szCs w:val="21"/>
              </w:rPr>
            </w:pPr>
          </w:p>
        </w:tc>
      </w:tr>
      <w:tr w14:paraId="4BC8A058">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48216F1">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4D1A1DD3">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732FC11B">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56DD9D9">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EE392B9">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E94CB5D">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72BC924E">
            <w:pPr>
              <w:autoSpaceDE w:val="0"/>
              <w:autoSpaceDN w:val="0"/>
              <w:adjustRightInd w:val="0"/>
              <w:spacing w:line="480" w:lineRule="exact"/>
              <w:jc w:val="center"/>
              <w:rPr>
                <w:rFonts w:asciiTheme="minorEastAsia" w:hAnsiTheme="minorEastAsia"/>
                <w:b/>
                <w:bCs/>
                <w:szCs w:val="21"/>
              </w:rPr>
            </w:pPr>
          </w:p>
        </w:tc>
      </w:tr>
    </w:tbl>
    <w:p w14:paraId="355428C7">
      <w:pPr>
        <w:autoSpaceDE w:val="0"/>
        <w:autoSpaceDN w:val="0"/>
        <w:adjustRightInd w:val="0"/>
        <w:spacing w:line="480" w:lineRule="auto"/>
        <w:rPr>
          <w:rFonts w:cs="宋体" w:asciiTheme="minorEastAsia" w:hAnsiTheme="minorEastAsia"/>
          <w:szCs w:val="21"/>
          <w:lang w:val="zh-CN"/>
        </w:rPr>
      </w:pPr>
    </w:p>
    <w:p w14:paraId="264685D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683335CC">
      <w:pPr>
        <w:autoSpaceDE w:val="0"/>
        <w:autoSpaceDN w:val="0"/>
        <w:adjustRightInd w:val="0"/>
        <w:spacing w:line="480" w:lineRule="auto"/>
        <w:rPr>
          <w:rFonts w:cs="宋体" w:asciiTheme="minorEastAsia" w:hAnsiTheme="minorEastAsia"/>
          <w:szCs w:val="21"/>
          <w:lang w:val="zh-CN"/>
        </w:rPr>
      </w:pPr>
    </w:p>
    <w:p w14:paraId="3EB8B48C">
      <w:pPr>
        <w:autoSpaceDE w:val="0"/>
        <w:autoSpaceDN w:val="0"/>
        <w:adjustRightInd w:val="0"/>
        <w:spacing w:line="480" w:lineRule="auto"/>
        <w:rPr>
          <w:rFonts w:cs="宋体" w:asciiTheme="minorEastAsia" w:hAnsiTheme="minorEastAsia"/>
          <w:szCs w:val="21"/>
          <w:lang w:val="zh-CN"/>
        </w:rPr>
      </w:pPr>
    </w:p>
    <w:p w14:paraId="6D4AC864">
      <w:pPr>
        <w:autoSpaceDE w:val="0"/>
        <w:autoSpaceDN w:val="0"/>
        <w:adjustRightInd w:val="0"/>
        <w:spacing w:line="360" w:lineRule="auto"/>
        <w:jc w:val="center"/>
        <w:outlineLvl w:val="9"/>
        <w:rPr>
          <w:rFonts w:ascii="宋体" w:hAnsi="宋体"/>
          <w:b/>
          <w:bCs/>
          <w:sz w:val="24"/>
          <w:szCs w:val="24"/>
        </w:rPr>
      </w:pPr>
    </w:p>
    <w:p w14:paraId="12ECC9A4">
      <w:pPr>
        <w:autoSpaceDE w:val="0"/>
        <w:autoSpaceDN w:val="0"/>
        <w:adjustRightInd w:val="0"/>
        <w:spacing w:line="360" w:lineRule="auto"/>
        <w:jc w:val="center"/>
        <w:outlineLvl w:val="9"/>
        <w:rPr>
          <w:rFonts w:ascii="宋体" w:hAnsi="宋体"/>
          <w:b/>
          <w:bCs/>
          <w:sz w:val="24"/>
          <w:szCs w:val="24"/>
        </w:rPr>
      </w:pPr>
    </w:p>
    <w:p w14:paraId="7D52F75D">
      <w:pPr>
        <w:autoSpaceDE w:val="0"/>
        <w:autoSpaceDN w:val="0"/>
        <w:adjustRightInd w:val="0"/>
        <w:spacing w:line="360" w:lineRule="auto"/>
        <w:jc w:val="center"/>
        <w:outlineLvl w:val="9"/>
        <w:rPr>
          <w:rFonts w:ascii="宋体" w:hAnsi="宋体"/>
          <w:b/>
          <w:bCs/>
          <w:sz w:val="24"/>
          <w:szCs w:val="24"/>
        </w:rPr>
      </w:pPr>
    </w:p>
    <w:p w14:paraId="782525F7">
      <w:pPr>
        <w:autoSpaceDE w:val="0"/>
        <w:autoSpaceDN w:val="0"/>
        <w:adjustRightInd w:val="0"/>
        <w:spacing w:line="360" w:lineRule="auto"/>
        <w:jc w:val="center"/>
        <w:outlineLvl w:val="9"/>
        <w:rPr>
          <w:rFonts w:ascii="宋体" w:hAnsi="宋体"/>
          <w:b/>
          <w:bCs/>
          <w:sz w:val="24"/>
          <w:szCs w:val="24"/>
        </w:rPr>
      </w:pPr>
    </w:p>
    <w:p w14:paraId="471B91C1">
      <w:pPr>
        <w:autoSpaceDE w:val="0"/>
        <w:autoSpaceDN w:val="0"/>
        <w:adjustRightInd w:val="0"/>
        <w:spacing w:line="360" w:lineRule="auto"/>
        <w:jc w:val="center"/>
        <w:outlineLvl w:val="9"/>
        <w:rPr>
          <w:rFonts w:ascii="宋体" w:hAnsi="宋体"/>
          <w:b/>
          <w:bCs/>
          <w:sz w:val="24"/>
          <w:szCs w:val="24"/>
        </w:rPr>
      </w:pPr>
    </w:p>
    <w:p w14:paraId="6F3FD499">
      <w:pPr>
        <w:autoSpaceDE w:val="0"/>
        <w:autoSpaceDN w:val="0"/>
        <w:adjustRightInd w:val="0"/>
        <w:spacing w:line="360" w:lineRule="auto"/>
        <w:jc w:val="center"/>
        <w:outlineLvl w:val="9"/>
        <w:rPr>
          <w:rFonts w:ascii="宋体" w:hAnsi="宋体"/>
          <w:b/>
          <w:bCs/>
          <w:sz w:val="24"/>
          <w:szCs w:val="24"/>
        </w:rPr>
      </w:pPr>
    </w:p>
    <w:p w14:paraId="32BE9D79">
      <w:pPr>
        <w:autoSpaceDE w:val="0"/>
        <w:autoSpaceDN w:val="0"/>
        <w:adjustRightInd w:val="0"/>
        <w:spacing w:line="360" w:lineRule="auto"/>
        <w:jc w:val="center"/>
        <w:outlineLvl w:val="9"/>
        <w:rPr>
          <w:rFonts w:ascii="宋体" w:hAnsi="宋体"/>
          <w:b/>
          <w:bCs/>
          <w:sz w:val="24"/>
          <w:szCs w:val="24"/>
        </w:rPr>
      </w:pPr>
    </w:p>
    <w:p w14:paraId="68B4EB3F">
      <w:pPr>
        <w:autoSpaceDE w:val="0"/>
        <w:autoSpaceDN w:val="0"/>
        <w:adjustRightInd w:val="0"/>
        <w:spacing w:line="360" w:lineRule="auto"/>
        <w:jc w:val="center"/>
        <w:outlineLvl w:val="9"/>
        <w:rPr>
          <w:rFonts w:ascii="宋体" w:hAnsi="宋体"/>
          <w:b/>
          <w:bCs/>
          <w:sz w:val="24"/>
          <w:szCs w:val="24"/>
        </w:rPr>
      </w:pPr>
    </w:p>
    <w:p w14:paraId="38F1356D">
      <w:pPr>
        <w:autoSpaceDE w:val="0"/>
        <w:autoSpaceDN w:val="0"/>
        <w:adjustRightInd w:val="0"/>
        <w:spacing w:line="360" w:lineRule="auto"/>
        <w:jc w:val="center"/>
        <w:outlineLvl w:val="9"/>
        <w:rPr>
          <w:rFonts w:ascii="宋体" w:hAnsi="宋体"/>
          <w:b/>
          <w:bCs/>
          <w:sz w:val="24"/>
          <w:szCs w:val="24"/>
        </w:rPr>
      </w:pPr>
    </w:p>
    <w:p w14:paraId="5E01DF7F">
      <w:pPr>
        <w:autoSpaceDE w:val="0"/>
        <w:autoSpaceDN w:val="0"/>
        <w:adjustRightInd w:val="0"/>
        <w:spacing w:line="360" w:lineRule="auto"/>
        <w:jc w:val="center"/>
        <w:outlineLvl w:val="9"/>
        <w:rPr>
          <w:rFonts w:ascii="宋体" w:hAnsi="宋体"/>
          <w:b/>
          <w:bCs/>
          <w:sz w:val="24"/>
          <w:szCs w:val="24"/>
        </w:rPr>
      </w:pPr>
    </w:p>
    <w:p w14:paraId="26B4A661">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4.3 技术方案（实施方案）</w:t>
      </w:r>
    </w:p>
    <w:p w14:paraId="067ABBAB">
      <w:pPr>
        <w:snapToGrid w:val="0"/>
        <w:spacing w:line="360" w:lineRule="auto"/>
        <w:jc w:val="center"/>
        <w:rPr>
          <w:rFonts w:hAnsi="宋体" w:eastAsia="宋体"/>
          <w:b/>
          <w:snapToGrid w:val="0"/>
          <w:kern w:val="0"/>
          <w:sz w:val="36"/>
          <w:szCs w:val="36"/>
        </w:rPr>
      </w:pPr>
    </w:p>
    <w:p w14:paraId="082231BD">
      <w:pPr>
        <w:snapToGrid w:val="0"/>
        <w:spacing w:line="360" w:lineRule="auto"/>
        <w:jc w:val="center"/>
        <w:rPr>
          <w:rFonts w:hAnsi="宋体" w:eastAsia="宋体"/>
          <w:b/>
          <w:snapToGrid w:val="0"/>
          <w:kern w:val="0"/>
          <w:sz w:val="36"/>
          <w:szCs w:val="36"/>
        </w:rPr>
      </w:pPr>
    </w:p>
    <w:p w14:paraId="1D5063B8">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（供应商根据招标文件要求自行编制）</w:t>
      </w:r>
    </w:p>
    <w:p w14:paraId="12B3D930">
      <w:pPr>
        <w:snapToGrid w:val="0"/>
        <w:spacing w:line="360" w:lineRule="auto"/>
        <w:jc w:val="center"/>
        <w:rPr>
          <w:rFonts w:hAnsi="宋体" w:eastAsia="宋体"/>
          <w:b/>
          <w:snapToGrid w:val="0"/>
          <w:kern w:val="0"/>
          <w:sz w:val="36"/>
          <w:szCs w:val="36"/>
        </w:rPr>
      </w:pPr>
    </w:p>
    <w:p w14:paraId="3FC06306">
      <w:pPr>
        <w:snapToGrid w:val="0"/>
        <w:spacing w:line="360" w:lineRule="auto"/>
        <w:jc w:val="center"/>
        <w:rPr>
          <w:rFonts w:hAnsi="宋体" w:eastAsia="宋体"/>
          <w:b/>
          <w:snapToGrid w:val="0"/>
          <w:kern w:val="0"/>
          <w:sz w:val="36"/>
          <w:szCs w:val="36"/>
        </w:rPr>
      </w:pPr>
    </w:p>
    <w:p w14:paraId="418FCC1C">
      <w:pPr>
        <w:snapToGrid w:val="0"/>
        <w:spacing w:line="360" w:lineRule="auto"/>
        <w:jc w:val="center"/>
        <w:rPr>
          <w:rFonts w:hAnsi="宋体" w:eastAsia="宋体"/>
          <w:b/>
          <w:snapToGrid w:val="0"/>
          <w:kern w:val="0"/>
          <w:sz w:val="36"/>
          <w:szCs w:val="36"/>
        </w:rPr>
      </w:pPr>
    </w:p>
    <w:p w14:paraId="56EE2D98">
      <w:pPr>
        <w:snapToGrid w:val="0"/>
        <w:spacing w:line="360" w:lineRule="auto"/>
        <w:jc w:val="center"/>
        <w:rPr>
          <w:rFonts w:hAnsi="宋体" w:eastAsia="宋体"/>
          <w:b/>
          <w:snapToGrid w:val="0"/>
          <w:kern w:val="0"/>
          <w:sz w:val="36"/>
          <w:szCs w:val="36"/>
        </w:rPr>
      </w:pPr>
    </w:p>
    <w:p w14:paraId="442995E9">
      <w:pPr>
        <w:snapToGrid w:val="0"/>
        <w:spacing w:line="360" w:lineRule="auto"/>
        <w:jc w:val="center"/>
        <w:rPr>
          <w:rFonts w:hAnsi="宋体" w:eastAsia="宋体"/>
          <w:b/>
          <w:snapToGrid w:val="0"/>
          <w:kern w:val="0"/>
          <w:sz w:val="36"/>
          <w:szCs w:val="36"/>
        </w:rPr>
      </w:pPr>
    </w:p>
    <w:p w14:paraId="2515B272">
      <w:pPr>
        <w:snapToGrid w:val="0"/>
        <w:spacing w:line="360" w:lineRule="auto"/>
        <w:jc w:val="center"/>
        <w:rPr>
          <w:rFonts w:hAnsi="宋体" w:eastAsia="宋体"/>
          <w:b/>
          <w:snapToGrid w:val="0"/>
          <w:kern w:val="0"/>
          <w:sz w:val="36"/>
          <w:szCs w:val="36"/>
        </w:rPr>
      </w:pPr>
    </w:p>
    <w:p w14:paraId="6226330A">
      <w:pPr>
        <w:snapToGrid w:val="0"/>
        <w:spacing w:line="360" w:lineRule="auto"/>
        <w:jc w:val="center"/>
        <w:rPr>
          <w:rFonts w:hAnsi="宋体" w:eastAsia="宋体"/>
          <w:b/>
          <w:snapToGrid w:val="0"/>
          <w:kern w:val="0"/>
          <w:sz w:val="36"/>
          <w:szCs w:val="36"/>
        </w:rPr>
      </w:pPr>
    </w:p>
    <w:p w14:paraId="4A30A61C">
      <w:pPr>
        <w:snapToGrid w:val="0"/>
        <w:spacing w:line="360" w:lineRule="auto"/>
        <w:jc w:val="center"/>
        <w:rPr>
          <w:rFonts w:hAnsi="宋体" w:eastAsia="宋体"/>
          <w:b/>
          <w:snapToGrid w:val="0"/>
          <w:kern w:val="0"/>
          <w:sz w:val="36"/>
          <w:szCs w:val="36"/>
        </w:rPr>
      </w:pPr>
    </w:p>
    <w:p w14:paraId="030E435B">
      <w:pPr>
        <w:snapToGrid w:val="0"/>
        <w:spacing w:line="360" w:lineRule="auto"/>
        <w:jc w:val="center"/>
        <w:rPr>
          <w:rFonts w:hAnsi="宋体" w:eastAsia="宋体"/>
          <w:b/>
          <w:snapToGrid w:val="0"/>
          <w:kern w:val="0"/>
          <w:sz w:val="36"/>
          <w:szCs w:val="36"/>
        </w:rPr>
      </w:pPr>
    </w:p>
    <w:p w14:paraId="3223C9E8">
      <w:pPr>
        <w:snapToGrid w:val="0"/>
        <w:spacing w:line="360" w:lineRule="auto"/>
        <w:jc w:val="center"/>
        <w:rPr>
          <w:rFonts w:hAnsi="宋体" w:eastAsia="宋体"/>
          <w:b/>
          <w:snapToGrid w:val="0"/>
          <w:kern w:val="0"/>
          <w:sz w:val="36"/>
          <w:szCs w:val="36"/>
        </w:rPr>
      </w:pPr>
    </w:p>
    <w:p w14:paraId="01DBA75D">
      <w:pPr>
        <w:snapToGrid w:val="0"/>
        <w:spacing w:line="360" w:lineRule="auto"/>
        <w:jc w:val="center"/>
        <w:rPr>
          <w:rFonts w:hAnsi="宋体" w:eastAsia="宋体"/>
          <w:b/>
          <w:snapToGrid w:val="0"/>
          <w:kern w:val="0"/>
          <w:sz w:val="36"/>
          <w:szCs w:val="36"/>
        </w:rPr>
      </w:pPr>
    </w:p>
    <w:p w14:paraId="404530B1">
      <w:pPr>
        <w:snapToGrid w:val="0"/>
        <w:spacing w:line="360" w:lineRule="auto"/>
        <w:jc w:val="center"/>
        <w:rPr>
          <w:rFonts w:hAnsi="宋体" w:eastAsia="宋体"/>
          <w:b/>
          <w:snapToGrid w:val="0"/>
          <w:kern w:val="0"/>
          <w:sz w:val="36"/>
          <w:szCs w:val="36"/>
        </w:rPr>
      </w:pPr>
    </w:p>
    <w:p w14:paraId="4C47E94B">
      <w:pPr>
        <w:snapToGrid w:val="0"/>
        <w:spacing w:line="360" w:lineRule="auto"/>
        <w:jc w:val="center"/>
        <w:rPr>
          <w:rFonts w:hAnsi="宋体" w:eastAsia="宋体"/>
          <w:b/>
          <w:snapToGrid w:val="0"/>
          <w:kern w:val="0"/>
          <w:sz w:val="36"/>
          <w:szCs w:val="36"/>
        </w:rPr>
      </w:pPr>
    </w:p>
    <w:p w14:paraId="51ABFBFF">
      <w:pPr>
        <w:snapToGrid w:val="0"/>
        <w:spacing w:line="360" w:lineRule="auto"/>
        <w:jc w:val="center"/>
        <w:rPr>
          <w:rFonts w:hAnsi="宋体" w:eastAsia="宋体"/>
          <w:b/>
          <w:snapToGrid w:val="0"/>
          <w:kern w:val="0"/>
          <w:sz w:val="36"/>
          <w:szCs w:val="36"/>
        </w:rPr>
      </w:pPr>
    </w:p>
    <w:p w14:paraId="2BB1BFC8">
      <w:pPr>
        <w:snapToGrid w:val="0"/>
        <w:spacing w:line="360" w:lineRule="auto"/>
        <w:jc w:val="center"/>
        <w:rPr>
          <w:rFonts w:hAnsi="宋体" w:eastAsia="宋体"/>
          <w:b/>
          <w:snapToGrid w:val="0"/>
          <w:kern w:val="0"/>
          <w:sz w:val="36"/>
          <w:szCs w:val="36"/>
        </w:rPr>
      </w:pPr>
    </w:p>
    <w:p w14:paraId="4143322A">
      <w:pPr>
        <w:snapToGrid w:val="0"/>
        <w:spacing w:line="360" w:lineRule="auto"/>
        <w:jc w:val="center"/>
        <w:rPr>
          <w:rFonts w:hAnsi="宋体" w:eastAsia="宋体"/>
          <w:b/>
          <w:snapToGrid w:val="0"/>
          <w:kern w:val="0"/>
          <w:sz w:val="36"/>
          <w:szCs w:val="36"/>
        </w:rPr>
      </w:pPr>
    </w:p>
    <w:p w14:paraId="6B8F559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4.4 业绩情况表</w:t>
      </w:r>
    </w:p>
    <w:p w14:paraId="3A1B1957">
      <w:pPr>
        <w:autoSpaceDE w:val="0"/>
        <w:autoSpaceDN w:val="0"/>
        <w:adjustRightInd w:val="0"/>
        <w:spacing w:line="360" w:lineRule="auto"/>
        <w:jc w:val="center"/>
        <w:outlineLvl w:val="9"/>
        <w:rPr>
          <w:rFonts w:ascii="宋体" w:hAnsi="宋体"/>
          <w:b/>
          <w:bCs/>
          <w:sz w:val="28"/>
          <w:szCs w:val="28"/>
        </w:rPr>
      </w:pPr>
    </w:p>
    <w:p w14:paraId="2F83D133">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2B5DAC56">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14:paraId="7ACB1B18">
      <w:pPr>
        <w:snapToGrid w:val="0"/>
        <w:spacing w:line="360" w:lineRule="auto"/>
        <w:rPr>
          <w:rFonts w:hAnsi="宋体" w:eastAsia="宋体"/>
          <w:b/>
          <w:snapToGrid w:val="0"/>
          <w:kern w:val="0"/>
          <w:szCs w:val="21"/>
        </w:rPr>
      </w:pP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729F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52486A96">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630BBB1D">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6A0E02DD">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7FF2A296">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14:paraId="1E2FFA9B">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2CEA7256">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4CC2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8F01C23">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3D298299">
            <w:pPr>
              <w:pStyle w:val="7"/>
              <w:spacing w:line="360" w:lineRule="auto"/>
              <w:rPr>
                <w:rFonts w:ascii="宋体" w:hAnsi="宋体" w:eastAsia="宋体" w:cs="Times New Roman"/>
                <w:sz w:val="21"/>
                <w:szCs w:val="21"/>
              </w:rPr>
            </w:pPr>
          </w:p>
        </w:tc>
        <w:tc>
          <w:tcPr>
            <w:tcW w:w="3579" w:type="dxa"/>
            <w:vAlign w:val="center"/>
          </w:tcPr>
          <w:p w14:paraId="6BE38495">
            <w:pPr>
              <w:pStyle w:val="7"/>
              <w:spacing w:line="360" w:lineRule="auto"/>
              <w:rPr>
                <w:rFonts w:ascii="宋体" w:hAnsi="宋体" w:eastAsia="宋体" w:cs="Times New Roman"/>
                <w:sz w:val="21"/>
                <w:szCs w:val="21"/>
              </w:rPr>
            </w:pPr>
          </w:p>
        </w:tc>
        <w:tc>
          <w:tcPr>
            <w:tcW w:w="1440" w:type="dxa"/>
            <w:vAlign w:val="center"/>
          </w:tcPr>
          <w:p w14:paraId="587EAB21">
            <w:pPr>
              <w:pStyle w:val="7"/>
              <w:spacing w:line="360" w:lineRule="auto"/>
              <w:rPr>
                <w:rFonts w:ascii="宋体" w:hAnsi="宋体" w:eastAsia="宋体" w:cs="Times New Roman"/>
                <w:sz w:val="21"/>
                <w:szCs w:val="21"/>
              </w:rPr>
            </w:pPr>
          </w:p>
        </w:tc>
        <w:tc>
          <w:tcPr>
            <w:tcW w:w="1706" w:type="dxa"/>
            <w:vAlign w:val="center"/>
          </w:tcPr>
          <w:p w14:paraId="22315D90">
            <w:pPr>
              <w:pStyle w:val="7"/>
              <w:spacing w:line="360" w:lineRule="auto"/>
              <w:rPr>
                <w:rFonts w:ascii="宋体" w:hAnsi="宋体" w:eastAsia="宋体" w:cs="Times New Roman"/>
                <w:sz w:val="21"/>
                <w:szCs w:val="21"/>
              </w:rPr>
            </w:pPr>
          </w:p>
        </w:tc>
      </w:tr>
      <w:tr w14:paraId="0235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658EC1F">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2EDDFD82">
            <w:pPr>
              <w:pStyle w:val="7"/>
              <w:spacing w:line="360" w:lineRule="auto"/>
              <w:rPr>
                <w:rFonts w:ascii="宋体" w:hAnsi="宋体" w:eastAsia="宋体" w:cs="Times New Roman"/>
                <w:sz w:val="21"/>
                <w:szCs w:val="21"/>
              </w:rPr>
            </w:pPr>
          </w:p>
        </w:tc>
        <w:tc>
          <w:tcPr>
            <w:tcW w:w="3579" w:type="dxa"/>
            <w:vAlign w:val="center"/>
          </w:tcPr>
          <w:p w14:paraId="19532459">
            <w:pPr>
              <w:pStyle w:val="7"/>
              <w:spacing w:line="360" w:lineRule="auto"/>
              <w:rPr>
                <w:rFonts w:ascii="宋体" w:hAnsi="宋体" w:eastAsia="宋体" w:cs="Times New Roman"/>
                <w:sz w:val="21"/>
                <w:szCs w:val="21"/>
              </w:rPr>
            </w:pPr>
          </w:p>
        </w:tc>
        <w:tc>
          <w:tcPr>
            <w:tcW w:w="1440" w:type="dxa"/>
            <w:vAlign w:val="center"/>
          </w:tcPr>
          <w:p w14:paraId="74A3CD0B">
            <w:pPr>
              <w:pStyle w:val="7"/>
              <w:spacing w:line="360" w:lineRule="auto"/>
              <w:rPr>
                <w:rFonts w:ascii="宋体" w:hAnsi="宋体" w:eastAsia="宋体" w:cs="Times New Roman"/>
                <w:sz w:val="21"/>
                <w:szCs w:val="21"/>
              </w:rPr>
            </w:pPr>
          </w:p>
        </w:tc>
        <w:tc>
          <w:tcPr>
            <w:tcW w:w="1706" w:type="dxa"/>
            <w:vAlign w:val="center"/>
          </w:tcPr>
          <w:p w14:paraId="07BBCB1A">
            <w:pPr>
              <w:pStyle w:val="7"/>
              <w:spacing w:line="360" w:lineRule="auto"/>
              <w:rPr>
                <w:rFonts w:ascii="宋体" w:hAnsi="宋体" w:eastAsia="宋体" w:cs="Times New Roman"/>
                <w:sz w:val="21"/>
                <w:szCs w:val="21"/>
              </w:rPr>
            </w:pPr>
          </w:p>
        </w:tc>
      </w:tr>
      <w:tr w14:paraId="3C89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AC6D5D7">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7C8A7012">
            <w:pPr>
              <w:pStyle w:val="7"/>
              <w:spacing w:line="360" w:lineRule="auto"/>
              <w:rPr>
                <w:rFonts w:ascii="宋体" w:hAnsi="宋体" w:eastAsia="宋体" w:cs="Times New Roman"/>
                <w:sz w:val="21"/>
                <w:szCs w:val="21"/>
              </w:rPr>
            </w:pPr>
          </w:p>
        </w:tc>
        <w:tc>
          <w:tcPr>
            <w:tcW w:w="3579" w:type="dxa"/>
            <w:vAlign w:val="center"/>
          </w:tcPr>
          <w:p w14:paraId="609A503B">
            <w:pPr>
              <w:pStyle w:val="7"/>
              <w:spacing w:line="360" w:lineRule="auto"/>
              <w:rPr>
                <w:rFonts w:ascii="宋体" w:hAnsi="宋体" w:eastAsia="宋体" w:cs="Times New Roman"/>
                <w:sz w:val="21"/>
                <w:szCs w:val="21"/>
              </w:rPr>
            </w:pPr>
          </w:p>
        </w:tc>
        <w:tc>
          <w:tcPr>
            <w:tcW w:w="1440" w:type="dxa"/>
            <w:vAlign w:val="center"/>
          </w:tcPr>
          <w:p w14:paraId="1A21A8E6">
            <w:pPr>
              <w:pStyle w:val="7"/>
              <w:spacing w:line="360" w:lineRule="auto"/>
              <w:rPr>
                <w:rFonts w:ascii="宋体" w:hAnsi="宋体" w:eastAsia="宋体" w:cs="Times New Roman"/>
                <w:sz w:val="21"/>
                <w:szCs w:val="21"/>
              </w:rPr>
            </w:pPr>
          </w:p>
        </w:tc>
        <w:tc>
          <w:tcPr>
            <w:tcW w:w="1706" w:type="dxa"/>
            <w:vAlign w:val="center"/>
          </w:tcPr>
          <w:p w14:paraId="1AF7E261">
            <w:pPr>
              <w:pStyle w:val="7"/>
              <w:spacing w:line="360" w:lineRule="auto"/>
              <w:rPr>
                <w:rFonts w:ascii="宋体" w:hAnsi="宋体" w:eastAsia="宋体" w:cs="Times New Roman"/>
                <w:sz w:val="21"/>
                <w:szCs w:val="21"/>
              </w:rPr>
            </w:pPr>
          </w:p>
        </w:tc>
      </w:tr>
      <w:tr w14:paraId="66DF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0BB0111">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525457C9">
            <w:pPr>
              <w:rPr>
                <w:rFonts w:ascii="宋体"/>
                <w:szCs w:val="21"/>
              </w:rPr>
            </w:pPr>
          </w:p>
        </w:tc>
        <w:tc>
          <w:tcPr>
            <w:tcW w:w="3579" w:type="dxa"/>
            <w:vAlign w:val="center"/>
          </w:tcPr>
          <w:p w14:paraId="7C4CE398">
            <w:pPr>
              <w:rPr>
                <w:rFonts w:ascii="宋体"/>
                <w:szCs w:val="21"/>
              </w:rPr>
            </w:pPr>
          </w:p>
        </w:tc>
        <w:tc>
          <w:tcPr>
            <w:tcW w:w="1440" w:type="dxa"/>
            <w:vAlign w:val="center"/>
          </w:tcPr>
          <w:p w14:paraId="6C319C0A">
            <w:pPr>
              <w:rPr>
                <w:rFonts w:ascii="宋体"/>
                <w:szCs w:val="21"/>
              </w:rPr>
            </w:pPr>
          </w:p>
        </w:tc>
        <w:tc>
          <w:tcPr>
            <w:tcW w:w="1706" w:type="dxa"/>
            <w:vAlign w:val="center"/>
          </w:tcPr>
          <w:p w14:paraId="7093F2D4">
            <w:pPr>
              <w:rPr>
                <w:rFonts w:ascii="宋体"/>
                <w:szCs w:val="21"/>
              </w:rPr>
            </w:pPr>
          </w:p>
        </w:tc>
      </w:tr>
      <w:tr w14:paraId="7CBD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9C49E00">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2A19F9B5">
            <w:pPr>
              <w:rPr>
                <w:rFonts w:ascii="宋体"/>
                <w:szCs w:val="21"/>
              </w:rPr>
            </w:pPr>
          </w:p>
        </w:tc>
        <w:tc>
          <w:tcPr>
            <w:tcW w:w="3579" w:type="dxa"/>
            <w:vAlign w:val="center"/>
          </w:tcPr>
          <w:p w14:paraId="40D0F761">
            <w:pPr>
              <w:rPr>
                <w:rFonts w:ascii="宋体"/>
                <w:szCs w:val="21"/>
              </w:rPr>
            </w:pPr>
          </w:p>
        </w:tc>
        <w:tc>
          <w:tcPr>
            <w:tcW w:w="1440" w:type="dxa"/>
            <w:vAlign w:val="center"/>
          </w:tcPr>
          <w:p w14:paraId="28C2B5A7">
            <w:pPr>
              <w:rPr>
                <w:rFonts w:ascii="宋体"/>
                <w:szCs w:val="21"/>
              </w:rPr>
            </w:pPr>
          </w:p>
        </w:tc>
        <w:tc>
          <w:tcPr>
            <w:tcW w:w="1706" w:type="dxa"/>
            <w:vAlign w:val="center"/>
          </w:tcPr>
          <w:p w14:paraId="4EE27882">
            <w:pPr>
              <w:rPr>
                <w:rFonts w:ascii="宋体"/>
                <w:szCs w:val="21"/>
              </w:rPr>
            </w:pPr>
          </w:p>
        </w:tc>
      </w:tr>
    </w:tbl>
    <w:p w14:paraId="0E59F462">
      <w:pPr>
        <w:autoSpaceDE w:val="0"/>
        <w:autoSpaceDN w:val="0"/>
        <w:adjustRightInd w:val="0"/>
        <w:spacing w:line="480" w:lineRule="auto"/>
        <w:rPr>
          <w:rFonts w:cs="宋体" w:asciiTheme="minorEastAsia" w:hAnsiTheme="minorEastAsia"/>
          <w:szCs w:val="21"/>
          <w:lang w:val="zh-CN"/>
        </w:rPr>
      </w:pPr>
    </w:p>
    <w:p w14:paraId="30FD8672">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1F003F7B">
      <w:pPr>
        <w:autoSpaceDE w:val="0"/>
        <w:autoSpaceDN w:val="0"/>
        <w:adjustRightInd w:val="0"/>
        <w:spacing w:line="480" w:lineRule="auto"/>
        <w:rPr>
          <w:rFonts w:cs="宋体" w:asciiTheme="minorEastAsia" w:hAnsiTheme="minorEastAsia"/>
          <w:szCs w:val="21"/>
          <w:lang w:val="zh-CN"/>
        </w:rPr>
      </w:pPr>
    </w:p>
    <w:p w14:paraId="4E5C1EF5">
      <w:pPr>
        <w:autoSpaceDE w:val="0"/>
        <w:autoSpaceDN w:val="0"/>
        <w:adjustRightInd w:val="0"/>
        <w:spacing w:line="480" w:lineRule="auto"/>
        <w:rPr>
          <w:rFonts w:cs="宋体" w:asciiTheme="minorEastAsia" w:hAnsiTheme="minorEastAsia"/>
          <w:sz w:val="24"/>
          <w:szCs w:val="24"/>
          <w:lang w:val="zh-CN"/>
        </w:rPr>
      </w:pPr>
    </w:p>
    <w:p w14:paraId="3CDFD62F">
      <w:pPr>
        <w:autoSpaceDE w:val="0"/>
        <w:autoSpaceDN w:val="0"/>
        <w:adjustRightInd w:val="0"/>
        <w:spacing w:line="360" w:lineRule="auto"/>
        <w:jc w:val="center"/>
        <w:outlineLvl w:val="9"/>
        <w:rPr>
          <w:rFonts w:ascii="宋体" w:hAnsi="宋体"/>
          <w:b/>
          <w:bCs/>
          <w:sz w:val="24"/>
          <w:szCs w:val="24"/>
        </w:rPr>
      </w:pPr>
    </w:p>
    <w:p w14:paraId="7A15D401">
      <w:pPr>
        <w:autoSpaceDE w:val="0"/>
        <w:autoSpaceDN w:val="0"/>
        <w:adjustRightInd w:val="0"/>
        <w:spacing w:line="360" w:lineRule="auto"/>
        <w:jc w:val="center"/>
        <w:outlineLvl w:val="9"/>
        <w:rPr>
          <w:rFonts w:ascii="宋体" w:hAnsi="宋体"/>
          <w:b/>
          <w:bCs/>
          <w:sz w:val="24"/>
          <w:szCs w:val="24"/>
        </w:rPr>
      </w:pPr>
    </w:p>
    <w:p w14:paraId="6FACC35B">
      <w:pPr>
        <w:autoSpaceDE w:val="0"/>
        <w:autoSpaceDN w:val="0"/>
        <w:adjustRightInd w:val="0"/>
        <w:spacing w:line="360" w:lineRule="auto"/>
        <w:jc w:val="center"/>
        <w:outlineLvl w:val="9"/>
        <w:rPr>
          <w:rFonts w:ascii="宋体" w:hAnsi="宋体"/>
          <w:b/>
          <w:bCs/>
          <w:sz w:val="24"/>
          <w:szCs w:val="24"/>
        </w:rPr>
      </w:pPr>
    </w:p>
    <w:p w14:paraId="58E7E367">
      <w:pPr>
        <w:autoSpaceDE w:val="0"/>
        <w:autoSpaceDN w:val="0"/>
        <w:adjustRightInd w:val="0"/>
        <w:spacing w:line="360" w:lineRule="auto"/>
        <w:jc w:val="center"/>
        <w:outlineLvl w:val="9"/>
        <w:rPr>
          <w:rFonts w:ascii="宋体" w:hAnsi="宋体"/>
          <w:b/>
          <w:bCs/>
          <w:sz w:val="24"/>
          <w:szCs w:val="24"/>
        </w:rPr>
      </w:pPr>
    </w:p>
    <w:p w14:paraId="2AA67CED">
      <w:pPr>
        <w:autoSpaceDE w:val="0"/>
        <w:autoSpaceDN w:val="0"/>
        <w:adjustRightInd w:val="0"/>
        <w:spacing w:line="360" w:lineRule="auto"/>
        <w:jc w:val="center"/>
        <w:outlineLvl w:val="9"/>
        <w:rPr>
          <w:rFonts w:ascii="宋体" w:hAnsi="宋体"/>
          <w:b/>
          <w:bCs/>
          <w:sz w:val="24"/>
          <w:szCs w:val="24"/>
        </w:rPr>
      </w:pPr>
    </w:p>
    <w:p w14:paraId="267C2064">
      <w:pPr>
        <w:autoSpaceDE w:val="0"/>
        <w:autoSpaceDN w:val="0"/>
        <w:adjustRightInd w:val="0"/>
        <w:spacing w:line="360" w:lineRule="auto"/>
        <w:jc w:val="center"/>
        <w:outlineLvl w:val="9"/>
        <w:rPr>
          <w:rFonts w:ascii="宋体" w:hAnsi="宋体"/>
          <w:b/>
          <w:bCs/>
          <w:sz w:val="24"/>
          <w:szCs w:val="24"/>
        </w:rPr>
      </w:pPr>
    </w:p>
    <w:p w14:paraId="3A6CAAAB">
      <w:pPr>
        <w:autoSpaceDE w:val="0"/>
        <w:autoSpaceDN w:val="0"/>
        <w:adjustRightInd w:val="0"/>
        <w:spacing w:line="360" w:lineRule="auto"/>
        <w:jc w:val="center"/>
        <w:outlineLvl w:val="9"/>
        <w:rPr>
          <w:rFonts w:ascii="宋体" w:hAnsi="宋体"/>
          <w:b/>
          <w:bCs/>
          <w:sz w:val="24"/>
          <w:szCs w:val="24"/>
        </w:rPr>
      </w:pPr>
    </w:p>
    <w:p w14:paraId="77DBD628">
      <w:pPr>
        <w:autoSpaceDE w:val="0"/>
        <w:autoSpaceDN w:val="0"/>
        <w:adjustRightInd w:val="0"/>
        <w:spacing w:line="360" w:lineRule="auto"/>
        <w:jc w:val="center"/>
        <w:outlineLvl w:val="9"/>
        <w:rPr>
          <w:rFonts w:ascii="宋体" w:hAnsi="宋体"/>
          <w:b/>
          <w:bCs/>
          <w:sz w:val="24"/>
          <w:szCs w:val="24"/>
        </w:rPr>
      </w:pPr>
    </w:p>
    <w:p w14:paraId="115EFE7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4.5 售后服务方案</w:t>
      </w:r>
    </w:p>
    <w:p w14:paraId="39DB5627">
      <w:pPr>
        <w:autoSpaceDE w:val="0"/>
        <w:autoSpaceDN w:val="0"/>
        <w:adjustRightInd w:val="0"/>
        <w:spacing w:line="360" w:lineRule="auto"/>
        <w:jc w:val="center"/>
        <w:outlineLvl w:val="9"/>
        <w:rPr>
          <w:rFonts w:ascii="宋体" w:hAnsi="宋体"/>
          <w:b/>
          <w:bCs/>
          <w:sz w:val="36"/>
          <w:szCs w:val="36"/>
        </w:rPr>
      </w:pPr>
    </w:p>
    <w:p w14:paraId="2D8558F7">
      <w:pPr>
        <w:autoSpaceDE w:val="0"/>
        <w:autoSpaceDN w:val="0"/>
        <w:adjustRightInd w:val="0"/>
        <w:spacing w:line="360" w:lineRule="auto"/>
        <w:jc w:val="center"/>
        <w:outlineLvl w:val="9"/>
        <w:rPr>
          <w:rFonts w:ascii="宋体" w:hAnsi="宋体"/>
          <w:b/>
          <w:bCs/>
          <w:sz w:val="36"/>
          <w:szCs w:val="36"/>
        </w:rPr>
      </w:pPr>
    </w:p>
    <w:p w14:paraId="2821130D">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（供应商根据招标文件要求自行编制）</w:t>
      </w:r>
    </w:p>
    <w:p w14:paraId="163A3E9A">
      <w:pPr>
        <w:autoSpaceDE w:val="0"/>
        <w:autoSpaceDN w:val="0"/>
        <w:adjustRightInd w:val="0"/>
        <w:spacing w:line="360" w:lineRule="auto"/>
        <w:jc w:val="center"/>
        <w:outlineLvl w:val="9"/>
        <w:rPr>
          <w:rFonts w:ascii="宋体" w:hAnsi="宋体"/>
          <w:b/>
          <w:bCs/>
          <w:sz w:val="36"/>
          <w:szCs w:val="36"/>
        </w:rPr>
      </w:pPr>
    </w:p>
    <w:p w14:paraId="6DD0F70C">
      <w:pPr>
        <w:autoSpaceDE w:val="0"/>
        <w:autoSpaceDN w:val="0"/>
        <w:adjustRightInd w:val="0"/>
        <w:spacing w:line="360" w:lineRule="auto"/>
        <w:jc w:val="center"/>
        <w:outlineLvl w:val="9"/>
        <w:rPr>
          <w:rFonts w:ascii="宋体" w:hAnsi="宋体"/>
          <w:b/>
          <w:bCs/>
          <w:sz w:val="36"/>
          <w:szCs w:val="36"/>
        </w:rPr>
      </w:pPr>
    </w:p>
    <w:p w14:paraId="05424AA3">
      <w:pPr>
        <w:autoSpaceDE w:val="0"/>
        <w:autoSpaceDN w:val="0"/>
        <w:adjustRightInd w:val="0"/>
        <w:spacing w:line="360" w:lineRule="auto"/>
        <w:jc w:val="center"/>
        <w:outlineLvl w:val="9"/>
        <w:rPr>
          <w:rFonts w:ascii="宋体" w:hAnsi="宋体"/>
          <w:b/>
          <w:bCs/>
          <w:sz w:val="36"/>
          <w:szCs w:val="36"/>
        </w:rPr>
      </w:pPr>
    </w:p>
    <w:p w14:paraId="191480E8">
      <w:pPr>
        <w:autoSpaceDE w:val="0"/>
        <w:autoSpaceDN w:val="0"/>
        <w:adjustRightInd w:val="0"/>
        <w:spacing w:line="360" w:lineRule="auto"/>
        <w:jc w:val="center"/>
        <w:outlineLvl w:val="9"/>
        <w:rPr>
          <w:rFonts w:ascii="宋体" w:hAnsi="宋体"/>
          <w:b/>
          <w:bCs/>
          <w:sz w:val="36"/>
          <w:szCs w:val="36"/>
        </w:rPr>
      </w:pPr>
    </w:p>
    <w:p w14:paraId="253C9FD3">
      <w:pPr>
        <w:autoSpaceDE w:val="0"/>
        <w:autoSpaceDN w:val="0"/>
        <w:adjustRightInd w:val="0"/>
        <w:spacing w:line="360" w:lineRule="auto"/>
        <w:jc w:val="center"/>
        <w:outlineLvl w:val="9"/>
        <w:rPr>
          <w:rFonts w:ascii="宋体" w:hAnsi="宋体"/>
          <w:b/>
          <w:bCs/>
          <w:sz w:val="36"/>
          <w:szCs w:val="36"/>
        </w:rPr>
      </w:pPr>
    </w:p>
    <w:p w14:paraId="149867B8">
      <w:pPr>
        <w:autoSpaceDE w:val="0"/>
        <w:autoSpaceDN w:val="0"/>
        <w:adjustRightInd w:val="0"/>
        <w:spacing w:line="360" w:lineRule="auto"/>
        <w:jc w:val="center"/>
        <w:outlineLvl w:val="9"/>
        <w:rPr>
          <w:rFonts w:ascii="宋体" w:hAnsi="宋体"/>
          <w:b/>
          <w:bCs/>
          <w:sz w:val="36"/>
          <w:szCs w:val="36"/>
        </w:rPr>
      </w:pPr>
    </w:p>
    <w:p w14:paraId="26A3051C">
      <w:pPr>
        <w:autoSpaceDE w:val="0"/>
        <w:autoSpaceDN w:val="0"/>
        <w:adjustRightInd w:val="0"/>
        <w:spacing w:line="360" w:lineRule="auto"/>
        <w:jc w:val="center"/>
        <w:outlineLvl w:val="9"/>
        <w:rPr>
          <w:rFonts w:ascii="宋体" w:hAnsi="宋体"/>
          <w:b/>
          <w:bCs/>
          <w:sz w:val="36"/>
          <w:szCs w:val="36"/>
        </w:rPr>
      </w:pPr>
    </w:p>
    <w:p w14:paraId="283FCF19">
      <w:pPr>
        <w:autoSpaceDE w:val="0"/>
        <w:autoSpaceDN w:val="0"/>
        <w:adjustRightInd w:val="0"/>
        <w:spacing w:line="360" w:lineRule="auto"/>
        <w:jc w:val="center"/>
        <w:outlineLvl w:val="9"/>
        <w:rPr>
          <w:rFonts w:ascii="宋体" w:hAnsi="宋体"/>
          <w:b/>
          <w:bCs/>
          <w:sz w:val="36"/>
          <w:szCs w:val="36"/>
        </w:rPr>
      </w:pPr>
    </w:p>
    <w:p w14:paraId="05F27FF6">
      <w:pPr>
        <w:autoSpaceDE w:val="0"/>
        <w:autoSpaceDN w:val="0"/>
        <w:adjustRightInd w:val="0"/>
        <w:spacing w:line="360" w:lineRule="auto"/>
        <w:jc w:val="center"/>
        <w:outlineLvl w:val="9"/>
        <w:rPr>
          <w:rFonts w:ascii="宋体" w:hAnsi="宋体"/>
          <w:b/>
          <w:bCs/>
          <w:sz w:val="36"/>
          <w:szCs w:val="36"/>
        </w:rPr>
      </w:pPr>
    </w:p>
    <w:p w14:paraId="782A8405">
      <w:pPr>
        <w:autoSpaceDE w:val="0"/>
        <w:autoSpaceDN w:val="0"/>
        <w:adjustRightInd w:val="0"/>
        <w:spacing w:line="360" w:lineRule="auto"/>
        <w:jc w:val="center"/>
        <w:outlineLvl w:val="9"/>
        <w:rPr>
          <w:rFonts w:ascii="宋体" w:hAnsi="宋体"/>
          <w:b/>
          <w:bCs/>
          <w:sz w:val="36"/>
          <w:szCs w:val="36"/>
        </w:rPr>
      </w:pPr>
    </w:p>
    <w:p w14:paraId="0264D0EF">
      <w:pPr>
        <w:autoSpaceDE w:val="0"/>
        <w:autoSpaceDN w:val="0"/>
        <w:adjustRightInd w:val="0"/>
        <w:spacing w:line="360" w:lineRule="auto"/>
        <w:jc w:val="center"/>
        <w:outlineLvl w:val="9"/>
        <w:rPr>
          <w:rFonts w:ascii="宋体" w:hAnsi="宋体"/>
          <w:b/>
          <w:bCs/>
          <w:sz w:val="36"/>
          <w:szCs w:val="36"/>
        </w:rPr>
      </w:pPr>
    </w:p>
    <w:p w14:paraId="686C66CA">
      <w:pPr>
        <w:autoSpaceDE w:val="0"/>
        <w:autoSpaceDN w:val="0"/>
        <w:adjustRightInd w:val="0"/>
        <w:spacing w:line="360" w:lineRule="auto"/>
        <w:jc w:val="center"/>
        <w:outlineLvl w:val="9"/>
        <w:rPr>
          <w:rFonts w:ascii="宋体" w:hAnsi="宋体"/>
          <w:b/>
          <w:bCs/>
          <w:sz w:val="36"/>
          <w:szCs w:val="36"/>
        </w:rPr>
      </w:pPr>
    </w:p>
    <w:p w14:paraId="79733F7F">
      <w:pPr>
        <w:autoSpaceDE w:val="0"/>
        <w:autoSpaceDN w:val="0"/>
        <w:adjustRightInd w:val="0"/>
        <w:spacing w:line="360" w:lineRule="auto"/>
        <w:jc w:val="center"/>
        <w:outlineLvl w:val="9"/>
        <w:rPr>
          <w:rFonts w:ascii="宋体" w:hAnsi="宋体"/>
          <w:b/>
          <w:bCs/>
          <w:sz w:val="36"/>
          <w:szCs w:val="36"/>
        </w:rPr>
      </w:pPr>
    </w:p>
    <w:p w14:paraId="6D222D48">
      <w:pPr>
        <w:autoSpaceDE w:val="0"/>
        <w:autoSpaceDN w:val="0"/>
        <w:adjustRightInd w:val="0"/>
        <w:spacing w:line="360" w:lineRule="auto"/>
        <w:jc w:val="center"/>
        <w:outlineLvl w:val="9"/>
        <w:rPr>
          <w:rFonts w:ascii="宋体" w:hAnsi="宋体"/>
          <w:b/>
          <w:bCs/>
          <w:sz w:val="36"/>
          <w:szCs w:val="36"/>
        </w:rPr>
      </w:pPr>
    </w:p>
    <w:p w14:paraId="1DDA08A2">
      <w:pPr>
        <w:autoSpaceDE w:val="0"/>
        <w:autoSpaceDN w:val="0"/>
        <w:adjustRightInd w:val="0"/>
        <w:spacing w:line="360" w:lineRule="auto"/>
        <w:jc w:val="center"/>
        <w:outlineLvl w:val="9"/>
        <w:rPr>
          <w:rFonts w:ascii="宋体" w:hAnsi="宋体"/>
          <w:b/>
          <w:bCs/>
          <w:sz w:val="36"/>
          <w:szCs w:val="36"/>
        </w:rPr>
      </w:pPr>
    </w:p>
    <w:p w14:paraId="3E254EDC">
      <w:pPr>
        <w:autoSpaceDE w:val="0"/>
        <w:autoSpaceDN w:val="0"/>
        <w:adjustRightInd w:val="0"/>
        <w:spacing w:line="360" w:lineRule="auto"/>
        <w:jc w:val="center"/>
        <w:outlineLvl w:val="9"/>
        <w:rPr>
          <w:rFonts w:ascii="宋体" w:hAnsi="宋体"/>
          <w:b/>
          <w:bCs/>
          <w:sz w:val="36"/>
          <w:szCs w:val="36"/>
        </w:rPr>
      </w:pPr>
    </w:p>
    <w:p w14:paraId="6491E58E">
      <w:pPr>
        <w:autoSpaceDE w:val="0"/>
        <w:autoSpaceDN w:val="0"/>
        <w:adjustRightInd w:val="0"/>
        <w:spacing w:line="360" w:lineRule="auto"/>
        <w:jc w:val="center"/>
        <w:outlineLvl w:val="9"/>
        <w:rPr>
          <w:rFonts w:ascii="宋体" w:hAnsi="宋体"/>
          <w:b/>
          <w:bCs/>
          <w:sz w:val="36"/>
          <w:szCs w:val="36"/>
        </w:rPr>
      </w:pPr>
    </w:p>
    <w:p w14:paraId="533A308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4.6“节能产品政府采购品目清单”强制节能产品情况</w:t>
      </w:r>
    </w:p>
    <w:p w14:paraId="72CB7248">
      <w:pPr>
        <w:autoSpaceDE w:val="0"/>
        <w:autoSpaceDN w:val="0"/>
        <w:adjustRightInd w:val="0"/>
        <w:spacing w:line="360" w:lineRule="auto"/>
        <w:jc w:val="center"/>
        <w:outlineLvl w:val="9"/>
        <w:rPr>
          <w:rFonts w:ascii="宋体" w:hAnsi="宋体"/>
          <w:b/>
          <w:bCs/>
          <w:sz w:val="28"/>
          <w:szCs w:val="28"/>
        </w:rPr>
      </w:pPr>
    </w:p>
    <w:p w14:paraId="1BC5D389">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F1DBFE2">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163D8F9A">
      <w:pPr>
        <w:tabs>
          <w:tab w:val="left" w:pos="1800"/>
          <w:tab w:val="left" w:pos="5580"/>
        </w:tabs>
        <w:spacing w:line="360" w:lineRule="auto"/>
        <w:rPr>
          <w:rFonts w:ascii="宋体" w:hAnsi="宋体"/>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757D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2C085F91">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73EEDE41">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4044ACAE">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760C5DD9">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60BCE60C">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65526563">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4FBFCA3E">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0A23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0E8649">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877E66A">
            <w:pPr>
              <w:pStyle w:val="7"/>
              <w:spacing w:line="360" w:lineRule="auto"/>
              <w:rPr>
                <w:rFonts w:ascii="宋体" w:hAnsi="宋体" w:eastAsia="宋体" w:cs="Times New Roman"/>
                <w:sz w:val="21"/>
                <w:szCs w:val="21"/>
              </w:rPr>
            </w:pPr>
          </w:p>
        </w:tc>
        <w:tc>
          <w:tcPr>
            <w:tcW w:w="814" w:type="pct"/>
            <w:vAlign w:val="center"/>
          </w:tcPr>
          <w:p w14:paraId="51DC7484">
            <w:pPr>
              <w:pStyle w:val="7"/>
              <w:spacing w:line="360" w:lineRule="auto"/>
              <w:rPr>
                <w:rFonts w:ascii="宋体" w:hAnsi="宋体" w:eastAsia="宋体" w:cs="Times New Roman"/>
                <w:sz w:val="21"/>
                <w:szCs w:val="21"/>
              </w:rPr>
            </w:pPr>
          </w:p>
        </w:tc>
        <w:tc>
          <w:tcPr>
            <w:tcW w:w="665" w:type="pct"/>
          </w:tcPr>
          <w:p w14:paraId="62A1160F">
            <w:pPr>
              <w:pStyle w:val="7"/>
              <w:spacing w:line="360" w:lineRule="auto"/>
              <w:rPr>
                <w:rFonts w:ascii="宋体" w:hAnsi="宋体" w:eastAsia="宋体" w:cs="Times New Roman"/>
                <w:sz w:val="21"/>
                <w:szCs w:val="21"/>
              </w:rPr>
            </w:pPr>
          </w:p>
        </w:tc>
        <w:tc>
          <w:tcPr>
            <w:tcW w:w="884" w:type="pct"/>
          </w:tcPr>
          <w:p w14:paraId="621A2FA7">
            <w:pPr>
              <w:pStyle w:val="7"/>
              <w:spacing w:line="360" w:lineRule="auto"/>
              <w:rPr>
                <w:rFonts w:ascii="宋体" w:hAnsi="宋体" w:eastAsia="宋体" w:cs="Times New Roman"/>
                <w:sz w:val="21"/>
                <w:szCs w:val="21"/>
              </w:rPr>
            </w:pPr>
          </w:p>
        </w:tc>
        <w:tc>
          <w:tcPr>
            <w:tcW w:w="858" w:type="pct"/>
          </w:tcPr>
          <w:p w14:paraId="30F1839F">
            <w:pPr>
              <w:pStyle w:val="7"/>
              <w:spacing w:line="360" w:lineRule="auto"/>
              <w:rPr>
                <w:rFonts w:ascii="宋体" w:hAnsi="宋体" w:eastAsia="宋体" w:cs="Times New Roman"/>
                <w:sz w:val="21"/>
                <w:szCs w:val="21"/>
              </w:rPr>
            </w:pPr>
          </w:p>
        </w:tc>
        <w:tc>
          <w:tcPr>
            <w:tcW w:w="760" w:type="pct"/>
          </w:tcPr>
          <w:p w14:paraId="1F59D518">
            <w:pPr>
              <w:pStyle w:val="7"/>
              <w:spacing w:line="360" w:lineRule="auto"/>
              <w:rPr>
                <w:rFonts w:ascii="宋体" w:hAnsi="宋体" w:eastAsia="宋体" w:cs="Times New Roman"/>
                <w:sz w:val="21"/>
                <w:szCs w:val="21"/>
              </w:rPr>
            </w:pPr>
          </w:p>
        </w:tc>
      </w:tr>
      <w:tr w14:paraId="675D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933948B">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6513BCCA">
            <w:pPr>
              <w:pStyle w:val="7"/>
              <w:spacing w:line="360" w:lineRule="auto"/>
              <w:rPr>
                <w:rFonts w:ascii="宋体" w:hAnsi="宋体" w:eastAsia="宋体" w:cs="Times New Roman"/>
                <w:sz w:val="21"/>
                <w:szCs w:val="21"/>
              </w:rPr>
            </w:pPr>
          </w:p>
        </w:tc>
        <w:tc>
          <w:tcPr>
            <w:tcW w:w="814" w:type="pct"/>
            <w:vAlign w:val="center"/>
          </w:tcPr>
          <w:p w14:paraId="6DCDD4C5">
            <w:pPr>
              <w:pStyle w:val="7"/>
              <w:spacing w:line="360" w:lineRule="auto"/>
              <w:rPr>
                <w:rFonts w:ascii="宋体" w:hAnsi="宋体" w:eastAsia="宋体" w:cs="Times New Roman"/>
                <w:sz w:val="21"/>
                <w:szCs w:val="21"/>
              </w:rPr>
            </w:pPr>
          </w:p>
        </w:tc>
        <w:tc>
          <w:tcPr>
            <w:tcW w:w="665" w:type="pct"/>
          </w:tcPr>
          <w:p w14:paraId="7DB7A326">
            <w:pPr>
              <w:pStyle w:val="7"/>
              <w:spacing w:line="360" w:lineRule="auto"/>
              <w:rPr>
                <w:rFonts w:ascii="宋体" w:hAnsi="宋体" w:eastAsia="宋体" w:cs="Times New Roman"/>
                <w:sz w:val="21"/>
                <w:szCs w:val="21"/>
              </w:rPr>
            </w:pPr>
          </w:p>
        </w:tc>
        <w:tc>
          <w:tcPr>
            <w:tcW w:w="884" w:type="pct"/>
          </w:tcPr>
          <w:p w14:paraId="2F998864">
            <w:pPr>
              <w:pStyle w:val="7"/>
              <w:spacing w:line="360" w:lineRule="auto"/>
              <w:rPr>
                <w:rFonts w:ascii="宋体" w:hAnsi="宋体" w:eastAsia="宋体" w:cs="Times New Roman"/>
                <w:sz w:val="21"/>
                <w:szCs w:val="21"/>
              </w:rPr>
            </w:pPr>
          </w:p>
        </w:tc>
        <w:tc>
          <w:tcPr>
            <w:tcW w:w="858" w:type="pct"/>
          </w:tcPr>
          <w:p w14:paraId="0E071A88">
            <w:pPr>
              <w:pStyle w:val="7"/>
              <w:spacing w:line="360" w:lineRule="auto"/>
              <w:rPr>
                <w:rFonts w:ascii="宋体" w:hAnsi="宋体" w:eastAsia="宋体" w:cs="Times New Roman"/>
                <w:sz w:val="21"/>
                <w:szCs w:val="21"/>
              </w:rPr>
            </w:pPr>
          </w:p>
        </w:tc>
        <w:tc>
          <w:tcPr>
            <w:tcW w:w="760" w:type="pct"/>
          </w:tcPr>
          <w:p w14:paraId="779FC184">
            <w:pPr>
              <w:pStyle w:val="7"/>
              <w:spacing w:line="360" w:lineRule="auto"/>
              <w:rPr>
                <w:rFonts w:ascii="宋体" w:hAnsi="宋体" w:eastAsia="宋体" w:cs="Times New Roman"/>
                <w:sz w:val="21"/>
                <w:szCs w:val="21"/>
              </w:rPr>
            </w:pPr>
          </w:p>
        </w:tc>
      </w:tr>
      <w:tr w14:paraId="1A7D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BF31236">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64EE469F">
            <w:pPr>
              <w:pStyle w:val="7"/>
              <w:spacing w:line="360" w:lineRule="auto"/>
              <w:rPr>
                <w:rFonts w:ascii="宋体" w:hAnsi="宋体" w:eastAsia="宋体" w:cs="Times New Roman"/>
                <w:sz w:val="21"/>
                <w:szCs w:val="21"/>
              </w:rPr>
            </w:pPr>
          </w:p>
        </w:tc>
        <w:tc>
          <w:tcPr>
            <w:tcW w:w="814" w:type="pct"/>
            <w:vAlign w:val="center"/>
          </w:tcPr>
          <w:p w14:paraId="3D5E031F">
            <w:pPr>
              <w:pStyle w:val="7"/>
              <w:spacing w:line="360" w:lineRule="auto"/>
              <w:rPr>
                <w:rFonts w:ascii="宋体" w:hAnsi="宋体" w:eastAsia="宋体" w:cs="Times New Roman"/>
                <w:sz w:val="21"/>
                <w:szCs w:val="21"/>
              </w:rPr>
            </w:pPr>
          </w:p>
        </w:tc>
        <w:tc>
          <w:tcPr>
            <w:tcW w:w="665" w:type="pct"/>
          </w:tcPr>
          <w:p w14:paraId="1571D391">
            <w:pPr>
              <w:pStyle w:val="7"/>
              <w:spacing w:line="360" w:lineRule="auto"/>
              <w:rPr>
                <w:rFonts w:ascii="宋体" w:hAnsi="宋体" w:eastAsia="宋体" w:cs="Times New Roman"/>
                <w:sz w:val="21"/>
                <w:szCs w:val="21"/>
              </w:rPr>
            </w:pPr>
          </w:p>
        </w:tc>
        <w:tc>
          <w:tcPr>
            <w:tcW w:w="884" w:type="pct"/>
          </w:tcPr>
          <w:p w14:paraId="13C3F957">
            <w:pPr>
              <w:pStyle w:val="7"/>
              <w:spacing w:line="360" w:lineRule="auto"/>
              <w:rPr>
                <w:rFonts w:ascii="宋体" w:hAnsi="宋体" w:eastAsia="宋体" w:cs="Times New Roman"/>
                <w:sz w:val="21"/>
                <w:szCs w:val="21"/>
              </w:rPr>
            </w:pPr>
          </w:p>
        </w:tc>
        <w:tc>
          <w:tcPr>
            <w:tcW w:w="858" w:type="pct"/>
          </w:tcPr>
          <w:p w14:paraId="6D5EC009">
            <w:pPr>
              <w:pStyle w:val="7"/>
              <w:spacing w:line="360" w:lineRule="auto"/>
              <w:rPr>
                <w:rFonts w:ascii="宋体" w:hAnsi="宋体" w:eastAsia="宋体" w:cs="Times New Roman"/>
                <w:sz w:val="21"/>
                <w:szCs w:val="21"/>
              </w:rPr>
            </w:pPr>
          </w:p>
        </w:tc>
        <w:tc>
          <w:tcPr>
            <w:tcW w:w="760" w:type="pct"/>
          </w:tcPr>
          <w:p w14:paraId="27F805C0">
            <w:pPr>
              <w:pStyle w:val="7"/>
              <w:spacing w:line="360" w:lineRule="auto"/>
              <w:rPr>
                <w:rFonts w:ascii="宋体" w:hAnsi="宋体" w:eastAsia="宋体" w:cs="Times New Roman"/>
                <w:sz w:val="21"/>
                <w:szCs w:val="21"/>
              </w:rPr>
            </w:pPr>
          </w:p>
        </w:tc>
      </w:tr>
    </w:tbl>
    <w:p w14:paraId="49B11FF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3A3D55F5">
      <w:pPr>
        <w:autoSpaceDE w:val="0"/>
        <w:autoSpaceDN w:val="0"/>
        <w:adjustRightInd w:val="0"/>
        <w:spacing w:line="480" w:lineRule="auto"/>
        <w:rPr>
          <w:rFonts w:cs="宋体" w:asciiTheme="minorEastAsia" w:hAnsiTheme="minorEastAsia"/>
          <w:szCs w:val="21"/>
          <w:lang w:val="zh-CN"/>
        </w:rPr>
      </w:pPr>
    </w:p>
    <w:p w14:paraId="0E2F9B84">
      <w:pPr>
        <w:snapToGrid w:val="0"/>
        <w:spacing w:line="500" w:lineRule="exact"/>
        <w:rPr>
          <w:rFonts w:cs="宋体" w:asciiTheme="minorEastAsia" w:hAnsiTheme="minorEastAsia"/>
          <w:szCs w:val="21"/>
          <w:lang w:val="zh-CN"/>
        </w:rPr>
      </w:pPr>
    </w:p>
    <w:p w14:paraId="52504990">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ACE9C8F">
      <w:pPr>
        <w:autoSpaceDE w:val="0"/>
        <w:autoSpaceDN w:val="0"/>
        <w:adjustRightInd w:val="0"/>
        <w:spacing w:line="360" w:lineRule="auto"/>
        <w:jc w:val="center"/>
        <w:outlineLvl w:val="9"/>
        <w:rPr>
          <w:rFonts w:ascii="宋体" w:hAnsi="宋体"/>
          <w:b/>
          <w:bCs/>
          <w:sz w:val="24"/>
          <w:szCs w:val="24"/>
        </w:rPr>
      </w:pPr>
    </w:p>
    <w:p w14:paraId="4CA15A4E">
      <w:pPr>
        <w:autoSpaceDE w:val="0"/>
        <w:autoSpaceDN w:val="0"/>
        <w:adjustRightInd w:val="0"/>
        <w:spacing w:line="360" w:lineRule="auto"/>
        <w:jc w:val="center"/>
        <w:outlineLvl w:val="9"/>
        <w:rPr>
          <w:rFonts w:ascii="宋体" w:hAnsi="宋体"/>
          <w:b/>
          <w:bCs/>
          <w:sz w:val="24"/>
          <w:szCs w:val="24"/>
        </w:rPr>
      </w:pPr>
    </w:p>
    <w:p w14:paraId="3D2B7C27">
      <w:pPr>
        <w:autoSpaceDE w:val="0"/>
        <w:autoSpaceDN w:val="0"/>
        <w:adjustRightInd w:val="0"/>
        <w:spacing w:line="360" w:lineRule="auto"/>
        <w:jc w:val="center"/>
        <w:outlineLvl w:val="9"/>
        <w:rPr>
          <w:rFonts w:ascii="宋体" w:hAnsi="宋体"/>
          <w:b/>
          <w:bCs/>
          <w:sz w:val="24"/>
          <w:szCs w:val="24"/>
        </w:rPr>
      </w:pPr>
    </w:p>
    <w:p w14:paraId="5F9254CB">
      <w:pPr>
        <w:autoSpaceDE w:val="0"/>
        <w:autoSpaceDN w:val="0"/>
        <w:adjustRightInd w:val="0"/>
        <w:spacing w:line="360" w:lineRule="auto"/>
        <w:jc w:val="center"/>
        <w:outlineLvl w:val="9"/>
        <w:rPr>
          <w:rFonts w:ascii="宋体" w:hAnsi="宋体"/>
          <w:b/>
          <w:bCs/>
          <w:sz w:val="24"/>
          <w:szCs w:val="24"/>
        </w:rPr>
      </w:pPr>
    </w:p>
    <w:p w14:paraId="69CDCC70">
      <w:pPr>
        <w:autoSpaceDE w:val="0"/>
        <w:autoSpaceDN w:val="0"/>
        <w:adjustRightInd w:val="0"/>
        <w:spacing w:line="360" w:lineRule="auto"/>
        <w:jc w:val="center"/>
        <w:outlineLvl w:val="9"/>
        <w:rPr>
          <w:rFonts w:ascii="宋体" w:hAnsi="宋体"/>
          <w:b/>
          <w:bCs/>
          <w:sz w:val="24"/>
          <w:szCs w:val="24"/>
        </w:rPr>
      </w:pPr>
    </w:p>
    <w:p w14:paraId="5170D362">
      <w:pPr>
        <w:autoSpaceDE w:val="0"/>
        <w:autoSpaceDN w:val="0"/>
        <w:adjustRightInd w:val="0"/>
        <w:spacing w:line="360" w:lineRule="auto"/>
        <w:jc w:val="center"/>
        <w:outlineLvl w:val="9"/>
        <w:rPr>
          <w:rFonts w:ascii="宋体" w:hAnsi="宋体"/>
          <w:b/>
          <w:bCs/>
          <w:sz w:val="24"/>
          <w:szCs w:val="24"/>
        </w:rPr>
      </w:pPr>
    </w:p>
    <w:p w14:paraId="1EFCBF6C">
      <w:pPr>
        <w:autoSpaceDE w:val="0"/>
        <w:autoSpaceDN w:val="0"/>
        <w:adjustRightInd w:val="0"/>
        <w:spacing w:line="360" w:lineRule="auto"/>
        <w:jc w:val="center"/>
        <w:outlineLvl w:val="9"/>
        <w:rPr>
          <w:rFonts w:ascii="宋体" w:hAnsi="宋体"/>
          <w:b/>
          <w:bCs/>
          <w:sz w:val="24"/>
          <w:szCs w:val="24"/>
        </w:rPr>
      </w:pPr>
    </w:p>
    <w:p w14:paraId="5939B6C2">
      <w:pPr>
        <w:autoSpaceDE w:val="0"/>
        <w:autoSpaceDN w:val="0"/>
        <w:adjustRightInd w:val="0"/>
        <w:spacing w:line="360" w:lineRule="auto"/>
        <w:jc w:val="center"/>
        <w:outlineLvl w:val="9"/>
        <w:rPr>
          <w:rFonts w:ascii="宋体" w:hAnsi="宋体"/>
          <w:b/>
          <w:bCs/>
          <w:sz w:val="24"/>
          <w:szCs w:val="24"/>
        </w:rPr>
      </w:pPr>
    </w:p>
    <w:p w14:paraId="76A37259">
      <w:pPr>
        <w:autoSpaceDE w:val="0"/>
        <w:autoSpaceDN w:val="0"/>
        <w:adjustRightInd w:val="0"/>
        <w:spacing w:line="360" w:lineRule="auto"/>
        <w:jc w:val="center"/>
        <w:outlineLvl w:val="9"/>
        <w:rPr>
          <w:rFonts w:ascii="宋体" w:hAnsi="宋体"/>
          <w:b/>
          <w:bCs/>
          <w:sz w:val="24"/>
          <w:szCs w:val="24"/>
        </w:rPr>
      </w:pPr>
    </w:p>
    <w:p w14:paraId="02D45BF2">
      <w:pPr>
        <w:autoSpaceDE w:val="0"/>
        <w:autoSpaceDN w:val="0"/>
        <w:adjustRightInd w:val="0"/>
        <w:spacing w:line="360" w:lineRule="auto"/>
        <w:jc w:val="center"/>
        <w:outlineLvl w:val="9"/>
        <w:rPr>
          <w:rFonts w:ascii="宋体" w:hAnsi="宋体"/>
          <w:b/>
          <w:bCs/>
          <w:sz w:val="24"/>
          <w:szCs w:val="24"/>
        </w:rPr>
      </w:pPr>
    </w:p>
    <w:p w14:paraId="172C62FD">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4.7“节能产品政府采购品目清单”优先采购节能产品情况</w:t>
      </w:r>
    </w:p>
    <w:p w14:paraId="33AA57F1">
      <w:pPr>
        <w:autoSpaceDE w:val="0"/>
        <w:autoSpaceDN w:val="0"/>
        <w:adjustRightInd w:val="0"/>
        <w:spacing w:line="360" w:lineRule="auto"/>
        <w:jc w:val="center"/>
        <w:outlineLvl w:val="9"/>
        <w:rPr>
          <w:rFonts w:ascii="宋体" w:hAnsi="宋体"/>
          <w:b/>
          <w:bCs/>
          <w:sz w:val="28"/>
          <w:szCs w:val="28"/>
        </w:rPr>
      </w:pPr>
    </w:p>
    <w:p w14:paraId="48C5723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716A59F1">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03925DD5">
      <w:pPr>
        <w:tabs>
          <w:tab w:val="left" w:pos="1800"/>
          <w:tab w:val="left" w:pos="5580"/>
        </w:tabs>
        <w:spacing w:line="360" w:lineRule="auto"/>
        <w:rPr>
          <w:rFonts w:ascii="宋体" w:hAnsi="宋体"/>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EF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31A9881">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2B518405">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1C1C5DC7">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0CC5D3E0">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25E1419">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36AD992E">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279A8356">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5EAC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C202E4">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A4CF95F">
            <w:pPr>
              <w:pStyle w:val="7"/>
              <w:spacing w:line="360" w:lineRule="auto"/>
              <w:rPr>
                <w:rFonts w:ascii="宋体" w:hAnsi="宋体" w:eastAsia="宋体" w:cs="Times New Roman"/>
                <w:sz w:val="21"/>
                <w:szCs w:val="21"/>
              </w:rPr>
            </w:pPr>
          </w:p>
        </w:tc>
        <w:tc>
          <w:tcPr>
            <w:tcW w:w="814" w:type="pct"/>
            <w:vAlign w:val="center"/>
          </w:tcPr>
          <w:p w14:paraId="02C32D16">
            <w:pPr>
              <w:pStyle w:val="7"/>
              <w:spacing w:line="360" w:lineRule="auto"/>
              <w:rPr>
                <w:rFonts w:ascii="宋体" w:hAnsi="宋体" w:eastAsia="宋体" w:cs="Times New Roman"/>
                <w:sz w:val="21"/>
                <w:szCs w:val="21"/>
              </w:rPr>
            </w:pPr>
          </w:p>
        </w:tc>
        <w:tc>
          <w:tcPr>
            <w:tcW w:w="665" w:type="pct"/>
          </w:tcPr>
          <w:p w14:paraId="6EEEC2EE">
            <w:pPr>
              <w:pStyle w:val="7"/>
              <w:spacing w:line="360" w:lineRule="auto"/>
              <w:rPr>
                <w:rFonts w:ascii="宋体" w:hAnsi="宋体" w:eastAsia="宋体" w:cs="Times New Roman"/>
                <w:sz w:val="21"/>
                <w:szCs w:val="21"/>
              </w:rPr>
            </w:pPr>
          </w:p>
        </w:tc>
        <w:tc>
          <w:tcPr>
            <w:tcW w:w="884" w:type="pct"/>
          </w:tcPr>
          <w:p w14:paraId="458AEE36">
            <w:pPr>
              <w:pStyle w:val="7"/>
              <w:spacing w:line="360" w:lineRule="auto"/>
              <w:rPr>
                <w:rFonts w:ascii="宋体" w:hAnsi="宋体" w:eastAsia="宋体" w:cs="Times New Roman"/>
                <w:sz w:val="21"/>
                <w:szCs w:val="21"/>
              </w:rPr>
            </w:pPr>
          </w:p>
        </w:tc>
        <w:tc>
          <w:tcPr>
            <w:tcW w:w="858" w:type="pct"/>
          </w:tcPr>
          <w:p w14:paraId="5F919222">
            <w:pPr>
              <w:pStyle w:val="7"/>
              <w:spacing w:line="360" w:lineRule="auto"/>
              <w:rPr>
                <w:rFonts w:ascii="宋体" w:hAnsi="宋体" w:eastAsia="宋体" w:cs="Times New Roman"/>
                <w:sz w:val="21"/>
                <w:szCs w:val="21"/>
              </w:rPr>
            </w:pPr>
          </w:p>
        </w:tc>
        <w:tc>
          <w:tcPr>
            <w:tcW w:w="760" w:type="pct"/>
          </w:tcPr>
          <w:p w14:paraId="0691C10A">
            <w:pPr>
              <w:pStyle w:val="7"/>
              <w:spacing w:line="360" w:lineRule="auto"/>
              <w:rPr>
                <w:rFonts w:ascii="宋体" w:hAnsi="宋体" w:eastAsia="宋体" w:cs="Times New Roman"/>
                <w:sz w:val="21"/>
                <w:szCs w:val="21"/>
              </w:rPr>
            </w:pPr>
          </w:p>
        </w:tc>
      </w:tr>
      <w:tr w14:paraId="50BC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36F01C78">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37FE2DD4">
            <w:pPr>
              <w:pStyle w:val="7"/>
              <w:spacing w:line="360" w:lineRule="auto"/>
              <w:rPr>
                <w:rFonts w:ascii="宋体" w:hAnsi="宋体" w:eastAsia="宋体" w:cs="Times New Roman"/>
                <w:sz w:val="21"/>
                <w:szCs w:val="21"/>
              </w:rPr>
            </w:pPr>
          </w:p>
        </w:tc>
        <w:tc>
          <w:tcPr>
            <w:tcW w:w="814" w:type="pct"/>
            <w:vAlign w:val="center"/>
          </w:tcPr>
          <w:p w14:paraId="723FDDF8">
            <w:pPr>
              <w:pStyle w:val="7"/>
              <w:spacing w:line="360" w:lineRule="auto"/>
              <w:rPr>
                <w:rFonts w:ascii="宋体" w:hAnsi="宋体" w:eastAsia="宋体" w:cs="Times New Roman"/>
                <w:sz w:val="21"/>
                <w:szCs w:val="21"/>
              </w:rPr>
            </w:pPr>
          </w:p>
        </w:tc>
        <w:tc>
          <w:tcPr>
            <w:tcW w:w="665" w:type="pct"/>
          </w:tcPr>
          <w:p w14:paraId="422145C6">
            <w:pPr>
              <w:pStyle w:val="7"/>
              <w:spacing w:line="360" w:lineRule="auto"/>
              <w:rPr>
                <w:rFonts w:ascii="宋体" w:hAnsi="宋体" w:eastAsia="宋体" w:cs="Times New Roman"/>
                <w:sz w:val="21"/>
                <w:szCs w:val="21"/>
              </w:rPr>
            </w:pPr>
          </w:p>
        </w:tc>
        <w:tc>
          <w:tcPr>
            <w:tcW w:w="884" w:type="pct"/>
          </w:tcPr>
          <w:p w14:paraId="256302B1">
            <w:pPr>
              <w:pStyle w:val="7"/>
              <w:spacing w:line="360" w:lineRule="auto"/>
              <w:rPr>
                <w:rFonts w:ascii="宋体" w:hAnsi="宋体" w:eastAsia="宋体" w:cs="Times New Roman"/>
                <w:sz w:val="21"/>
                <w:szCs w:val="21"/>
              </w:rPr>
            </w:pPr>
          </w:p>
        </w:tc>
        <w:tc>
          <w:tcPr>
            <w:tcW w:w="858" w:type="pct"/>
          </w:tcPr>
          <w:p w14:paraId="477793E6">
            <w:pPr>
              <w:pStyle w:val="7"/>
              <w:spacing w:line="360" w:lineRule="auto"/>
              <w:rPr>
                <w:rFonts w:ascii="宋体" w:hAnsi="宋体" w:eastAsia="宋体" w:cs="Times New Roman"/>
                <w:sz w:val="21"/>
                <w:szCs w:val="21"/>
              </w:rPr>
            </w:pPr>
          </w:p>
        </w:tc>
        <w:tc>
          <w:tcPr>
            <w:tcW w:w="760" w:type="pct"/>
          </w:tcPr>
          <w:p w14:paraId="0B8493E5">
            <w:pPr>
              <w:pStyle w:val="7"/>
              <w:spacing w:line="360" w:lineRule="auto"/>
              <w:rPr>
                <w:rFonts w:ascii="宋体" w:hAnsi="宋体" w:eastAsia="宋体" w:cs="Times New Roman"/>
                <w:sz w:val="21"/>
                <w:szCs w:val="21"/>
              </w:rPr>
            </w:pPr>
          </w:p>
        </w:tc>
      </w:tr>
      <w:tr w14:paraId="60F6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F1C864A">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78416A40">
            <w:pPr>
              <w:pStyle w:val="7"/>
              <w:spacing w:line="360" w:lineRule="auto"/>
              <w:rPr>
                <w:rFonts w:ascii="宋体" w:hAnsi="宋体" w:eastAsia="宋体" w:cs="Times New Roman"/>
                <w:sz w:val="21"/>
                <w:szCs w:val="21"/>
              </w:rPr>
            </w:pPr>
          </w:p>
        </w:tc>
        <w:tc>
          <w:tcPr>
            <w:tcW w:w="814" w:type="pct"/>
            <w:vAlign w:val="center"/>
          </w:tcPr>
          <w:p w14:paraId="74C13E84">
            <w:pPr>
              <w:pStyle w:val="7"/>
              <w:spacing w:line="360" w:lineRule="auto"/>
              <w:rPr>
                <w:rFonts w:ascii="宋体" w:hAnsi="宋体" w:eastAsia="宋体" w:cs="Times New Roman"/>
                <w:sz w:val="21"/>
                <w:szCs w:val="21"/>
              </w:rPr>
            </w:pPr>
          </w:p>
        </w:tc>
        <w:tc>
          <w:tcPr>
            <w:tcW w:w="665" w:type="pct"/>
          </w:tcPr>
          <w:p w14:paraId="0EE31D6C">
            <w:pPr>
              <w:pStyle w:val="7"/>
              <w:spacing w:line="360" w:lineRule="auto"/>
              <w:rPr>
                <w:rFonts w:ascii="宋体" w:hAnsi="宋体" w:eastAsia="宋体" w:cs="Times New Roman"/>
                <w:sz w:val="21"/>
                <w:szCs w:val="21"/>
              </w:rPr>
            </w:pPr>
          </w:p>
        </w:tc>
        <w:tc>
          <w:tcPr>
            <w:tcW w:w="884" w:type="pct"/>
          </w:tcPr>
          <w:p w14:paraId="119F68FA">
            <w:pPr>
              <w:pStyle w:val="7"/>
              <w:spacing w:line="360" w:lineRule="auto"/>
              <w:rPr>
                <w:rFonts w:ascii="宋体" w:hAnsi="宋体" w:eastAsia="宋体" w:cs="Times New Roman"/>
                <w:sz w:val="21"/>
                <w:szCs w:val="21"/>
              </w:rPr>
            </w:pPr>
          </w:p>
        </w:tc>
        <w:tc>
          <w:tcPr>
            <w:tcW w:w="858" w:type="pct"/>
          </w:tcPr>
          <w:p w14:paraId="679D98E0">
            <w:pPr>
              <w:pStyle w:val="7"/>
              <w:spacing w:line="360" w:lineRule="auto"/>
              <w:rPr>
                <w:rFonts w:ascii="宋体" w:hAnsi="宋体" w:eastAsia="宋体" w:cs="Times New Roman"/>
                <w:sz w:val="21"/>
                <w:szCs w:val="21"/>
              </w:rPr>
            </w:pPr>
          </w:p>
        </w:tc>
        <w:tc>
          <w:tcPr>
            <w:tcW w:w="760" w:type="pct"/>
          </w:tcPr>
          <w:p w14:paraId="3B16CC48">
            <w:pPr>
              <w:pStyle w:val="7"/>
              <w:spacing w:line="360" w:lineRule="auto"/>
              <w:rPr>
                <w:rFonts w:ascii="宋体" w:hAnsi="宋体" w:eastAsia="宋体" w:cs="Times New Roman"/>
                <w:sz w:val="21"/>
                <w:szCs w:val="21"/>
              </w:rPr>
            </w:pPr>
          </w:p>
        </w:tc>
      </w:tr>
    </w:tbl>
    <w:p w14:paraId="2ACA22DC">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27D0EDC3">
      <w:pPr>
        <w:autoSpaceDE w:val="0"/>
        <w:autoSpaceDN w:val="0"/>
        <w:adjustRightInd w:val="0"/>
        <w:spacing w:line="480" w:lineRule="auto"/>
        <w:rPr>
          <w:rFonts w:cs="宋体" w:asciiTheme="minorEastAsia" w:hAnsiTheme="minorEastAsia"/>
          <w:szCs w:val="21"/>
          <w:lang w:val="zh-CN"/>
        </w:rPr>
      </w:pPr>
    </w:p>
    <w:p w14:paraId="5D2B4213">
      <w:pPr>
        <w:snapToGrid w:val="0"/>
        <w:spacing w:line="500" w:lineRule="exact"/>
        <w:rPr>
          <w:rFonts w:cs="宋体" w:asciiTheme="minorEastAsia" w:hAnsiTheme="minorEastAsia"/>
          <w:szCs w:val="21"/>
          <w:lang w:val="zh-CN"/>
        </w:rPr>
      </w:pPr>
    </w:p>
    <w:p w14:paraId="2E2A70CA">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6B39F52">
      <w:pPr>
        <w:rPr>
          <w:rFonts w:cs="宋体" w:asciiTheme="minorEastAsia" w:hAnsiTheme="minorEastAsia"/>
          <w:szCs w:val="21"/>
          <w:lang w:val="zh-CN"/>
        </w:rPr>
      </w:pPr>
    </w:p>
    <w:p w14:paraId="3782311F">
      <w:pPr>
        <w:rPr>
          <w:rFonts w:cs="宋体" w:asciiTheme="minorEastAsia" w:hAnsiTheme="minorEastAsia"/>
          <w:szCs w:val="21"/>
          <w:lang w:val="zh-CN"/>
        </w:rPr>
      </w:pPr>
    </w:p>
    <w:p w14:paraId="0ABA8C4C">
      <w:pPr>
        <w:rPr>
          <w:rFonts w:cs="宋体" w:asciiTheme="minorEastAsia" w:hAnsiTheme="minorEastAsia"/>
          <w:szCs w:val="21"/>
          <w:lang w:val="zh-CN"/>
        </w:rPr>
      </w:pPr>
    </w:p>
    <w:p w14:paraId="2663785D">
      <w:pPr>
        <w:rPr>
          <w:rFonts w:cs="宋体" w:asciiTheme="minorEastAsia" w:hAnsiTheme="minorEastAsia"/>
          <w:szCs w:val="21"/>
          <w:lang w:val="zh-CN"/>
        </w:rPr>
      </w:pPr>
    </w:p>
    <w:p w14:paraId="332DA654">
      <w:pPr>
        <w:rPr>
          <w:rFonts w:cs="宋体" w:asciiTheme="minorEastAsia" w:hAnsiTheme="minorEastAsia"/>
          <w:szCs w:val="21"/>
          <w:lang w:val="zh-CN"/>
        </w:rPr>
      </w:pPr>
    </w:p>
    <w:p w14:paraId="6D821E8A">
      <w:pPr>
        <w:rPr>
          <w:rFonts w:cs="宋体" w:asciiTheme="minorEastAsia" w:hAnsiTheme="minorEastAsia"/>
          <w:szCs w:val="21"/>
          <w:lang w:val="zh-CN"/>
        </w:rPr>
      </w:pPr>
    </w:p>
    <w:p w14:paraId="2A705E4C">
      <w:pPr>
        <w:rPr>
          <w:rFonts w:cs="宋体" w:asciiTheme="minorEastAsia" w:hAnsiTheme="minorEastAsia"/>
          <w:szCs w:val="21"/>
          <w:lang w:val="zh-CN"/>
        </w:rPr>
      </w:pPr>
    </w:p>
    <w:p w14:paraId="6563F122">
      <w:pPr>
        <w:rPr>
          <w:rFonts w:cs="宋体" w:asciiTheme="minorEastAsia" w:hAnsiTheme="minorEastAsia"/>
          <w:szCs w:val="21"/>
          <w:lang w:val="zh-CN"/>
        </w:rPr>
      </w:pPr>
    </w:p>
    <w:p w14:paraId="72C07B0C">
      <w:pPr>
        <w:rPr>
          <w:rFonts w:cs="宋体" w:asciiTheme="minorEastAsia" w:hAnsiTheme="minorEastAsia"/>
          <w:szCs w:val="21"/>
          <w:lang w:val="zh-CN"/>
        </w:rPr>
      </w:pPr>
    </w:p>
    <w:p w14:paraId="3EC1A7EC">
      <w:pPr>
        <w:rPr>
          <w:rFonts w:cs="宋体" w:asciiTheme="minorEastAsia" w:hAnsiTheme="minorEastAsia"/>
          <w:szCs w:val="21"/>
          <w:lang w:val="zh-CN"/>
        </w:rPr>
      </w:pPr>
    </w:p>
    <w:p w14:paraId="0B91A290">
      <w:pPr>
        <w:rPr>
          <w:rFonts w:cs="宋体" w:asciiTheme="minorEastAsia" w:hAnsiTheme="minorEastAsia"/>
          <w:szCs w:val="21"/>
          <w:lang w:val="zh-CN"/>
        </w:rPr>
      </w:pPr>
    </w:p>
    <w:p w14:paraId="26C63B32">
      <w:pPr>
        <w:rPr>
          <w:rFonts w:cs="宋体" w:asciiTheme="minorEastAsia" w:hAnsiTheme="minorEastAsia"/>
          <w:szCs w:val="21"/>
          <w:lang w:val="zh-CN"/>
        </w:rPr>
      </w:pPr>
    </w:p>
    <w:p w14:paraId="2CF83D32">
      <w:pPr>
        <w:rPr>
          <w:rFonts w:cs="宋体" w:asciiTheme="minorEastAsia" w:hAnsiTheme="minorEastAsia"/>
          <w:szCs w:val="21"/>
          <w:lang w:val="zh-CN"/>
        </w:rPr>
      </w:pPr>
    </w:p>
    <w:p w14:paraId="6F6B4D0B">
      <w:pPr>
        <w:rPr>
          <w:rFonts w:cs="宋体" w:asciiTheme="minorEastAsia" w:hAnsiTheme="minorEastAsia"/>
          <w:szCs w:val="21"/>
          <w:lang w:val="zh-CN"/>
        </w:rPr>
      </w:pPr>
    </w:p>
    <w:p w14:paraId="61D0B3A4">
      <w:pPr>
        <w:rPr>
          <w:rFonts w:cs="宋体" w:asciiTheme="minorEastAsia" w:hAnsiTheme="minorEastAsia"/>
          <w:szCs w:val="21"/>
          <w:lang w:val="zh-CN"/>
        </w:rPr>
      </w:pPr>
    </w:p>
    <w:p w14:paraId="3444B349">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4.8 “环境标志产品政府采购品目清单”优先采购产品情况</w:t>
      </w:r>
    </w:p>
    <w:p w14:paraId="293BAE36">
      <w:pPr>
        <w:autoSpaceDE w:val="0"/>
        <w:autoSpaceDN w:val="0"/>
        <w:adjustRightInd w:val="0"/>
        <w:spacing w:line="360" w:lineRule="auto"/>
        <w:jc w:val="center"/>
        <w:outlineLvl w:val="9"/>
        <w:rPr>
          <w:rFonts w:ascii="宋体" w:hAnsi="宋体"/>
          <w:b/>
          <w:bCs/>
          <w:sz w:val="28"/>
          <w:szCs w:val="28"/>
        </w:rPr>
      </w:pPr>
    </w:p>
    <w:p w14:paraId="2F228C5C">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25C81D6">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53485CB9">
      <w:pPr>
        <w:tabs>
          <w:tab w:val="left" w:pos="1800"/>
          <w:tab w:val="left" w:pos="5580"/>
        </w:tabs>
        <w:spacing w:line="360" w:lineRule="auto"/>
        <w:rPr>
          <w:rFonts w:asciiTheme="minorEastAsia" w:hAnsiTheme="minorEastAsia"/>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59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8C85C97">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45150350">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39CC29CE">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4D621D82">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E40F0EC">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0868EFD3">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75A5E5A0">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36E8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863268">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6F69E3A3">
            <w:pPr>
              <w:pStyle w:val="7"/>
              <w:spacing w:line="360" w:lineRule="auto"/>
              <w:rPr>
                <w:rFonts w:ascii="宋体" w:hAnsi="宋体" w:eastAsia="宋体" w:cs="Times New Roman"/>
                <w:sz w:val="21"/>
                <w:szCs w:val="21"/>
              </w:rPr>
            </w:pPr>
          </w:p>
        </w:tc>
        <w:tc>
          <w:tcPr>
            <w:tcW w:w="814" w:type="pct"/>
            <w:vAlign w:val="center"/>
          </w:tcPr>
          <w:p w14:paraId="3F1D3D64">
            <w:pPr>
              <w:pStyle w:val="7"/>
              <w:spacing w:line="360" w:lineRule="auto"/>
              <w:rPr>
                <w:rFonts w:ascii="宋体" w:hAnsi="宋体" w:eastAsia="宋体" w:cs="Times New Roman"/>
                <w:sz w:val="21"/>
                <w:szCs w:val="21"/>
              </w:rPr>
            </w:pPr>
          </w:p>
        </w:tc>
        <w:tc>
          <w:tcPr>
            <w:tcW w:w="665" w:type="pct"/>
          </w:tcPr>
          <w:p w14:paraId="4A3550F0">
            <w:pPr>
              <w:pStyle w:val="7"/>
              <w:spacing w:line="360" w:lineRule="auto"/>
              <w:rPr>
                <w:rFonts w:ascii="宋体" w:hAnsi="宋体" w:eastAsia="宋体" w:cs="Times New Roman"/>
                <w:sz w:val="21"/>
                <w:szCs w:val="21"/>
              </w:rPr>
            </w:pPr>
          </w:p>
        </w:tc>
        <w:tc>
          <w:tcPr>
            <w:tcW w:w="884" w:type="pct"/>
          </w:tcPr>
          <w:p w14:paraId="1E6A429C">
            <w:pPr>
              <w:pStyle w:val="7"/>
              <w:spacing w:line="360" w:lineRule="auto"/>
              <w:rPr>
                <w:rFonts w:ascii="宋体" w:hAnsi="宋体" w:eastAsia="宋体" w:cs="Times New Roman"/>
                <w:sz w:val="21"/>
                <w:szCs w:val="21"/>
              </w:rPr>
            </w:pPr>
          </w:p>
        </w:tc>
        <w:tc>
          <w:tcPr>
            <w:tcW w:w="858" w:type="pct"/>
          </w:tcPr>
          <w:p w14:paraId="605B6D65">
            <w:pPr>
              <w:pStyle w:val="7"/>
              <w:spacing w:line="360" w:lineRule="auto"/>
              <w:rPr>
                <w:rFonts w:ascii="宋体" w:hAnsi="宋体" w:eastAsia="宋体" w:cs="Times New Roman"/>
                <w:sz w:val="21"/>
                <w:szCs w:val="21"/>
              </w:rPr>
            </w:pPr>
          </w:p>
        </w:tc>
        <w:tc>
          <w:tcPr>
            <w:tcW w:w="760" w:type="pct"/>
          </w:tcPr>
          <w:p w14:paraId="6F1F61DC">
            <w:pPr>
              <w:pStyle w:val="7"/>
              <w:spacing w:line="360" w:lineRule="auto"/>
              <w:rPr>
                <w:rFonts w:ascii="宋体" w:hAnsi="宋体" w:eastAsia="宋体" w:cs="Times New Roman"/>
                <w:sz w:val="21"/>
                <w:szCs w:val="21"/>
              </w:rPr>
            </w:pPr>
          </w:p>
        </w:tc>
      </w:tr>
      <w:tr w14:paraId="661E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368CC9A">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79BAE82A">
            <w:pPr>
              <w:pStyle w:val="7"/>
              <w:spacing w:line="360" w:lineRule="auto"/>
              <w:rPr>
                <w:rFonts w:ascii="宋体" w:hAnsi="宋体" w:eastAsia="宋体" w:cs="Times New Roman"/>
                <w:sz w:val="21"/>
                <w:szCs w:val="21"/>
              </w:rPr>
            </w:pPr>
          </w:p>
        </w:tc>
        <w:tc>
          <w:tcPr>
            <w:tcW w:w="814" w:type="pct"/>
            <w:vAlign w:val="center"/>
          </w:tcPr>
          <w:p w14:paraId="016A9A5B">
            <w:pPr>
              <w:pStyle w:val="7"/>
              <w:spacing w:line="360" w:lineRule="auto"/>
              <w:rPr>
                <w:rFonts w:ascii="宋体" w:hAnsi="宋体" w:eastAsia="宋体" w:cs="Times New Roman"/>
                <w:sz w:val="21"/>
                <w:szCs w:val="21"/>
              </w:rPr>
            </w:pPr>
          </w:p>
        </w:tc>
        <w:tc>
          <w:tcPr>
            <w:tcW w:w="665" w:type="pct"/>
          </w:tcPr>
          <w:p w14:paraId="05004B4F">
            <w:pPr>
              <w:pStyle w:val="7"/>
              <w:spacing w:line="360" w:lineRule="auto"/>
              <w:rPr>
                <w:rFonts w:ascii="宋体" w:hAnsi="宋体" w:eastAsia="宋体" w:cs="Times New Roman"/>
                <w:sz w:val="21"/>
                <w:szCs w:val="21"/>
              </w:rPr>
            </w:pPr>
          </w:p>
        </w:tc>
        <w:tc>
          <w:tcPr>
            <w:tcW w:w="884" w:type="pct"/>
          </w:tcPr>
          <w:p w14:paraId="1B64F57E">
            <w:pPr>
              <w:pStyle w:val="7"/>
              <w:spacing w:line="360" w:lineRule="auto"/>
              <w:rPr>
                <w:rFonts w:ascii="宋体" w:hAnsi="宋体" w:eastAsia="宋体" w:cs="Times New Roman"/>
                <w:sz w:val="21"/>
                <w:szCs w:val="21"/>
              </w:rPr>
            </w:pPr>
          </w:p>
        </w:tc>
        <w:tc>
          <w:tcPr>
            <w:tcW w:w="858" w:type="pct"/>
          </w:tcPr>
          <w:p w14:paraId="1DAF397A">
            <w:pPr>
              <w:pStyle w:val="7"/>
              <w:spacing w:line="360" w:lineRule="auto"/>
              <w:rPr>
                <w:rFonts w:ascii="宋体" w:hAnsi="宋体" w:eastAsia="宋体" w:cs="Times New Roman"/>
                <w:sz w:val="21"/>
                <w:szCs w:val="21"/>
              </w:rPr>
            </w:pPr>
          </w:p>
        </w:tc>
        <w:tc>
          <w:tcPr>
            <w:tcW w:w="760" w:type="pct"/>
          </w:tcPr>
          <w:p w14:paraId="05168403">
            <w:pPr>
              <w:pStyle w:val="7"/>
              <w:spacing w:line="360" w:lineRule="auto"/>
              <w:rPr>
                <w:rFonts w:ascii="宋体" w:hAnsi="宋体" w:eastAsia="宋体" w:cs="Times New Roman"/>
                <w:sz w:val="21"/>
                <w:szCs w:val="21"/>
              </w:rPr>
            </w:pPr>
          </w:p>
        </w:tc>
      </w:tr>
      <w:tr w14:paraId="1A60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241BC1">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5E6EE3A9">
            <w:pPr>
              <w:pStyle w:val="7"/>
              <w:spacing w:line="360" w:lineRule="auto"/>
              <w:rPr>
                <w:rFonts w:ascii="宋体" w:hAnsi="宋体" w:eastAsia="宋体" w:cs="Times New Roman"/>
                <w:sz w:val="21"/>
                <w:szCs w:val="21"/>
              </w:rPr>
            </w:pPr>
          </w:p>
        </w:tc>
        <w:tc>
          <w:tcPr>
            <w:tcW w:w="814" w:type="pct"/>
            <w:vAlign w:val="center"/>
          </w:tcPr>
          <w:p w14:paraId="0E4A8A62">
            <w:pPr>
              <w:pStyle w:val="7"/>
              <w:spacing w:line="360" w:lineRule="auto"/>
              <w:rPr>
                <w:rFonts w:ascii="宋体" w:hAnsi="宋体" w:eastAsia="宋体" w:cs="Times New Roman"/>
                <w:sz w:val="21"/>
                <w:szCs w:val="21"/>
              </w:rPr>
            </w:pPr>
          </w:p>
        </w:tc>
        <w:tc>
          <w:tcPr>
            <w:tcW w:w="665" w:type="pct"/>
          </w:tcPr>
          <w:p w14:paraId="2221091E">
            <w:pPr>
              <w:pStyle w:val="7"/>
              <w:spacing w:line="360" w:lineRule="auto"/>
              <w:rPr>
                <w:rFonts w:ascii="宋体" w:hAnsi="宋体" w:eastAsia="宋体" w:cs="Times New Roman"/>
                <w:sz w:val="21"/>
                <w:szCs w:val="21"/>
              </w:rPr>
            </w:pPr>
          </w:p>
        </w:tc>
        <w:tc>
          <w:tcPr>
            <w:tcW w:w="884" w:type="pct"/>
          </w:tcPr>
          <w:p w14:paraId="3FDA271B">
            <w:pPr>
              <w:pStyle w:val="7"/>
              <w:spacing w:line="360" w:lineRule="auto"/>
              <w:rPr>
                <w:rFonts w:ascii="宋体" w:hAnsi="宋体" w:eastAsia="宋体" w:cs="Times New Roman"/>
                <w:sz w:val="21"/>
                <w:szCs w:val="21"/>
              </w:rPr>
            </w:pPr>
          </w:p>
        </w:tc>
        <w:tc>
          <w:tcPr>
            <w:tcW w:w="858" w:type="pct"/>
          </w:tcPr>
          <w:p w14:paraId="5EE86661">
            <w:pPr>
              <w:pStyle w:val="7"/>
              <w:spacing w:line="360" w:lineRule="auto"/>
              <w:rPr>
                <w:rFonts w:ascii="宋体" w:hAnsi="宋体" w:eastAsia="宋体" w:cs="Times New Roman"/>
                <w:sz w:val="21"/>
                <w:szCs w:val="21"/>
              </w:rPr>
            </w:pPr>
          </w:p>
        </w:tc>
        <w:tc>
          <w:tcPr>
            <w:tcW w:w="760" w:type="pct"/>
          </w:tcPr>
          <w:p w14:paraId="2A6A54E6">
            <w:pPr>
              <w:pStyle w:val="7"/>
              <w:spacing w:line="360" w:lineRule="auto"/>
              <w:rPr>
                <w:rFonts w:ascii="宋体" w:hAnsi="宋体" w:eastAsia="宋体" w:cs="Times New Roman"/>
                <w:sz w:val="21"/>
                <w:szCs w:val="21"/>
              </w:rPr>
            </w:pPr>
          </w:p>
        </w:tc>
      </w:tr>
    </w:tbl>
    <w:p w14:paraId="145B5E2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44D55835">
      <w:pPr>
        <w:autoSpaceDE w:val="0"/>
        <w:autoSpaceDN w:val="0"/>
        <w:adjustRightInd w:val="0"/>
        <w:spacing w:line="480" w:lineRule="auto"/>
        <w:rPr>
          <w:rFonts w:cs="宋体" w:asciiTheme="minorEastAsia" w:hAnsiTheme="minorEastAsia"/>
          <w:szCs w:val="21"/>
          <w:lang w:val="zh-CN"/>
        </w:rPr>
      </w:pPr>
    </w:p>
    <w:p w14:paraId="5D6213BE">
      <w:pPr>
        <w:snapToGrid w:val="0"/>
        <w:spacing w:line="500" w:lineRule="exact"/>
        <w:rPr>
          <w:rFonts w:cs="宋体" w:asciiTheme="minorEastAsia" w:hAnsiTheme="minorEastAsia"/>
          <w:szCs w:val="21"/>
          <w:lang w:val="zh-CN"/>
        </w:rPr>
      </w:pPr>
    </w:p>
    <w:p w14:paraId="3BDBAF73">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14:paraId="182CC765">
      <w:pPr>
        <w:spacing w:line="360" w:lineRule="auto"/>
        <w:jc w:val="center"/>
        <w:rPr>
          <w:rFonts w:cs="宋体" w:asciiTheme="minorEastAsia" w:hAnsiTheme="minorEastAsia"/>
          <w:szCs w:val="21"/>
          <w:lang w:val="zh-CN"/>
        </w:rPr>
      </w:pPr>
    </w:p>
    <w:p w14:paraId="22CF8B43">
      <w:pPr>
        <w:spacing w:line="360" w:lineRule="auto"/>
        <w:jc w:val="center"/>
        <w:rPr>
          <w:rFonts w:cs="宋体" w:asciiTheme="minorEastAsia" w:hAnsiTheme="minorEastAsia"/>
          <w:szCs w:val="21"/>
          <w:lang w:val="zh-CN"/>
        </w:rPr>
      </w:pPr>
    </w:p>
    <w:p w14:paraId="688CFAEC">
      <w:pPr>
        <w:spacing w:line="360" w:lineRule="auto"/>
        <w:jc w:val="center"/>
        <w:rPr>
          <w:rFonts w:cs="宋体" w:asciiTheme="minorEastAsia" w:hAnsiTheme="minorEastAsia"/>
          <w:szCs w:val="21"/>
          <w:lang w:val="zh-CN"/>
        </w:rPr>
      </w:pPr>
    </w:p>
    <w:p w14:paraId="70D35245">
      <w:pPr>
        <w:spacing w:line="360" w:lineRule="auto"/>
        <w:jc w:val="center"/>
        <w:rPr>
          <w:rFonts w:cs="宋体" w:asciiTheme="minorEastAsia" w:hAnsiTheme="minorEastAsia"/>
          <w:szCs w:val="21"/>
          <w:lang w:val="zh-CN"/>
        </w:rPr>
      </w:pPr>
    </w:p>
    <w:p w14:paraId="4BEF48B0">
      <w:pPr>
        <w:spacing w:line="360" w:lineRule="auto"/>
        <w:jc w:val="center"/>
        <w:rPr>
          <w:rFonts w:cs="宋体" w:asciiTheme="minorEastAsia" w:hAnsiTheme="minorEastAsia"/>
          <w:szCs w:val="21"/>
          <w:lang w:val="zh-CN"/>
        </w:rPr>
      </w:pPr>
    </w:p>
    <w:p w14:paraId="46A08B18">
      <w:pPr>
        <w:spacing w:line="360" w:lineRule="auto"/>
        <w:jc w:val="center"/>
        <w:rPr>
          <w:rFonts w:cs="宋体" w:asciiTheme="minorEastAsia" w:hAnsiTheme="minorEastAsia"/>
          <w:szCs w:val="21"/>
          <w:lang w:val="zh-CN"/>
        </w:rPr>
      </w:pPr>
    </w:p>
    <w:p w14:paraId="214F2AF5">
      <w:pPr>
        <w:spacing w:line="360" w:lineRule="auto"/>
        <w:jc w:val="center"/>
        <w:rPr>
          <w:rFonts w:cs="宋体" w:asciiTheme="minorEastAsia" w:hAnsiTheme="minorEastAsia"/>
          <w:szCs w:val="21"/>
          <w:lang w:val="zh-CN"/>
        </w:rPr>
      </w:pPr>
    </w:p>
    <w:p w14:paraId="6931DA1C">
      <w:pPr>
        <w:spacing w:line="360" w:lineRule="auto"/>
        <w:jc w:val="center"/>
        <w:rPr>
          <w:rFonts w:cs="宋体" w:asciiTheme="minorEastAsia" w:hAnsiTheme="minorEastAsia"/>
          <w:szCs w:val="21"/>
          <w:lang w:val="zh-CN"/>
        </w:rPr>
      </w:pPr>
    </w:p>
    <w:p w14:paraId="789E79CC">
      <w:pPr>
        <w:spacing w:line="360" w:lineRule="auto"/>
        <w:jc w:val="center"/>
        <w:rPr>
          <w:rFonts w:cs="宋体" w:asciiTheme="minorEastAsia" w:hAnsiTheme="minorEastAsia"/>
          <w:szCs w:val="21"/>
          <w:lang w:val="zh-CN"/>
        </w:rPr>
      </w:pPr>
    </w:p>
    <w:p w14:paraId="69CEE710">
      <w:pPr>
        <w:spacing w:line="360" w:lineRule="auto"/>
        <w:jc w:val="center"/>
        <w:rPr>
          <w:rFonts w:cs="宋体" w:asciiTheme="minorEastAsia" w:hAnsiTheme="minorEastAsia"/>
          <w:szCs w:val="21"/>
          <w:lang w:val="zh-CN"/>
        </w:rPr>
      </w:pPr>
    </w:p>
    <w:p w14:paraId="67E7D2FA">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 xml:space="preserve">4.9 </w:t>
      </w:r>
      <w:r>
        <w:rPr>
          <w:rFonts w:ascii="宋体" w:hAnsi="宋体"/>
          <w:b/>
          <w:bCs/>
          <w:sz w:val="24"/>
          <w:szCs w:val="24"/>
        </w:rPr>
        <w:t>中小企业声明函（货物）</w:t>
      </w:r>
    </w:p>
    <w:p w14:paraId="2CC7A955">
      <w:pPr>
        <w:spacing w:line="360" w:lineRule="auto"/>
        <w:jc w:val="center"/>
        <w:rPr>
          <w:rFonts w:ascii="宋体" w:hAnsi="宋体"/>
          <w:b/>
          <w:bCs/>
          <w:szCs w:val="21"/>
        </w:rPr>
      </w:pPr>
    </w:p>
    <w:p w14:paraId="0F621209">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14:paraId="0C9917B5">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57DB8B16">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45CFD0F3">
      <w:pPr>
        <w:spacing w:line="360" w:lineRule="auto"/>
        <w:ind w:firstLine="707" w:firstLineChars="337"/>
        <w:jc w:val="left"/>
      </w:pPr>
      <w:r>
        <w:t xml:space="preserve">…… </w:t>
      </w:r>
    </w:p>
    <w:p w14:paraId="7DF060C7">
      <w:pPr>
        <w:spacing w:line="360" w:lineRule="auto"/>
        <w:ind w:firstLine="707" w:firstLineChars="337"/>
        <w:jc w:val="left"/>
      </w:pPr>
      <w:r>
        <w:t>以上企业，不属于大企业的分支机构，不存在控股股东为大企业的情形，也不存在与大企业的负责人为同一人的情形。</w:t>
      </w:r>
    </w:p>
    <w:p w14:paraId="5C1D2FE9">
      <w:pPr>
        <w:spacing w:line="360" w:lineRule="auto"/>
        <w:ind w:firstLine="707" w:firstLineChars="337"/>
        <w:jc w:val="left"/>
      </w:pPr>
      <w:r>
        <w:t>本企业对上述声明内容的真实性负责。如有虚假，将依法承担相应责任。</w:t>
      </w:r>
    </w:p>
    <w:p w14:paraId="57A7B21D">
      <w:pPr>
        <w:spacing w:line="360" w:lineRule="auto"/>
        <w:ind w:firstLine="707" w:firstLineChars="337"/>
        <w:jc w:val="left"/>
      </w:pPr>
    </w:p>
    <w:p w14:paraId="46FC5920">
      <w:pPr>
        <w:spacing w:line="360" w:lineRule="auto"/>
        <w:ind w:firstLine="707" w:firstLineChars="337"/>
        <w:jc w:val="left"/>
      </w:pPr>
    </w:p>
    <w:p w14:paraId="7D23D6CD">
      <w:pPr>
        <w:spacing w:line="480" w:lineRule="auto"/>
        <w:ind w:firstLine="5957" w:firstLineChars="2837"/>
        <w:jc w:val="left"/>
      </w:pPr>
      <w:r>
        <w:t>企业名称（盖章）：</w:t>
      </w:r>
    </w:p>
    <w:p w14:paraId="1F03284D">
      <w:pPr>
        <w:spacing w:line="480" w:lineRule="auto"/>
        <w:ind w:firstLine="5957" w:firstLineChars="2837"/>
        <w:jc w:val="left"/>
        <w:rPr>
          <w:rFonts w:cs="Arial" w:asciiTheme="minorEastAsia" w:hAnsiTheme="minorEastAsia"/>
          <w:szCs w:val="21"/>
        </w:rPr>
      </w:pPr>
      <w:r>
        <w:t>日期：</w:t>
      </w:r>
    </w:p>
    <w:p w14:paraId="21715D88">
      <w:pPr>
        <w:spacing w:line="480" w:lineRule="auto"/>
        <w:ind w:left="4358" w:leftChars="2075"/>
        <w:rPr>
          <w:rFonts w:cs="Arial" w:asciiTheme="minorEastAsia" w:hAnsiTheme="minorEastAsia"/>
          <w:szCs w:val="21"/>
        </w:rPr>
      </w:pPr>
    </w:p>
    <w:p w14:paraId="2350584C">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14:paraId="3A716DE0">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14:paraId="3CA208C0">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14:paraId="65386F82">
      <w:pPr>
        <w:widowControl/>
        <w:spacing w:before="100" w:beforeAutospacing="1" w:after="100" w:afterAutospacing="1" w:line="360" w:lineRule="auto"/>
        <w:contextualSpacing/>
        <w:jc w:val="left"/>
        <w:rPr>
          <w:rFonts w:ascii="宋体" w:hAnsi="宋体" w:cs="Arial"/>
          <w:kern w:val="0"/>
          <w:szCs w:val="21"/>
        </w:rPr>
      </w:pPr>
    </w:p>
    <w:p w14:paraId="53920AF2">
      <w:pPr>
        <w:widowControl/>
        <w:jc w:val="left"/>
        <w:rPr>
          <w:rFonts w:ascii="宋体" w:hAnsi="宋体"/>
          <w:b/>
          <w:bCs/>
          <w:sz w:val="24"/>
          <w:szCs w:val="24"/>
        </w:rPr>
      </w:pPr>
      <w:r>
        <w:rPr>
          <w:rFonts w:ascii="宋体" w:hAnsi="宋体"/>
          <w:b/>
          <w:bCs/>
          <w:sz w:val="24"/>
          <w:szCs w:val="24"/>
        </w:rPr>
        <w:br w:type="page"/>
      </w:r>
    </w:p>
    <w:p w14:paraId="0A823DAE">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4.10 残疾人福利性单位声明函</w:t>
      </w:r>
    </w:p>
    <w:p w14:paraId="487B58C6">
      <w:pPr>
        <w:spacing w:line="360" w:lineRule="auto"/>
        <w:rPr>
          <w:rFonts w:ascii="宋体" w:hAnsi="宋体"/>
          <w:szCs w:val="21"/>
        </w:rPr>
      </w:pPr>
    </w:p>
    <w:p w14:paraId="7F0889CB">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06528EB">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D951933">
      <w:pPr>
        <w:spacing w:line="360" w:lineRule="auto"/>
        <w:rPr>
          <w:rFonts w:ascii="宋体" w:hAnsi="宋体"/>
          <w:szCs w:val="21"/>
        </w:rPr>
      </w:pPr>
    </w:p>
    <w:p w14:paraId="7E236F0A">
      <w:pPr>
        <w:spacing w:line="360" w:lineRule="auto"/>
        <w:rPr>
          <w:rFonts w:ascii="宋体" w:hAnsi="宋体"/>
          <w:szCs w:val="21"/>
        </w:rPr>
      </w:pPr>
    </w:p>
    <w:p w14:paraId="751EF06B">
      <w:pPr>
        <w:spacing w:line="360" w:lineRule="auto"/>
        <w:rPr>
          <w:rFonts w:ascii="宋体" w:hAnsi="宋体"/>
          <w:szCs w:val="21"/>
        </w:rPr>
      </w:pPr>
    </w:p>
    <w:p w14:paraId="7DF45CE2">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14:paraId="4932239C">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14:paraId="50B608B1">
      <w:pPr>
        <w:spacing w:line="480" w:lineRule="auto"/>
        <w:ind w:left="4358" w:leftChars="2075"/>
        <w:rPr>
          <w:rFonts w:cs="Arial" w:asciiTheme="minorEastAsia" w:hAnsiTheme="minorEastAsia"/>
          <w:szCs w:val="21"/>
        </w:rPr>
      </w:pPr>
    </w:p>
    <w:p w14:paraId="38A89750"/>
    <w:p w14:paraId="279583D5"/>
    <w:p w14:paraId="5922135E"/>
    <w:p w14:paraId="3BD13D2C"/>
    <w:p w14:paraId="5D99C6F0"/>
    <w:p w14:paraId="28AF2E44"/>
    <w:p w14:paraId="538A3997"/>
    <w:p w14:paraId="314F4F59"/>
    <w:p w14:paraId="6C6BAA3F"/>
    <w:p w14:paraId="06064487"/>
    <w:p w14:paraId="771AB2DF"/>
    <w:p w14:paraId="37CD78FB"/>
    <w:p w14:paraId="697F942C"/>
    <w:p w14:paraId="1B399D2F"/>
    <w:p w14:paraId="7FE37D2F"/>
    <w:p w14:paraId="0B1612CF"/>
    <w:p w14:paraId="316E3AA9"/>
    <w:p w14:paraId="6D9EACD0"/>
    <w:p w14:paraId="56989F65">
      <w:pPr>
        <w:autoSpaceDE w:val="0"/>
        <w:autoSpaceDN w:val="0"/>
        <w:adjustRightInd w:val="0"/>
        <w:spacing w:line="360" w:lineRule="auto"/>
        <w:jc w:val="center"/>
        <w:rPr>
          <w:rFonts w:cs="黑体" w:asciiTheme="minorEastAsia" w:hAnsiTheme="minorEastAsia"/>
          <w:b/>
          <w:bCs/>
          <w:sz w:val="15"/>
          <w:szCs w:val="15"/>
          <w:lang w:val="zh-CN"/>
        </w:rPr>
      </w:pPr>
    </w:p>
    <w:p w14:paraId="3D65DEB2">
      <w:pPr>
        <w:autoSpaceDE w:val="0"/>
        <w:autoSpaceDN w:val="0"/>
        <w:adjustRightInd w:val="0"/>
        <w:spacing w:line="360" w:lineRule="auto"/>
        <w:rPr>
          <w:rFonts w:cs="黑体" w:asciiTheme="minorEastAsia" w:hAnsiTheme="minorEastAsia"/>
          <w:b/>
          <w:bCs/>
          <w:sz w:val="15"/>
          <w:szCs w:val="15"/>
          <w:lang w:val="zh-CN"/>
        </w:rPr>
      </w:pPr>
    </w:p>
    <w:p w14:paraId="30D5293E">
      <w:pPr>
        <w:autoSpaceDE w:val="0"/>
        <w:autoSpaceDN w:val="0"/>
        <w:adjustRightInd w:val="0"/>
        <w:spacing w:line="360" w:lineRule="auto"/>
        <w:jc w:val="center"/>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14:paraId="47225357"/>
    <w:p w14:paraId="61016B54"/>
    <w:p w14:paraId="374A8267"/>
    <w:p w14:paraId="3232FA6B">
      <w:pPr>
        <w:spacing w:line="360" w:lineRule="auto"/>
        <w:jc w:val="center"/>
        <w:rPr>
          <w:rFonts w:ascii="宋体" w:hAnsi="宋体"/>
          <w:b/>
          <w:bCs/>
          <w:sz w:val="28"/>
          <w:szCs w:val="28"/>
        </w:rPr>
      </w:pPr>
      <w:r>
        <w:rPr>
          <w:rFonts w:ascii="宋体" w:hAnsi="宋体"/>
          <w:b/>
          <w:bCs/>
          <w:sz w:val="28"/>
          <w:szCs w:val="28"/>
        </w:rPr>
        <w:t>除招标文件另有规定外，</w:t>
      </w:r>
      <w:r>
        <w:rPr>
          <w:rFonts w:hint="eastAsia" w:ascii="宋体" w:hAnsi="宋体"/>
          <w:b/>
          <w:bCs/>
          <w:sz w:val="28"/>
          <w:szCs w:val="28"/>
          <w:lang w:eastAsia="zh-CN"/>
        </w:rPr>
        <w:t>供应商</w:t>
      </w:r>
      <w:r>
        <w:rPr>
          <w:rFonts w:ascii="宋体" w:hAnsi="宋体"/>
          <w:b/>
          <w:bCs/>
          <w:sz w:val="28"/>
          <w:szCs w:val="28"/>
        </w:rPr>
        <w:t>认为需要提交的其他证明材料或资料加盖</w:t>
      </w:r>
      <w:r>
        <w:rPr>
          <w:rFonts w:hint="eastAsia" w:ascii="宋体" w:hAnsi="宋体"/>
          <w:b/>
          <w:bCs/>
          <w:sz w:val="28"/>
          <w:szCs w:val="28"/>
          <w:lang w:eastAsia="zh-CN"/>
        </w:rPr>
        <w:t>供应商</w:t>
      </w:r>
      <w:r>
        <w:rPr>
          <w:rFonts w:ascii="宋体" w:hAnsi="宋体"/>
          <w:b/>
          <w:bCs/>
          <w:sz w:val="28"/>
          <w:szCs w:val="28"/>
        </w:rPr>
        <w:t>单位公章后应在此项下提交。</w:t>
      </w:r>
    </w:p>
    <w:p w14:paraId="0E1AFB56">
      <w:pPr>
        <w:spacing w:line="360" w:lineRule="auto"/>
        <w:jc w:val="center"/>
        <w:rPr>
          <w:rFonts w:ascii="宋体" w:hAnsi="宋体"/>
          <w:b/>
          <w:bCs/>
          <w:sz w:val="28"/>
          <w:szCs w:val="28"/>
        </w:rPr>
      </w:pPr>
      <w:r>
        <w:rPr>
          <w:rFonts w:ascii="宋体" w:hAnsi="宋体"/>
          <w:b/>
          <w:bCs/>
          <w:sz w:val="28"/>
          <w:szCs w:val="28"/>
        </w:rPr>
        <w:t> </w:t>
      </w:r>
    </w:p>
    <w:p w14:paraId="2425D32F">
      <w:pPr>
        <w:autoSpaceDE w:val="0"/>
        <w:autoSpaceDN w:val="0"/>
        <w:adjustRightInd w:val="0"/>
        <w:spacing w:line="360" w:lineRule="auto"/>
        <w:jc w:val="center"/>
        <w:outlineLvl w:val="9"/>
        <w:rPr>
          <w:rFonts w:hAnsi="宋体" w:eastAsia="宋体"/>
          <w:b/>
          <w:snapToGrid w:val="0"/>
          <w:kern w:val="0"/>
          <w:sz w:val="36"/>
          <w:szCs w:val="36"/>
        </w:rPr>
      </w:pPr>
    </w:p>
    <w:p w14:paraId="1CFA8FD6">
      <w:pPr>
        <w:autoSpaceDE w:val="0"/>
        <w:autoSpaceDN w:val="0"/>
        <w:adjustRightInd w:val="0"/>
        <w:spacing w:line="360" w:lineRule="auto"/>
        <w:jc w:val="center"/>
        <w:outlineLvl w:val="9"/>
        <w:rPr>
          <w:rFonts w:hAnsi="宋体" w:eastAsia="宋体"/>
          <w:b/>
          <w:snapToGrid w:val="0"/>
          <w:kern w:val="0"/>
          <w:sz w:val="36"/>
          <w:szCs w:val="36"/>
        </w:rPr>
      </w:pPr>
    </w:p>
    <w:p w14:paraId="16515FFF">
      <w:pPr>
        <w:snapToGrid w:val="0"/>
        <w:spacing w:line="360" w:lineRule="auto"/>
        <w:jc w:val="center"/>
        <w:rPr>
          <w:rFonts w:hAnsi="宋体" w:eastAsia="宋体"/>
          <w:b/>
          <w:snapToGrid w:val="0"/>
          <w:kern w:val="0"/>
          <w:sz w:val="36"/>
          <w:szCs w:val="36"/>
        </w:rPr>
      </w:pPr>
    </w:p>
    <w:p w14:paraId="765FC229">
      <w:pPr>
        <w:snapToGrid w:val="0"/>
        <w:spacing w:line="360" w:lineRule="auto"/>
        <w:jc w:val="center"/>
        <w:rPr>
          <w:rFonts w:hAnsi="宋体" w:eastAsia="宋体"/>
          <w:b/>
          <w:snapToGrid w:val="0"/>
          <w:kern w:val="0"/>
          <w:sz w:val="36"/>
          <w:szCs w:val="36"/>
        </w:rPr>
      </w:pPr>
    </w:p>
    <w:p w14:paraId="4EA63D4C">
      <w:pPr>
        <w:snapToGrid w:val="0"/>
        <w:spacing w:line="360" w:lineRule="auto"/>
        <w:jc w:val="center"/>
        <w:rPr>
          <w:rFonts w:hAnsi="宋体" w:eastAsia="宋体"/>
          <w:b/>
          <w:snapToGrid w:val="0"/>
          <w:kern w:val="0"/>
          <w:sz w:val="36"/>
          <w:szCs w:val="36"/>
        </w:rPr>
      </w:pPr>
    </w:p>
    <w:p w14:paraId="24823A3C">
      <w:pPr>
        <w:snapToGrid w:val="0"/>
        <w:spacing w:line="360" w:lineRule="auto"/>
        <w:rPr>
          <w:rFonts w:hAnsi="宋体" w:eastAsia="宋体"/>
          <w:b/>
          <w:snapToGrid w:val="0"/>
          <w:kern w:val="0"/>
          <w:sz w:val="36"/>
          <w:szCs w:val="36"/>
        </w:rPr>
      </w:pPr>
    </w:p>
    <w:p w14:paraId="5A1FB57E">
      <w:pPr>
        <w:snapToGrid w:val="0"/>
        <w:spacing w:line="360" w:lineRule="auto"/>
        <w:jc w:val="center"/>
        <w:rPr>
          <w:rFonts w:hAnsi="宋体" w:eastAsia="宋体"/>
          <w:b/>
          <w:snapToGrid w:val="0"/>
          <w:kern w:val="0"/>
          <w:sz w:val="36"/>
          <w:szCs w:val="36"/>
        </w:rPr>
      </w:pPr>
    </w:p>
    <w:p w14:paraId="5E3E0C1C">
      <w:pPr>
        <w:autoSpaceDE w:val="0"/>
        <w:autoSpaceDN w:val="0"/>
        <w:adjustRightInd w:val="0"/>
        <w:spacing w:line="360" w:lineRule="auto"/>
        <w:jc w:val="center"/>
        <w:outlineLvl w:val="9"/>
        <w:rPr>
          <w:rFonts w:ascii="宋体" w:hAnsi="宋体"/>
          <w:b/>
          <w:bCs/>
          <w:color w:val="000000"/>
          <w:sz w:val="24"/>
          <w:szCs w:val="24"/>
        </w:rPr>
      </w:pPr>
    </w:p>
    <w:p w14:paraId="21AE6A25">
      <w:pPr>
        <w:autoSpaceDE w:val="0"/>
        <w:autoSpaceDN w:val="0"/>
        <w:adjustRightInd w:val="0"/>
        <w:spacing w:line="360" w:lineRule="auto"/>
        <w:jc w:val="center"/>
        <w:outlineLvl w:val="9"/>
        <w:rPr>
          <w:rFonts w:ascii="宋体" w:hAnsi="宋体"/>
          <w:b/>
          <w:bCs/>
          <w:color w:val="000000"/>
          <w:sz w:val="24"/>
          <w:szCs w:val="24"/>
        </w:rPr>
      </w:pPr>
    </w:p>
    <w:p w14:paraId="5B8E132B">
      <w:pPr>
        <w:autoSpaceDE w:val="0"/>
        <w:autoSpaceDN w:val="0"/>
        <w:adjustRightInd w:val="0"/>
        <w:spacing w:line="360" w:lineRule="auto"/>
        <w:jc w:val="center"/>
        <w:outlineLvl w:val="9"/>
        <w:rPr>
          <w:rFonts w:ascii="宋体" w:hAnsi="宋体"/>
          <w:b/>
          <w:bCs/>
          <w:color w:val="000000"/>
          <w:sz w:val="24"/>
          <w:szCs w:val="24"/>
        </w:rPr>
      </w:pPr>
    </w:p>
    <w:p w14:paraId="4C617522">
      <w:pPr>
        <w:autoSpaceDE w:val="0"/>
        <w:autoSpaceDN w:val="0"/>
        <w:adjustRightInd w:val="0"/>
        <w:spacing w:line="360" w:lineRule="auto"/>
        <w:jc w:val="center"/>
        <w:outlineLvl w:val="9"/>
        <w:rPr>
          <w:rFonts w:ascii="宋体" w:hAnsi="宋体"/>
          <w:b/>
          <w:bCs/>
          <w:color w:val="000000"/>
          <w:sz w:val="24"/>
          <w:szCs w:val="24"/>
        </w:rPr>
      </w:pPr>
    </w:p>
    <w:p w14:paraId="055F2620">
      <w:pPr>
        <w:autoSpaceDE w:val="0"/>
        <w:autoSpaceDN w:val="0"/>
        <w:adjustRightInd w:val="0"/>
        <w:spacing w:line="480" w:lineRule="auto"/>
        <w:rPr>
          <w:rFonts w:cs="宋体" w:asciiTheme="minorEastAsia" w:hAnsiTheme="minorEastAsia"/>
          <w:sz w:val="24"/>
          <w:szCs w:val="24"/>
          <w:lang w:val="zh-CN"/>
        </w:rPr>
      </w:pPr>
    </w:p>
    <w:p w14:paraId="0A89AA9C">
      <w:pPr>
        <w:autoSpaceDE w:val="0"/>
        <w:autoSpaceDN w:val="0"/>
        <w:adjustRightInd w:val="0"/>
        <w:spacing w:line="480" w:lineRule="auto"/>
        <w:rPr>
          <w:rFonts w:cs="宋体" w:asciiTheme="minorEastAsia" w:hAnsiTheme="minorEastAsia"/>
          <w:sz w:val="24"/>
          <w:szCs w:val="24"/>
          <w:lang w:val="zh-CN"/>
        </w:rPr>
      </w:pPr>
    </w:p>
    <w:p w14:paraId="2D9ED4B0">
      <w:pPr>
        <w:autoSpaceDE w:val="0"/>
        <w:autoSpaceDN w:val="0"/>
        <w:adjustRightInd w:val="0"/>
        <w:spacing w:line="480" w:lineRule="auto"/>
        <w:rPr>
          <w:rFonts w:cs="宋体" w:asciiTheme="minorEastAsia" w:hAnsiTheme="minorEastAsia"/>
          <w:sz w:val="24"/>
          <w:szCs w:val="24"/>
          <w:lang w:val="zh-CN"/>
        </w:rPr>
      </w:pPr>
    </w:p>
    <w:p w14:paraId="06277C76">
      <w:pPr>
        <w:autoSpaceDE w:val="0"/>
        <w:autoSpaceDN w:val="0"/>
        <w:adjustRightInd w:val="0"/>
        <w:spacing w:line="480" w:lineRule="auto"/>
        <w:rPr>
          <w:rFonts w:cs="宋体" w:asciiTheme="minorEastAsia" w:hAnsiTheme="minorEastAsia"/>
          <w:sz w:val="24"/>
          <w:szCs w:val="24"/>
          <w:lang w:val="zh-CN"/>
        </w:rPr>
      </w:pPr>
    </w:p>
    <w:p w14:paraId="721FD4A9">
      <w:pPr>
        <w:widowControl/>
        <w:jc w:val="left"/>
        <w:rPr>
          <w:rFonts w:ascii="宋体" w:hAnsi="宋体"/>
          <w:b/>
          <w:bCs/>
          <w:sz w:val="24"/>
          <w:szCs w:val="24"/>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3936F">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9525">
                        <a:noFill/>
                      </a:ln>
                      <a:effectLst/>
                    </wps:spPr>
                    <wps:txbx>
                      <w:txbxContent>
                        <w:p w14:paraId="1FF46E4C">
                          <w:pPr>
                            <w:pStyle w:val="18"/>
                          </w:pPr>
                          <w:r>
                            <w:fldChar w:fldCharType="begin"/>
                          </w:r>
                          <w:r>
                            <w:instrText xml:space="preserve"> PAGE  \* MERGEFORMAT </w:instrText>
                          </w:r>
                          <w:r>
                            <w:fldChar w:fldCharType="separate"/>
                          </w:r>
                          <w:r>
                            <w:t>28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i6WFNAAAAADAQAADwAAAAAAAAABACAA&#10;AAAiAAAAZHJzL2Rvd25yZXYueG1sUEsBAhQAFAAAAAgAh07iQFiDho3cAQAArgMAAA4AAAAAAAAA&#10;AQAgAAAAHwEAAGRycy9lMm9Eb2MueG1sUEsFBgAAAAAGAAYAWQEAAG0FAAAAAA==&#10;">
              <v:fill on="f" focussize="0,0"/>
              <v:stroke on="f"/>
              <v:imagedata o:title=""/>
              <o:lock v:ext="edit" aspectratio="f"/>
              <v:textbox inset="0mm,0mm,0mm,0mm" style="mso-fit-shape-to-text:t;">
                <w:txbxContent>
                  <w:p w14:paraId="1FF46E4C">
                    <w:pPr>
                      <w:pStyle w:val="1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33E12"/>
    <w:multiLevelType w:val="multilevel"/>
    <w:tmpl w:val="9E133E12"/>
    <w:lvl w:ilvl="0" w:tentative="0">
      <w:start w:val="1"/>
      <w:numFmt w:val="decimal"/>
      <w:lvlText w:val="%1."/>
      <w:lvlJc w:val="left"/>
      <w:pPr>
        <w:ind w:left="720"/>
      </w:pPr>
      <w:rPr>
        <w:rFonts w:hint="default" w:ascii="Times New Roman" w:hAnsi="Times New Roman" w:cs="Times New Roman"/>
      </w:rPr>
    </w:lvl>
    <w:lvl w:ilvl="1" w:tentative="0">
      <w:start w:val="1"/>
      <w:numFmt w:val="decimal"/>
      <w:lvlText w:val="%1.%2"/>
      <w:lvlJc w:val="left"/>
      <w:pPr>
        <w:ind w:left="1440"/>
      </w:pPr>
      <w:rPr>
        <w:rFonts w:hint="default" w:ascii="Times New Roman" w:hAnsi="Times New Roman" w:cs="Times New Roman"/>
      </w:rPr>
    </w:lvl>
    <w:lvl w:ilvl="2" w:tentative="0">
      <w:start w:val="1"/>
      <w:numFmt w:val="decimal"/>
      <w:lvlText w:val="%1.%2.%3"/>
      <w:lvlJc w:val="left"/>
      <w:pPr>
        <w:ind w:left="2160"/>
      </w:pPr>
      <w:rPr>
        <w:rFonts w:hint="default" w:ascii="Times New Roman" w:hAnsi="Times New Roman" w:cs="Times New Roman"/>
      </w:rPr>
    </w:lvl>
    <w:lvl w:ilvl="3" w:tentative="0">
      <w:start w:val="1"/>
      <w:numFmt w:val="decimal"/>
      <w:lvlText w:val="%1.%2.%3.%4"/>
      <w:lvlJc w:val="left"/>
      <w:pPr>
        <w:ind w:left="2880"/>
      </w:pPr>
      <w:rPr>
        <w:rFonts w:hint="default" w:ascii="Times New Roman" w:hAnsi="Times New Roman" w:cs="Times New Roman"/>
      </w:rPr>
    </w:lvl>
    <w:lvl w:ilvl="4" w:tentative="0">
      <w:start w:val="1"/>
      <w:numFmt w:val="decimal"/>
      <w:lvlText w:val="%1.%2.%3.%4.%5"/>
      <w:lvlJc w:val="left"/>
      <w:pPr>
        <w:ind w:left="3600"/>
      </w:pPr>
      <w:rPr>
        <w:rFonts w:hint="default" w:ascii="Times New Roman" w:hAnsi="Times New Roman" w:cs="Times New Roman"/>
      </w:rPr>
    </w:lvl>
    <w:lvl w:ilvl="5" w:tentative="0">
      <w:start w:val="1"/>
      <w:numFmt w:val="decimal"/>
      <w:lvlText w:val="%1.%2.%3.%4.%5.%6"/>
      <w:lvlJc w:val="left"/>
      <w:pPr>
        <w:ind w:left="4320"/>
      </w:pPr>
      <w:rPr>
        <w:rFonts w:hint="default" w:ascii="Times New Roman" w:hAnsi="Times New Roman" w:cs="Times New Roman"/>
      </w:rPr>
    </w:lvl>
    <w:lvl w:ilvl="6" w:tentative="0">
      <w:start w:val="1"/>
      <w:numFmt w:val="decimal"/>
      <w:lvlText w:val="%1.%2.%3.%4.%5.%6.%7"/>
      <w:lvlJc w:val="left"/>
      <w:pPr>
        <w:ind w:left="5040"/>
      </w:pPr>
      <w:rPr>
        <w:rFonts w:hint="default" w:ascii="Times New Roman" w:hAnsi="Times New Roman" w:cs="Times New Roman"/>
      </w:rPr>
    </w:lvl>
    <w:lvl w:ilvl="7" w:tentative="0">
      <w:start w:val="1"/>
      <w:numFmt w:val="decimal"/>
      <w:lvlText w:val="%1.%2.%3.%4.%5.%6.%7.%8"/>
      <w:lvlJc w:val="left"/>
      <w:pPr>
        <w:ind w:left="5760"/>
      </w:pPr>
      <w:rPr>
        <w:rFonts w:hint="default" w:ascii="Times New Roman" w:hAnsi="Times New Roman" w:cs="Times New Roman"/>
      </w:rPr>
    </w:lvl>
    <w:lvl w:ilvl="8" w:tentative="0">
      <w:start w:val="1"/>
      <w:numFmt w:val="decimal"/>
      <w:lvlText w:val="%1.%2.%3.%4.%5.%6.%7.%8.%9"/>
      <w:lvlJc w:val="left"/>
      <w:pPr>
        <w:ind w:left="6480"/>
      </w:pPr>
      <w:rPr>
        <w:rFonts w:hint="default" w:ascii="Times New Roman" w:hAnsi="Times New Roman" w:cs="Times New Roman"/>
      </w:rPr>
    </w:lvl>
  </w:abstractNum>
  <w:abstractNum w:abstractNumId="1">
    <w:nsid w:val="EAA5ECB5"/>
    <w:multiLevelType w:val="multilevel"/>
    <w:tmpl w:val="EAA5ECB5"/>
    <w:lvl w:ilvl="0" w:tentative="0">
      <w:start w:val="1"/>
      <w:numFmt w:val="decimal"/>
      <w:lvlText w:val="%1.1"/>
      <w:lvlJc w:val="left"/>
      <w:pPr>
        <w:ind w:left="720"/>
      </w:pPr>
      <w:rPr>
        <w:rFonts w:hint="default" w:ascii="Times New Roman" w:hAnsi="Times New Roman" w:cs="Times New Roman"/>
      </w:rPr>
    </w:lvl>
    <w:lvl w:ilvl="1" w:tentative="0">
      <w:start w:val="1"/>
      <w:numFmt w:val="decimal"/>
      <w:lvlText w:val="%2.1 "/>
      <w:lvlJc w:val="left"/>
      <w:pPr>
        <w:ind w:left="1440"/>
      </w:pPr>
      <w:rPr>
        <w:rFonts w:hint="default" w:ascii="Times New Roman" w:hAnsi="Times New Roman" w:cs="Times New Roman"/>
      </w:rPr>
    </w:lvl>
    <w:lvl w:ilvl="2" w:tentative="0">
      <w:start w:val="1"/>
      <w:numFmt w:val="lowerRoman"/>
      <w:lvlText w:val="%3."/>
      <w:lvlJc w:val="left"/>
      <w:pPr>
        <w:ind w:left="2160"/>
      </w:pPr>
      <w:rPr>
        <w:rFonts w:hint="default" w:ascii="Times New Roman" w:hAnsi="Times New Roman" w:cs="Times New Roman"/>
      </w:rPr>
    </w:lvl>
    <w:lvl w:ilvl="3" w:tentative="0">
      <w:start w:val="1"/>
      <w:numFmt w:val="decimal"/>
      <w:lvlText w:val="%4."/>
      <w:lvlJc w:val="left"/>
      <w:pPr>
        <w:ind w:left="2880"/>
      </w:pPr>
      <w:rPr>
        <w:rFonts w:hint="default" w:ascii="Times New Roman" w:hAnsi="Times New Roman" w:cs="Times New Roman"/>
      </w:rPr>
    </w:lvl>
    <w:lvl w:ilvl="4" w:tentative="0">
      <w:start w:val="1"/>
      <w:numFmt w:val="lowerLetter"/>
      <w:lvlText w:val="%5)"/>
      <w:lvlJc w:val="left"/>
      <w:pPr>
        <w:ind w:left="3600"/>
      </w:pPr>
      <w:rPr>
        <w:rFonts w:hint="default" w:ascii="Times New Roman" w:hAnsi="Times New Roman" w:cs="Times New Roman"/>
      </w:rPr>
    </w:lvl>
    <w:lvl w:ilvl="5" w:tentative="0">
      <w:start w:val="1"/>
      <w:numFmt w:val="lowerRoman"/>
      <w:lvlText w:val="%6."/>
      <w:lvlJc w:val="left"/>
      <w:pPr>
        <w:ind w:left="4320"/>
      </w:pPr>
      <w:rPr>
        <w:rFonts w:hint="default" w:ascii="Times New Roman" w:hAnsi="Times New Roman" w:cs="Times New Roman"/>
      </w:rPr>
    </w:lvl>
    <w:lvl w:ilvl="6" w:tentative="0">
      <w:start w:val="1"/>
      <w:numFmt w:val="decimal"/>
      <w:lvlText w:val="%7."/>
      <w:lvlJc w:val="left"/>
      <w:pPr>
        <w:ind w:left="5040"/>
      </w:pPr>
      <w:rPr>
        <w:rFonts w:hint="default" w:ascii="Times New Roman" w:hAnsi="Times New Roman" w:cs="Times New Roman"/>
      </w:rPr>
    </w:lvl>
    <w:lvl w:ilvl="7" w:tentative="0">
      <w:start w:val="1"/>
      <w:numFmt w:val="lowerLetter"/>
      <w:lvlText w:val="%8)"/>
      <w:lvlJc w:val="left"/>
      <w:pPr>
        <w:ind w:left="5760"/>
      </w:pPr>
      <w:rPr>
        <w:rFonts w:hint="default" w:ascii="Times New Roman" w:hAnsi="Times New Roman" w:cs="Times New Roman"/>
      </w:rPr>
    </w:lvl>
    <w:lvl w:ilvl="8" w:tentative="0">
      <w:start w:val="1"/>
      <w:numFmt w:val="lowerRoman"/>
      <w:lvlText w:val="%9."/>
      <w:lvlJc w:val="left"/>
      <w:pPr>
        <w:ind w:left="6480"/>
      </w:pPr>
      <w:rPr>
        <w:rFonts w:hint="default" w:ascii="Times New Roman" w:hAnsi="Times New Roman" w:cs="Times New Roman"/>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6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B353A3"/>
    <w:multiLevelType w:val="singleLevel"/>
    <w:tmpl w:val="00B353A3"/>
    <w:lvl w:ilvl="0" w:tentative="0">
      <w:start w:val="1"/>
      <w:numFmt w:val="decimal"/>
      <w:suff w:val="nothing"/>
      <w:lvlText w:val="%1、"/>
      <w:lvlJc w:val="left"/>
    </w:lvl>
  </w:abstractNum>
  <w:abstractNum w:abstractNumId="5">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6">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9">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1">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2">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5">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6">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7">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8">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0">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34D46EC"/>
    <w:multiLevelType w:val="singleLevel"/>
    <w:tmpl w:val="234D46EC"/>
    <w:lvl w:ilvl="0" w:tentative="0">
      <w:start w:val="1"/>
      <w:numFmt w:val="chineseCounting"/>
      <w:suff w:val="space"/>
      <w:lvlText w:val="第%1章"/>
      <w:lvlJc w:val="left"/>
      <w:rPr>
        <w:rFonts w:hint="eastAsia"/>
      </w:rPr>
    </w:lvl>
  </w:abstractNum>
  <w:abstractNum w:abstractNumId="2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8">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3">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4">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8">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9">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0">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2">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3">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44">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46">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9F817E8"/>
    <w:multiLevelType w:val="singleLevel"/>
    <w:tmpl w:val="59F817E8"/>
    <w:lvl w:ilvl="0" w:tentative="0">
      <w:start w:val="1"/>
      <w:numFmt w:val="chineseCounting"/>
      <w:pStyle w:val="65"/>
      <w:suff w:val="nothing"/>
      <w:lvlText w:val="%1、"/>
      <w:lvlJc w:val="left"/>
    </w:lvl>
  </w:abstractNum>
  <w:abstractNum w:abstractNumId="48">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9">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1">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2">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3">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6">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7">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8">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9">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0">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61">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3">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93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64">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6">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2"/>
  </w:num>
  <w:num w:numId="2">
    <w:abstractNumId w:val="3"/>
  </w:num>
  <w:num w:numId="3">
    <w:abstractNumId w:val="47"/>
  </w:num>
  <w:num w:numId="4">
    <w:abstractNumId w:val="21"/>
  </w:num>
  <w:num w:numId="5">
    <w:abstractNumId w:val="0"/>
  </w:num>
  <w:num w:numId="6">
    <w:abstractNumId w:val="1"/>
  </w:num>
  <w:num w:numId="7">
    <w:abstractNumId w:val="4"/>
  </w:num>
  <w:num w:numId="8">
    <w:abstractNumId w:val="18"/>
  </w:num>
  <w:num w:numId="9">
    <w:abstractNumId w:val="19"/>
  </w:num>
  <w:num w:numId="10">
    <w:abstractNumId w:val="53"/>
  </w:num>
  <w:num w:numId="11">
    <w:abstractNumId w:val="65"/>
  </w:num>
  <w:num w:numId="12">
    <w:abstractNumId w:val="62"/>
  </w:num>
  <w:num w:numId="13">
    <w:abstractNumId w:val="52"/>
  </w:num>
  <w:num w:numId="14">
    <w:abstractNumId w:val="27"/>
  </w:num>
  <w:num w:numId="15">
    <w:abstractNumId w:val="20"/>
  </w:num>
  <w:num w:numId="16">
    <w:abstractNumId w:val="55"/>
  </w:num>
  <w:num w:numId="17">
    <w:abstractNumId w:val="49"/>
  </w:num>
  <w:num w:numId="18">
    <w:abstractNumId w:val="61"/>
  </w:num>
  <w:num w:numId="19">
    <w:abstractNumId w:val="39"/>
  </w:num>
  <w:num w:numId="20">
    <w:abstractNumId w:val="15"/>
  </w:num>
  <w:num w:numId="21">
    <w:abstractNumId w:val="44"/>
  </w:num>
  <w:num w:numId="22">
    <w:abstractNumId w:val="8"/>
  </w:num>
  <w:num w:numId="23">
    <w:abstractNumId w:val="25"/>
  </w:num>
  <w:num w:numId="24">
    <w:abstractNumId w:val="41"/>
  </w:num>
  <w:num w:numId="25">
    <w:abstractNumId w:val="7"/>
  </w:num>
  <w:num w:numId="26">
    <w:abstractNumId w:val="58"/>
  </w:num>
  <w:num w:numId="27">
    <w:abstractNumId w:val="14"/>
  </w:num>
  <w:num w:numId="28">
    <w:abstractNumId w:val="30"/>
  </w:num>
  <w:num w:numId="29">
    <w:abstractNumId w:val="34"/>
  </w:num>
  <w:num w:numId="30">
    <w:abstractNumId w:val="22"/>
  </w:num>
  <w:num w:numId="31">
    <w:abstractNumId w:val="48"/>
  </w:num>
  <w:num w:numId="32">
    <w:abstractNumId w:val="28"/>
  </w:num>
  <w:num w:numId="33">
    <w:abstractNumId w:val="57"/>
  </w:num>
  <w:num w:numId="34">
    <w:abstractNumId w:val="35"/>
  </w:num>
  <w:num w:numId="35">
    <w:abstractNumId w:val="60"/>
  </w:num>
  <w:num w:numId="36">
    <w:abstractNumId w:val="16"/>
  </w:num>
  <w:num w:numId="37">
    <w:abstractNumId w:val="6"/>
  </w:num>
  <w:num w:numId="38">
    <w:abstractNumId w:val="12"/>
  </w:num>
  <w:num w:numId="39">
    <w:abstractNumId w:val="9"/>
  </w:num>
  <w:num w:numId="40">
    <w:abstractNumId w:val="32"/>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42"/>
  </w:num>
  <w:num w:numId="55">
    <w:abstractNumId w:val="1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num>
  <w:num w:numId="59">
    <w:abstractNumId w:val="59"/>
  </w:num>
  <w:num w:numId="60">
    <w:abstractNumId w:val="43"/>
  </w:num>
  <w:num w:numId="61">
    <w:abstractNumId w:val="23"/>
  </w:num>
  <w:num w:numId="62">
    <w:abstractNumId w:val="29"/>
  </w:num>
  <w:num w:numId="63">
    <w:abstractNumId w:val="37"/>
  </w:num>
  <w:num w:numId="64">
    <w:abstractNumId w:val="51"/>
  </w:num>
  <w:num w:numId="65">
    <w:abstractNumId w:val="67"/>
  </w:num>
  <w:num w:numId="66">
    <w:abstractNumId w:val="13"/>
  </w:num>
  <w:num w:numId="67">
    <w:abstractNumId w:val="38"/>
  </w:num>
  <w:num w:numId="68">
    <w:abstractNumId w:val="63"/>
  </w:num>
  <w:num w:numId="6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ODExMWRmOTU4YTJkNDYyMTQwMDZkZjczZDgyYTIifQ=="/>
  </w:docVars>
  <w:rsids>
    <w:rsidRoot w:val="00D51569"/>
    <w:rsid w:val="000017BD"/>
    <w:rsid w:val="000069EC"/>
    <w:rsid w:val="00007470"/>
    <w:rsid w:val="000112AC"/>
    <w:rsid w:val="0001195E"/>
    <w:rsid w:val="00011D2B"/>
    <w:rsid w:val="0001598A"/>
    <w:rsid w:val="000173D4"/>
    <w:rsid w:val="000227BF"/>
    <w:rsid w:val="00024D13"/>
    <w:rsid w:val="0002758D"/>
    <w:rsid w:val="00030B34"/>
    <w:rsid w:val="00031CF4"/>
    <w:rsid w:val="000418F9"/>
    <w:rsid w:val="00044305"/>
    <w:rsid w:val="00046E42"/>
    <w:rsid w:val="00054BAB"/>
    <w:rsid w:val="0007027E"/>
    <w:rsid w:val="00072339"/>
    <w:rsid w:val="000800D2"/>
    <w:rsid w:val="00080389"/>
    <w:rsid w:val="00083387"/>
    <w:rsid w:val="00083980"/>
    <w:rsid w:val="0008414A"/>
    <w:rsid w:val="00085343"/>
    <w:rsid w:val="0008729E"/>
    <w:rsid w:val="00087510"/>
    <w:rsid w:val="00091C9C"/>
    <w:rsid w:val="00095387"/>
    <w:rsid w:val="00095D9A"/>
    <w:rsid w:val="00096224"/>
    <w:rsid w:val="0009640F"/>
    <w:rsid w:val="0009646E"/>
    <w:rsid w:val="000A02BB"/>
    <w:rsid w:val="000A3F18"/>
    <w:rsid w:val="000A73BC"/>
    <w:rsid w:val="000B10C2"/>
    <w:rsid w:val="000B3383"/>
    <w:rsid w:val="000B4057"/>
    <w:rsid w:val="000B4BAC"/>
    <w:rsid w:val="000B7263"/>
    <w:rsid w:val="000C0D70"/>
    <w:rsid w:val="000C0F8B"/>
    <w:rsid w:val="000C2A7B"/>
    <w:rsid w:val="000C6111"/>
    <w:rsid w:val="000D15F5"/>
    <w:rsid w:val="000D1CF1"/>
    <w:rsid w:val="000D30B8"/>
    <w:rsid w:val="000D6633"/>
    <w:rsid w:val="000D798A"/>
    <w:rsid w:val="000E2FFC"/>
    <w:rsid w:val="000E4C07"/>
    <w:rsid w:val="000E57E7"/>
    <w:rsid w:val="000F1E89"/>
    <w:rsid w:val="0010014D"/>
    <w:rsid w:val="001145D4"/>
    <w:rsid w:val="001223EF"/>
    <w:rsid w:val="001236A3"/>
    <w:rsid w:val="001341A1"/>
    <w:rsid w:val="00134561"/>
    <w:rsid w:val="0013796A"/>
    <w:rsid w:val="001408F1"/>
    <w:rsid w:val="001415B4"/>
    <w:rsid w:val="00152541"/>
    <w:rsid w:val="00152DB4"/>
    <w:rsid w:val="00154EA8"/>
    <w:rsid w:val="0016405F"/>
    <w:rsid w:val="00165E49"/>
    <w:rsid w:val="00165F8E"/>
    <w:rsid w:val="0016779A"/>
    <w:rsid w:val="00167F93"/>
    <w:rsid w:val="00170DCF"/>
    <w:rsid w:val="00170EDE"/>
    <w:rsid w:val="0017154C"/>
    <w:rsid w:val="001749D2"/>
    <w:rsid w:val="00174C63"/>
    <w:rsid w:val="0017584B"/>
    <w:rsid w:val="00176E55"/>
    <w:rsid w:val="00177319"/>
    <w:rsid w:val="00177379"/>
    <w:rsid w:val="00181BE6"/>
    <w:rsid w:val="00183B7D"/>
    <w:rsid w:val="001855AB"/>
    <w:rsid w:val="00186162"/>
    <w:rsid w:val="00186268"/>
    <w:rsid w:val="00191A00"/>
    <w:rsid w:val="00191DEB"/>
    <w:rsid w:val="00193679"/>
    <w:rsid w:val="001946AC"/>
    <w:rsid w:val="001957E3"/>
    <w:rsid w:val="0019757C"/>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D01"/>
    <w:rsid w:val="002255A9"/>
    <w:rsid w:val="00230652"/>
    <w:rsid w:val="00231307"/>
    <w:rsid w:val="00232729"/>
    <w:rsid w:val="00234627"/>
    <w:rsid w:val="002402CD"/>
    <w:rsid w:val="002426C4"/>
    <w:rsid w:val="002436B4"/>
    <w:rsid w:val="00246A17"/>
    <w:rsid w:val="00251FE4"/>
    <w:rsid w:val="002523CB"/>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409C"/>
    <w:rsid w:val="002C6520"/>
    <w:rsid w:val="002D082A"/>
    <w:rsid w:val="002D1053"/>
    <w:rsid w:val="002D1F99"/>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518EF"/>
    <w:rsid w:val="00352B95"/>
    <w:rsid w:val="00357CCD"/>
    <w:rsid w:val="0036208A"/>
    <w:rsid w:val="00362641"/>
    <w:rsid w:val="00362B77"/>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4002C2"/>
    <w:rsid w:val="0040335E"/>
    <w:rsid w:val="00410495"/>
    <w:rsid w:val="004104F8"/>
    <w:rsid w:val="00410B19"/>
    <w:rsid w:val="00416591"/>
    <w:rsid w:val="00430563"/>
    <w:rsid w:val="004330FE"/>
    <w:rsid w:val="00435E0B"/>
    <w:rsid w:val="00440D16"/>
    <w:rsid w:val="0044232F"/>
    <w:rsid w:val="00444482"/>
    <w:rsid w:val="00445910"/>
    <w:rsid w:val="004464C2"/>
    <w:rsid w:val="0044739E"/>
    <w:rsid w:val="00460A24"/>
    <w:rsid w:val="00463754"/>
    <w:rsid w:val="00464D64"/>
    <w:rsid w:val="0047231A"/>
    <w:rsid w:val="0047378F"/>
    <w:rsid w:val="004739A7"/>
    <w:rsid w:val="00474BDD"/>
    <w:rsid w:val="00475412"/>
    <w:rsid w:val="00480C9E"/>
    <w:rsid w:val="00482B1A"/>
    <w:rsid w:val="00485967"/>
    <w:rsid w:val="00496BD4"/>
    <w:rsid w:val="0049794D"/>
    <w:rsid w:val="004A5489"/>
    <w:rsid w:val="004A698D"/>
    <w:rsid w:val="004A713D"/>
    <w:rsid w:val="004B620B"/>
    <w:rsid w:val="004B6F24"/>
    <w:rsid w:val="004C1117"/>
    <w:rsid w:val="004C2A4D"/>
    <w:rsid w:val="004C5714"/>
    <w:rsid w:val="004D0712"/>
    <w:rsid w:val="004D0AF0"/>
    <w:rsid w:val="004D3082"/>
    <w:rsid w:val="004D4B04"/>
    <w:rsid w:val="004D595F"/>
    <w:rsid w:val="004D7BED"/>
    <w:rsid w:val="004E0DFB"/>
    <w:rsid w:val="004E450C"/>
    <w:rsid w:val="004E547A"/>
    <w:rsid w:val="004E5E79"/>
    <w:rsid w:val="004F1683"/>
    <w:rsid w:val="00501F13"/>
    <w:rsid w:val="0050316F"/>
    <w:rsid w:val="00506193"/>
    <w:rsid w:val="00510B61"/>
    <w:rsid w:val="00513C6A"/>
    <w:rsid w:val="005167FC"/>
    <w:rsid w:val="00520164"/>
    <w:rsid w:val="005222C3"/>
    <w:rsid w:val="005229DC"/>
    <w:rsid w:val="005254AD"/>
    <w:rsid w:val="00527604"/>
    <w:rsid w:val="00532D1B"/>
    <w:rsid w:val="00532FA1"/>
    <w:rsid w:val="00535B8D"/>
    <w:rsid w:val="00536DD2"/>
    <w:rsid w:val="005411DE"/>
    <w:rsid w:val="00546251"/>
    <w:rsid w:val="005508EC"/>
    <w:rsid w:val="0055332A"/>
    <w:rsid w:val="00555EDE"/>
    <w:rsid w:val="005711DE"/>
    <w:rsid w:val="00573241"/>
    <w:rsid w:val="00574E98"/>
    <w:rsid w:val="00575C9D"/>
    <w:rsid w:val="005775B7"/>
    <w:rsid w:val="005779B2"/>
    <w:rsid w:val="00581F58"/>
    <w:rsid w:val="00586CD2"/>
    <w:rsid w:val="005872CC"/>
    <w:rsid w:val="005940FF"/>
    <w:rsid w:val="00595ECF"/>
    <w:rsid w:val="00596914"/>
    <w:rsid w:val="005A33DA"/>
    <w:rsid w:val="005A49BE"/>
    <w:rsid w:val="005A7E7E"/>
    <w:rsid w:val="005B01E4"/>
    <w:rsid w:val="005B1144"/>
    <w:rsid w:val="005B14F6"/>
    <w:rsid w:val="005B180E"/>
    <w:rsid w:val="005B4048"/>
    <w:rsid w:val="005B5550"/>
    <w:rsid w:val="005C09F8"/>
    <w:rsid w:val="005D1597"/>
    <w:rsid w:val="005D4EBE"/>
    <w:rsid w:val="005D51C3"/>
    <w:rsid w:val="005D5C1A"/>
    <w:rsid w:val="005D6674"/>
    <w:rsid w:val="005F690F"/>
    <w:rsid w:val="005F6B82"/>
    <w:rsid w:val="00600324"/>
    <w:rsid w:val="00601A21"/>
    <w:rsid w:val="00605FD5"/>
    <w:rsid w:val="00606700"/>
    <w:rsid w:val="0061063F"/>
    <w:rsid w:val="00622142"/>
    <w:rsid w:val="0062372C"/>
    <w:rsid w:val="00630932"/>
    <w:rsid w:val="00631795"/>
    <w:rsid w:val="00632AB7"/>
    <w:rsid w:val="00633C14"/>
    <w:rsid w:val="00636AAD"/>
    <w:rsid w:val="006375E0"/>
    <w:rsid w:val="00637A19"/>
    <w:rsid w:val="0064072E"/>
    <w:rsid w:val="0064175E"/>
    <w:rsid w:val="00645D68"/>
    <w:rsid w:val="00651710"/>
    <w:rsid w:val="00652F79"/>
    <w:rsid w:val="006533B0"/>
    <w:rsid w:val="00654154"/>
    <w:rsid w:val="00654267"/>
    <w:rsid w:val="006560E7"/>
    <w:rsid w:val="0065614C"/>
    <w:rsid w:val="006616D3"/>
    <w:rsid w:val="0066238D"/>
    <w:rsid w:val="00664D37"/>
    <w:rsid w:val="0066706E"/>
    <w:rsid w:val="00667837"/>
    <w:rsid w:val="00667D06"/>
    <w:rsid w:val="006717A9"/>
    <w:rsid w:val="0067327E"/>
    <w:rsid w:val="00675A3C"/>
    <w:rsid w:val="00676DDA"/>
    <w:rsid w:val="006778F4"/>
    <w:rsid w:val="00680364"/>
    <w:rsid w:val="00687327"/>
    <w:rsid w:val="0069574E"/>
    <w:rsid w:val="00695B12"/>
    <w:rsid w:val="006A1483"/>
    <w:rsid w:val="006A29B6"/>
    <w:rsid w:val="006A4956"/>
    <w:rsid w:val="006A6187"/>
    <w:rsid w:val="006A6D68"/>
    <w:rsid w:val="006A6E3E"/>
    <w:rsid w:val="006B25F5"/>
    <w:rsid w:val="006B34C4"/>
    <w:rsid w:val="006C76C0"/>
    <w:rsid w:val="006D0369"/>
    <w:rsid w:val="006D05AC"/>
    <w:rsid w:val="006D2D95"/>
    <w:rsid w:val="006D71B0"/>
    <w:rsid w:val="006D71DF"/>
    <w:rsid w:val="006E10AE"/>
    <w:rsid w:val="006E21C6"/>
    <w:rsid w:val="006E42E5"/>
    <w:rsid w:val="006F1019"/>
    <w:rsid w:val="006F15D2"/>
    <w:rsid w:val="006F7C4F"/>
    <w:rsid w:val="00705AA8"/>
    <w:rsid w:val="0070672C"/>
    <w:rsid w:val="007105AC"/>
    <w:rsid w:val="00714D78"/>
    <w:rsid w:val="00724498"/>
    <w:rsid w:val="0072694A"/>
    <w:rsid w:val="007303E5"/>
    <w:rsid w:val="00746403"/>
    <w:rsid w:val="00747598"/>
    <w:rsid w:val="007500E2"/>
    <w:rsid w:val="00752B33"/>
    <w:rsid w:val="00752DA3"/>
    <w:rsid w:val="00763CD2"/>
    <w:rsid w:val="0076522A"/>
    <w:rsid w:val="007707E3"/>
    <w:rsid w:val="00772353"/>
    <w:rsid w:val="0077399E"/>
    <w:rsid w:val="00775B86"/>
    <w:rsid w:val="0078097A"/>
    <w:rsid w:val="00783715"/>
    <w:rsid w:val="0078489C"/>
    <w:rsid w:val="007873DE"/>
    <w:rsid w:val="0078798E"/>
    <w:rsid w:val="00791B7A"/>
    <w:rsid w:val="007A1051"/>
    <w:rsid w:val="007A2AB5"/>
    <w:rsid w:val="007B7261"/>
    <w:rsid w:val="007C0625"/>
    <w:rsid w:val="007C5494"/>
    <w:rsid w:val="007C74CE"/>
    <w:rsid w:val="007D4BF7"/>
    <w:rsid w:val="007D5E56"/>
    <w:rsid w:val="007D72D5"/>
    <w:rsid w:val="007D77E0"/>
    <w:rsid w:val="007E5B97"/>
    <w:rsid w:val="007E6BFA"/>
    <w:rsid w:val="007E6FAA"/>
    <w:rsid w:val="007F042C"/>
    <w:rsid w:val="007F216A"/>
    <w:rsid w:val="007F4688"/>
    <w:rsid w:val="007F6AAE"/>
    <w:rsid w:val="0080123B"/>
    <w:rsid w:val="00802785"/>
    <w:rsid w:val="00811E28"/>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3CDB"/>
    <w:rsid w:val="008953B0"/>
    <w:rsid w:val="008953C5"/>
    <w:rsid w:val="008A2C19"/>
    <w:rsid w:val="008A6416"/>
    <w:rsid w:val="008B04E0"/>
    <w:rsid w:val="008B110D"/>
    <w:rsid w:val="008B3378"/>
    <w:rsid w:val="008B618F"/>
    <w:rsid w:val="008C02EA"/>
    <w:rsid w:val="008C64CC"/>
    <w:rsid w:val="008C728F"/>
    <w:rsid w:val="008D05C1"/>
    <w:rsid w:val="008D2E1A"/>
    <w:rsid w:val="008D3675"/>
    <w:rsid w:val="008E16F1"/>
    <w:rsid w:val="008E4CA2"/>
    <w:rsid w:val="008E7FBF"/>
    <w:rsid w:val="008F1300"/>
    <w:rsid w:val="008F2C11"/>
    <w:rsid w:val="008F4729"/>
    <w:rsid w:val="008F52FA"/>
    <w:rsid w:val="008F67AC"/>
    <w:rsid w:val="008F7EDB"/>
    <w:rsid w:val="00900545"/>
    <w:rsid w:val="00900F1C"/>
    <w:rsid w:val="00902C0B"/>
    <w:rsid w:val="00905B70"/>
    <w:rsid w:val="00910752"/>
    <w:rsid w:val="00910928"/>
    <w:rsid w:val="00914A10"/>
    <w:rsid w:val="00916BA6"/>
    <w:rsid w:val="00923781"/>
    <w:rsid w:val="009302C2"/>
    <w:rsid w:val="0093043A"/>
    <w:rsid w:val="009316AE"/>
    <w:rsid w:val="0093555D"/>
    <w:rsid w:val="009378B5"/>
    <w:rsid w:val="009420C2"/>
    <w:rsid w:val="00942743"/>
    <w:rsid w:val="00946F0D"/>
    <w:rsid w:val="00951D5E"/>
    <w:rsid w:val="00952465"/>
    <w:rsid w:val="009528D4"/>
    <w:rsid w:val="009564F5"/>
    <w:rsid w:val="0096341B"/>
    <w:rsid w:val="00964DC0"/>
    <w:rsid w:val="00965EE4"/>
    <w:rsid w:val="00970028"/>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A6496"/>
    <w:rsid w:val="009B2566"/>
    <w:rsid w:val="009B77DF"/>
    <w:rsid w:val="009C12AB"/>
    <w:rsid w:val="009C20C0"/>
    <w:rsid w:val="009C29B9"/>
    <w:rsid w:val="009C302F"/>
    <w:rsid w:val="009C6DAB"/>
    <w:rsid w:val="009D0218"/>
    <w:rsid w:val="009D173B"/>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27567"/>
    <w:rsid w:val="00A306ED"/>
    <w:rsid w:val="00A31B5F"/>
    <w:rsid w:val="00A31F71"/>
    <w:rsid w:val="00A371D3"/>
    <w:rsid w:val="00A37751"/>
    <w:rsid w:val="00A37B75"/>
    <w:rsid w:val="00A4184B"/>
    <w:rsid w:val="00A46EDA"/>
    <w:rsid w:val="00A522B6"/>
    <w:rsid w:val="00A52E66"/>
    <w:rsid w:val="00A541CC"/>
    <w:rsid w:val="00A54462"/>
    <w:rsid w:val="00A60670"/>
    <w:rsid w:val="00A62928"/>
    <w:rsid w:val="00A640DD"/>
    <w:rsid w:val="00A641CD"/>
    <w:rsid w:val="00A67B16"/>
    <w:rsid w:val="00A706A0"/>
    <w:rsid w:val="00A74B92"/>
    <w:rsid w:val="00A74F81"/>
    <w:rsid w:val="00A77D07"/>
    <w:rsid w:val="00A80478"/>
    <w:rsid w:val="00A84714"/>
    <w:rsid w:val="00A94D7E"/>
    <w:rsid w:val="00A95C8D"/>
    <w:rsid w:val="00A95EA0"/>
    <w:rsid w:val="00A96F5A"/>
    <w:rsid w:val="00AA0B3A"/>
    <w:rsid w:val="00AA23BA"/>
    <w:rsid w:val="00AA6558"/>
    <w:rsid w:val="00AA6F4A"/>
    <w:rsid w:val="00AB11F6"/>
    <w:rsid w:val="00AB37ED"/>
    <w:rsid w:val="00AC081D"/>
    <w:rsid w:val="00AC5733"/>
    <w:rsid w:val="00AC5A33"/>
    <w:rsid w:val="00AC766D"/>
    <w:rsid w:val="00AC7F46"/>
    <w:rsid w:val="00AD442D"/>
    <w:rsid w:val="00AD77A9"/>
    <w:rsid w:val="00AE3026"/>
    <w:rsid w:val="00AE3F48"/>
    <w:rsid w:val="00AE7D35"/>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0BC6"/>
    <w:rsid w:val="00B3357A"/>
    <w:rsid w:val="00B33C7F"/>
    <w:rsid w:val="00B3585D"/>
    <w:rsid w:val="00B35F15"/>
    <w:rsid w:val="00B37264"/>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0B6D"/>
    <w:rsid w:val="00B94DFB"/>
    <w:rsid w:val="00BA029B"/>
    <w:rsid w:val="00BA4CBF"/>
    <w:rsid w:val="00BA6F2D"/>
    <w:rsid w:val="00BA703E"/>
    <w:rsid w:val="00BB0837"/>
    <w:rsid w:val="00BB0BAC"/>
    <w:rsid w:val="00BB1626"/>
    <w:rsid w:val="00BB60EF"/>
    <w:rsid w:val="00BB6478"/>
    <w:rsid w:val="00BB6D0A"/>
    <w:rsid w:val="00BC5E0B"/>
    <w:rsid w:val="00BC6C68"/>
    <w:rsid w:val="00BD35E0"/>
    <w:rsid w:val="00BD4E8C"/>
    <w:rsid w:val="00BE0803"/>
    <w:rsid w:val="00BF3437"/>
    <w:rsid w:val="00BF45BD"/>
    <w:rsid w:val="00BF6206"/>
    <w:rsid w:val="00BF6B3B"/>
    <w:rsid w:val="00C02173"/>
    <w:rsid w:val="00C13A29"/>
    <w:rsid w:val="00C14BFB"/>
    <w:rsid w:val="00C202BF"/>
    <w:rsid w:val="00C21771"/>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2945"/>
    <w:rsid w:val="00C52FA0"/>
    <w:rsid w:val="00C53C71"/>
    <w:rsid w:val="00C54034"/>
    <w:rsid w:val="00C54556"/>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02B4"/>
    <w:rsid w:val="00CA3DC9"/>
    <w:rsid w:val="00CA7D39"/>
    <w:rsid w:val="00CB62E0"/>
    <w:rsid w:val="00CC1310"/>
    <w:rsid w:val="00CC1F2F"/>
    <w:rsid w:val="00CD4B44"/>
    <w:rsid w:val="00CD50EC"/>
    <w:rsid w:val="00CD7E1E"/>
    <w:rsid w:val="00CE67CF"/>
    <w:rsid w:val="00CF1B6F"/>
    <w:rsid w:val="00CF35E8"/>
    <w:rsid w:val="00D02114"/>
    <w:rsid w:val="00D03425"/>
    <w:rsid w:val="00D03A94"/>
    <w:rsid w:val="00D04D29"/>
    <w:rsid w:val="00D06F35"/>
    <w:rsid w:val="00D16DEC"/>
    <w:rsid w:val="00D17F85"/>
    <w:rsid w:val="00D206C6"/>
    <w:rsid w:val="00D23C5E"/>
    <w:rsid w:val="00D26DE5"/>
    <w:rsid w:val="00D30AC2"/>
    <w:rsid w:val="00D30CA6"/>
    <w:rsid w:val="00D31AF4"/>
    <w:rsid w:val="00D440EC"/>
    <w:rsid w:val="00D47B48"/>
    <w:rsid w:val="00D51569"/>
    <w:rsid w:val="00D51C46"/>
    <w:rsid w:val="00D528AD"/>
    <w:rsid w:val="00D62770"/>
    <w:rsid w:val="00D70A72"/>
    <w:rsid w:val="00D75B1F"/>
    <w:rsid w:val="00D75FD1"/>
    <w:rsid w:val="00D8051F"/>
    <w:rsid w:val="00D80C5E"/>
    <w:rsid w:val="00D82261"/>
    <w:rsid w:val="00D82300"/>
    <w:rsid w:val="00D82E65"/>
    <w:rsid w:val="00D900A4"/>
    <w:rsid w:val="00D955CB"/>
    <w:rsid w:val="00DA2DBB"/>
    <w:rsid w:val="00DB0E94"/>
    <w:rsid w:val="00DB2FB6"/>
    <w:rsid w:val="00DB3D3C"/>
    <w:rsid w:val="00DB6873"/>
    <w:rsid w:val="00DC1A17"/>
    <w:rsid w:val="00DC2D6F"/>
    <w:rsid w:val="00DD3761"/>
    <w:rsid w:val="00DD3EB1"/>
    <w:rsid w:val="00DD5E68"/>
    <w:rsid w:val="00DE518C"/>
    <w:rsid w:val="00DE5717"/>
    <w:rsid w:val="00DE61F0"/>
    <w:rsid w:val="00DE7EB2"/>
    <w:rsid w:val="00E021E9"/>
    <w:rsid w:val="00E06188"/>
    <w:rsid w:val="00E07755"/>
    <w:rsid w:val="00E13097"/>
    <w:rsid w:val="00E13877"/>
    <w:rsid w:val="00E20592"/>
    <w:rsid w:val="00E218F5"/>
    <w:rsid w:val="00E225D8"/>
    <w:rsid w:val="00E33652"/>
    <w:rsid w:val="00E410FF"/>
    <w:rsid w:val="00E43598"/>
    <w:rsid w:val="00E52555"/>
    <w:rsid w:val="00E52CC2"/>
    <w:rsid w:val="00E53ED4"/>
    <w:rsid w:val="00E5529D"/>
    <w:rsid w:val="00E635CF"/>
    <w:rsid w:val="00E645F8"/>
    <w:rsid w:val="00E65115"/>
    <w:rsid w:val="00E7046A"/>
    <w:rsid w:val="00E7064E"/>
    <w:rsid w:val="00E73C1D"/>
    <w:rsid w:val="00E77ABE"/>
    <w:rsid w:val="00E817AC"/>
    <w:rsid w:val="00E83FE3"/>
    <w:rsid w:val="00E909DB"/>
    <w:rsid w:val="00E911AA"/>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0D0C"/>
    <w:rsid w:val="00F016A5"/>
    <w:rsid w:val="00F02D15"/>
    <w:rsid w:val="00F03E1C"/>
    <w:rsid w:val="00F06294"/>
    <w:rsid w:val="00F16292"/>
    <w:rsid w:val="00F25F89"/>
    <w:rsid w:val="00F2770F"/>
    <w:rsid w:val="00F32609"/>
    <w:rsid w:val="00F363B0"/>
    <w:rsid w:val="00F37ED1"/>
    <w:rsid w:val="00F42763"/>
    <w:rsid w:val="00F4380C"/>
    <w:rsid w:val="00F44C16"/>
    <w:rsid w:val="00F45E08"/>
    <w:rsid w:val="00F509A1"/>
    <w:rsid w:val="00F55770"/>
    <w:rsid w:val="00F60BF6"/>
    <w:rsid w:val="00F6313F"/>
    <w:rsid w:val="00F64A3F"/>
    <w:rsid w:val="00F67C47"/>
    <w:rsid w:val="00F70F0E"/>
    <w:rsid w:val="00F7465D"/>
    <w:rsid w:val="00F77BE2"/>
    <w:rsid w:val="00F80181"/>
    <w:rsid w:val="00F80C67"/>
    <w:rsid w:val="00F82BA2"/>
    <w:rsid w:val="00F905FD"/>
    <w:rsid w:val="00F90F17"/>
    <w:rsid w:val="00F948B8"/>
    <w:rsid w:val="00FA44E8"/>
    <w:rsid w:val="00FA6EDD"/>
    <w:rsid w:val="00FB2E22"/>
    <w:rsid w:val="00FB5348"/>
    <w:rsid w:val="00FB5796"/>
    <w:rsid w:val="00FB5FBC"/>
    <w:rsid w:val="00FB6F1A"/>
    <w:rsid w:val="00FC04EC"/>
    <w:rsid w:val="00FC0DF8"/>
    <w:rsid w:val="00FC302B"/>
    <w:rsid w:val="00FC4B8B"/>
    <w:rsid w:val="00FC5DCD"/>
    <w:rsid w:val="00FE5AD6"/>
    <w:rsid w:val="00FF04A6"/>
    <w:rsid w:val="013A1508"/>
    <w:rsid w:val="01CE57B8"/>
    <w:rsid w:val="01EE71A0"/>
    <w:rsid w:val="020044B1"/>
    <w:rsid w:val="03B207B6"/>
    <w:rsid w:val="03B44E81"/>
    <w:rsid w:val="03E7460F"/>
    <w:rsid w:val="049251C3"/>
    <w:rsid w:val="04D37589"/>
    <w:rsid w:val="05921AC4"/>
    <w:rsid w:val="05A76A4C"/>
    <w:rsid w:val="05CD222A"/>
    <w:rsid w:val="060269B6"/>
    <w:rsid w:val="067F52D3"/>
    <w:rsid w:val="06A72A7B"/>
    <w:rsid w:val="07140111"/>
    <w:rsid w:val="0765096C"/>
    <w:rsid w:val="07B83B6F"/>
    <w:rsid w:val="081E3533"/>
    <w:rsid w:val="089B1EC4"/>
    <w:rsid w:val="08E34143"/>
    <w:rsid w:val="091742F7"/>
    <w:rsid w:val="096133B5"/>
    <w:rsid w:val="097D7536"/>
    <w:rsid w:val="09FC30DE"/>
    <w:rsid w:val="0A960E3D"/>
    <w:rsid w:val="0B002E5D"/>
    <w:rsid w:val="0B8666A8"/>
    <w:rsid w:val="0BC6115D"/>
    <w:rsid w:val="0BF56037"/>
    <w:rsid w:val="0C436DA2"/>
    <w:rsid w:val="0C4F2BA9"/>
    <w:rsid w:val="0C6A5094"/>
    <w:rsid w:val="0CA737D5"/>
    <w:rsid w:val="0CA75583"/>
    <w:rsid w:val="0CC57239"/>
    <w:rsid w:val="0CD923C2"/>
    <w:rsid w:val="0D097FEC"/>
    <w:rsid w:val="0D30650C"/>
    <w:rsid w:val="0D38442D"/>
    <w:rsid w:val="0D4258E7"/>
    <w:rsid w:val="0D58687D"/>
    <w:rsid w:val="0DC31AF9"/>
    <w:rsid w:val="0DDC125D"/>
    <w:rsid w:val="0E8652B6"/>
    <w:rsid w:val="0EF16F8A"/>
    <w:rsid w:val="0F0547E3"/>
    <w:rsid w:val="0F2904D1"/>
    <w:rsid w:val="0F47598F"/>
    <w:rsid w:val="0F4B00B9"/>
    <w:rsid w:val="0FBD6E6C"/>
    <w:rsid w:val="0FCD6BA8"/>
    <w:rsid w:val="100E1475"/>
    <w:rsid w:val="102B0279"/>
    <w:rsid w:val="108A31F2"/>
    <w:rsid w:val="110A68BF"/>
    <w:rsid w:val="11A52883"/>
    <w:rsid w:val="11DF5B42"/>
    <w:rsid w:val="12042B30"/>
    <w:rsid w:val="12103BD7"/>
    <w:rsid w:val="121E4214"/>
    <w:rsid w:val="132E651F"/>
    <w:rsid w:val="137419B4"/>
    <w:rsid w:val="13B62550"/>
    <w:rsid w:val="14292D22"/>
    <w:rsid w:val="14885D40"/>
    <w:rsid w:val="14A80DDB"/>
    <w:rsid w:val="1520048F"/>
    <w:rsid w:val="1534197E"/>
    <w:rsid w:val="15AE2BE6"/>
    <w:rsid w:val="161517B0"/>
    <w:rsid w:val="162E62FE"/>
    <w:rsid w:val="1661121E"/>
    <w:rsid w:val="166C5148"/>
    <w:rsid w:val="175C31C5"/>
    <w:rsid w:val="18401E8C"/>
    <w:rsid w:val="18F558C8"/>
    <w:rsid w:val="19306900"/>
    <w:rsid w:val="19483C4A"/>
    <w:rsid w:val="19C71013"/>
    <w:rsid w:val="1A02204B"/>
    <w:rsid w:val="1A367F46"/>
    <w:rsid w:val="1A6F007A"/>
    <w:rsid w:val="1B85380A"/>
    <w:rsid w:val="1BC97183"/>
    <w:rsid w:val="1BD17ACD"/>
    <w:rsid w:val="1BEC2FB3"/>
    <w:rsid w:val="1C566820"/>
    <w:rsid w:val="1CA73630"/>
    <w:rsid w:val="1CAD0994"/>
    <w:rsid w:val="1CBB2985"/>
    <w:rsid w:val="1D22566A"/>
    <w:rsid w:val="1D332DC8"/>
    <w:rsid w:val="1D46139B"/>
    <w:rsid w:val="1D48392C"/>
    <w:rsid w:val="1D7403AC"/>
    <w:rsid w:val="1D7A073C"/>
    <w:rsid w:val="1DC835AB"/>
    <w:rsid w:val="1DC846D2"/>
    <w:rsid w:val="1E116D00"/>
    <w:rsid w:val="1E256308"/>
    <w:rsid w:val="1E3B1FCF"/>
    <w:rsid w:val="1E934ADA"/>
    <w:rsid w:val="1E9E5F3D"/>
    <w:rsid w:val="1ED6635C"/>
    <w:rsid w:val="1F016D75"/>
    <w:rsid w:val="1F81420A"/>
    <w:rsid w:val="20762B03"/>
    <w:rsid w:val="20916509"/>
    <w:rsid w:val="210A3EE5"/>
    <w:rsid w:val="218C669E"/>
    <w:rsid w:val="21A954A2"/>
    <w:rsid w:val="21AD0AEE"/>
    <w:rsid w:val="2298591C"/>
    <w:rsid w:val="2347632E"/>
    <w:rsid w:val="239F4DAE"/>
    <w:rsid w:val="23E10F23"/>
    <w:rsid w:val="246456B0"/>
    <w:rsid w:val="251470D6"/>
    <w:rsid w:val="251A6AD4"/>
    <w:rsid w:val="25891872"/>
    <w:rsid w:val="27101F3C"/>
    <w:rsid w:val="27C546B8"/>
    <w:rsid w:val="27CB1FDF"/>
    <w:rsid w:val="28A47E0D"/>
    <w:rsid w:val="2974579E"/>
    <w:rsid w:val="29842A7C"/>
    <w:rsid w:val="29B02CBC"/>
    <w:rsid w:val="2A7F3244"/>
    <w:rsid w:val="2A87268B"/>
    <w:rsid w:val="2B1C2A88"/>
    <w:rsid w:val="2B3C1135"/>
    <w:rsid w:val="2BAC62BA"/>
    <w:rsid w:val="2CF25D23"/>
    <w:rsid w:val="2CF33A75"/>
    <w:rsid w:val="2EE8585B"/>
    <w:rsid w:val="2F0A3A24"/>
    <w:rsid w:val="2F0F2DE8"/>
    <w:rsid w:val="2FCC2A87"/>
    <w:rsid w:val="304D13E0"/>
    <w:rsid w:val="307A7AF5"/>
    <w:rsid w:val="30BA3228"/>
    <w:rsid w:val="31AC0DC2"/>
    <w:rsid w:val="31BE3656"/>
    <w:rsid w:val="322D0C63"/>
    <w:rsid w:val="330662B0"/>
    <w:rsid w:val="335E6B36"/>
    <w:rsid w:val="336851BD"/>
    <w:rsid w:val="33F56325"/>
    <w:rsid w:val="34256C0A"/>
    <w:rsid w:val="3487669F"/>
    <w:rsid w:val="353926C2"/>
    <w:rsid w:val="358A766C"/>
    <w:rsid w:val="35D61E88"/>
    <w:rsid w:val="361E1B63"/>
    <w:rsid w:val="36CD3FAC"/>
    <w:rsid w:val="36D13079"/>
    <w:rsid w:val="37285044"/>
    <w:rsid w:val="37F47148"/>
    <w:rsid w:val="38097051"/>
    <w:rsid w:val="38404966"/>
    <w:rsid w:val="38AB7314"/>
    <w:rsid w:val="38E54BBA"/>
    <w:rsid w:val="39231D25"/>
    <w:rsid w:val="392D778D"/>
    <w:rsid w:val="39761CB6"/>
    <w:rsid w:val="39E82BB3"/>
    <w:rsid w:val="3A30455A"/>
    <w:rsid w:val="3A306505"/>
    <w:rsid w:val="3A410516"/>
    <w:rsid w:val="3A79072A"/>
    <w:rsid w:val="3ADE3FB6"/>
    <w:rsid w:val="3AE66A84"/>
    <w:rsid w:val="3BD056AD"/>
    <w:rsid w:val="3C862210"/>
    <w:rsid w:val="3CDC3488"/>
    <w:rsid w:val="3D18555E"/>
    <w:rsid w:val="3D391317"/>
    <w:rsid w:val="3D4A148F"/>
    <w:rsid w:val="3DB72FC9"/>
    <w:rsid w:val="3E706AA3"/>
    <w:rsid w:val="3E7C3E75"/>
    <w:rsid w:val="3ECC70E8"/>
    <w:rsid w:val="3F4441CA"/>
    <w:rsid w:val="3FEF631E"/>
    <w:rsid w:val="402C1320"/>
    <w:rsid w:val="404228F2"/>
    <w:rsid w:val="40A94EAD"/>
    <w:rsid w:val="416036D4"/>
    <w:rsid w:val="41A24945"/>
    <w:rsid w:val="41D279A9"/>
    <w:rsid w:val="41EC6AFB"/>
    <w:rsid w:val="42127FFC"/>
    <w:rsid w:val="422340D2"/>
    <w:rsid w:val="423053ED"/>
    <w:rsid w:val="42994282"/>
    <w:rsid w:val="42A258CA"/>
    <w:rsid w:val="42DF08CC"/>
    <w:rsid w:val="432163BA"/>
    <w:rsid w:val="437234EE"/>
    <w:rsid w:val="437B23A2"/>
    <w:rsid w:val="43833B65"/>
    <w:rsid w:val="43C114AA"/>
    <w:rsid w:val="445D5F4C"/>
    <w:rsid w:val="44C91833"/>
    <w:rsid w:val="44D04970"/>
    <w:rsid w:val="44D159A7"/>
    <w:rsid w:val="454B049A"/>
    <w:rsid w:val="457A54F1"/>
    <w:rsid w:val="457F41B2"/>
    <w:rsid w:val="458E2F8D"/>
    <w:rsid w:val="45B46B5A"/>
    <w:rsid w:val="45DB0C41"/>
    <w:rsid w:val="46794B93"/>
    <w:rsid w:val="46B61944"/>
    <w:rsid w:val="46FD367C"/>
    <w:rsid w:val="477525EB"/>
    <w:rsid w:val="477D6972"/>
    <w:rsid w:val="478C4B44"/>
    <w:rsid w:val="47BB0A1B"/>
    <w:rsid w:val="47DF4EBE"/>
    <w:rsid w:val="48094372"/>
    <w:rsid w:val="483E7E42"/>
    <w:rsid w:val="48DA43E6"/>
    <w:rsid w:val="48E629B4"/>
    <w:rsid w:val="49A56FB8"/>
    <w:rsid w:val="49D26A89"/>
    <w:rsid w:val="4A8415A5"/>
    <w:rsid w:val="4AE72B77"/>
    <w:rsid w:val="4B616322"/>
    <w:rsid w:val="4B9F6E4A"/>
    <w:rsid w:val="4BAC7C7B"/>
    <w:rsid w:val="4C23418A"/>
    <w:rsid w:val="4C3E2B07"/>
    <w:rsid w:val="4C3E6663"/>
    <w:rsid w:val="4C930FAA"/>
    <w:rsid w:val="4C9D1723"/>
    <w:rsid w:val="4CDB65A8"/>
    <w:rsid w:val="4CE54D31"/>
    <w:rsid w:val="4D7E765F"/>
    <w:rsid w:val="4D7F33D7"/>
    <w:rsid w:val="4D812CAB"/>
    <w:rsid w:val="4D9036ED"/>
    <w:rsid w:val="4DA44BEC"/>
    <w:rsid w:val="4F172EB2"/>
    <w:rsid w:val="4F381A8F"/>
    <w:rsid w:val="4F552641"/>
    <w:rsid w:val="4F624D5E"/>
    <w:rsid w:val="4F7973DD"/>
    <w:rsid w:val="4F923A7B"/>
    <w:rsid w:val="4FA40ED3"/>
    <w:rsid w:val="50067238"/>
    <w:rsid w:val="50B1220C"/>
    <w:rsid w:val="50E13A61"/>
    <w:rsid w:val="51452242"/>
    <w:rsid w:val="51453FF0"/>
    <w:rsid w:val="52322221"/>
    <w:rsid w:val="526F487A"/>
    <w:rsid w:val="529E7E5B"/>
    <w:rsid w:val="52A35472"/>
    <w:rsid w:val="53670B95"/>
    <w:rsid w:val="53714D2C"/>
    <w:rsid w:val="53980D4F"/>
    <w:rsid w:val="53D578AD"/>
    <w:rsid w:val="53E2021C"/>
    <w:rsid w:val="542919A7"/>
    <w:rsid w:val="549B1E04"/>
    <w:rsid w:val="55733821"/>
    <w:rsid w:val="56231A34"/>
    <w:rsid w:val="565C6063"/>
    <w:rsid w:val="565D1DDC"/>
    <w:rsid w:val="56A7383F"/>
    <w:rsid w:val="577367A5"/>
    <w:rsid w:val="57AC4DC9"/>
    <w:rsid w:val="57C6703C"/>
    <w:rsid w:val="57FA3D86"/>
    <w:rsid w:val="58354DBE"/>
    <w:rsid w:val="584774D4"/>
    <w:rsid w:val="58B220EB"/>
    <w:rsid w:val="58E862D4"/>
    <w:rsid w:val="592856EA"/>
    <w:rsid w:val="59374B66"/>
    <w:rsid w:val="596F2F5E"/>
    <w:rsid w:val="59883613"/>
    <w:rsid w:val="59D5489E"/>
    <w:rsid w:val="59E265EA"/>
    <w:rsid w:val="59FB3DE5"/>
    <w:rsid w:val="5A025174"/>
    <w:rsid w:val="5A0709DC"/>
    <w:rsid w:val="5A3C1E2C"/>
    <w:rsid w:val="5A620455"/>
    <w:rsid w:val="5ABA40EA"/>
    <w:rsid w:val="5ACC7530"/>
    <w:rsid w:val="5B2F24B5"/>
    <w:rsid w:val="5BC433D0"/>
    <w:rsid w:val="5C4557EC"/>
    <w:rsid w:val="5CDE4FBC"/>
    <w:rsid w:val="5CF96B93"/>
    <w:rsid w:val="5DAD189A"/>
    <w:rsid w:val="5DC76A50"/>
    <w:rsid w:val="5E27164D"/>
    <w:rsid w:val="5E4A70E9"/>
    <w:rsid w:val="5E9071F2"/>
    <w:rsid w:val="5F0C25F1"/>
    <w:rsid w:val="5F1D65AC"/>
    <w:rsid w:val="5F5B083F"/>
    <w:rsid w:val="601A422B"/>
    <w:rsid w:val="60912DAE"/>
    <w:rsid w:val="612E5306"/>
    <w:rsid w:val="613F280A"/>
    <w:rsid w:val="619F774C"/>
    <w:rsid w:val="61B72CE8"/>
    <w:rsid w:val="61BC5600"/>
    <w:rsid w:val="61D70C94"/>
    <w:rsid w:val="61EF2482"/>
    <w:rsid w:val="625B7B17"/>
    <w:rsid w:val="63040D4E"/>
    <w:rsid w:val="636B1FDC"/>
    <w:rsid w:val="63800A16"/>
    <w:rsid w:val="6446136F"/>
    <w:rsid w:val="64630F05"/>
    <w:rsid w:val="64701E66"/>
    <w:rsid w:val="64C51278"/>
    <w:rsid w:val="650575AA"/>
    <w:rsid w:val="65624252"/>
    <w:rsid w:val="65965B7A"/>
    <w:rsid w:val="65B25CA0"/>
    <w:rsid w:val="667016B7"/>
    <w:rsid w:val="66A001EE"/>
    <w:rsid w:val="67130CEB"/>
    <w:rsid w:val="672957C5"/>
    <w:rsid w:val="676F7BC1"/>
    <w:rsid w:val="679E5E52"/>
    <w:rsid w:val="68580655"/>
    <w:rsid w:val="68613E1C"/>
    <w:rsid w:val="68701E42"/>
    <w:rsid w:val="68A86442"/>
    <w:rsid w:val="68C77CB4"/>
    <w:rsid w:val="68F6059A"/>
    <w:rsid w:val="690C519B"/>
    <w:rsid w:val="694A2730"/>
    <w:rsid w:val="69C81336"/>
    <w:rsid w:val="6A0C16F7"/>
    <w:rsid w:val="6A16113C"/>
    <w:rsid w:val="6A244C92"/>
    <w:rsid w:val="6AAE0F26"/>
    <w:rsid w:val="6B477EE6"/>
    <w:rsid w:val="6B851761"/>
    <w:rsid w:val="6B890AF4"/>
    <w:rsid w:val="6BDD2BA4"/>
    <w:rsid w:val="6C6972D4"/>
    <w:rsid w:val="6C9C4317"/>
    <w:rsid w:val="6CC7316E"/>
    <w:rsid w:val="6CF3231D"/>
    <w:rsid w:val="6D1045AC"/>
    <w:rsid w:val="6E13574A"/>
    <w:rsid w:val="6E3336F6"/>
    <w:rsid w:val="6E6B10E2"/>
    <w:rsid w:val="6F586836"/>
    <w:rsid w:val="70BA1EAD"/>
    <w:rsid w:val="70F94A85"/>
    <w:rsid w:val="71072C18"/>
    <w:rsid w:val="71285068"/>
    <w:rsid w:val="71593931"/>
    <w:rsid w:val="7202032D"/>
    <w:rsid w:val="72355BB2"/>
    <w:rsid w:val="72B72A29"/>
    <w:rsid w:val="72E04F19"/>
    <w:rsid w:val="72E63E7E"/>
    <w:rsid w:val="736B376C"/>
    <w:rsid w:val="742650CC"/>
    <w:rsid w:val="74375DA0"/>
    <w:rsid w:val="74D8656F"/>
    <w:rsid w:val="74DA0D6F"/>
    <w:rsid w:val="7528245B"/>
    <w:rsid w:val="755747BE"/>
    <w:rsid w:val="75C50DBF"/>
    <w:rsid w:val="75D05B45"/>
    <w:rsid w:val="761F3B91"/>
    <w:rsid w:val="762115A2"/>
    <w:rsid w:val="763769EB"/>
    <w:rsid w:val="764804B7"/>
    <w:rsid w:val="765A0A00"/>
    <w:rsid w:val="76AE24B4"/>
    <w:rsid w:val="77470212"/>
    <w:rsid w:val="778925D9"/>
    <w:rsid w:val="77B574A4"/>
    <w:rsid w:val="77E6121F"/>
    <w:rsid w:val="780103C1"/>
    <w:rsid w:val="78112CFA"/>
    <w:rsid w:val="782C63A8"/>
    <w:rsid w:val="78746DE5"/>
    <w:rsid w:val="788D434B"/>
    <w:rsid w:val="78AF42C1"/>
    <w:rsid w:val="78DD498A"/>
    <w:rsid w:val="790C1713"/>
    <w:rsid w:val="793B3DA7"/>
    <w:rsid w:val="79425135"/>
    <w:rsid w:val="79CA65E3"/>
    <w:rsid w:val="79D3446D"/>
    <w:rsid w:val="79E7681A"/>
    <w:rsid w:val="79EF6B22"/>
    <w:rsid w:val="79EF706B"/>
    <w:rsid w:val="79F74636"/>
    <w:rsid w:val="7B67425B"/>
    <w:rsid w:val="7BB97537"/>
    <w:rsid w:val="7BC95D25"/>
    <w:rsid w:val="7BE92A89"/>
    <w:rsid w:val="7BE97AEA"/>
    <w:rsid w:val="7C6B04FF"/>
    <w:rsid w:val="7D0C3A90"/>
    <w:rsid w:val="7D3C1A3B"/>
    <w:rsid w:val="7D407EEB"/>
    <w:rsid w:val="7DF74D1C"/>
    <w:rsid w:val="7DFC1D56"/>
    <w:rsid w:val="7E2D0162"/>
    <w:rsid w:val="7E394D59"/>
    <w:rsid w:val="7E3A63DB"/>
    <w:rsid w:val="7E3E411D"/>
    <w:rsid w:val="7E4533AF"/>
    <w:rsid w:val="7EF464FF"/>
    <w:rsid w:val="7F605DAE"/>
    <w:rsid w:val="7F993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index 5"/>
    <w:basedOn w:val="1"/>
    <w:next w:val="1"/>
    <w:unhideWhenUsed/>
    <w:qFormat/>
    <w:uiPriority w:val="99"/>
    <w:pPr>
      <w:ind w:left="800" w:leftChars="800"/>
    </w:pPr>
  </w:style>
  <w:style w:type="paragraph" w:styleId="9">
    <w:name w:val="Body Text 3"/>
    <w:basedOn w:val="1"/>
    <w:link w:val="40"/>
    <w:qFormat/>
    <w:uiPriority w:val="0"/>
    <w:rPr>
      <w:rFonts w:ascii="Times New Roman" w:hAnsi="Times New Roman" w:eastAsia="宋体" w:cs="Times New Roman"/>
      <w:color w:val="FF0000"/>
      <w:sz w:val="24"/>
      <w:szCs w:val="24"/>
    </w:rPr>
  </w:style>
  <w:style w:type="paragraph" w:styleId="10">
    <w:name w:val="Body Text"/>
    <w:basedOn w:val="1"/>
    <w:link w:val="41"/>
    <w:unhideWhenUsed/>
    <w:qFormat/>
    <w:uiPriority w:val="99"/>
    <w:pPr>
      <w:spacing w:after="120"/>
    </w:pPr>
  </w:style>
  <w:style w:type="paragraph" w:styleId="11">
    <w:name w:val="Body Text Indent"/>
    <w:basedOn w:val="1"/>
    <w:next w:val="12"/>
    <w:link w:val="43"/>
    <w:qFormat/>
    <w:uiPriority w:val="0"/>
    <w:pPr>
      <w:adjustRightInd w:val="0"/>
      <w:spacing w:after="120" w:line="360" w:lineRule="atLeast"/>
      <w:ind w:left="420" w:leftChars="200"/>
      <w:jc w:val="left"/>
      <w:textAlignment w:val="baseline"/>
    </w:pPr>
    <w:rPr>
      <w:kern w:val="0"/>
      <w:sz w:val="24"/>
      <w:szCs w:val="20"/>
    </w:rPr>
  </w:style>
  <w:style w:type="paragraph" w:styleId="12">
    <w:name w:val="envelope return"/>
    <w:basedOn w:val="1"/>
    <w:unhideWhenUsed/>
    <w:qFormat/>
    <w:uiPriority w:val="99"/>
    <w:pPr>
      <w:snapToGrid w:val="0"/>
    </w:pPr>
    <w:rPr>
      <w:rFonts w:ascii="Arial" w:hAnsi="Arial"/>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next w:val="8"/>
    <w:link w:val="44"/>
    <w:qFormat/>
    <w:uiPriority w:val="0"/>
    <w:rPr>
      <w:rFonts w:eastAsia="宋体"/>
      <w:sz w:val="24"/>
    </w:rPr>
  </w:style>
  <w:style w:type="paragraph" w:styleId="16">
    <w:name w:val="Date"/>
    <w:basedOn w:val="1"/>
    <w:next w:val="1"/>
    <w:link w:val="45"/>
    <w:unhideWhenUsed/>
    <w:qFormat/>
    <w:uiPriority w:val="99"/>
    <w:pPr>
      <w:ind w:left="100" w:leftChars="2500"/>
    </w:pPr>
  </w:style>
  <w:style w:type="paragraph" w:styleId="17">
    <w:name w:val="Balloon Text"/>
    <w:basedOn w:val="1"/>
    <w:link w:val="47"/>
    <w:semiHidden/>
    <w:unhideWhenUsed/>
    <w:qFormat/>
    <w:uiPriority w:val="99"/>
    <w:rPr>
      <w:sz w:val="18"/>
      <w:szCs w:val="18"/>
    </w:rPr>
  </w:style>
  <w:style w:type="paragraph" w:styleId="18">
    <w:name w:val="footer"/>
    <w:basedOn w:val="1"/>
    <w:link w:val="48"/>
    <w:unhideWhenUsed/>
    <w:qFormat/>
    <w:uiPriority w:val="99"/>
    <w:pPr>
      <w:tabs>
        <w:tab w:val="center" w:pos="4153"/>
        <w:tab w:val="right" w:pos="8306"/>
      </w:tabs>
      <w:snapToGrid w:val="0"/>
      <w:jc w:val="left"/>
    </w:pPr>
    <w:rPr>
      <w:sz w:val="18"/>
      <w:szCs w:val="18"/>
    </w:rPr>
  </w:style>
  <w:style w:type="paragraph" w:styleId="19">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Body Text 2"/>
    <w:basedOn w:val="1"/>
    <w:link w:val="66"/>
    <w:semiHidden/>
    <w:unhideWhenUsed/>
    <w:qFormat/>
    <w:uiPriority w:val="99"/>
    <w:pPr>
      <w:spacing w:after="120" w:line="480" w:lineRule="auto"/>
    </w:pPr>
  </w:style>
  <w:style w:type="paragraph" w:styleId="22">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Body Text First Indent"/>
    <w:basedOn w:val="10"/>
    <w:next w:val="25"/>
    <w:link w:val="52"/>
    <w:qFormat/>
    <w:uiPriority w:val="0"/>
    <w:pPr>
      <w:ind w:firstLine="420" w:firstLineChars="100"/>
    </w:pPr>
    <w:rPr>
      <w:rFonts w:ascii="宋体" w:hAnsi="Times New Roman" w:eastAsia="宋体" w:cs="Times New Roman"/>
      <w:kern w:val="0"/>
      <w:sz w:val="34"/>
      <w:szCs w:val="20"/>
    </w:rPr>
  </w:style>
  <w:style w:type="paragraph" w:styleId="25">
    <w:name w:val="Body Text First Indent 2"/>
    <w:basedOn w:val="11"/>
    <w:next w:val="1"/>
    <w:unhideWhenUsed/>
    <w:qFormat/>
    <w:uiPriority w:val="99"/>
    <w:pPr>
      <w:adjustRightInd/>
      <w:spacing w:line="240" w:lineRule="auto"/>
      <w:ind w:firstLine="420" w:firstLineChars="200"/>
      <w:jc w:val="both"/>
    </w:pPr>
    <w:rPr>
      <w:kern w:val="2"/>
      <w:sz w:val="21"/>
      <w:szCs w:val="22"/>
    </w:rPr>
  </w:style>
  <w:style w:type="table" w:styleId="27">
    <w:name w:val="Table Grid"/>
    <w:basedOn w:val="26"/>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Emphasis"/>
    <w:basedOn w:val="28"/>
    <w:qFormat/>
    <w:uiPriority w:val="20"/>
    <w:rPr>
      <w:i/>
      <w:iCs/>
    </w:rPr>
  </w:style>
  <w:style w:type="character" w:styleId="31">
    <w:name w:val="Hyperlink"/>
    <w:basedOn w:val="28"/>
    <w:unhideWhenUsed/>
    <w:qFormat/>
    <w:uiPriority w:val="0"/>
    <w:rPr>
      <w:color w:val="0000FF"/>
      <w:u w:val="single"/>
    </w:rPr>
  </w:style>
  <w:style w:type="paragraph" w:customStyle="1" w:styleId="32">
    <w:name w:val="列出段落1"/>
    <w:basedOn w:val="1"/>
    <w:qFormat/>
    <w:uiPriority w:val="99"/>
    <w:pPr>
      <w:ind w:firstLine="420" w:firstLineChars="200"/>
    </w:pPr>
  </w:style>
  <w:style w:type="paragraph" w:customStyle="1" w:styleId="33">
    <w:name w:val="style4"/>
    <w:basedOn w:val="1"/>
    <w:next w:val="34"/>
    <w:qFormat/>
    <w:uiPriority w:val="99"/>
    <w:pPr>
      <w:widowControl/>
      <w:spacing w:before="280" w:after="280"/>
    </w:pPr>
    <w:rPr>
      <w:rFonts w:ascii="宋体" w:hAnsi="Times New Roman" w:eastAsia="宋体" w:cs="Times New Roman"/>
      <w:sz w:val="18"/>
    </w:rPr>
  </w:style>
  <w:style w:type="paragraph" w:customStyle="1" w:styleId="34">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35">
    <w:name w:val="表格文字"/>
    <w:basedOn w:val="1"/>
    <w:next w:val="10"/>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 w:type="character" w:customStyle="1" w:styleId="36">
    <w:name w:val="标题 1 Char"/>
    <w:basedOn w:val="28"/>
    <w:link w:val="2"/>
    <w:qFormat/>
    <w:uiPriority w:val="0"/>
    <w:rPr>
      <w:rFonts w:ascii="Calibri" w:hAnsi="Calibri" w:eastAsia="宋体" w:cs="Times New Roman"/>
      <w:b/>
      <w:bCs/>
      <w:kern w:val="44"/>
      <w:sz w:val="44"/>
      <w:szCs w:val="44"/>
    </w:rPr>
  </w:style>
  <w:style w:type="character" w:customStyle="1" w:styleId="37">
    <w:name w:val="标题 2 Char"/>
    <w:basedOn w:val="28"/>
    <w:link w:val="3"/>
    <w:qFormat/>
    <w:uiPriority w:val="0"/>
    <w:rPr>
      <w:rFonts w:ascii="Arial" w:hAnsi="Arial" w:eastAsia="黑体" w:cs="Times New Roman"/>
      <w:b/>
      <w:bCs/>
      <w:sz w:val="32"/>
      <w:szCs w:val="32"/>
    </w:rPr>
  </w:style>
  <w:style w:type="character" w:customStyle="1" w:styleId="38">
    <w:name w:val="标题 3 Char"/>
    <w:basedOn w:val="28"/>
    <w:link w:val="4"/>
    <w:qFormat/>
    <w:uiPriority w:val="0"/>
    <w:rPr>
      <w:rFonts w:ascii="宋体" w:hAnsi="宋体" w:eastAsia="宋体" w:cs="Times New Roman"/>
      <w:b/>
      <w:color w:val="000000"/>
      <w:kern w:val="0"/>
      <w:sz w:val="24"/>
      <w:szCs w:val="20"/>
      <w:lang w:val="en-GB"/>
    </w:rPr>
  </w:style>
  <w:style w:type="character" w:customStyle="1" w:styleId="39">
    <w:name w:val="标题 4 Char"/>
    <w:basedOn w:val="28"/>
    <w:link w:val="5"/>
    <w:qFormat/>
    <w:uiPriority w:val="0"/>
    <w:rPr>
      <w:rFonts w:ascii="Arial" w:hAnsi="Arial" w:eastAsia="黑体" w:cs="Times New Roman"/>
      <w:b/>
      <w:bCs/>
      <w:sz w:val="28"/>
      <w:szCs w:val="28"/>
    </w:rPr>
  </w:style>
  <w:style w:type="character" w:customStyle="1" w:styleId="40">
    <w:name w:val="正文文本 3 Char"/>
    <w:basedOn w:val="28"/>
    <w:link w:val="9"/>
    <w:qFormat/>
    <w:uiPriority w:val="0"/>
    <w:rPr>
      <w:rFonts w:ascii="Times New Roman" w:hAnsi="Times New Roman" w:eastAsia="宋体" w:cs="Times New Roman"/>
      <w:color w:val="FF0000"/>
      <w:sz w:val="24"/>
      <w:szCs w:val="24"/>
    </w:rPr>
  </w:style>
  <w:style w:type="character" w:customStyle="1" w:styleId="41">
    <w:name w:val="正文文本 Char"/>
    <w:basedOn w:val="28"/>
    <w:link w:val="10"/>
    <w:qFormat/>
    <w:uiPriority w:val="99"/>
  </w:style>
  <w:style w:type="character" w:customStyle="1" w:styleId="42">
    <w:name w:val="正文文本缩进 Char"/>
    <w:basedOn w:val="28"/>
    <w:qFormat/>
    <w:uiPriority w:val="0"/>
  </w:style>
  <w:style w:type="character" w:customStyle="1" w:styleId="43">
    <w:name w:val="正文文本缩进 Char1"/>
    <w:basedOn w:val="28"/>
    <w:link w:val="11"/>
    <w:qFormat/>
    <w:uiPriority w:val="0"/>
    <w:rPr>
      <w:kern w:val="0"/>
      <w:sz w:val="24"/>
      <w:szCs w:val="20"/>
    </w:rPr>
  </w:style>
  <w:style w:type="character" w:customStyle="1" w:styleId="44">
    <w:name w:val="纯文本 Char"/>
    <w:basedOn w:val="28"/>
    <w:link w:val="15"/>
    <w:qFormat/>
    <w:uiPriority w:val="0"/>
    <w:rPr>
      <w:rFonts w:eastAsia="宋体"/>
      <w:sz w:val="24"/>
    </w:rPr>
  </w:style>
  <w:style w:type="character" w:customStyle="1" w:styleId="45">
    <w:name w:val="日期 Char"/>
    <w:basedOn w:val="28"/>
    <w:link w:val="16"/>
    <w:qFormat/>
    <w:uiPriority w:val="99"/>
  </w:style>
  <w:style w:type="character" w:customStyle="1" w:styleId="46">
    <w:name w:val="批注框文本 Char"/>
    <w:basedOn w:val="28"/>
    <w:semiHidden/>
    <w:qFormat/>
    <w:uiPriority w:val="99"/>
    <w:rPr>
      <w:sz w:val="18"/>
      <w:szCs w:val="18"/>
    </w:rPr>
  </w:style>
  <w:style w:type="character" w:customStyle="1" w:styleId="47">
    <w:name w:val="批注框文本 Char1"/>
    <w:basedOn w:val="28"/>
    <w:link w:val="17"/>
    <w:semiHidden/>
    <w:qFormat/>
    <w:uiPriority w:val="99"/>
    <w:rPr>
      <w:sz w:val="18"/>
      <w:szCs w:val="18"/>
    </w:rPr>
  </w:style>
  <w:style w:type="character" w:customStyle="1" w:styleId="48">
    <w:name w:val="页脚 Char"/>
    <w:basedOn w:val="28"/>
    <w:link w:val="18"/>
    <w:qFormat/>
    <w:uiPriority w:val="99"/>
    <w:rPr>
      <w:sz w:val="18"/>
      <w:szCs w:val="18"/>
    </w:rPr>
  </w:style>
  <w:style w:type="character" w:customStyle="1" w:styleId="49">
    <w:name w:val="页眉 Char"/>
    <w:basedOn w:val="28"/>
    <w:link w:val="19"/>
    <w:qFormat/>
    <w:uiPriority w:val="99"/>
    <w:rPr>
      <w:sz w:val="18"/>
      <w:szCs w:val="18"/>
    </w:rPr>
  </w:style>
  <w:style w:type="character" w:customStyle="1" w:styleId="50">
    <w:name w:val="HTML 预设格式 Char"/>
    <w:basedOn w:val="28"/>
    <w:semiHidden/>
    <w:qFormat/>
    <w:uiPriority w:val="99"/>
    <w:rPr>
      <w:rFonts w:ascii="宋体" w:hAnsi="宋体" w:eastAsia="宋体" w:cs="宋体"/>
      <w:kern w:val="0"/>
      <w:sz w:val="24"/>
      <w:szCs w:val="24"/>
    </w:rPr>
  </w:style>
  <w:style w:type="character" w:customStyle="1" w:styleId="51">
    <w:name w:val="HTML 预设格式 Char1"/>
    <w:basedOn w:val="28"/>
    <w:link w:val="22"/>
    <w:semiHidden/>
    <w:qFormat/>
    <w:uiPriority w:val="99"/>
    <w:rPr>
      <w:rFonts w:ascii="Courier New" w:hAnsi="Courier New" w:cs="Courier New"/>
      <w:sz w:val="20"/>
      <w:szCs w:val="20"/>
    </w:rPr>
  </w:style>
  <w:style w:type="character" w:customStyle="1" w:styleId="52">
    <w:name w:val="正文首行缩进 Char"/>
    <w:basedOn w:val="41"/>
    <w:link w:val="24"/>
    <w:qFormat/>
    <w:uiPriority w:val="0"/>
    <w:rPr>
      <w:rFonts w:ascii="宋体" w:hAnsi="Times New Roman" w:eastAsia="宋体" w:cs="Times New Roman"/>
      <w:kern w:val="0"/>
      <w:sz w:val="34"/>
      <w:szCs w:val="20"/>
    </w:rPr>
  </w:style>
  <w:style w:type="character" w:customStyle="1" w:styleId="53">
    <w:name w:val="纯文本 Char1"/>
    <w:qFormat/>
    <w:uiPriority w:val="0"/>
    <w:rPr>
      <w:rFonts w:eastAsia="宋体"/>
      <w:sz w:val="24"/>
    </w:rPr>
  </w:style>
  <w:style w:type="paragraph" w:customStyle="1" w:styleId="5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5">
    <w:name w:val="List Paragraph"/>
    <w:basedOn w:val="1"/>
    <w:unhideWhenUsed/>
    <w:qFormat/>
    <w:uiPriority w:val="34"/>
    <w:pPr>
      <w:ind w:firstLine="420" w:firstLineChars="200"/>
    </w:pPr>
  </w:style>
  <w:style w:type="character" w:customStyle="1" w:styleId="56">
    <w:name w:val="正文文本缩进 Char Char"/>
    <w:link w:val="57"/>
    <w:qFormat/>
    <w:uiPriority w:val="0"/>
    <w:rPr>
      <w:rFonts w:ascii="宋体"/>
      <w:sz w:val="24"/>
    </w:rPr>
  </w:style>
  <w:style w:type="paragraph" w:customStyle="1" w:styleId="57">
    <w:name w:val="正文文本缩进1"/>
    <w:basedOn w:val="1"/>
    <w:link w:val="56"/>
    <w:qFormat/>
    <w:uiPriority w:val="0"/>
    <w:pPr>
      <w:spacing w:line="360" w:lineRule="auto"/>
      <w:ind w:firstLine="480" w:firstLineChars="200"/>
    </w:pPr>
    <w:rPr>
      <w:rFonts w:ascii="宋体"/>
      <w:sz w:val="24"/>
    </w:rPr>
  </w:style>
  <w:style w:type="character" w:customStyle="1" w:styleId="58">
    <w:name w:val="日期 Char Char"/>
    <w:link w:val="59"/>
    <w:qFormat/>
    <w:uiPriority w:val="0"/>
    <w:rPr>
      <w:sz w:val="24"/>
    </w:rPr>
  </w:style>
  <w:style w:type="paragraph" w:customStyle="1" w:styleId="59">
    <w:name w:val="日期1"/>
    <w:basedOn w:val="1"/>
    <w:next w:val="1"/>
    <w:link w:val="58"/>
    <w:qFormat/>
    <w:uiPriority w:val="0"/>
    <w:rPr>
      <w:sz w:val="24"/>
    </w:rPr>
  </w:style>
  <w:style w:type="paragraph" w:customStyle="1" w:styleId="6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1">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2">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3">
    <w:name w:val="edittexttarea"/>
    <w:basedOn w:val="28"/>
    <w:qFormat/>
    <w:uiPriority w:val="0"/>
  </w:style>
  <w:style w:type="paragraph" w:customStyle="1" w:styleId="64">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6">
    <w:name w:val="正文文本 2 Char"/>
    <w:basedOn w:val="28"/>
    <w:link w:val="21"/>
    <w:semiHidden/>
    <w:qFormat/>
    <w:uiPriority w:val="99"/>
    <w:rPr>
      <w:kern w:val="2"/>
      <w:sz w:val="21"/>
      <w:szCs w:val="22"/>
    </w:rPr>
  </w:style>
  <w:style w:type="character" w:customStyle="1" w:styleId="67">
    <w:name w:val="font41"/>
    <w:basedOn w:val="2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87</Pages>
  <Words>4504</Words>
  <Characters>4815</Characters>
  <Lines>319</Lines>
  <Paragraphs>89</Paragraphs>
  <TotalTime>38</TotalTime>
  <ScaleCrop>false</ScaleCrop>
  <LinksUpToDate>false</LinksUpToDate>
  <CharactersWithSpaces>4889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2021-10-25T09:31:00Z</dcterms:created>
  <dc:creator>许昌市公共资源交易中心:孟莉</dc:creator>
  <cp:lastModifiedBy>朱俊铭</cp:lastModifiedBy>
  <cp:lastPrinted>2025-09-04T09:35:00Z</cp:lastPrinted>
  <dcterms:modified xsi:type="dcterms:W3CDTF">2025-09-05T07:18:41Z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FBF453DA7B104E3185D27B8DDE5540B6_13</vt:lpwstr>
  </property>
  <property fmtid="{D5CDD505-2E9C-101B-9397-08002B2CF9AE}" pid="4" name="KSOTemplateDocerSaveRecord">
    <vt:lpwstr>eyJoZGlkIjoiZjFmZWIzNDg2MmIzZjExOTIzMmViNTBmYTMwYTk0ZWYiLCJ1c2VySWQiOiIyNDk3NDU2MzUifQ==</vt:lpwstr>
  </property>
</Properties>
</file>