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FA55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黑体" w:hAnsi="黑体" w:eastAsia="黑体" w:cs="黑体"/>
          <w:b/>
          <w:bCs/>
          <w:kern w:val="2"/>
          <w:sz w:val="44"/>
          <w:szCs w:val="44"/>
          <w:lang w:val="en-US" w:eastAsia="zh-CN" w:bidi="ar-SA"/>
        </w:rPr>
      </w:pPr>
      <w:r>
        <w:rPr>
          <w:rFonts w:hint="eastAsia" w:ascii="黑体" w:hAnsi="黑体" w:eastAsia="黑体" w:cs="黑体"/>
          <w:b/>
          <w:bCs/>
          <w:kern w:val="2"/>
          <w:sz w:val="44"/>
          <w:szCs w:val="44"/>
          <w:lang w:val="en-US" w:eastAsia="zh-CN" w:bidi="ar-SA"/>
        </w:rPr>
        <w:t>禹州市中医院数据中心紧急扩容项目</w:t>
      </w:r>
    </w:p>
    <w:p w14:paraId="6F249195">
      <w:pPr>
        <w:jc w:val="center"/>
        <w:rPr>
          <w:rFonts w:hint="eastAsia" w:ascii="黑体" w:hAnsi="黑体" w:eastAsia="黑体" w:cstheme="majorEastAsia"/>
          <w:b/>
          <w:bCs/>
          <w:sz w:val="44"/>
          <w:szCs w:val="44"/>
        </w:rPr>
      </w:pPr>
      <w:r>
        <w:rPr>
          <w:rFonts w:hint="eastAsia" w:ascii="黑体" w:hAnsi="黑体" w:eastAsia="黑体" w:cstheme="majorEastAsia"/>
          <w:b/>
          <w:bCs/>
          <w:sz w:val="44"/>
          <w:szCs w:val="44"/>
          <w:lang w:eastAsia="zh-CN"/>
        </w:rPr>
        <w:t>（</w:t>
      </w:r>
      <w:r>
        <w:rPr>
          <w:rFonts w:hint="eastAsia" w:ascii="黑体" w:hAnsi="黑体" w:eastAsia="黑体" w:cstheme="majorEastAsia"/>
          <w:b/>
          <w:bCs/>
          <w:sz w:val="44"/>
          <w:szCs w:val="44"/>
          <w:lang w:val="en-US" w:eastAsia="zh-CN"/>
        </w:rPr>
        <w:t>三次</w:t>
      </w:r>
      <w:r>
        <w:rPr>
          <w:rFonts w:hint="eastAsia" w:ascii="黑体" w:hAnsi="黑体" w:eastAsia="黑体" w:cstheme="majorEastAsia"/>
          <w:b/>
          <w:bCs/>
          <w:sz w:val="44"/>
          <w:szCs w:val="44"/>
          <w:lang w:eastAsia="zh-CN"/>
        </w:rPr>
        <w:t>）</w:t>
      </w:r>
      <w:r>
        <w:rPr>
          <w:rFonts w:hint="eastAsia" w:ascii="黑体" w:hAnsi="黑体" w:eastAsia="黑体" w:cstheme="majorEastAsia"/>
          <w:b/>
          <w:bCs/>
          <w:sz w:val="44"/>
          <w:szCs w:val="44"/>
        </w:rPr>
        <w:t>（不见面开标）</w:t>
      </w:r>
    </w:p>
    <w:p w14:paraId="1325EA6B">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5026-2</w:t>
      </w:r>
    </w:p>
    <w:p w14:paraId="503052F3">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中医院</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九</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4AB04370">
      <w:pPr>
        <w:numPr>
          <w:ilvl w:val="0"/>
          <w:numId w:val="0"/>
        </w:numPr>
        <w:jc w:val="both"/>
        <w:rPr>
          <w:rFonts w:hint="eastAsia" w:cs="宋体" w:asciiTheme="majorEastAsia" w:hAnsiTheme="majorEastAsia" w:eastAsiaTheme="majorEastAsia"/>
          <w:b/>
          <w:kern w:val="0"/>
          <w:sz w:val="32"/>
          <w:szCs w:val="32"/>
        </w:rPr>
      </w:pPr>
    </w:p>
    <w:p w14:paraId="3ED8F3B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禹州市政府采购中心受禹州市中医院的委托，对“禹州市中医院数据中心紧急扩容项目（三次）（不见面开标）”进行竞争性谈判，现邀请符合本文件规定条件的供应商前来投标。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w:t>
      </w:r>
      <w:r>
        <w:rPr>
          <w:rFonts w:hint="eastAsia" w:asciiTheme="minorEastAsia" w:hAnsiTheme="minorEastAsia" w:cstheme="minorEastAsia"/>
          <w:kern w:val="2"/>
          <w:sz w:val="21"/>
          <w:szCs w:val="21"/>
          <w:lang w:val="en-US" w:eastAsia="zh-CN" w:bidi="ar-SA"/>
        </w:rPr>
        <w:t>5026-2</w:t>
      </w:r>
    </w:p>
    <w:p w14:paraId="6BDA990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禹州市中医院数据中心紧急扩容项目（三次）（不见面开标）</w:t>
      </w:r>
    </w:p>
    <w:p w14:paraId="63E9D62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24934BF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FC8F2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27BFAC4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1、采购人：禹州市中医院</w:t>
      </w:r>
    </w:p>
    <w:p w14:paraId="3E390CD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2、项目主要内容、数量及要求：添加数据库服务器、超融合服务器等共16项软硬件（详见谈判文件）</w:t>
      </w:r>
    </w:p>
    <w:p w14:paraId="550E39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3、预算金额：1960000.00元 </w:t>
      </w:r>
    </w:p>
    <w:p w14:paraId="3AE94D2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4、最高限价：1960000.00元 </w:t>
      </w:r>
    </w:p>
    <w:p w14:paraId="04FDEAE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5、履约时间：合同签订后15日历天内 </w:t>
      </w:r>
    </w:p>
    <w:p w14:paraId="347F10A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6、履约地点：禹州市中医院</w:t>
      </w:r>
    </w:p>
    <w:p w14:paraId="65CF337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53BDC19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0B3FBC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C8D5427">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2621FD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FF0000"/>
          <w:kern w:val="2"/>
          <w:sz w:val="21"/>
          <w:szCs w:val="21"/>
          <w:u w:val="single"/>
          <w:lang w:val="en-US" w:eastAsia="zh-CN" w:bidi="ar-SA"/>
        </w:rPr>
        <w:t>https://ggzy.xuchang.gov.cn</w:t>
      </w:r>
      <w:r>
        <w:rPr>
          <w:rFonts w:hint="eastAsia" w:asciiTheme="minorEastAsia" w:hAnsiTheme="minorEastAsia" w:eastAsiaTheme="minorEastAsia" w:cstheme="minorEastAsia"/>
          <w:color w:val="FF0000"/>
          <w:kern w:val="2"/>
          <w:sz w:val="21"/>
          <w:szCs w:val="21"/>
          <w:lang w:val="en-US" w:eastAsia="zh-CN" w:bidi="ar-SA"/>
        </w:rPr>
        <w:t>）的“投标人”登录入口免费获取本项目采购文件。</w:t>
      </w:r>
    </w:p>
    <w:p w14:paraId="0529D23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6F4E82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5D98F1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2025年9月23日8 时30分（北京时间），逾期提交或不符合规定的响应文件不予接受。</w:t>
      </w:r>
    </w:p>
    <w:p w14:paraId="4F021CC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2、谈判文件开启地点：禹州市公共资源交易中心九楼第二开标室。（本项目采用远程不见面开标方式，投标人无须到现场）。</w:t>
      </w:r>
    </w:p>
    <w:p w14:paraId="2E06C29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52BA6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052145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采购人名称：禹州市中医院</w:t>
      </w:r>
    </w:p>
    <w:p w14:paraId="4F3002F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地址：禹州市钧官窑路69号</w:t>
      </w:r>
    </w:p>
    <w:p w14:paraId="190F9B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eastAsia="zh-CN"/>
        </w:rPr>
        <w:t>：</w:t>
      </w:r>
      <w:r>
        <w:rPr>
          <w:rFonts w:hint="eastAsia" w:asciiTheme="minorEastAsia" w:hAnsiTheme="minorEastAsia" w:eastAsiaTheme="minorEastAsia" w:cstheme="minorEastAsia"/>
          <w:kern w:val="2"/>
          <w:sz w:val="21"/>
          <w:szCs w:val="21"/>
          <w:lang w:val="en-US" w:eastAsia="zh-CN" w:bidi="ar-SA"/>
        </w:rPr>
        <w:t xml:space="preserve">董先生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0374-8816966</w:t>
      </w:r>
    </w:p>
    <w:p w14:paraId="3BF059E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w:t>
      </w:r>
      <w:r>
        <w:rPr>
          <w:rFonts w:hint="eastAsia" w:asciiTheme="minorEastAsia" w:hAnsiTheme="minorEastAsia" w:eastAsiaTheme="minorEastAsia" w:cstheme="minorEastAsia"/>
          <w:color w:val="000000"/>
          <w:kern w:val="2"/>
          <w:sz w:val="21"/>
          <w:szCs w:val="21"/>
          <w:shd w:val="clear" w:color="auto" w:fill="FFFFFF"/>
          <w:lang w:val="en-US" w:eastAsia="zh-CN" w:bidi="ar-SA"/>
        </w:rPr>
        <w:t>人：朱先生</w:t>
      </w:r>
      <w:r>
        <w:rPr>
          <w:rFonts w:hint="eastAsia" w:asciiTheme="minorEastAsia" w:hAnsiTheme="minorEastAsia" w:eastAsiaTheme="minorEastAsia" w:cstheme="minorEastAsia"/>
          <w:kern w:val="2"/>
          <w:sz w:val="21"/>
          <w:szCs w:val="21"/>
          <w:lang w:val="en-US" w:eastAsia="zh-CN" w:bidi="ar-SA"/>
        </w:rPr>
        <w:t xml:space="preserve">   联系电话：0374-2077111</w:t>
      </w:r>
    </w:p>
    <w:p w14:paraId="7353DE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70732CDC">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0430A59">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4EC5BF7C">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1.2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85AD8A5">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51A6CF9E">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1D132E04">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4336CBB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78584948">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p>
    <w:p w14:paraId="2A1A9322">
      <w:pPr>
        <w:widowControl/>
        <w:shd w:val="clear" w:color="auto" w:fill="FFFFFF"/>
        <w:spacing w:line="560" w:lineRule="exact"/>
        <w:ind w:firstLine="482"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1</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对本次所有软硬件进行集成部署</w:t>
      </w:r>
    </w:p>
    <w:p w14:paraId="60BC4181">
      <w:pPr>
        <w:widowControl/>
        <w:shd w:val="clear" w:color="auto" w:fill="FFFFFF"/>
        <w:spacing w:line="560" w:lineRule="exact"/>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数据库数据迁移至本次采购数据库设备</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业务虚拟机迁移至本次采购虚拟化设备4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利旧设备并入本次采购虚拟化环境中5</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应用虚拟机迁移至本次采购超融合服务器</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6.</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提供以上服务的实施方案。</w:t>
      </w:r>
    </w:p>
    <w:p w14:paraId="4D24EA2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黑体"/>
          <w:b/>
          <w:bCs/>
          <w:sz w:val="24"/>
          <w:szCs w:val="24"/>
          <w:shd w:val="clear" w:color="auto" w:fill="FFFFFF"/>
          <w:lang w:eastAsia="zh-CN"/>
        </w:rPr>
      </w:pPr>
      <w:r>
        <w:rPr>
          <w:rFonts w:hint="eastAsia" w:ascii="宋体" w:hAnsi="宋体" w:eastAsia="宋体" w:cs="黑体"/>
          <w:b/>
          <w:bCs/>
          <w:sz w:val="24"/>
          <w:szCs w:val="24"/>
          <w:shd w:val="clear" w:color="auto" w:fill="FFFFFF"/>
          <w:lang w:val="en-US" w:eastAsia="zh-CN"/>
        </w:rPr>
        <w:t>二、</w:t>
      </w:r>
      <w:r>
        <w:rPr>
          <w:rFonts w:hint="eastAsia" w:ascii="宋体" w:hAnsi="宋体" w:eastAsia="宋体" w:cs="黑体"/>
          <w:b/>
          <w:bCs/>
          <w:sz w:val="24"/>
          <w:szCs w:val="24"/>
          <w:shd w:val="clear" w:color="auto" w:fill="FFFFFF"/>
        </w:rPr>
        <w:t>采购清单</w:t>
      </w:r>
      <w:r>
        <w:rPr>
          <w:rFonts w:hint="eastAsia" w:ascii="宋体" w:hAnsi="宋体" w:eastAsia="宋体" w:cs="黑体"/>
          <w:b/>
          <w:bCs/>
          <w:sz w:val="24"/>
          <w:szCs w:val="24"/>
          <w:shd w:val="clear" w:color="auto" w:fill="FFFFFF"/>
          <w:lang w:eastAsia="zh-CN"/>
        </w:rPr>
        <w:t>：</w:t>
      </w:r>
    </w:p>
    <w:tbl>
      <w:tblPr>
        <w:tblStyle w:val="26"/>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517"/>
        <w:gridCol w:w="5472"/>
        <w:gridCol w:w="660"/>
        <w:gridCol w:w="961"/>
      </w:tblGrid>
      <w:tr w14:paraId="0E48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5" w:type="dxa"/>
            <w:shd w:val="clear" w:color="auto" w:fill="auto"/>
            <w:vAlign w:val="top"/>
          </w:tcPr>
          <w:p w14:paraId="15622F01">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1517" w:type="dxa"/>
            <w:shd w:val="clear" w:color="auto" w:fill="auto"/>
            <w:vAlign w:val="top"/>
          </w:tcPr>
          <w:p w14:paraId="6BEFED9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5472" w:type="dxa"/>
            <w:shd w:val="clear" w:color="auto" w:fill="auto"/>
            <w:vAlign w:val="top"/>
          </w:tcPr>
          <w:p w14:paraId="1803EC0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参数</w:t>
            </w:r>
          </w:p>
        </w:tc>
        <w:tc>
          <w:tcPr>
            <w:tcW w:w="660" w:type="dxa"/>
            <w:shd w:val="clear" w:color="auto" w:fill="auto"/>
            <w:vAlign w:val="top"/>
          </w:tcPr>
          <w:p w14:paraId="31168C2D">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数量</w:t>
            </w:r>
          </w:p>
        </w:tc>
        <w:tc>
          <w:tcPr>
            <w:tcW w:w="961" w:type="dxa"/>
            <w:shd w:val="clear" w:color="auto" w:fill="auto"/>
            <w:vAlign w:val="top"/>
          </w:tcPr>
          <w:p w14:paraId="124B60ED">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备注</w:t>
            </w:r>
          </w:p>
        </w:tc>
      </w:tr>
      <w:tr w14:paraId="52F5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shd w:val="clear" w:color="auto" w:fill="auto"/>
            <w:vAlign w:val="top"/>
          </w:tcPr>
          <w:p w14:paraId="502EDB81">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517" w:type="dxa"/>
            <w:shd w:val="clear" w:color="auto" w:fill="auto"/>
            <w:vAlign w:val="top"/>
          </w:tcPr>
          <w:p w14:paraId="05BD1F34">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超融合服务器</w:t>
            </w:r>
          </w:p>
        </w:tc>
        <w:tc>
          <w:tcPr>
            <w:tcW w:w="5472" w:type="dxa"/>
            <w:shd w:val="clear" w:color="auto" w:fill="auto"/>
            <w:vAlign w:val="top"/>
          </w:tcPr>
          <w:p w14:paraId="3490225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1、≥2U高度，标准机架式服务器，标配原厂导轨；</w:t>
            </w:r>
          </w:p>
          <w:p w14:paraId="55B1026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2、≥2颗X86架构处理器， 主频≥2.0GHz，核数≥28核每颗；</w:t>
            </w:r>
          </w:p>
          <w:p w14:paraId="7885A90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3、≥8条32GB DDR4-3200内存，支持≥32个DDR4内存槽位；</w:t>
            </w:r>
          </w:p>
          <w:p w14:paraId="41C5F85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color w:val="FF0000"/>
                <w:sz w:val="21"/>
                <w:szCs w:val="21"/>
              </w:rPr>
            </w:pPr>
            <w:r>
              <w:rPr>
                <w:rFonts w:hint="eastAsia" w:ascii="仿宋" w:hAnsi="仿宋" w:eastAsia="仿宋" w:cs="仿宋"/>
                <w:sz w:val="21"/>
                <w:szCs w:val="21"/>
              </w:rPr>
              <w:t>4、配置≥2 块480GB SSD 系统盘，≥2块1.92TB NVMe 缓存盘，≥4 块4TB HDD 数据盘；支持SAS/SATA HDD/SSD硬盘，支持≥35个普通硬盘或者≥24块NVMe硬盘。</w:t>
            </w:r>
          </w:p>
          <w:p w14:paraId="63535CB7">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5、配置≥1 块独立PCIe RAID卡，≥4GB缓存，带掉电保护装置;</w:t>
            </w:r>
          </w:p>
          <w:p w14:paraId="4B7CB409">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6、提供≥10个PCIe4.0标准槽位和1个OCP 3.0槽位；</w:t>
            </w:r>
          </w:p>
          <w:p w14:paraId="1C67E4F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7、配置≥4个千兆电网口，≥4个万兆光网口；</w:t>
            </w:r>
          </w:p>
          <w:p w14:paraId="5C9B704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8、配置≥2块冗余电源和风扇；</w:t>
            </w:r>
          </w:p>
          <w:p w14:paraId="08E50A9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9、免费提供的服务器集群管理软件，可统一管理服务器（含海光、鲲鹏、飞腾、X86架构），可管理节点数不小于100；</w:t>
            </w:r>
          </w:p>
          <w:p w14:paraId="45AF692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10、通过传感器实现对服务器的温度、电压状态全面监控，可通过BMC页面查看温度、电流、电压、风扇转速传感器的历史曲线信息；</w:t>
            </w:r>
          </w:p>
          <w:p w14:paraId="3EC2A12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11、支持将一台服务器的操作系统（含应用、驱动、分区）批量复制到多台服务器，支持克隆Linux、VMware ESXi操作系统以及支持(克隆)镜像管理；</w:t>
            </w:r>
          </w:p>
          <w:p w14:paraId="6A5E1C8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12、支持固件&amp;驱动版本自动同步以及对版本进行合规性检测，免费更新，提升服务器版本管理效率。</w:t>
            </w:r>
          </w:p>
          <w:p w14:paraId="63D4308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p w14:paraId="79FE04E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软件需求：</w:t>
            </w:r>
          </w:p>
          <w:p w14:paraId="29F747D3">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1、通过超融合服务器管理平台即可实现对计算、存储、网络等资源进行统一管理，所有功能无需界面跳转即可实现全部操作，真正融合、简化管理。</w:t>
            </w:r>
          </w:p>
          <w:p w14:paraId="1BB2C273">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针对超融合整体软硬件故障问题，提供统一的可视的监控管理软件，可视化实时监控软件从硬件可靠性（包括CPU、内存、磁盘、物理网卡和Raid卡）、系统可靠性（包括集群主机、分布式存储、集群网络配置状态和集群资源过载状态）、服务可靠性（包括站点容灾、集群可靠性HA、应用HA、计算资源DRS、虚拟机运行状态和虚拟机备份）三大层面进行实时监控、分层展示，运维人员可以直观查看集群的整体运行情况，可以快速诊断集群的健康状态，同时支持对无需关注的检测异常启用屏蔽功能，启用屏蔽功能的检测异常将不会上报显示，可视、可控、可管，简化运维。</w:t>
            </w:r>
          </w:p>
          <w:p w14:paraId="53C8A82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3、超融合管理平台集成融合在线的p2v、v2v迁移工具，支持业界主流的操作系统、虚拟化平台、公有云。包括但不限于原项目中的VMware、华为、H3C 、深信服等厂商平台的迁移，提升被迁移业务平台的普适性、提升业务迁移的便捷性，降低业务迁移的工作量。</w:t>
            </w:r>
          </w:p>
          <w:p w14:paraId="792AA0A1">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4、支持对整个平台实现网络拓扑管理，支持在网络拓扑页面查看当前网络配置、增删虚拟交换机、增删虚拟网卡、增删虚拟防火墙、操作虚拟机、防火墙关联虚拟机网卡，提供功能彩页截图或官网截图证明。</w:t>
            </w:r>
          </w:p>
          <w:p w14:paraId="0B249FE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5、支持快速查看、启动、删除、批量启动和批量删除长时间未使用且处于关闭状态的虚拟机，进行资源利用率统计，降低运维工作量与难度，保障投资。</w:t>
            </w:r>
          </w:p>
          <w:p w14:paraId="1202956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虚拟机可以实现物理机的全部功能，如具有自己的资源（内存、CPU、网卡、存储），可以指定单独的IP地址、MAC地址等。支持虚拟机规格的在线和离线调整，包括CPU、内存、硬盘、网卡等资源，在虚拟机操作系统本身的前提下，热添加的CPU/内存可以即时生效。</w:t>
            </w:r>
          </w:p>
          <w:p w14:paraId="45CCC0A7">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color w:val="FF0000"/>
                <w:sz w:val="21"/>
                <w:szCs w:val="21"/>
              </w:rPr>
            </w:pPr>
            <w:r>
              <w:rPr>
                <w:rFonts w:hint="eastAsia" w:ascii="仿宋" w:hAnsi="仿宋" w:eastAsia="仿宋" w:cs="仿宋"/>
                <w:sz w:val="21"/>
                <w:szCs w:val="21"/>
              </w:rPr>
              <w:t>7、支持虚拟机迁移历史记录功能，记录中包含迁移的操作员、迁移方式、源主机、目的主机、开始时间、迁移耗时等信息，便于对虚拟机的迁移路径进行回溯；</w:t>
            </w:r>
          </w:p>
          <w:p w14:paraId="1C64E76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8、支持集群动态资源调度功能，可基于主机的CPU利用率、内存利用率、磁盘I/O、存储利用率、磁盘请求、网络流量等资源对虚拟机进行动态资源调度，实现自动化的存储资源分配和负载均衡功能，主动确保云环境的服务水平，为业务系统提供健康可用的资源环境；</w:t>
            </w:r>
          </w:p>
          <w:p w14:paraId="77BC1A3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9、投标人应提供超融合产品制造厂商售后技术支持服务(免费三年以上及终身有偿服务)。</w:t>
            </w:r>
          </w:p>
          <w:p w14:paraId="241086C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10、超融合服务器需出厂即预装软件，开箱即用，硬件和软件为同一品牌。</w:t>
            </w:r>
          </w:p>
        </w:tc>
        <w:tc>
          <w:tcPr>
            <w:tcW w:w="660" w:type="dxa"/>
            <w:shd w:val="clear" w:color="auto" w:fill="auto"/>
            <w:vAlign w:val="top"/>
          </w:tcPr>
          <w:p w14:paraId="72CA4D7B">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961" w:type="dxa"/>
            <w:shd w:val="clear" w:color="auto" w:fill="auto"/>
            <w:vAlign w:val="top"/>
          </w:tcPr>
          <w:p w14:paraId="434D1421">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2BD0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shd w:val="clear" w:color="auto" w:fill="auto"/>
            <w:vAlign w:val="top"/>
          </w:tcPr>
          <w:p w14:paraId="1F6B5360">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517" w:type="dxa"/>
            <w:shd w:val="clear" w:color="auto" w:fill="auto"/>
            <w:vAlign w:val="top"/>
          </w:tcPr>
          <w:p w14:paraId="2AD225F2">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超融合交换机</w:t>
            </w:r>
          </w:p>
        </w:tc>
        <w:tc>
          <w:tcPr>
            <w:tcW w:w="5472" w:type="dxa"/>
            <w:shd w:val="clear" w:color="auto" w:fill="auto"/>
            <w:vAlign w:val="top"/>
          </w:tcPr>
          <w:p w14:paraId="1CEBC14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1、交换容量≥2.56Tbps，包转发率≥360Mpps；</w:t>
            </w:r>
          </w:p>
          <w:p w14:paraId="102AF5DA">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2、提供≥24个1/10G SFP端口；</w:t>
            </w:r>
          </w:p>
          <w:p w14:paraId="237853F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3、支持链路聚合和虚拟化技术；</w:t>
            </w:r>
          </w:p>
          <w:p w14:paraId="6D942F0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4、支持VRRP、OSPFv1/v2、OSPF v3、BGP、ISIS等增强三层路由协议；</w:t>
            </w:r>
          </w:p>
          <w:p w14:paraId="6D2687E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5、支持CPU保护功能；</w:t>
            </w:r>
          </w:p>
          <w:p w14:paraId="4873702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支持内置智能图形化管理功能，能够实现通过图形化界面设备配置及命令一键下发和版本智能升级，全局配置及网管口配置，设备升级备份、监控及设备故障替换，组网拓扑可视及管理、设备列表展示等功能，提供功能彩页截图或官网截图证明。</w:t>
            </w:r>
          </w:p>
          <w:p w14:paraId="510640A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7、为保证兼容性</w:t>
            </w:r>
            <w:r>
              <w:rPr>
                <w:rFonts w:hint="eastAsia" w:ascii="仿宋" w:hAnsi="仿宋" w:eastAsia="仿宋" w:cs="仿宋"/>
                <w:bCs/>
                <w:sz w:val="21"/>
                <w:szCs w:val="21"/>
              </w:rPr>
              <w:t>，超融合交换机需与超融合服务器同一品牌。</w:t>
            </w:r>
          </w:p>
        </w:tc>
        <w:tc>
          <w:tcPr>
            <w:tcW w:w="660" w:type="dxa"/>
            <w:shd w:val="clear" w:color="auto" w:fill="auto"/>
            <w:vAlign w:val="top"/>
          </w:tcPr>
          <w:p w14:paraId="5BAC0C41">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961" w:type="dxa"/>
            <w:shd w:val="clear" w:color="auto" w:fill="auto"/>
            <w:vAlign w:val="top"/>
          </w:tcPr>
          <w:p w14:paraId="0109736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0818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shd w:val="clear" w:color="auto" w:fill="auto"/>
            <w:vAlign w:val="top"/>
          </w:tcPr>
          <w:p w14:paraId="401618FA">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517" w:type="dxa"/>
            <w:shd w:val="clear" w:color="auto" w:fill="auto"/>
            <w:vAlign w:val="top"/>
          </w:tcPr>
          <w:p w14:paraId="439965B0">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虚拟化服务器</w:t>
            </w:r>
          </w:p>
        </w:tc>
        <w:tc>
          <w:tcPr>
            <w:tcW w:w="5472" w:type="dxa"/>
            <w:shd w:val="clear" w:color="auto" w:fill="auto"/>
            <w:vAlign w:val="top"/>
          </w:tcPr>
          <w:p w14:paraId="458B0C3F">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1、设备高度≥2U，标配原厂导轨；</w:t>
            </w:r>
          </w:p>
          <w:p w14:paraId="3CA56CAA">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2、配置≥2颗X86架构处理器， 主频≥2.0GHz，核数≥28核每颗；</w:t>
            </w:r>
          </w:p>
          <w:p w14:paraId="4B2FD657">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3、配置≥16 根 32GB DDR4-3200内存条，支持≥32个DDR4内存槽位；</w:t>
            </w:r>
          </w:p>
          <w:p w14:paraId="523C1BC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4、配置≥2 块480GB SSD 硬盘，支持SAS/SATA HDD/SSD硬盘，支持≥35个普通硬盘或者≥24块NVMe硬盘，提供功能彩页截图或官网截图证明；</w:t>
            </w:r>
          </w:p>
          <w:p w14:paraId="54D1D09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5、配置≥1 块独立PCIe RAID卡，</w:t>
            </w:r>
            <w:r>
              <w:rPr>
                <w:rFonts w:hint="eastAsia" w:ascii="仿宋" w:hAnsi="仿宋" w:eastAsia="仿宋" w:cs="仿宋"/>
                <w:color w:val="000000" w:themeColor="text1"/>
                <w:sz w:val="21"/>
                <w:szCs w:val="21"/>
                <w14:textFill>
                  <w14:solidFill>
                    <w14:schemeClr w14:val="tx1"/>
                  </w14:solidFill>
                </w14:textFill>
              </w:rPr>
              <w:t>≥4GB缓存</w:t>
            </w:r>
            <w:r>
              <w:rPr>
                <w:rFonts w:hint="eastAsia" w:ascii="仿宋" w:hAnsi="仿宋" w:eastAsia="仿宋" w:cs="仿宋"/>
                <w:sz w:val="21"/>
                <w:szCs w:val="21"/>
              </w:rPr>
              <w:t>，支持缓存数据保护，且后备保护不受时间限制;</w:t>
            </w:r>
          </w:p>
          <w:p w14:paraId="4369903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6、提供≥10个PCIe4.0标准槽位和1个OCP 3.0槽位，提供功能彩页截图或官网截图证明；</w:t>
            </w:r>
          </w:p>
          <w:p w14:paraId="2993D0C3">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7、配置≥4个千兆电网口，≥4个万兆光网口；</w:t>
            </w:r>
          </w:p>
          <w:p w14:paraId="762F502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8、配置≥2块冗余电源和冗余风扇；</w:t>
            </w:r>
          </w:p>
          <w:p w14:paraId="782505C9">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9、配置LCD可触控智能管理模块，可显示服务器基本情况，</w:t>
            </w:r>
            <w:r>
              <w:rPr>
                <w:rFonts w:hint="eastAsia" w:ascii="仿宋" w:hAnsi="仿宋" w:eastAsia="仿宋" w:cs="仿宋"/>
                <w:bCs/>
                <w:sz w:val="21"/>
                <w:szCs w:val="21"/>
              </w:rPr>
              <w:t>支持各部件通过不同颜色展示健康状态；</w:t>
            </w:r>
          </w:p>
          <w:p w14:paraId="6E9A9D37">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
                <w:bCs/>
                <w:color w:val="FF0000"/>
                <w:sz w:val="21"/>
                <w:szCs w:val="21"/>
              </w:rPr>
            </w:pPr>
            <w:r>
              <w:rPr>
                <w:rFonts w:hint="eastAsia" w:ascii="仿宋" w:hAnsi="仿宋" w:eastAsia="仿宋" w:cs="仿宋"/>
                <w:sz w:val="21"/>
                <w:szCs w:val="21"/>
              </w:rPr>
              <w:t>10、支持通过服务U盘下载服务器设备故障诊断日志，BM</w:t>
            </w:r>
            <w:r>
              <w:rPr>
                <w:rFonts w:hint="eastAsia" w:ascii="仿宋" w:hAnsi="仿宋" w:eastAsia="仿宋" w:cs="仿宋"/>
                <w:bCs/>
                <w:sz w:val="21"/>
                <w:szCs w:val="21"/>
              </w:rPr>
              <w:t>C支持监控主机状态进程信息，提供彩页或官网截图证明；</w:t>
            </w:r>
          </w:p>
          <w:p w14:paraId="098A51B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11、免费提供的服务器集群管理软件，可统一管理服务器（含海光、鲲鹏、飞腾、X86架构），可管理节点数不小于100；</w:t>
            </w:r>
          </w:p>
          <w:p w14:paraId="3884E92F">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12、通过传感器实现对服务器的温度、电压状态全面监控，可通过BMC页面查看温度、电流、电压、风扇转速传感器的历史曲线信息；</w:t>
            </w:r>
          </w:p>
          <w:p w14:paraId="4A8EE0C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13、支持将一台服务器的操作系统（含应用、驱动、分区）批量复制到多台服务器，支持克隆Linux、VMware ESXi操作系统以及支持(克隆)镜像管理；</w:t>
            </w:r>
          </w:p>
          <w:p w14:paraId="7B439E9A">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14、支持固件&amp;驱动版本自动同步以及对版本进行合规性检测，免费更新，提升服务器版本管理效率。</w:t>
            </w:r>
          </w:p>
          <w:p w14:paraId="6DAE15A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15、为保证软件兼容性，</w:t>
            </w:r>
            <w:r>
              <w:rPr>
                <w:rFonts w:hint="eastAsia" w:ascii="仿宋" w:hAnsi="仿宋" w:eastAsia="仿宋" w:cs="仿宋"/>
                <w:bCs/>
                <w:sz w:val="21"/>
                <w:szCs w:val="21"/>
              </w:rPr>
              <w:t>需与序号4中的虚拟化软件为同一品牌</w:t>
            </w:r>
            <w:r>
              <w:rPr>
                <w:rFonts w:hint="eastAsia" w:ascii="仿宋" w:hAnsi="仿宋" w:eastAsia="仿宋" w:cs="仿宋"/>
                <w:sz w:val="21"/>
                <w:szCs w:val="21"/>
              </w:rPr>
              <w:t>。</w:t>
            </w:r>
          </w:p>
        </w:tc>
        <w:tc>
          <w:tcPr>
            <w:tcW w:w="660" w:type="dxa"/>
            <w:shd w:val="clear" w:color="auto" w:fill="auto"/>
            <w:vAlign w:val="top"/>
          </w:tcPr>
          <w:p w14:paraId="68AB5B23">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961" w:type="dxa"/>
            <w:shd w:val="clear" w:color="auto" w:fill="auto"/>
            <w:vAlign w:val="top"/>
          </w:tcPr>
          <w:p w14:paraId="6BB142E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1989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shd w:val="clear" w:color="auto" w:fill="auto"/>
            <w:vAlign w:val="top"/>
          </w:tcPr>
          <w:p w14:paraId="697D092E">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1517" w:type="dxa"/>
            <w:shd w:val="clear" w:color="auto" w:fill="auto"/>
            <w:vAlign w:val="top"/>
          </w:tcPr>
          <w:p w14:paraId="27E8E584">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虚拟化软件</w:t>
            </w:r>
          </w:p>
        </w:tc>
        <w:tc>
          <w:tcPr>
            <w:tcW w:w="5472" w:type="dxa"/>
            <w:shd w:val="clear" w:color="auto" w:fill="auto"/>
            <w:vAlign w:val="top"/>
          </w:tcPr>
          <w:p w14:paraId="36D5A091">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1、虚拟化软件提供知识自主产权证明，以保证功能的可靠性和安全性。</w:t>
            </w:r>
          </w:p>
          <w:p w14:paraId="14716DA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2、虚拟机支持市场上主流的国内外操作系统，包括Windows、RedHat、CentOS、Ubuntu、SUSE、Fedora、FreeBSD、统信、银河麒麟、中标麒麟、普华、深度、一铭、凝思等。</w:t>
            </w:r>
          </w:p>
          <w:p w14:paraId="433F9A9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虚拟化平台提供统一的虚拟化管理界面，支持管理所有虚拟化计算节点，在同一界面上提供虚拟机启动、休眠、恢复、重启、安全关闭、关闭电源、迁移、备份、快照、克隆、克隆为模板、修改等生命周期管理功能。</w:t>
            </w:r>
          </w:p>
          <w:p w14:paraId="15440C2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4、虚拟机可以实现物理机的全部功能，如具有自己的资源（内存、CPU、网卡、存储），可以指定单独的IP地址、MAC地址等。</w:t>
            </w:r>
          </w:p>
          <w:p w14:paraId="798122CF">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Cs/>
                <w:sz w:val="21"/>
                <w:szCs w:val="21"/>
              </w:rPr>
            </w:pPr>
            <w:r>
              <w:rPr>
                <w:rFonts w:hint="eastAsia" w:ascii="仿宋" w:hAnsi="仿宋" w:eastAsia="仿宋" w:cs="仿宋"/>
                <w:sz w:val="21"/>
                <w:szCs w:val="21"/>
              </w:rPr>
              <w:t>5、支持虚拟机规格的在线和离线调整，包括CPU、内存、硬盘、网卡等资源，在虚拟机操作系统本身支持的前提下，热添加</w:t>
            </w:r>
            <w:r>
              <w:rPr>
                <w:rFonts w:hint="eastAsia" w:ascii="仿宋" w:hAnsi="仿宋" w:eastAsia="仿宋" w:cs="仿宋"/>
                <w:bCs/>
                <w:sz w:val="21"/>
                <w:szCs w:val="21"/>
              </w:rPr>
              <w:t>的CPU/内存可以即时生效。</w:t>
            </w:r>
          </w:p>
          <w:p w14:paraId="654162B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6、支持</w:t>
            </w:r>
            <w:r>
              <w:rPr>
                <w:rFonts w:hint="eastAsia" w:ascii="仿宋" w:hAnsi="仿宋" w:eastAsia="仿宋" w:cs="仿宋"/>
                <w:bCs/>
                <w:sz w:val="21"/>
                <w:szCs w:val="21"/>
              </w:rPr>
              <w:t>查看宿主机正在使用的服务及端口号，并设置访问端口的IP范围，防止未授权的访问和攻击。</w:t>
            </w:r>
          </w:p>
          <w:p w14:paraId="055E59E3">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7、支持批量修改虚拟机的配置参数，包括：I/O优先级、启动优先级、是否自动迁移、CPU调度优先级、CPU个数、内存大小、自动启动、VM启动设备、tools自动升级等；支持虚拟机桌面预览功能，无需登录虚拟机即可在虚拟化管理平台上看到虚拟机当前桌面的状态，降低用户运维工作量，提</w:t>
            </w:r>
            <w:r>
              <w:rPr>
                <w:rFonts w:hint="eastAsia" w:ascii="仿宋" w:hAnsi="仿宋" w:eastAsia="仿宋" w:cs="仿宋"/>
                <w:bCs/>
                <w:sz w:val="21"/>
                <w:szCs w:val="21"/>
              </w:rPr>
              <w:t>升运维效率。</w:t>
            </w:r>
          </w:p>
          <w:p w14:paraId="0A037B2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8、虚拟化管理平台内置在线p2v、v2v迁移工具，支持业界主流的操作系统、公有云平台、虚拟化平台，包括但不限于原项目中的VMware、H3C、华为等平台的迁移功能，提升被迁移业</w:t>
            </w:r>
            <w:r>
              <w:rPr>
                <w:rFonts w:hint="eastAsia" w:ascii="仿宋" w:hAnsi="仿宋" w:eastAsia="仿宋" w:cs="仿宋"/>
                <w:bCs/>
                <w:sz w:val="21"/>
                <w:szCs w:val="21"/>
              </w:rPr>
              <w:t>务平台的普适性、降低业务上云的难度，降低运维工作量。</w:t>
            </w:r>
          </w:p>
          <w:p w14:paraId="434F9A6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9、支持当虚拟机的CPU、内存利用率超过设置的阈值时，在虚拟机操作系统本身支持资源热添加的前提下，系统将自动为该虚拟机增加相应的CPU和内存资源，无需人工干预。</w:t>
            </w:r>
          </w:p>
          <w:p w14:paraId="4301856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10、支持vGPU虚拟机热迁移功能，无需中断或停机即可将正在运行的vGPU虚拟机从一台服务器迁移到另一台服务</w:t>
            </w:r>
            <w:r>
              <w:rPr>
                <w:rFonts w:hint="eastAsia" w:ascii="仿宋" w:hAnsi="仿宋" w:eastAsia="仿宋" w:cs="仿宋"/>
                <w:bCs/>
                <w:sz w:val="21"/>
                <w:szCs w:val="21"/>
              </w:rPr>
              <w:t>器，提高业务连续性。</w:t>
            </w:r>
          </w:p>
          <w:p w14:paraId="1809E10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11、支持监控虚拟机应用进程的运行状态，在虚拟机应用进程故障时，重启应用或重启虚拟机，最小化业务宕机时间，支持Tomcat、IIS、HTTP Server、SharePoint等应用。</w:t>
            </w:r>
          </w:p>
          <w:p w14:paraId="0A7BA839">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12、虚拟化软件授权（配置16个CPU的授权）含集成部署服务，软件技术支持服务(三年以上免费及终身有偿服务)</w:t>
            </w:r>
          </w:p>
        </w:tc>
        <w:tc>
          <w:tcPr>
            <w:tcW w:w="660" w:type="dxa"/>
            <w:shd w:val="clear" w:color="auto" w:fill="auto"/>
            <w:vAlign w:val="top"/>
          </w:tcPr>
          <w:p w14:paraId="559D45FD">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961" w:type="dxa"/>
            <w:shd w:val="clear" w:color="auto" w:fill="auto"/>
            <w:vAlign w:val="top"/>
          </w:tcPr>
          <w:p w14:paraId="1B15BD4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773D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shd w:val="clear" w:color="auto" w:fill="auto"/>
            <w:vAlign w:val="top"/>
          </w:tcPr>
          <w:p w14:paraId="7BD20661">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517" w:type="dxa"/>
            <w:shd w:val="clear" w:color="auto" w:fill="auto"/>
            <w:vAlign w:val="top"/>
          </w:tcPr>
          <w:p w14:paraId="0A2D53A2">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双活SAN存储</w:t>
            </w:r>
          </w:p>
        </w:tc>
        <w:tc>
          <w:tcPr>
            <w:tcW w:w="5472" w:type="dxa"/>
            <w:shd w:val="clear" w:color="auto" w:fill="auto"/>
            <w:vAlign w:val="top"/>
          </w:tcPr>
          <w:p w14:paraId="23B93EA3">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1、≥4U高度，双控高可用全冗余盘控一体架构设计，单控制器故障、更换、升级、自动切换，存储系统性能都完全不会受到影响。</w:t>
            </w:r>
          </w:p>
          <w:p w14:paraId="6040748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
                <w:bCs/>
                <w:color w:val="FF0000"/>
                <w:sz w:val="21"/>
                <w:szCs w:val="21"/>
              </w:rPr>
            </w:pPr>
            <w:r>
              <w:rPr>
                <w:rFonts w:hint="eastAsia" w:ascii="仿宋" w:hAnsi="仿宋" w:eastAsia="仿宋" w:cs="仿宋"/>
                <w:sz w:val="21"/>
                <w:szCs w:val="21"/>
              </w:rPr>
              <w:t>2、支持三盘校验，同一RAID组内任意三块数据磁盘(不含热备盘</w:t>
            </w:r>
            <w:r>
              <w:rPr>
                <w:rFonts w:hint="eastAsia" w:ascii="仿宋" w:hAnsi="仿宋" w:eastAsia="仿宋" w:cs="仿宋"/>
                <w:bCs/>
                <w:sz w:val="21"/>
                <w:szCs w:val="21"/>
              </w:rPr>
              <w:t>)失效时，数据不丢失。</w:t>
            </w:r>
          </w:p>
          <w:p w14:paraId="6DA6784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3、满足服务稳定性要求，单一存储控制器故障时，系统IOPS性能数值≥140000 IOPS，访问延迟≤0.5ms，提供功能彩页截图或官网截图证明；</w:t>
            </w:r>
          </w:p>
          <w:p w14:paraId="2AE240BA">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4、配置2个存储控制器，最大可以扩展到8个控制器引擎。采用Intel Cascade Lake及以上处理器，双控存储系统X86 CPU核心总数≥12；</w:t>
            </w:r>
          </w:p>
          <w:p w14:paraId="32E21DC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5、双控实际配置缓存80GB（缓存不包含SSD磁盘、PCI-E SSD、闪存和NAS控制器缓存），采用NVDIMM非易失性缓存，对写入时不同大小的数据块进行整理和聚合，以条带顺序写入后端介质，极速提升随机写入效率；</w:t>
            </w:r>
          </w:p>
          <w:p w14:paraId="5F6C6B1F">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6、配置万兆电口≥6，16Gb FC端口含模块≥8，支持32Gb FC/16Gb FC/25Gb /10Gb /1Gb iSCSI 等主机接口；</w:t>
            </w:r>
          </w:p>
          <w:p w14:paraId="50A71927">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7、实际配置≥21块2TB HDD，配置≥6块480GB SSD，非压缩非去重可用空间≥30TB；</w:t>
            </w:r>
          </w:p>
          <w:p w14:paraId="2025545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8、配置无容量限制快照、克隆、二级缓存、重删、压缩、容灾复制、双活、智能运维许可；</w:t>
            </w:r>
          </w:p>
          <w:p w14:paraId="425F0E8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9、具有开启重删、压缩、快照功能，存储系统性能都完全不会受</w:t>
            </w:r>
            <w:r>
              <w:rPr>
                <w:rFonts w:hint="eastAsia" w:ascii="仿宋" w:hAnsi="仿宋" w:eastAsia="仿宋" w:cs="仿宋"/>
                <w:bCs/>
                <w:sz w:val="21"/>
                <w:szCs w:val="21"/>
              </w:rPr>
              <w:t>到影响；</w:t>
            </w:r>
          </w:p>
          <w:p w14:paraId="3E85714F">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10、支持根据应用类型，智能创建不同的数据缩减策略，提供不</w:t>
            </w:r>
            <w:r>
              <w:rPr>
                <w:rFonts w:hint="eastAsia" w:ascii="仿宋" w:hAnsi="仿宋" w:eastAsia="仿宋" w:cs="仿宋"/>
                <w:b/>
                <w:bCs/>
                <w:sz w:val="21"/>
                <w:szCs w:val="21"/>
              </w:rPr>
              <w:t>少于</w:t>
            </w:r>
            <w:r>
              <w:rPr>
                <w:rFonts w:hint="eastAsia" w:ascii="仿宋" w:hAnsi="仿宋" w:eastAsia="仿宋" w:cs="仿宋"/>
                <w:bCs/>
                <w:sz w:val="21"/>
                <w:szCs w:val="21"/>
              </w:rPr>
              <w:t>20种应用策略</w:t>
            </w:r>
            <w:r>
              <w:rPr>
                <w:rFonts w:hint="eastAsia" w:ascii="仿宋" w:hAnsi="仿宋" w:eastAsia="仿宋" w:cs="仿宋"/>
                <w:sz w:val="21"/>
                <w:szCs w:val="21"/>
              </w:rPr>
              <w:t>；</w:t>
            </w:r>
          </w:p>
          <w:p w14:paraId="47701E67">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11、支持预测存储满盘时间，能够显示 CPU 饱和度、Cache 饱和度、存储容量当前已用容量、存储总容量、性能降级</w:t>
            </w:r>
            <w:r>
              <w:rPr>
                <w:rFonts w:hint="eastAsia" w:ascii="仿宋" w:hAnsi="仿宋" w:eastAsia="仿宋" w:cs="仿宋"/>
                <w:bCs/>
                <w:sz w:val="21"/>
                <w:szCs w:val="21"/>
              </w:rPr>
              <w:t>阈值和存储池容量使用预测值；</w:t>
            </w:r>
          </w:p>
          <w:p w14:paraId="3B56713A">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12、配置云化资源供给功能，在存储云服务平台下输入应用场景、容量、性能需求等信息，存储云服务平台可基于需求自动化分配合适的资源来供给，提供不少于15种业务应用类型进行资源供给；</w:t>
            </w:r>
          </w:p>
          <w:p w14:paraId="43309B8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13、为保证业务对接兼容，需与</w:t>
            </w:r>
            <w:r>
              <w:rPr>
                <w:rFonts w:hint="eastAsia" w:ascii="仿宋" w:hAnsi="仿宋" w:eastAsia="仿宋" w:cs="仿宋"/>
                <w:bCs/>
                <w:sz w:val="21"/>
                <w:szCs w:val="21"/>
              </w:rPr>
              <w:t>虚拟化服务器同一品牌</w:t>
            </w:r>
            <w:r>
              <w:rPr>
                <w:rFonts w:hint="eastAsia" w:ascii="仿宋" w:hAnsi="仿宋" w:eastAsia="仿宋" w:cs="仿宋"/>
                <w:sz w:val="21"/>
                <w:szCs w:val="21"/>
              </w:rPr>
              <w:t>。</w:t>
            </w:r>
          </w:p>
        </w:tc>
        <w:tc>
          <w:tcPr>
            <w:tcW w:w="660" w:type="dxa"/>
            <w:shd w:val="clear" w:color="auto" w:fill="auto"/>
            <w:vAlign w:val="top"/>
          </w:tcPr>
          <w:p w14:paraId="4642F558">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961" w:type="dxa"/>
            <w:shd w:val="clear" w:color="auto" w:fill="auto"/>
            <w:vAlign w:val="top"/>
          </w:tcPr>
          <w:p w14:paraId="487DCF9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6CE7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shd w:val="clear" w:color="auto" w:fill="auto"/>
            <w:vAlign w:val="top"/>
          </w:tcPr>
          <w:p w14:paraId="3F5E1951">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1517" w:type="dxa"/>
            <w:shd w:val="clear" w:color="auto" w:fill="auto"/>
            <w:vAlign w:val="top"/>
          </w:tcPr>
          <w:p w14:paraId="22019A3A">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数据库服</w:t>
            </w:r>
            <w:r>
              <w:rPr>
                <w:rFonts w:hint="eastAsia" w:ascii="仿宋" w:hAnsi="仿宋" w:eastAsia="仿宋" w:cs="仿宋"/>
                <w:sz w:val="21"/>
                <w:szCs w:val="21"/>
                <w:lang w:val="en-US" w:eastAsia="zh-CN"/>
              </w:rPr>
              <w:t>务</w:t>
            </w:r>
            <w:r>
              <w:rPr>
                <w:rFonts w:hint="eastAsia" w:ascii="仿宋" w:hAnsi="仿宋" w:eastAsia="仿宋" w:cs="仿宋"/>
                <w:sz w:val="21"/>
                <w:szCs w:val="21"/>
              </w:rPr>
              <w:t>器</w:t>
            </w:r>
          </w:p>
        </w:tc>
        <w:tc>
          <w:tcPr>
            <w:tcW w:w="5472" w:type="dxa"/>
            <w:shd w:val="clear" w:color="auto" w:fill="auto"/>
            <w:vAlign w:val="top"/>
          </w:tcPr>
          <w:p w14:paraId="71171D1A">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1、设备高度≥4U，标配原厂导轨；</w:t>
            </w:r>
          </w:p>
          <w:p w14:paraId="56635EC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2、配置≥4颗X86架构处理器， 主频≥2.1GHz，核数≥24核每颗；</w:t>
            </w:r>
          </w:p>
          <w:p w14:paraId="22EAFE0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3、实配≥16条32GB DDR5 内存，提供≥64个内存槽位；</w:t>
            </w:r>
          </w:p>
          <w:p w14:paraId="00DFB8A9">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4、配置≥2块480GB SSD硬盘，≥8块1.92TB SSD硬盘。支持2.5"热插拔 SAS/SATA/SSD/NVMe硬盘，支持≥48块2.5寸热插拔硬盘，支持≥24个可热插拔NVMe 硬盘；</w:t>
            </w:r>
          </w:p>
          <w:p w14:paraId="3EA4CF9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5、配置≥1个独立PCIe阵列卡，支持Raid0/1/10/5/50/6/60，≥8GB缓存。支持缓存数据保护，且后备保护不受时间限制；</w:t>
            </w:r>
          </w:p>
          <w:p w14:paraId="4D8F851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
                <w:bCs/>
                <w:color w:val="FF0000"/>
                <w:sz w:val="21"/>
                <w:szCs w:val="21"/>
              </w:rPr>
            </w:pPr>
            <w:r>
              <w:rPr>
                <w:rFonts w:hint="eastAsia" w:ascii="仿宋" w:hAnsi="仿宋" w:eastAsia="仿宋" w:cs="仿宋"/>
                <w:sz w:val="21"/>
                <w:szCs w:val="21"/>
              </w:rPr>
              <w:t>6、</w:t>
            </w:r>
            <w:r>
              <w:rPr>
                <w:rFonts w:hint="eastAsia" w:ascii="仿宋" w:hAnsi="仿宋" w:eastAsia="仿宋" w:cs="仿宋"/>
                <w:bCs/>
                <w:sz w:val="21"/>
                <w:szCs w:val="21"/>
              </w:rPr>
              <w:t>支持≥20个PCIe 5.0 标准插槽，≥2个OCP 3.0 插槽；</w:t>
            </w:r>
          </w:p>
          <w:p w14:paraId="5DC87B4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7、配置≥4个千兆电网口，≥4个万兆光网口；</w:t>
            </w:r>
          </w:p>
          <w:p w14:paraId="6E678471">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8、标配1个前置专用管理接口，配置≥4块热插拔冗余电源，支持1+1/N+N冗余；</w:t>
            </w:r>
          </w:p>
          <w:p w14:paraId="108F6601">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9、配置LCD可触控智能管理模块，可显示服务器基本情况，支持各部件通过不</w:t>
            </w:r>
            <w:r>
              <w:rPr>
                <w:rFonts w:hint="eastAsia" w:ascii="仿宋" w:hAnsi="仿宋" w:eastAsia="仿宋" w:cs="仿宋"/>
                <w:b/>
                <w:bCs/>
                <w:sz w:val="21"/>
                <w:szCs w:val="21"/>
              </w:rPr>
              <w:t>同颜色展示健康状态</w:t>
            </w:r>
            <w:r>
              <w:rPr>
                <w:rFonts w:hint="eastAsia" w:ascii="仿宋" w:hAnsi="仿宋" w:eastAsia="仿宋" w:cs="仿宋"/>
                <w:sz w:val="21"/>
                <w:szCs w:val="21"/>
              </w:rPr>
              <w:t>；</w:t>
            </w:r>
          </w:p>
          <w:p w14:paraId="3202760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10、支持通过服务U盘下载服务器设备故障诊断日志，BMC支持监控主机状态进程信息；</w:t>
            </w:r>
          </w:p>
          <w:p w14:paraId="596F8C79">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11、免费提供的服务器集群管理软件，可统一管理服务器（含海光、鲲鹏、飞腾、X86架构），可管理节点数不小于100；</w:t>
            </w:r>
          </w:p>
          <w:p w14:paraId="628FFC61">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12、通过传感器实现对服务器的温度、电压状态全面监控，可通过BMC页面查看温度、电流、电压、风扇转速传感器的历史曲线信息；</w:t>
            </w:r>
          </w:p>
          <w:p w14:paraId="6E791A11">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13、支持将一台服务器的操作系统（含应用、驱动、分区）批量复制到多台服务器，支持克隆Linux、VMware ESXi操作系统以及支持(克隆)镜像管理，提供功能彩页截图或官网截图证明；</w:t>
            </w:r>
          </w:p>
          <w:p w14:paraId="45479D21">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14、支持固件&amp;驱动版本自动同步以及对版本进行合规性检测，免费更新，提升服务器版本管理效率。</w:t>
            </w:r>
          </w:p>
        </w:tc>
        <w:tc>
          <w:tcPr>
            <w:tcW w:w="660" w:type="dxa"/>
            <w:shd w:val="clear" w:color="auto" w:fill="auto"/>
            <w:vAlign w:val="top"/>
          </w:tcPr>
          <w:p w14:paraId="77B4BDD6">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961" w:type="dxa"/>
            <w:shd w:val="clear" w:color="auto" w:fill="auto"/>
            <w:vAlign w:val="top"/>
          </w:tcPr>
          <w:p w14:paraId="327056C3">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461A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5" w:type="dxa"/>
            <w:shd w:val="clear" w:color="auto" w:fill="auto"/>
            <w:vAlign w:val="top"/>
          </w:tcPr>
          <w:p w14:paraId="17A2CF10">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7</w:t>
            </w:r>
          </w:p>
        </w:tc>
        <w:tc>
          <w:tcPr>
            <w:tcW w:w="1517" w:type="dxa"/>
            <w:shd w:val="clear" w:color="auto" w:fill="auto"/>
            <w:vAlign w:val="top"/>
          </w:tcPr>
          <w:p w14:paraId="7E3F5205">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备份服务器</w:t>
            </w:r>
          </w:p>
        </w:tc>
        <w:tc>
          <w:tcPr>
            <w:tcW w:w="5472" w:type="dxa"/>
            <w:shd w:val="clear" w:color="auto" w:fill="auto"/>
            <w:vAlign w:val="top"/>
          </w:tcPr>
          <w:p w14:paraId="4F84978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1、设备高度≥2U，标配原厂导轨；</w:t>
            </w:r>
          </w:p>
          <w:p w14:paraId="7511870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2、配置≥2颗X86架构处理器， 主频≥2.4GHz，核数≥16核每颗；</w:t>
            </w:r>
          </w:p>
          <w:p w14:paraId="084C75C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3、配置≥4 根 32GB DDR4-3200内存条，支持≥32个DDR4内存槽位；</w:t>
            </w:r>
          </w:p>
          <w:p w14:paraId="7E1F01A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4、配置≥2 块960GB SSD 硬盘，≥6 块8TB HDD硬盘，支持SAS</w:t>
            </w:r>
            <w:r>
              <w:rPr>
                <w:rFonts w:hint="eastAsia" w:ascii="仿宋" w:hAnsi="仿宋" w:eastAsia="仿宋" w:cs="仿宋"/>
                <w:bCs/>
                <w:sz w:val="21"/>
                <w:szCs w:val="21"/>
              </w:rPr>
              <w:t>/SATA HDD/SSD硬盘，支持≥35个普通硬盘或者≥24块NVMe硬盘；</w:t>
            </w:r>
          </w:p>
          <w:p w14:paraId="6676BF87">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5、配置≥1 块独立PCIe RAID卡，≥4GB缓存，支持缓存数据保护，且后备保护不受时间限制;</w:t>
            </w:r>
          </w:p>
          <w:p w14:paraId="59A0632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
                <w:bCs/>
                <w:color w:val="FF0000"/>
                <w:sz w:val="21"/>
                <w:szCs w:val="21"/>
              </w:rPr>
            </w:pPr>
            <w:r>
              <w:rPr>
                <w:rFonts w:hint="eastAsia" w:ascii="仿宋" w:hAnsi="仿宋" w:eastAsia="仿宋" w:cs="仿宋"/>
                <w:sz w:val="21"/>
                <w:szCs w:val="21"/>
              </w:rPr>
              <w:t>6、提供≥10个PCIe4.0标准槽位和1个</w:t>
            </w:r>
            <w:r>
              <w:rPr>
                <w:rFonts w:hint="eastAsia" w:ascii="仿宋" w:hAnsi="仿宋" w:eastAsia="仿宋" w:cs="仿宋"/>
                <w:bCs/>
                <w:sz w:val="21"/>
                <w:szCs w:val="21"/>
              </w:rPr>
              <w:t>OCP 3.0槽位；</w:t>
            </w:r>
          </w:p>
          <w:p w14:paraId="470D3E6F">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7、配置≥4个千兆电网口，≥2个万兆光网口；</w:t>
            </w:r>
          </w:p>
          <w:p w14:paraId="54B8E6B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8、配置≥2块冗余电源和冗余风扇；</w:t>
            </w:r>
          </w:p>
          <w:p w14:paraId="0D15276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
                <w:bCs/>
                <w:color w:val="FF0000"/>
                <w:sz w:val="21"/>
                <w:szCs w:val="21"/>
              </w:rPr>
            </w:pPr>
            <w:r>
              <w:rPr>
                <w:rFonts w:hint="eastAsia" w:ascii="仿宋" w:hAnsi="仿宋" w:eastAsia="仿宋" w:cs="仿宋"/>
                <w:sz w:val="21"/>
                <w:szCs w:val="21"/>
              </w:rPr>
              <w:t>9、配置LCD可触控智能管理模块，可显示服务器基本情况，支持各部件通过不同颜色</w:t>
            </w:r>
            <w:r>
              <w:rPr>
                <w:rFonts w:hint="eastAsia" w:ascii="仿宋" w:hAnsi="仿宋" w:eastAsia="仿宋" w:cs="仿宋"/>
                <w:bCs/>
                <w:sz w:val="21"/>
                <w:szCs w:val="21"/>
              </w:rPr>
              <w:t>展示健康状态；</w:t>
            </w:r>
          </w:p>
          <w:p w14:paraId="52674DD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10、支持通过服务U盘下载服务器设备故障诊断日志，BMC支持监控主机状态进程信息；</w:t>
            </w:r>
          </w:p>
          <w:p w14:paraId="3E8FB39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11、免费提供的服务器集群管理软件，可统一管理服务器（含海光、鲲鹏、飞腾、X86架构），可管理节点数不小于100；</w:t>
            </w:r>
          </w:p>
          <w:p w14:paraId="08D0DEE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12、通过传感器实现对服务器的温度、电压状态全面监控，可通过BMC页面查看温度、电流、电压、风扇转速传感器的历史曲线信息；</w:t>
            </w:r>
          </w:p>
          <w:p w14:paraId="517B263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13、支持将一台服务器的操作系统（含应用、驱动、分区）批量复制到多台服务器，支持克隆Linux、VMware ESXi操作系统以及支持(克隆)镜像管理；</w:t>
            </w:r>
          </w:p>
          <w:p w14:paraId="54B45CA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14、支持固件&amp;驱动版本自动同步以及对版本进行合规性检测，免费更新，提升服务器版本管理效率。</w:t>
            </w:r>
          </w:p>
        </w:tc>
        <w:tc>
          <w:tcPr>
            <w:tcW w:w="660" w:type="dxa"/>
            <w:shd w:val="clear" w:color="auto" w:fill="auto"/>
            <w:vAlign w:val="top"/>
          </w:tcPr>
          <w:p w14:paraId="16C79920">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961" w:type="dxa"/>
            <w:shd w:val="clear" w:color="auto" w:fill="auto"/>
            <w:vAlign w:val="top"/>
          </w:tcPr>
          <w:p w14:paraId="6D8BCD2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5607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5" w:type="dxa"/>
            <w:shd w:val="clear" w:color="auto" w:fill="auto"/>
            <w:vAlign w:val="top"/>
          </w:tcPr>
          <w:p w14:paraId="37BA04D3">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8</w:t>
            </w:r>
          </w:p>
        </w:tc>
        <w:tc>
          <w:tcPr>
            <w:tcW w:w="1517" w:type="dxa"/>
            <w:shd w:val="clear" w:color="auto" w:fill="auto"/>
            <w:vAlign w:val="top"/>
          </w:tcPr>
          <w:p w14:paraId="11FC4E9E">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备份软件</w:t>
            </w:r>
          </w:p>
        </w:tc>
        <w:tc>
          <w:tcPr>
            <w:tcW w:w="5472" w:type="dxa"/>
            <w:shd w:val="clear" w:color="auto" w:fill="auto"/>
            <w:vAlign w:val="top"/>
          </w:tcPr>
          <w:p w14:paraId="35B7804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1、备份系统的管理平台支持B/S架构，通过浏览器访问备份平台对定时备份、CDP、数据库复制等相关功能进行统一管理。</w:t>
            </w:r>
          </w:p>
          <w:p w14:paraId="20CC0BD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2、备份系统可部署在X86和ARM架构的服务器上，支持海光、鲲鹏、飞腾、龙芯、兆芯、申威等国产化服务器。</w:t>
            </w:r>
          </w:p>
          <w:p w14:paraId="542A023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3、支持管理员、安全员和审计员的管理，登录账号可自定义密码长度和复杂度，可设置登录失败次数和密码更换周期。</w:t>
            </w:r>
          </w:p>
          <w:p w14:paraId="4C439C57">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4、支持RAID卡管理，可以创建、删除RAID磁盘组，并可查看RAID卡、磁盘的温度、配置参数等信息。</w:t>
            </w:r>
          </w:p>
          <w:p w14:paraId="7DCC76F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5、支持将块存储、文件存储、对象存储、物理/虚拟磁带库、光盘等作为备份数据的存储介质。</w:t>
            </w:r>
          </w:p>
          <w:p w14:paraId="2901EC1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6、支持采用LAN-Free方式对文件、数据库、操作系统和虚拟化平台进行数据备份，节省网络流量开销，LAN-Free的网络协议必须能支持iSCSI和FC。</w:t>
            </w:r>
          </w:p>
          <w:p w14:paraId="3BDBC49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7、支持NAT穿透技术，在保障数据通信安全的前提下，可同时对内网和外网的数据进行备份。提供相应界面功能截图；</w:t>
            </w:r>
          </w:p>
          <w:p w14:paraId="4AF8777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8、支持源端/目的端重删，并行重删技术，提升备份数据的去重率，满足海量数据的去重需求。</w:t>
            </w:r>
          </w:p>
          <w:p w14:paraId="4B86689F">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9、提供文件模拟备份和数据库模拟备份功能，不需要通过执行备份任务来获取到备份目标的文件数量和数据大小等信息，以便更合理地规划备份策略。</w:t>
            </w:r>
          </w:p>
          <w:p w14:paraId="1414B8DA">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10、支持对VMware vSphere、XenServer、FusionComputer和CAS等主流虚拟化平台的无代理备份，可以以资源池、集群、主机为单位进行虚拟机的备份保护，无需在虚拟机内部安装任何代理软件。</w:t>
            </w:r>
          </w:p>
          <w:p w14:paraId="5676C443">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11、支持对虚拟化/超融合平台虚拟机文件细粒度的恢复，在恢复时可指定虚拟机中的某个文件夹或文件。</w:t>
            </w:r>
          </w:p>
          <w:p w14:paraId="0EB72EE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12、内置公有云备份功能，只需增加混合云备份授权，即可轻松实现备份数据上云，并且从云上恢复数据不限次数，不限流量，不另行收取下行流量费用。</w:t>
            </w:r>
          </w:p>
          <w:p w14:paraId="19B3A6E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
                <w:bCs/>
                <w:color w:val="FF0000"/>
                <w:sz w:val="21"/>
                <w:szCs w:val="21"/>
                <w:highlight w:val="green"/>
              </w:rPr>
            </w:pPr>
            <w:r>
              <w:rPr>
                <w:rFonts w:hint="eastAsia" w:ascii="仿宋" w:hAnsi="仿宋" w:eastAsia="仿宋" w:cs="仿宋"/>
                <w:sz w:val="21"/>
                <w:szCs w:val="21"/>
              </w:rPr>
              <w:t>13、</w:t>
            </w:r>
            <w:r>
              <w:rPr>
                <w:rFonts w:hint="eastAsia" w:ascii="仿宋" w:hAnsi="仿宋" w:eastAsia="仿宋" w:cs="仿宋"/>
                <w:bCs/>
                <w:sz w:val="21"/>
                <w:szCs w:val="21"/>
              </w:rPr>
              <w:t>国产自主品牌。</w:t>
            </w:r>
          </w:p>
          <w:p w14:paraId="1205A21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14、投标人提供原厂制造商通过ISO9001质量体系认证和ISO14001环境管理体系认证的证明书。</w:t>
            </w:r>
          </w:p>
          <w:p w14:paraId="55A6BFB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bCs/>
                <w:sz w:val="21"/>
                <w:szCs w:val="21"/>
              </w:rPr>
              <w:t>15、本次提供≥24TB备份容量免费授权。</w:t>
            </w:r>
          </w:p>
        </w:tc>
        <w:tc>
          <w:tcPr>
            <w:tcW w:w="660" w:type="dxa"/>
            <w:shd w:val="clear" w:color="auto" w:fill="auto"/>
            <w:vAlign w:val="top"/>
          </w:tcPr>
          <w:p w14:paraId="46E18919">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961" w:type="dxa"/>
            <w:shd w:val="clear" w:color="auto" w:fill="auto"/>
            <w:vAlign w:val="top"/>
          </w:tcPr>
          <w:p w14:paraId="785DB0D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3CA3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5" w:type="dxa"/>
            <w:shd w:val="clear" w:color="auto" w:fill="auto"/>
            <w:vAlign w:val="top"/>
          </w:tcPr>
          <w:p w14:paraId="35EF869A">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9</w:t>
            </w:r>
          </w:p>
        </w:tc>
        <w:tc>
          <w:tcPr>
            <w:tcW w:w="1517" w:type="dxa"/>
            <w:shd w:val="clear" w:color="auto" w:fill="auto"/>
            <w:vAlign w:val="top"/>
          </w:tcPr>
          <w:p w14:paraId="2EE7AE61">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万兆交换机</w:t>
            </w:r>
          </w:p>
        </w:tc>
        <w:tc>
          <w:tcPr>
            <w:tcW w:w="5472" w:type="dxa"/>
            <w:shd w:val="clear" w:color="auto" w:fill="auto"/>
            <w:vAlign w:val="top"/>
          </w:tcPr>
          <w:p w14:paraId="5D92F9F5">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 支持并实配10G/2.5G/1G接口数≥20，25G/10G接口数量≥4，40G接口数≥2，整机可扩展支持10G接口数≥32。</w:t>
            </w:r>
          </w:p>
          <w:p w14:paraId="40DAD44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2、支持并实配可拔插双模块化电源，可拔插双模块化风扇，前后风道。</w:t>
            </w:r>
          </w:p>
          <w:p w14:paraId="40EE13B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3、交换容量≥2.56Tbps， 包转发率≥720Mpps，提供官网截图和链接证明。</w:t>
            </w:r>
          </w:p>
          <w:p w14:paraId="5EADEDB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
                <w:bCs/>
                <w:color w:val="FF0000"/>
                <w:sz w:val="21"/>
                <w:szCs w:val="21"/>
                <w:highlight w:val="green"/>
              </w:rPr>
            </w:pPr>
            <w:r>
              <w:rPr>
                <w:rFonts w:hint="eastAsia" w:ascii="仿宋" w:hAnsi="仿宋" w:eastAsia="仿宋" w:cs="仿宋"/>
                <w:sz w:val="21"/>
                <w:szCs w:val="21"/>
              </w:rPr>
              <w:t>4、支持硬件层级双boot，采用两个FLASH芯片存储boot软件（系统引导程序），实现硬件级boot冗余备份，避免因FLASH芯片故障导致交换机无法启动。</w:t>
            </w:r>
          </w:p>
          <w:p w14:paraId="496E9CA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b/>
                <w:bCs/>
                <w:color w:val="FF0000"/>
                <w:sz w:val="21"/>
                <w:szCs w:val="21"/>
                <w:highlight w:val="green"/>
              </w:rPr>
            </w:pPr>
            <w:r>
              <w:rPr>
                <w:rFonts w:hint="eastAsia" w:ascii="仿宋" w:hAnsi="仿宋" w:eastAsia="仿宋" w:cs="仿宋"/>
                <w:sz w:val="21"/>
                <w:szCs w:val="21"/>
              </w:rPr>
              <w:t>5、支持专门基础网络保护机制，能够限制用户向网络中发送数据包的速率，对有攻击行为的用户进行隔离，保证设备和整网的安全稳定运行。</w:t>
            </w:r>
          </w:p>
          <w:p w14:paraId="1FE9138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 支持专门基础网络保护机制，能够限制用户向网络中发送数据包的速率，对有攻击行为的用户进行隔离，保证设备和整网的安全稳定运行。</w:t>
            </w:r>
          </w:p>
        </w:tc>
        <w:tc>
          <w:tcPr>
            <w:tcW w:w="660" w:type="dxa"/>
            <w:shd w:val="clear" w:color="auto" w:fill="auto"/>
            <w:vAlign w:val="top"/>
          </w:tcPr>
          <w:p w14:paraId="53F2A511">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961" w:type="dxa"/>
            <w:shd w:val="clear" w:color="auto" w:fill="auto"/>
            <w:vAlign w:val="top"/>
          </w:tcPr>
          <w:p w14:paraId="563D5D8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0A0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5" w:type="dxa"/>
            <w:shd w:val="clear" w:color="auto" w:fill="auto"/>
            <w:vAlign w:val="top"/>
          </w:tcPr>
          <w:p w14:paraId="0B468BC3">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1517" w:type="dxa"/>
            <w:shd w:val="clear" w:color="auto" w:fill="auto"/>
            <w:vAlign w:val="top"/>
          </w:tcPr>
          <w:p w14:paraId="5BEA670E">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万兆交换机</w:t>
            </w:r>
          </w:p>
        </w:tc>
        <w:tc>
          <w:tcPr>
            <w:tcW w:w="5472" w:type="dxa"/>
            <w:shd w:val="clear" w:color="auto" w:fill="auto"/>
            <w:vAlign w:val="top"/>
          </w:tcPr>
          <w:p w14:paraId="714C4699">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1、固化端口：≥48个10/100/1000Mbps电口，≥4个SFP+光口 。设备提供1个扩展槽。</w:t>
            </w:r>
          </w:p>
          <w:p w14:paraId="2AE1934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2、交换容量≥1.28Tbps， 包转发率≥252Mpps，提供官网截图证明。</w:t>
            </w:r>
          </w:p>
          <w:p w14:paraId="6E86EA6B">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3、设备MAC地址≥64K，ARP表项≥20K</w:t>
            </w:r>
          </w:p>
          <w:p w14:paraId="12C7E7E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4、支持 IGMP v1/v2/v3，IGMP v1/v2/v3 Snooping，支持RIP，OSPF，BGP，RIPng，OSPFv3，BGP4+。</w:t>
            </w:r>
          </w:p>
          <w:p w14:paraId="4FFA870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5、支持专门针对CPU的保护机制，能够针对发往CPU处理的各种报文进行流量控制和优先级处理，保护交换机在各种环境下稳定工作。</w:t>
            </w:r>
          </w:p>
          <w:p w14:paraId="028EF7F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6、提供工信部IPv4/IPv6 三层设备进网许可证复印件,且必须提供运营商Ipv4/IP</w:t>
            </w:r>
            <w:r>
              <w:rPr>
                <w:rFonts w:hint="eastAsia" w:ascii="仿宋" w:hAnsi="仿宋" w:eastAsia="仿宋" w:cs="仿宋"/>
                <w:bCs/>
                <w:sz w:val="21"/>
                <w:szCs w:val="21"/>
              </w:rPr>
              <w:t>v6入网测试报告；</w:t>
            </w:r>
          </w:p>
        </w:tc>
        <w:tc>
          <w:tcPr>
            <w:tcW w:w="660" w:type="dxa"/>
            <w:shd w:val="clear" w:color="auto" w:fill="auto"/>
            <w:vAlign w:val="top"/>
          </w:tcPr>
          <w:p w14:paraId="5AFD9413">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961" w:type="dxa"/>
            <w:shd w:val="clear" w:color="auto" w:fill="auto"/>
            <w:vAlign w:val="top"/>
          </w:tcPr>
          <w:p w14:paraId="10A96C39">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5B9D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5" w:type="dxa"/>
            <w:shd w:val="clear" w:color="auto" w:fill="auto"/>
            <w:vAlign w:val="top"/>
          </w:tcPr>
          <w:p w14:paraId="3757E9B5">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11</w:t>
            </w:r>
          </w:p>
        </w:tc>
        <w:tc>
          <w:tcPr>
            <w:tcW w:w="1517" w:type="dxa"/>
            <w:shd w:val="clear" w:color="auto" w:fill="auto"/>
            <w:vAlign w:val="top"/>
          </w:tcPr>
          <w:p w14:paraId="1C15E2A9">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服务器硬盘</w:t>
            </w:r>
          </w:p>
        </w:tc>
        <w:tc>
          <w:tcPr>
            <w:tcW w:w="5472" w:type="dxa"/>
            <w:shd w:val="clear" w:color="auto" w:fill="auto"/>
            <w:vAlign w:val="top"/>
          </w:tcPr>
          <w:p w14:paraId="3660DF3D">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1、1.92TB固态硬盘：硬盘容量： 1.92TB ，</w:t>
            </w:r>
          </w:p>
          <w:p w14:paraId="4B7F66D9">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2、成熟稳定接口： 使用广泛兼容的 SATA III 接口，理论速度上限 600 MB/s。</w:t>
            </w:r>
          </w:p>
          <w:p w14:paraId="5364423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3、标准服务器尺寸： 采用 2.5 英寸外形（注意通常是 15mm 厚），方便部署在服务器和存储系统中。</w:t>
            </w:r>
          </w:p>
          <w:p w14:paraId="247B75D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企业级；</w:t>
            </w:r>
          </w:p>
          <w:p w14:paraId="37A614A4">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4、硬盘为原项目扩容，需与原项目匹配。</w:t>
            </w:r>
          </w:p>
        </w:tc>
        <w:tc>
          <w:tcPr>
            <w:tcW w:w="660" w:type="dxa"/>
            <w:shd w:val="clear" w:color="auto" w:fill="auto"/>
            <w:vAlign w:val="top"/>
          </w:tcPr>
          <w:p w14:paraId="233158AD">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961" w:type="dxa"/>
            <w:shd w:val="clear" w:color="auto" w:fill="auto"/>
            <w:vAlign w:val="top"/>
          </w:tcPr>
          <w:p w14:paraId="3BBB07D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r w14:paraId="3BAB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05" w:type="dxa"/>
            <w:shd w:val="clear" w:color="auto" w:fill="auto"/>
            <w:vAlign w:val="top"/>
          </w:tcPr>
          <w:p w14:paraId="4F68C9A6">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12</w:t>
            </w:r>
          </w:p>
        </w:tc>
        <w:tc>
          <w:tcPr>
            <w:tcW w:w="1517" w:type="dxa"/>
            <w:shd w:val="clear" w:color="auto" w:fill="auto"/>
            <w:vAlign w:val="top"/>
          </w:tcPr>
          <w:p w14:paraId="5B5000E2">
            <w:pPr>
              <w:keepNext w:val="0"/>
              <w:keepLines w:val="0"/>
              <w:pageBreakBefore w:val="0"/>
              <w:kinsoku/>
              <w:overflowPunct/>
              <w:topLinePunct w:val="0"/>
              <w:autoSpaceDE/>
              <w:autoSpaceDN/>
              <w:bidi w:val="0"/>
              <w:adjustRightInd/>
              <w:snapToGrid/>
              <w:spacing w:line="596" w:lineRule="exact"/>
              <w:jc w:val="left"/>
              <w:textAlignment w:val="auto"/>
              <w:rPr>
                <w:rFonts w:hint="eastAsia" w:ascii="仿宋" w:hAnsi="仿宋" w:eastAsia="仿宋" w:cs="仿宋"/>
                <w:sz w:val="21"/>
                <w:szCs w:val="21"/>
              </w:rPr>
            </w:pPr>
            <w:r>
              <w:rPr>
                <w:rFonts w:hint="eastAsia" w:ascii="仿宋" w:hAnsi="仿宋" w:eastAsia="仿宋" w:cs="仿宋"/>
                <w:sz w:val="21"/>
                <w:szCs w:val="21"/>
              </w:rPr>
              <w:t>服务器内存</w:t>
            </w:r>
          </w:p>
        </w:tc>
        <w:tc>
          <w:tcPr>
            <w:tcW w:w="5472" w:type="dxa"/>
            <w:shd w:val="clear" w:color="auto" w:fill="auto"/>
            <w:vAlign w:val="top"/>
          </w:tcPr>
          <w:p w14:paraId="30B182D6">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1、32G DDR4内存：容量： 单条32GB，适合高性能计算、大型应用、虚拟化等需求。</w:t>
            </w:r>
          </w:p>
          <w:p w14:paraId="3062C76A">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2、现代标准： 采用 DDR4 技术。</w:t>
            </w:r>
          </w:p>
          <w:p w14:paraId="7CD4453E">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3、主流速度： 数据传输速率 2666 MT/s (DDR4-2666)。</w:t>
            </w:r>
          </w:p>
          <w:p w14:paraId="59D53AD0">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4、标准低电压： 工作电压为 1.2V。</w:t>
            </w:r>
          </w:p>
          <w:p w14:paraId="1E1450B8">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5、高性能结构： 双 Rank (2R) 设计，有助于提升内存访问效率。</w:t>
            </w:r>
          </w:p>
          <w:p w14:paraId="165E6CF2">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6、内存为原项目扩容，需与原项目匹配。</w:t>
            </w:r>
          </w:p>
        </w:tc>
        <w:tc>
          <w:tcPr>
            <w:tcW w:w="660" w:type="dxa"/>
            <w:shd w:val="clear" w:color="auto" w:fill="auto"/>
            <w:vAlign w:val="top"/>
          </w:tcPr>
          <w:p w14:paraId="6F3DDDF8">
            <w:pPr>
              <w:keepNext w:val="0"/>
              <w:keepLines w:val="0"/>
              <w:pageBreakBefore w:val="0"/>
              <w:kinsoku/>
              <w:overflowPunct/>
              <w:topLinePunct w:val="0"/>
              <w:autoSpaceDE/>
              <w:autoSpaceDN/>
              <w:bidi w:val="0"/>
              <w:adjustRightInd/>
              <w:snapToGrid/>
              <w:spacing w:line="596"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16</w:t>
            </w:r>
          </w:p>
        </w:tc>
        <w:tc>
          <w:tcPr>
            <w:tcW w:w="961" w:type="dxa"/>
            <w:shd w:val="clear" w:color="auto" w:fill="auto"/>
            <w:vAlign w:val="top"/>
          </w:tcPr>
          <w:p w14:paraId="0DC3EB7C">
            <w:pPr>
              <w:keepNext w:val="0"/>
              <w:keepLines w:val="0"/>
              <w:pageBreakBefore w:val="0"/>
              <w:kinsoku/>
              <w:overflowPunct/>
              <w:topLinePunct w:val="0"/>
              <w:autoSpaceDE/>
              <w:autoSpaceDN/>
              <w:bidi w:val="0"/>
              <w:adjustRightInd/>
              <w:snapToGrid/>
              <w:spacing w:line="596" w:lineRule="exact"/>
              <w:ind w:firstLine="420" w:firstLineChars="200"/>
              <w:jc w:val="left"/>
              <w:textAlignment w:val="auto"/>
              <w:rPr>
                <w:rFonts w:hint="eastAsia" w:ascii="仿宋" w:hAnsi="仿宋" w:eastAsia="仿宋" w:cs="仿宋"/>
                <w:sz w:val="21"/>
                <w:szCs w:val="21"/>
              </w:rPr>
            </w:pPr>
          </w:p>
        </w:tc>
      </w:tr>
    </w:tbl>
    <w:p w14:paraId="6DBAC987">
      <w:pPr>
        <w:widowControl/>
        <w:shd w:val="clear" w:color="auto" w:fill="FFFFFF"/>
        <w:spacing w:line="560" w:lineRule="exact"/>
        <w:ind w:firstLine="420" w:firstLineChars="200"/>
        <w:jc w:val="left"/>
        <w:rPr>
          <w:rFonts w:hint="eastAsia"/>
          <w:color w:val="FF0000"/>
          <w:lang w:eastAsia="zh-CN"/>
        </w:rPr>
      </w:pPr>
      <w:r>
        <w:rPr>
          <w:rFonts w:hint="eastAsia" w:asciiTheme="minorEastAsia" w:hAnsiTheme="minorEastAsia" w:cstheme="minorEastAsia"/>
          <w:b w:val="0"/>
          <w:bCs w:val="0"/>
          <w:i w:val="0"/>
          <w:iCs w:val="0"/>
          <w:color w:val="FF0000"/>
          <w:spacing w:val="0"/>
          <w:w w:val="100"/>
          <w:kern w:val="2"/>
          <w:sz w:val="21"/>
          <w:szCs w:val="21"/>
          <w:vertAlign w:val="baseline"/>
          <w:lang w:val="en-US" w:eastAsia="zh-CN" w:bidi="ar-SA"/>
        </w:rPr>
        <w:t>注：由于本项目牵涉数据迁移，需与原设备兼容匹配，现将原设备参数（见附件）供参考。</w:t>
      </w:r>
    </w:p>
    <w:p w14:paraId="6B290635">
      <w:pPr>
        <w:keepNext w:val="0"/>
        <w:keepLines w:val="0"/>
        <w:pageBreakBefore w:val="0"/>
        <w:kinsoku/>
        <w:overflowPunct/>
        <w:topLinePunct w:val="0"/>
        <w:autoSpaceDE/>
        <w:autoSpaceDN/>
        <w:bidi w:val="0"/>
        <w:adjustRightInd/>
        <w:snapToGrid/>
        <w:spacing w:line="596" w:lineRule="exact"/>
        <w:ind w:firstLine="482"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三</w:t>
      </w:r>
      <w:r>
        <w:rPr>
          <w:rFonts w:hint="eastAsia" w:asciiTheme="minorEastAsia" w:hAnsiTheme="minorEastAsia" w:cstheme="minorEastAsia"/>
          <w:b/>
          <w:bCs/>
          <w:i w:val="0"/>
          <w:iCs w:val="0"/>
          <w:color w:val="000000"/>
          <w:spacing w:val="0"/>
          <w:w w:val="100"/>
          <w:kern w:val="2"/>
          <w:sz w:val="24"/>
          <w:szCs w:val="24"/>
          <w:vertAlign w:val="baseline"/>
          <w:lang w:val="en-US" w:eastAsia="zh-CN" w:bidi="ar-SA"/>
        </w:rPr>
        <w:t>、</w:t>
      </w: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采购标的执行标准：</w:t>
      </w:r>
    </w:p>
    <w:p w14:paraId="0ABE4AA8">
      <w:pPr>
        <w:keepNext w:val="0"/>
        <w:keepLines w:val="0"/>
        <w:pageBreakBefore w:val="0"/>
        <w:kinsoku/>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1、国家标准：</w:t>
      </w:r>
    </w:p>
    <w:p w14:paraId="70FD7B71">
      <w:pPr>
        <w:keepNext w:val="0"/>
        <w:keepLines w:val="0"/>
        <w:pageBreakBefore w:val="0"/>
        <w:kinsoku/>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（1）强制性产品认证</w:t>
      </w:r>
    </w:p>
    <w:p w14:paraId="6A5A0F1E">
      <w:pPr>
        <w:keepNext w:val="0"/>
        <w:keepLines w:val="0"/>
        <w:pageBreakBefore w:val="0"/>
        <w:kinsoku/>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14:paraId="3641ED43">
      <w:pPr>
        <w:keepNext w:val="0"/>
        <w:keepLines w:val="0"/>
        <w:pageBreakBefore w:val="0"/>
        <w:kinsoku/>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（2）信息安全产品强制性认证</w:t>
      </w:r>
    </w:p>
    <w:p w14:paraId="667AF8F3">
      <w:pPr>
        <w:keepNext w:val="0"/>
        <w:keepLines w:val="0"/>
        <w:pageBreakBefore w:val="0"/>
        <w:kinsoku/>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如供应商所投产品</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属于《信息安全产品强制性认证目录》，供应商不能提供超出此目录范畴外的替代品并须在响应文件中提供：</w:t>
      </w:r>
    </w:p>
    <w:p w14:paraId="18CD9BCF">
      <w:pPr>
        <w:keepNext w:val="0"/>
        <w:keepLines w:val="0"/>
        <w:pageBreakBefore w:val="0"/>
        <w:kinsoku/>
        <w:wordWrap w:val="0"/>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①</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中国信息安全认证中心官网</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（http://www.isccc.gov.cn/index.shtml）</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产品查询结果截图并加盖供应商公章</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w:t>
      </w:r>
    </w:p>
    <w:p w14:paraId="49F3F415">
      <w:pPr>
        <w:keepNext w:val="0"/>
        <w:keepLines w:val="0"/>
        <w:pageBreakBefore w:val="0"/>
        <w:kinsoku/>
        <w:wordWrap w:val="0"/>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②中国信息安全认证中心颁发的《</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fldChar w:fldCharType="begin"/>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instrText xml:space="preserve"> HYPERLINK "http://www.cnca.gov.cn/cnca/zwxx/ggxx/images/2010/07/19/A6C32D2A507AC2A38326896013A67542.doc" \t "_blank"</w:instrTex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fldChar w:fldCharType="separate"/>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中国国家信息安全产品认证证书</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fldChar w:fldCharType="end"/>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》的原件扫描件（或图片）并加盖供应商公章。</w:t>
      </w:r>
    </w:p>
    <w:p w14:paraId="2741D367">
      <w:pPr>
        <w:keepNext w:val="0"/>
        <w:keepLines w:val="0"/>
        <w:pageBreakBefore w:val="0"/>
        <w:kinsoku/>
        <w:wordWrap w:val="0"/>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注：仅需提供序号</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①～②其中之一即可。</w:t>
      </w:r>
    </w:p>
    <w:p w14:paraId="50382290">
      <w:pPr>
        <w:shd w:val="clear" w:color="auto" w:fill="FFFFFF"/>
        <w:spacing w:line="360" w:lineRule="auto"/>
        <w:ind w:firstLine="48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四</w:t>
      </w:r>
      <w:r>
        <w:rPr>
          <w:rFonts w:hint="eastAsia" w:asciiTheme="minorEastAsia" w:hAnsiTheme="minorEastAsia" w:cstheme="minorEastAsia"/>
          <w:b/>
          <w:bCs/>
          <w:i w:val="0"/>
          <w:iCs w:val="0"/>
          <w:color w:val="000000"/>
          <w:spacing w:val="0"/>
          <w:w w:val="100"/>
          <w:kern w:val="2"/>
          <w:sz w:val="24"/>
          <w:szCs w:val="24"/>
          <w:vertAlign w:val="baseline"/>
          <w:lang w:val="en-US" w:eastAsia="zh-CN" w:bidi="ar-SA"/>
        </w:rPr>
        <w:t>、</w:t>
      </w: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服务标准、期限、效率等要求：</w:t>
      </w:r>
    </w:p>
    <w:p w14:paraId="30010D1A">
      <w:pPr>
        <w:keepNext w:val="0"/>
        <w:keepLines w:val="0"/>
        <w:pageBreakBefore w:val="0"/>
        <w:kinsoku/>
        <w:wordWrap w:val="0"/>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1、质保期为设备安装调试验收合格后1年，质保期内发生故障或质量问题，卖方在接到通知后</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分钟进行响应，</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小时到达，</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小时内处理问题，否则需提供备用机直至原设备修好为止。</w:t>
      </w:r>
    </w:p>
    <w:p w14:paraId="470EA963">
      <w:pPr>
        <w:keepNext w:val="0"/>
        <w:keepLines w:val="0"/>
        <w:pageBreakBefore w:val="0"/>
        <w:kinsoku/>
        <w:wordWrap w:val="0"/>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2、所投产品必须符合国家质量检测标准和本招标文件规定的全新正品现货；本项目为交钥匙工程，采购方不再</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承担</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费用。</w:t>
      </w:r>
    </w:p>
    <w:p w14:paraId="5E81CE5D">
      <w:pPr>
        <w:keepNext w:val="0"/>
        <w:keepLines w:val="0"/>
        <w:pageBreakBefore w:val="0"/>
        <w:kinsoku/>
        <w:wordWrap w:val="0"/>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3、投标商所投产品须符合国家环保要求。</w:t>
      </w:r>
    </w:p>
    <w:p w14:paraId="3537B7DC">
      <w:pPr>
        <w:keepNext w:val="0"/>
        <w:keepLines w:val="0"/>
        <w:pageBreakBefore w:val="0"/>
        <w:kinsoku/>
        <w:wordWrap w:val="0"/>
        <w:overflowPunct/>
        <w:topLinePunct w:val="0"/>
        <w:autoSpaceDE/>
        <w:autoSpaceDN/>
        <w:bidi w:val="0"/>
        <w:adjustRightInd/>
        <w:snapToGrid/>
        <w:spacing w:line="596" w:lineRule="exact"/>
        <w:ind w:firstLine="420" w:firstLineChars="200"/>
        <w:contextualSpacing/>
        <w:textAlignment w:val="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4、投标商应负责对买方操作人员进行使用培训，使其能够独立操作，并可以简单的维护和保养。</w:t>
      </w:r>
    </w:p>
    <w:p w14:paraId="028EBA39">
      <w:pPr>
        <w:shd w:val="clear" w:color="auto" w:fill="FFFFFF"/>
        <w:spacing w:line="360" w:lineRule="auto"/>
        <w:ind w:firstLine="482" w:firstLineChars="200"/>
        <w:jc w:val="left"/>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4"/>
          <w:szCs w:val="24"/>
          <w:vertAlign w:val="baseline"/>
          <w:lang w:val="en-US" w:eastAsia="zh-CN" w:bidi="ar-SA"/>
        </w:rPr>
        <w:t>五、采购标的其他技术、服务等要求</w:t>
      </w:r>
    </w:p>
    <w:p w14:paraId="38C93D33">
      <w:pPr>
        <w:shd w:val="clear" w:color="auto" w:fill="FFFFFF"/>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1、投标方须明确投标产品的厂家、产地、品牌、型号等参数，</w:t>
      </w:r>
      <w:r>
        <w:rPr>
          <w:rFonts w:hint="eastAsia" w:asciiTheme="minorEastAsia" w:hAnsiTheme="minorEastAsia" w:eastAsiaTheme="minorEastAsia" w:cstheme="minorEastAsia"/>
          <w:b/>
          <w:bCs/>
          <w:i w:val="0"/>
          <w:iCs w:val="0"/>
          <w:color w:val="000000"/>
          <w:spacing w:val="0"/>
          <w:w w:val="100"/>
          <w:kern w:val="2"/>
          <w:sz w:val="21"/>
          <w:szCs w:val="21"/>
          <w:vertAlign w:val="baseline"/>
          <w:lang w:val="zh-CN" w:eastAsia="zh-CN" w:bidi="ar-SA"/>
        </w:rPr>
        <w:t>否则为无效投标。</w:t>
      </w:r>
    </w:p>
    <w:p w14:paraId="2E49A09E">
      <w:pPr>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2、投标人应就本项目完整投标，报价含税费、设备、材料、元件等购置、安装调试、验收、与其它施工单位协作所产生的费用等综合费用，</w:t>
      </w:r>
      <w:r>
        <w:rPr>
          <w:rFonts w:hint="eastAsia" w:asciiTheme="minorEastAsia" w:hAnsiTheme="minorEastAsia" w:eastAsiaTheme="minorEastAsia" w:cstheme="minorEastAsia"/>
          <w:b/>
          <w:bCs/>
          <w:i w:val="0"/>
          <w:iCs w:val="0"/>
          <w:color w:val="000000"/>
          <w:spacing w:val="0"/>
          <w:w w:val="100"/>
          <w:kern w:val="2"/>
          <w:sz w:val="21"/>
          <w:szCs w:val="21"/>
          <w:vertAlign w:val="baseline"/>
          <w:lang w:val="zh-CN" w:eastAsia="zh-CN" w:bidi="ar-SA"/>
        </w:rPr>
        <w:t>否则为无效投标。</w:t>
      </w:r>
    </w:p>
    <w:p w14:paraId="7389E50C">
      <w:pPr>
        <w:spacing w:line="360" w:lineRule="auto"/>
        <w:ind w:firstLine="420" w:firstLineChars="200"/>
        <w:jc w:val="left"/>
        <w:rPr>
          <w:rFonts w:hint="eastAsia" w:asciiTheme="minorEastAsia" w:hAnsiTheme="minorEastAsia" w:eastAsiaTheme="minorEastAsia" w:cstheme="minorEastAsia"/>
          <w:b w:val="0"/>
          <w:bCs w:val="0"/>
          <w:i w:val="0"/>
          <w:iCs w:val="0"/>
          <w:color w:val="FF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3、投标人须有完整的技术方案，</w:t>
      </w:r>
      <w:r>
        <w:rPr>
          <w:rFonts w:hint="eastAsia" w:asciiTheme="minorEastAsia" w:hAnsiTheme="minorEastAsia" w:eastAsiaTheme="minorEastAsia" w:cstheme="minorEastAsia"/>
          <w:b/>
          <w:bCs/>
          <w:i w:val="0"/>
          <w:iCs w:val="0"/>
          <w:color w:val="000000"/>
          <w:spacing w:val="0"/>
          <w:w w:val="100"/>
          <w:kern w:val="2"/>
          <w:sz w:val="21"/>
          <w:szCs w:val="21"/>
          <w:vertAlign w:val="baseline"/>
          <w:lang w:val="zh-CN" w:eastAsia="zh-CN" w:bidi="ar-SA"/>
        </w:rPr>
        <w:t>否则为无效投标。</w:t>
      </w:r>
    </w:p>
    <w:p w14:paraId="0B4F8D5D">
      <w:pPr>
        <w:widowControl/>
        <w:shd w:val="clear" w:color="auto" w:fill="FFFFFF"/>
        <w:spacing w:line="360" w:lineRule="auto"/>
        <w:ind w:firstLine="422" w:firstLineChars="200"/>
        <w:contextualSpacing/>
        <w:jc w:val="left"/>
        <w:rPr>
          <w:rFonts w:hint="eastAsia" w:ascii="新宋体" w:hAnsi="新宋体" w:eastAsia="新宋体" w:cs="新宋体"/>
          <w:b/>
          <w:bCs/>
          <w:szCs w:val="21"/>
        </w:rPr>
      </w:pP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en-US" w:eastAsia="zh-CN"/>
        </w:rPr>
        <w:t xml:space="preserve"> </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sz w:val="24"/>
          <w:lang w:val="en-US" w:eastAsia="zh-CN"/>
        </w:rPr>
        <w:t>ztbjyglzx</w:t>
      </w:r>
      <w:r>
        <w:rPr>
          <w:rStyle w:val="31"/>
          <w:rFonts w:hint="eastAsia" w:ascii="宋体" w:cs="宋体"/>
          <w:b/>
          <w:bCs/>
          <w:sz w:val="24"/>
          <w:lang w:val="zh-CN"/>
        </w:rPr>
        <w:t>@163.com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29D3E705">
      <w:pPr>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37020A2B">
      <w:pPr>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1、项目质量按照国家相关标准、行业标准、地方标准或者其他标准、规范验收；</w:t>
      </w:r>
    </w:p>
    <w:p w14:paraId="562C9AD6">
      <w:pPr>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2、按照招标文件要求、投标文件响应和承诺验收；</w:t>
      </w:r>
    </w:p>
    <w:p w14:paraId="1580A204">
      <w:pPr>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3.本项目验收如需要第三方验收，中标方将承担所有产生的费用。</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617F9667">
      <w:pPr>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（一）支付方式：按照合同约定，经验收合格后申请支付。</w:t>
      </w:r>
    </w:p>
    <w:p w14:paraId="23BDBE6C">
      <w:pPr>
        <w:spacing w:line="360" w:lineRule="auto"/>
        <w:ind w:firstLine="420" w:firstLineChars="200"/>
        <w:jc w:val="left"/>
        <w:rPr>
          <w:rFonts w:hint="eastAsia" w:ascii="宋体" w:hAnsi="宋体" w:eastAsia="宋体"/>
          <w:szCs w:val="21"/>
          <w:lang w:val="en-US" w:eastAsia="zh-CN"/>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（二）支付时间及条件：以合同为准。</w:t>
      </w:r>
    </w:p>
    <w:p w14:paraId="35E59D91">
      <w:pPr>
        <w:tabs>
          <w:tab w:val="left" w:pos="7095"/>
        </w:tabs>
        <w:spacing w:line="440" w:lineRule="exact"/>
        <w:ind w:firstLine="420" w:firstLineChars="200"/>
        <w:rPr>
          <w:rFonts w:ascii="宋体" w:hAnsi="宋体" w:eastAsia="宋体"/>
          <w:szCs w:val="21"/>
        </w:rPr>
      </w:pPr>
    </w:p>
    <w:p w14:paraId="60185310">
      <w:pPr>
        <w:pStyle w:val="32"/>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widowControl/>
              <w:shd w:val="clear" w:color="auto" w:fill="FFFFFF"/>
              <w:spacing w:line="560" w:lineRule="exact"/>
              <w:jc w:val="left"/>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禹州市中医院数据中心紧急扩容项目</w:t>
            </w:r>
            <w:r>
              <w:rPr>
                <w:rFonts w:hint="eastAsia" w:asciiTheme="minorEastAsia" w:hAnsiTheme="minorEastAsia" w:cstheme="minorEastAsia"/>
                <w:kern w:val="2"/>
                <w:sz w:val="21"/>
                <w:szCs w:val="21"/>
                <w:lang w:val="en-US" w:eastAsia="zh-CN" w:bidi="ar-SA"/>
              </w:rPr>
              <w:t>（三次）</w:t>
            </w:r>
            <w:r>
              <w:rPr>
                <w:rFonts w:hint="eastAsia" w:cs="仿宋_GB2312" w:asciiTheme="minorEastAsia" w:hAnsiTheme="minorEastAsia"/>
                <w:color w:val="000000"/>
                <w:szCs w:val="21"/>
                <w:shd w:val="clear" w:color="auto" w:fill="FFFFFF"/>
              </w:rPr>
              <w:t>（不见面开标）</w:t>
            </w:r>
          </w:p>
          <w:p w14:paraId="2E408C53">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5026-2</w:t>
            </w:r>
          </w:p>
          <w:p w14:paraId="06702FF3">
            <w:pPr>
              <w:autoSpaceDE w:val="0"/>
              <w:autoSpaceDN w:val="0"/>
              <w:adjustRightInd w:val="0"/>
              <w:spacing w:line="360" w:lineRule="auto"/>
              <w:jc w:val="left"/>
              <w:rPr>
                <w:rFonts w:hint="default"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lang w:val="en-US" w:eastAsia="zh-CN"/>
              </w:rPr>
              <w:t>交付（服务、完工）时间：合同签订后15日历天内</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w:t>
            </w:r>
            <w:r>
              <w:rPr>
                <w:rFonts w:hint="eastAsia" w:asciiTheme="minorEastAsia" w:hAnsiTheme="minorEastAsia" w:eastAsiaTheme="minorEastAsia" w:cstheme="minorEastAsia"/>
                <w:kern w:val="2"/>
                <w:sz w:val="21"/>
                <w:szCs w:val="21"/>
                <w:lang w:val="en-US" w:eastAsia="zh-CN" w:bidi="ar-SA"/>
              </w:rPr>
              <w:t>禹州市中医院</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E176EF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采购人名称：禹州市中医院</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地址：禹州市钧官窑路69号</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eastAsiaTheme="minorEastAsia" w:cstheme="minorEastAsia"/>
                <w:kern w:val="2"/>
                <w:sz w:val="21"/>
                <w:szCs w:val="21"/>
                <w:lang w:val="en-US" w:eastAsia="zh-CN" w:bidi="ar-SA"/>
              </w:rPr>
              <w:t>董先生</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0374-8816966</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朱先生</w:t>
            </w:r>
            <w:r>
              <w:rPr>
                <w:rFonts w:hint="eastAsia" w:cs="仿宋_GB2312" w:asciiTheme="minorEastAsia" w:hAnsiTheme="minorEastAsia"/>
                <w:szCs w:val="21"/>
              </w:rPr>
              <w:t xml:space="preserve">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color w:val="000000" w:themeColor="text1"/>
                <w:szCs w:val="21"/>
                <w:lang w:val="en-US" w:eastAsia="zh-CN"/>
                <w14:textFill>
                  <w14:solidFill>
                    <w14:schemeClr w14:val="tx1"/>
                  </w14:solidFill>
                </w14:textFill>
              </w:rPr>
              <w:t>1960000.00元</w:t>
            </w:r>
            <w:r>
              <w:rPr>
                <w:rFonts w:hint="eastAsia" w:cs="宋体" w:asciiTheme="minorEastAsia" w:hAnsiTheme="minorEastAsia"/>
                <w:color w:val="000000" w:themeColor="text1"/>
                <w:szCs w:val="21"/>
                <w:lang w:val="zh-CN"/>
                <w14:textFill>
                  <w14:solidFill>
                    <w14:schemeClr w14:val="tx1"/>
                  </w14:solidFill>
                </w14:textFill>
              </w:rPr>
              <w:t>，超出</w:t>
            </w:r>
            <w:r>
              <w:rPr>
                <w:rFonts w:hint="eastAsia" w:cs="宋体" w:asciiTheme="minorEastAsia" w:hAnsiTheme="minorEastAsia"/>
                <w:bCs/>
                <w:szCs w:val="21"/>
                <w:lang w:val="zh-CN"/>
              </w:rPr>
              <w:t>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hint="eastAsia" w:cs="仿宋_GB2312" w:asciiTheme="minorEastAsia" w:hAnsiTheme="minorEastAsia" w:eastAsiaTheme="minorEastAsia"/>
                <w:szCs w:val="21"/>
                <w:lang w:val="en-US" w:eastAsia="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r>
              <w:rPr>
                <w:rFonts w:hint="eastAsia" w:cs="仿宋_GB2312" w:asciiTheme="minorEastAsia" w:hAnsiTheme="minorEastAsia"/>
                <w:szCs w:val="21"/>
                <w:lang w:val="en-US" w:eastAsia="zh-CN"/>
              </w:rPr>
              <w:t xml:space="preserve"> </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23</w:t>
            </w:r>
            <w:bookmarkStart w:id="1" w:name="_GoBack"/>
            <w:bookmarkEnd w:id="1"/>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7"/>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2"/>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工业、软件和信息技术服务业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default"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zh-CN"/>
                <w14:textFill>
                  <w14:solidFill>
                    <w14:schemeClr w14:val="tx1"/>
                  </w14:solidFill>
                </w14:textFill>
              </w:rPr>
              <w:t>本项目强制节能产品：</w:t>
            </w:r>
            <w:r>
              <w:rPr>
                <w:rFonts w:hint="eastAsia" w:cs="宋体" w:asciiTheme="minorEastAsia" w:hAnsiTheme="minorEastAsia"/>
                <w:bCs/>
                <w:color w:val="000000" w:themeColor="text1"/>
                <w:szCs w:val="21"/>
                <w:lang w:val="en-US" w:eastAsia="zh-CN"/>
                <w14:textFill>
                  <w14:solidFill>
                    <w14:schemeClr w14:val="tx1"/>
                  </w14:solidFill>
                </w14:textFill>
              </w:rPr>
              <w:t>无</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color w:val="000000" w:themeColor="text1"/>
                <w:szCs w:val="21"/>
                <w:lang w:val="en-US" w:eastAsia="zh-CN"/>
                <w14:textFill>
                  <w14:solidFill>
                    <w14:schemeClr w14:val="tx1"/>
                  </w14:solidFill>
                </w14:textFill>
              </w:rPr>
            </w:pPr>
            <w:r>
              <w:rPr>
                <w:rFonts w:hint="eastAsia" w:cs="宋体" w:asciiTheme="minorEastAsia" w:hAnsiTheme="minorEastAsia"/>
                <w:bCs/>
                <w:color w:val="000000" w:themeColor="text1"/>
                <w:szCs w:val="21"/>
                <w:lang w:val="en-US" w:eastAsia="zh-CN"/>
                <w14:textFill>
                  <w14:solidFill>
                    <w14:schemeClr w14:val="tx1"/>
                  </w14:solidFill>
                </w14:textFill>
              </w:rPr>
              <w:t>1、</w:t>
            </w:r>
            <w:r>
              <w:rPr>
                <w:rFonts w:hint="eastAsia" w:cs="宋体" w:asciiTheme="minorEastAsia" w:hAnsiTheme="minorEastAsia"/>
                <w:bCs/>
                <w:color w:val="000000" w:themeColor="text1"/>
                <w:szCs w:val="21"/>
                <w:lang w:val="zh-CN"/>
                <w14:textFill>
                  <w14:solidFill>
                    <w14:schemeClr w14:val="tx1"/>
                  </w14:solidFill>
                </w14:textFill>
              </w:rPr>
              <w:t>本项目网络关键设备：</w:t>
            </w:r>
            <w:r>
              <w:rPr>
                <w:rFonts w:hint="eastAsia" w:cs="宋体" w:asciiTheme="minorEastAsia" w:hAnsiTheme="minorEastAsia"/>
                <w:bCs/>
                <w:color w:val="000000" w:themeColor="text1"/>
                <w:szCs w:val="21"/>
                <w:lang w:val="en-US" w:eastAsia="zh-CN"/>
                <w14:textFill>
                  <w14:solidFill>
                    <w14:schemeClr w14:val="tx1"/>
                  </w14:solidFill>
                </w14:textFill>
              </w:rPr>
              <w:t>无</w:t>
            </w:r>
            <w:r>
              <w:rPr>
                <w:rFonts w:hint="eastAsia" w:cs="宋体" w:asciiTheme="minorEastAsia" w:hAnsiTheme="minorEastAsia"/>
                <w:bCs/>
                <w:color w:val="000000" w:themeColor="text1"/>
                <w:szCs w:val="21"/>
                <w:lang w:val="zh-CN"/>
                <w14:textFill>
                  <w14:solidFill>
                    <w14:schemeClr w14:val="tx1"/>
                  </w14:solidFill>
                </w14:textFill>
              </w:rPr>
              <w:t>；网络安全专用产品：</w:t>
            </w:r>
            <w:r>
              <w:rPr>
                <w:rFonts w:hint="eastAsia" w:cs="宋体" w:asciiTheme="minorEastAsia" w:hAnsiTheme="minorEastAsia"/>
                <w:bCs/>
                <w:color w:val="000000" w:themeColor="text1"/>
                <w:szCs w:val="21"/>
                <w:lang w:val="en-US" w:eastAsia="zh-CN"/>
                <w14:textFill>
                  <w14:solidFill>
                    <w14:schemeClr w14:val="tx1"/>
                  </w14:solidFill>
                </w14:textFill>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w:t>
            </w:r>
            <w:r>
              <w:rPr>
                <w:rFonts w:hint="eastAsia" w:ascii="Calibri" w:hAnsi="Calibri" w:cs="Calibri"/>
                <w:b w:val="0"/>
                <w:bCs w:val="0"/>
                <w:i w:val="0"/>
                <w:iCs w:val="0"/>
                <w:color w:val="FF0000"/>
                <w:spacing w:val="0"/>
                <w:w w:val="100"/>
                <w:sz w:val="21"/>
                <w:szCs w:val="21"/>
                <w:vertAlign w:val="baseline"/>
              </w:rPr>
              <w:t>http</w:t>
            </w:r>
            <w:r>
              <w:rPr>
                <w:rFonts w:hint="eastAsia" w:ascii="Calibri" w:hAnsi="Calibri" w:cs="Calibri"/>
                <w:b w:val="0"/>
                <w:bCs w:val="0"/>
                <w:i w:val="0"/>
                <w:iCs w:val="0"/>
                <w:color w:val="FF0000"/>
                <w:spacing w:val="0"/>
                <w:w w:val="100"/>
                <w:sz w:val="21"/>
                <w:szCs w:val="21"/>
                <w:vertAlign w:val="baseline"/>
                <w:lang w:val="en-US" w:eastAsia="zh-CN"/>
              </w:rPr>
              <w:t>s</w:t>
            </w:r>
            <w:r>
              <w:rPr>
                <w:rFonts w:hint="eastAsia" w:ascii="Calibri" w:hAnsi="Calibri" w:cs="Calibri"/>
                <w:b w:val="0"/>
                <w:bCs w:val="0"/>
                <w:i w:val="0"/>
                <w:iCs w:val="0"/>
                <w:color w:val="FF0000"/>
                <w:spacing w:val="0"/>
                <w:w w:val="100"/>
                <w:sz w:val="21"/>
                <w:szCs w:val="21"/>
                <w:vertAlign w:val="baseline"/>
              </w:rPr>
              <w:t>://ggzy.xuchang.gov.cn</w:t>
            </w:r>
            <w:r>
              <w:rPr>
                <w:rFonts w:hint="default" w:ascii="Calibri" w:hAnsi="Calibri" w:cs="Calibri"/>
                <w:b w:val="0"/>
                <w:bCs w:val="0"/>
                <w:i w:val="0"/>
                <w:iCs w:val="0"/>
                <w:color w:val="FF0000"/>
                <w:spacing w:val="0"/>
                <w:w w:val="100"/>
                <w:sz w:val="21"/>
                <w:szCs w:val="21"/>
                <w:vertAlign w:val="baseline"/>
              </w:rPr>
              <w:t>/tpbidder）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59714E13">
      <w:pPr>
        <w:tabs>
          <w:tab w:val="left" w:pos="1260"/>
        </w:tabs>
        <w:autoSpaceDE w:val="0"/>
        <w:autoSpaceDN w:val="0"/>
        <w:adjustRightInd w:val="0"/>
        <w:spacing w:line="360" w:lineRule="auto"/>
        <w:contextualSpacing/>
        <w:jc w:val="both"/>
        <w:outlineLvl w:val="0"/>
        <w:rPr>
          <w:rFonts w:hint="eastAsia" w:cs="宋体" w:asciiTheme="majorEastAsia" w:hAnsiTheme="majorEastAsia" w:eastAsiaTheme="majorEastAsia"/>
          <w:b/>
          <w:kern w:val="0"/>
          <w:sz w:val="32"/>
          <w:szCs w:val="32"/>
        </w:rPr>
      </w:pPr>
    </w:p>
    <w:p w14:paraId="7967A099">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6021091E">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186507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00EBF1F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20F7F1A5">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4"/>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19"/>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4"/>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3"/>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3"/>
        </w:numPr>
        <w:autoSpaceDE w:val="0"/>
        <w:autoSpaceDN w:val="0"/>
        <w:spacing w:line="360" w:lineRule="auto"/>
        <w:ind w:firstLineChars="0"/>
        <w:contextualSpacing/>
        <w:rPr>
          <w:rFonts w:ascii="ˎ̥" w:hAnsi="ˎ̥"/>
          <w:vanish/>
        </w:rPr>
      </w:pPr>
    </w:p>
    <w:p w14:paraId="1DEFB98E">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7"/>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3"/>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3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7"/>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2"/>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8"/>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8"/>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8"/>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59"/>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0"/>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0"/>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2"/>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w:t>
      </w:r>
      <w:r>
        <w:rPr>
          <w:rFonts w:hint="eastAsia" w:cs="宋体" w:asciiTheme="minorEastAsia" w:hAnsiTheme="minorEastAsia"/>
          <w:kern w:val="0"/>
          <w:szCs w:val="21"/>
          <w:lang w:eastAsia="zh-CN"/>
        </w:rPr>
        <w:t>，</w:t>
      </w:r>
      <w:r>
        <w:rPr>
          <w:rFonts w:hint="eastAsia" w:cs="宋体" w:asciiTheme="minorEastAsia" w:hAnsiTheme="minorEastAsia"/>
          <w:kern w:val="0"/>
          <w:szCs w:val="21"/>
        </w:rPr>
        <w:t>供应商</w:t>
      </w:r>
      <w:r>
        <w:rPr>
          <w:rFonts w:hint="eastAsia" w:cs="宋体" w:asciiTheme="minorEastAsia" w:hAnsiTheme="minorEastAsia"/>
          <w:kern w:val="0"/>
          <w:szCs w:val="21"/>
          <w:lang w:val="en-US" w:eastAsia="zh-CN"/>
        </w:rPr>
        <w:t>投标时</w:t>
      </w:r>
      <w:r>
        <w:rPr>
          <w:rFonts w:hint="eastAsia" w:cs="宋体" w:asciiTheme="minorEastAsia" w:hAnsiTheme="minorEastAsia"/>
          <w:kern w:val="0"/>
          <w:szCs w:val="21"/>
        </w:rPr>
        <w:t>须对此项做出响应</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格式自拟</w:t>
      </w:r>
      <w:r>
        <w:rPr>
          <w:rFonts w:hint="eastAsia" w:cs="宋体" w:asciiTheme="minorEastAsia" w:hAnsiTheme="minorEastAsia"/>
          <w:kern w:val="0"/>
          <w:szCs w:val="21"/>
          <w:lang w:eastAsia="zh-CN"/>
        </w:rPr>
        <w:t>），</w:t>
      </w:r>
      <w:r>
        <w:rPr>
          <w:rFonts w:hint="eastAsia" w:cs="宋体" w:asciiTheme="minorEastAsia" w:hAnsiTheme="minorEastAsia"/>
          <w:kern w:val="0"/>
          <w:szCs w:val="21"/>
        </w:rPr>
        <w:t>否则有可能导致响应被拒绝，其风险由供应商自行承担。</w:t>
      </w:r>
    </w:p>
    <w:p w14:paraId="5F310C04">
      <w:pPr>
        <w:pStyle w:val="32"/>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2"/>
      </w:pPr>
    </w:p>
    <w:p w14:paraId="4A2EB72F">
      <w:pPr>
        <w:pStyle w:val="55"/>
        <w:numPr>
          <w:ilvl w:val="0"/>
          <w:numId w:val="63"/>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3"/>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151A3C25">
            <w:pPr>
              <w:spacing w:line="360" w:lineRule="auto"/>
              <w:jc w:val="center"/>
              <w:rPr>
                <w:rFonts w:hint="eastAsia" w:asciiTheme="minorEastAsia" w:hAnsiTheme="minorEastAsia" w:eastAsiaTheme="minorEastAsia" w:cstheme="minorEastAsia"/>
                <w:sz w:val="21"/>
                <w:szCs w:val="21"/>
                <w:lang w:eastAsia="zh-CN"/>
              </w:rPr>
            </w:pPr>
          </w:p>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1BC90458">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李朝峰</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635F6FFB">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2"/>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5"/>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5"/>
        <w:spacing w:line="360" w:lineRule="auto"/>
        <w:contextualSpacing/>
        <w:rPr>
          <w:rFonts w:cs="仿宋_GB2312" w:asciiTheme="minorEastAsia" w:hAnsiTheme="minorEastAsia"/>
          <w:lang w:val="zh-CN"/>
        </w:rPr>
      </w:pPr>
    </w:p>
    <w:p w14:paraId="48F134FB">
      <w:pPr>
        <w:pStyle w:val="15"/>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5"/>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5"/>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5"/>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5"/>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69"/>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w:t>
      </w:r>
      <w:r>
        <w:rPr>
          <w:rFonts w:hint="eastAsia" w:ascii="宋体" w:hAnsi="宋体" w:eastAsia="宋体"/>
          <w:szCs w:val="21"/>
          <w:lang w:val="en-US" w:eastAsia="zh-CN"/>
        </w:rPr>
        <w:t>供应</w:t>
      </w:r>
      <w:r>
        <w:rPr>
          <w:rFonts w:hint="eastAsia" w:ascii="宋体" w:hAnsi="宋体" w:eastAsia="宋体"/>
          <w:szCs w:val="21"/>
        </w:rPr>
        <w:t>、运输、安装调试。免费培训、售后服务。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w:t>
      </w:r>
      <w:r>
        <w:rPr>
          <w:rFonts w:hint="eastAsia" w:ascii="宋体" w:hAnsi="宋体" w:eastAsia="宋体"/>
          <w:szCs w:val="21"/>
          <w:lang w:val="en-US" w:eastAsia="zh-CN"/>
        </w:rPr>
        <w:t>快递</w:t>
      </w:r>
      <w:r>
        <w:rPr>
          <w:rFonts w:hint="eastAsia" w:ascii="宋体" w:hAnsi="宋体" w:eastAsia="宋体"/>
          <w:szCs w:val="21"/>
        </w:rPr>
        <w:t>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w:t>
      </w:r>
      <w:r>
        <w:rPr>
          <w:rFonts w:hint="eastAsia" w:ascii="宋体" w:hAnsi="宋体" w:eastAsia="宋体"/>
          <w:szCs w:val="21"/>
          <w:lang w:val="en-US" w:eastAsia="zh-CN"/>
        </w:rPr>
        <w:t>纰漏</w:t>
      </w:r>
      <w:r>
        <w:rPr>
          <w:rFonts w:hint="eastAsia" w:ascii="宋体" w:hAnsi="宋体" w:eastAsia="宋体"/>
          <w:szCs w:val="21"/>
        </w:rPr>
        <w:t>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w:t>
      </w:r>
      <w:r>
        <w:rPr>
          <w:rFonts w:hint="eastAsia" w:ascii="宋体" w:hAnsi="宋体" w:eastAsia="宋体"/>
          <w:szCs w:val="21"/>
          <w:lang w:val="en-US" w:eastAsia="zh-CN"/>
        </w:rPr>
        <w:t>违约</w:t>
      </w:r>
      <w:r>
        <w:rPr>
          <w:rFonts w:hint="eastAsia" w:ascii="宋体" w:hAnsi="宋体" w:eastAsia="宋体"/>
          <w:szCs w:val="21"/>
        </w:rPr>
        <w:t>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w:t>
      </w:r>
      <w:r>
        <w:rPr>
          <w:rFonts w:hint="eastAsia" w:ascii="宋体" w:hAnsi="宋体" w:eastAsia="宋体"/>
          <w:szCs w:val="21"/>
          <w:lang w:val="en-US" w:eastAsia="zh-CN"/>
        </w:rPr>
        <w:t>赔偿</w:t>
      </w:r>
      <w:r>
        <w:rPr>
          <w:rFonts w:hint="eastAsia" w:ascii="宋体" w:hAnsi="宋体" w:eastAsia="宋体"/>
          <w:szCs w:val="21"/>
        </w:rPr>
        <w:t>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w:t>
      </w:r>
      <w:r>
        <w:rPr>
          <w:rFonts w:hint="eastAsia" w:ascii="宋体" w:hAnsi="宋体" w:eastAsia="宋体"/>
          <w:szCs w:val="21"/>
          <w:lang w:val="en-US" w:eastAsia="zh-CN"/>
        </w:rPr>
        <w:t>保密</w:t>
      </w:r>
      <w:r>
        <w:rPr>
          <w:rFonts w:hint="eastAsia" w:ascii="宋体" w:hAnsi="宋体" w:eastAsia="宋体"/>
          <w:szCs w:val="21"/>
        </w:rPr>
        <w:t>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w:t>
      </w:r>
      <w:r>
        <w:rPr>
          <w:rFonts w:hint="eastAsia" w:ascii="宋体" w:hAnsi="宋体" w:eastAsia="宋体"/>
          <w:szCs w:val="21"/>
          <w:lang w:val="en-US" w:eastAsia="zh-CN"/>
        </w:rPr>
        <w:t>诉讼</w:t>
      </w:r>
      <w:r>
        <w:rPr>
          <w:rFonts w:hint="eastAsia" w:ascii="宋体" w:hAnsi="宋体" w:eastAsia="宋体"/>
          <w:szCs w:val="21"/>
        </w:rPr>
        <w:t>。</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w:t>
      </w:r>
      <w:r>
        <w:rPr>
          <w:rFonts w:hint="eastAsia" w:ascii="宋体" w:hAnsi="宋体" w:eastAsia="宋体"/>
          <w:szCs w:val="21"/>
          <w:lang w:val="en-US" w:eastAsia="zh-CN"/>
        </w:rPr>
        <w:t>合同</w:t>
      </w:r>
      <w:r>
        <w:rPr>
          <w:rFonts w:hint="eastAsia" w:ascii="宋体" w:hAnsi="宋体" w:eastAsia="宋体"/>
          <w:szCs w:val="21"/>
        </w:rPr>
        <w:t>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w:t>
      </w:r>
      <w:r>
        <w:rPr>
          <w:rFonts w:hint="eastAsia" w:ascii="宋体" w:hAnsi="宋体" w:eastAsia="宋体"/>
          <w:szCs w:val="21"/>
          <w:lang w:val="en-US" w:eastAsia="zh-CN"/>
        </w:rPr>
        <w:t>商洽</w:t>
      </w:r>
      <w:r>
        <w:rPr>
          <w:rFonts w:hint="eastAsia" w:ascii="宋体" w:hAnsi="宋体" w:eastAsia="宋体"/>
          <w:szCs w:val="21"/>
        </w:rPr>
        <w:t>，双方达成融资意向后，中标（成交）供应商与采购人签订政府采购合同，合同中供应商的银行账户要与合同融资的</w:t>
      </w:r>
      <w:r>
        <w:rPr>
          <w:rFonts w:hint="eastAsia" w:ascii="宋体" w:hAnsi="宋体" w:eastAsia="宋体"/>
          <w:szCs w:val="21"/>
          <w:lang w:val="en-US" w:eastAsia="zh-CN"/>
        </w:rPr>
        <w:t>汇缴</w:t>
      </w:r>
      <w:r>
        <w:rPr>
          <w:rFonts w:hint="eastAsia" w:ascii="宋体" w:hAnsi="宋体" w:eastAsia="宋体"/>
          <w:szCs w:val="21"/>
        </w:rPr>
        <w:t>账户一致。中标（成交）供应商和贷款金融机构应及时将政府采购合同作为融资质押的信息告知采购人。采购人要从严加强合同付款账户管理，未经贷款银行同意，不随意更改合同</w:t>
      </w:r>
      <w:r>
        <w:rPr>
          <w:rFonts w:hint="eastAsia" w:ascii="宋体" w:hAnsi="宋体" w:eastAsia="宋体"/>
          <w:szCs w:val="21"/>
          <w:lang w:val="en-US" w:eastAsia="zh-CN"/>
        </w:rPr>
        <w:t>付款</w:t>
      </w:r>
      <w:r>
        <w:rPr>
          <w:rFonts w:hint="eastAsia" w:ascii="宋体" w:hAnsi="宋体" w:eastAsia="宋体"/>
          <w:szCs w:val="21"/>
        </w:rPr>
        <w:t>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w:t>
      </w:r>
      <w:r>
        <w:rPr>
          <w:rFonts w:hint="eastAsia" w:ascii="宋体" w:hAnsi="宋体" w:eastAsia="宋体"/>
          <w:szCs w:val="21"/>
          <w:lang w:val="en-US" w:eastAsia="zh-CN"/>
        </w:rPr>
        <w:t>合同</w:t>
      </w:r>
      <w:r>
        <w:rPr>
          <w:rFonts w:hint="eastAsia" w:ascii="宋体" w:hAnsi="宋体" w:eastAsia="宋体"/>
          <w:szCs w:val="21"/>
        </w:rPr>
        <w:t>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w:t>
      </w:r>
      <w:r>
        <w:rPr>
          <w:rFonts w:hint="eastAsia" w:ascii="宋体" w:hAnsi="宋体" w:eastAsia="宋体"/>
          <w:szCs w:val="21"/>
          <w:lang w:val="en-US" w:eastAsia="zh-CN"/>
        </w:rPr>
        <w:t>合同</w:t>
      </w:r>
      <w:r>
        <w:rPr>
          <w:rFonts w:hint="eastAsia" w:ascii="宋体" w:hAnsi="宋体" w:eastAsia="宋体"/>
          <w:szCs w:val="21"/>
        </w:rPr>
        <w:t>资金准确支付到贷款银行确认的回款账户。采购人不得</w:t>
      </w:r>
      <w:r>
        <w:rPr>
          <w:rFonts w:hint="eastAsia" w:ascii="宋体" w:hAnsi="宋体" w:eastAsia="宋体"/>
          <w:szCs w:val="21"/>
          <w:lang w:val="en-US" w:eastAsia="zh-CN"/>
        </w:rPr>
        <w:t>未经</w:t>
      </w:r>
      <w:r>
        <w:rPr>
          <w:rFonts w:hint="eastAsia" w:ascii="宋体" w:hAnsi="宋体" w:eastAsia="宋体"/>
          <w:szCs w:val="21"/>
        </w:rPr>
        <w:t>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5"/>
        <w:spacing w:line="360" w:lineRule="auto"/>
        <w:contextualSpacing/>
        <w:jc w:val="center"/>
        <w:rPr>
          <w:rFonts w:cs="宋体" w:asciiTheme="majorEastAsia" w:hAnsiTheme="majorEastAsia" w:eastAsiaTheme="majorEastAsia"/>
          <w:b/>
          <w:kern w:val="0"/>
          <w:sz w:val="36"/>
          <w:szCs w:val="36"/>
        </w:rPr>
      </w:pPr>
    </w:p>
    <w:p w14:paraId="41147F8D">
      <w:pPr>
        <w:pStyle w:val="15"/>
        <w:spacing w:line="360" w:lineRule="auto"/>
        <w:contextualSpacing/>
        <w:jc w:val="center"/>
        <w:rPr>
          <w:rFonts w:cs="宋体" w:asciiTheme="majorEastAsia" w:hAnsiTheme="majorEastAsia" w:eastAsiaTheme="majorEastAsia"/>
          <w:b/>
          <w:kern w:val="0"/>
          <w:sz w:val="36"/>
          <w:szCs w:val="36"/>
        </w:rPr>
      </w:pPr>
    </w:p>
    <w:p w14:paraId="42EDA41E">
      <w:pPr>
        <w:pStyle w:val="15"/>
        <w:spacing w:line="360" w:lineRule="auto"/>
        <w:contextualSpacing/>
        <w:jc w:val="center"/>
        <w:rPr>
          <w:rFonts w:cs="宋体" w:asciiTheme="majorEastAsia" w:hAnsiTheme="majorEastAsia" w:eastAsiaTheme="majorEastAsia"/>
          <w:b/>
          <w:kern w:val="0"/>
          <w:sz w:val="36"/>
          <w:szCs w:val="36"/>
        </w:rPr>
      </w:pPr>
    </w:p>
    <w:p w14:paraId="34602ECD">
      <w:pPr>
        <w:pStyle w:val="15"/>
        <w:spacing w:line="360" w:lineRule="auto"/>
        <w:contextualSpacing/>
        <w:jc w:val="center"/>
        <w:rPr>
          <w:rFonts w:cs="宋体" w:asciiTheme="majorEastAsia" w:hAnsiTheme="majorEastAsia" w:eastAsiaTheme="majorEastAsia"/>
          <w:b/>
          <w:kern w:val="0"/>
          <w:sz w:val="36"/>
          <w:szCs w:val="36"/>
        </w:rPr>
      </w:pPr>
    </w:p>
    <w:p w14:paraId="21DFEA62">
      <w:pPr>
        <w:pStyle w:val="15"/>
        <w:spacing w:line="360" w:lineRule="auto"/>
        <w:contextualSpacing/>
        <w:jc w:val="center"/>
        <w:rPr>
          <w:rFonts w:cs="宋体" w:asciiTheme="majorEastAsia" w:hAnsiTheme="majorEastAsia" w:eastAsiaTheme="majorEastAsia"/>
          <w:b/>
          <w:kern w:val="0"/>
          <w:sz w:val="36"/>
          <w:szCs w:val="36"/>
        </w:rPr>
      </w:pPr>
    </w:p>
    <w:p w14:paraId="192A30AF">
      <w:pPr>
        <w:pStyle w:val="15"/>
        <w:spacing w:line="360" w:lineRule="auto"/>
        <w:contextualSpacing/>
        <w:jc w:val="center"/>
        <w:rPr>
          <w:rFonts w:cs="宋体" w:asciiTheme="majorEastAsia" w:hAnsiTheme="majorEastAsia" w:eastAsiaTheme="majorEastAsia"/>
          <w:b/>
          <w:kern w:val="0"/>
          <w:sz w:val="36"/>
          <w:szCs w:val="36"/>
        </w:rPr>
      </w:pPr>
    </w:p>
    <w:p w14:paraId="19A41FDA">
      <w:pPr>
        <w:pStyle w:val="15"/>
        <w:spacing w:line="360" w:lineRule="auto"/>
        <w:contextualSpacing/>
        <w:jc w:val="center"/>
        <w:rPr>
          <w:rFonts w:cs="宋体" w:asciiTheme="majorEastAsia" w:hAnsiTheme="majorEastAsia" w:eastAsiaTheme="majorEastAsia"/>
          <w:b/>
          <w:kern w:val="0"/>
          <w:sz w:val="36"/>
          <w:szCs w:val="36"/>
        </w:rPr>
      </w:pPr>
    </w:p>
    <w:p w14:paraId="07C6DA82">
      <w:pPr>
        <w:pStyle w:val="15"/>
        <w:spacing w:line="360" w:lineRule="auto"/>
        <w:contextualSpacing/>
        <w:jc w:val="center"/>
        <w:rPr>
          <w:rFonts w:cs="宋体" w:asciiTheme="majorEastAsia" w:hAnsiTheme="majorEastAsia" w:eastAsiaTheme="majorEastAsia"/>
          <w:b/>
          <w:kern w:val="0"/>
          <w:sz w:val="36"/>
          <w:szCs w:val="36"/>
        </w:rPr>
      </w:pPr>
    </w:p>
    <w:p w14:paraId="49844736">
      <w:pPr>
        <w:pStyle w:val="15"/>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5"/>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5"/>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5"/>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2"/>
        <w:rPr>
          <w:lang w:val="zh-CN"/>
        </w:rPr>
      </w:pPr>
    </w:p>
    <w:p w14:paraId="6418E7B1">
      <w:pPr>
        <w:pStyle w:val="32"/>
        <w:rPr>
          <w:lang w:val="zh-CN"/>
        </w:rPr>
      </w:pPr>
    </w:p>
    <w:p w14:paraId="6834617F">
      <w:pPr>
        <w:pStyle w:val="32"/>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5"/>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5"/>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5"/>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w:t>
      </w:r>
      <w:r>
        <w:rPr>
          <w:rFonts w:hint="eastAsia" w:cs="Arial" w:asciiTheme="minorEastAsia" w:hAnsiTheme="minorEastAsia" w:eastAsiaTheme="minorEastAsia"/>
          <w:sz w:val="21"/>
          <w:szCs w:val="21"/>
          <w:lang w:val="en-US" w:eastAsia="zh-CN"/>
        </w:rPr>
        <w:t>中华人民共和国</w:t>
      </w:r>
      <w:r>
        <w:rPr>
          <w:rFonts w:hint="eastAsia" w:cs="Arial" w:asciiTheme="minorEastAsia" w:hAnsiTheme="minorEastAsia" w:eastAsiaTheme="minorEastAsia"/>
          <w:sz w:val="21"/>
          <w:szCs w:val="21"/>
        </w:rPr>
        <w:t>政府采购法》第二十二条规定的条件；承诺如下：</w:t>
      </w:r>
    </w:p>
    <w:p w14:paraId="31FEBED6">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5"/>
        <w:adjustRightInd w:val="0"/>
        <w:snapToGrid w:val="0"/>
        <w:spacing w:line="360" w:lineRule="auto"/>
        <w:rPr>
          <w:rFonts w:asciiTheme="minorEastAsia" w:hAnsiTheme="minorEastAsia" w:eastAsiaTheme="minorEastAsia"/>
          <w:sz w:val="21"/>
          <w:szCs w:val="21"/>
        </w:rPr>
      </w:pPr>
    </w:p>
    <w:p w14:paraId="7F85629C">
      <w:pPr>
        <w:pStyle w:val="15"/>
        <w:adjustRightInd w:val="0"/>
        <w:snapToGrid w:val="0"/>
        <w:spacing w:line="360" w:lineRule="auto"/>
        <w:rPr>
          <w:rFonts w:asciiTheme="minorEastAsia" w:hAnsiTheme="minorEastAsia" w:eastAsiaTheme="minorEastAsia"/>
          <w:sz w:val="21"/>
          <w:szCs w:val="21"/>
        </w:rPr>
      </w:pPr>
    </w:p>
    <w:p w14:paraId="203D096D">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szCs w:val="21"/>
          <w:lang w:val="en-US" w:eastAsia="zh-CN"/>
        </w:rPr>
        <w:t>中华人民共和国</w:t>
      </w:r>
      <w:r>
        <w:rPr>
          <w:rFonts w:cs="宋体" w:asciiTheme="minorEastAsia" w:hAnsiTheme="minorEastAsia"/>
          <w:szCs w:val="21"/>
          <w:lang w:val="zh-CN"/>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8"/>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B353A3"/>
    <w:multiLevelType w:val="singleLevel"/>
    <w:tmpl w:val="00B353A3"/>
    <w:lvl w:ilvl="0" w:tentative="0">
      <w:start w:val="1"/>
      <w:numFmt w:val="decimal"/>
      <w:suff w:val="nothing"/>
      <w:lvlText w:val="%1、"/>
      <w:lvlJc w:val="left"/>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4D46EC"/>
    <w:multiLevelType w:val="singleLevel"/>
    <w:tmpl w:val="234D46EC"/>
    <w:lvl w:ilvl="0" w:tentative="0">
      <w:start w:val="1"/>
      <w:numFmt w:val="chineseCounting"/>
      <w:suff w:val="space"/>
      <w:lvlText w:val="第%1章"/>
      <w:lvlJc w:val="left"/>
      <w:rPr>
        <w:rFonts w:hint="eastAsia"/>
      </w:r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4">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8">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9">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4">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6">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F817E8"/>
    <w:multiLevelType w:val="singleLevel"/>
    <w:tmpl w:val="59F817E8"/>
    <w:lvl w:ilvl="0" w:tentative="0">
      <w:start w:val="1"/>
      <w:numFmt w:val="chineseCounting"/>
      <w:pStyle w:val="65"/>
      <w:suff w:val="nothing"/>
      <w:lvlText w:val="%1、"/>
      <w:lvlJc w:val="left"/>
    </w:lvl>
  </w:abstractNum>
  <w:abstractNum w:abstractNumId="48">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1">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3"/>
  </w:num>
  <w:num w:numId="3">
    <w:abstractNumId w:val="47"/>
  </w:num>
  <w:num w:numId="4">
    <w:abstractNumId w:val="21"/>
  </w:num>
  <w:num w:numId="5">
    <w:abstractNumId w:val="0"/>
  </w:num>
  <w:num w:numId="6">
    <w:abstractNumId w:val="1"/>
  </w:num>
  <w:num w:numId="7">
    <w:abstractNumId w:val="4"/>
  </w:num>
  <w:num w:numId="8">
    <w:abstractNumId w:val="18"/>
  </w:num>
  <w:num w:numId="9">
    <w:abstractNumId w:val="19"/>
  </w:num>
  <w:num w:numId="10">
    <w:abstractNumId w:val="53"/>
  </w:num>
  <w:num w:numId="11">
    <w:abstractNumId w:val="65"/>
  </w:num>
  <w:num w:numId="12">
    <w:abstractNumId w:val="62"/>
  </w:num>
  <w:num w:numId="13">
    <w:abstractNumId w:val="52"/>
  </w:num>
  <w:num w:numId="14">
    <w:abstractNumId w:val="27"/>
  </w:num>
  <w:num w:numId="15">
    <w:abstractNumId w:val="20"/>
  </w:num>
  <w:num w:numId="16">
    <w:abstractNumId w:val="55"/>
  </w:num>
  <w:num w:numId="17">
    <w:abstractNumId w:val="49"/>
  </w:num>
  <w:num w:numId="18">
    <w:abstractNumId w:val="61"/>
  </w:num>
  <w:num w:numId="19">
    <w:abstractNumId w:val="39"/>
  </w:num>
  <w:num w:numId="20">
    <w:abstractNumId w:val="15"/>
  </w:num>
  <w:num w:numId="21">
    <w:abstractNumId w:val="44"/>
  </w:num>
  <w:num w:numId="22">
    <w:abstractNumId w:val="8"/>
  </w:num>
  <w:num w:numId="23">
    <w:abstractNumId w:val="25"/>
  </w:num>
  <w:num w:numId="24">
    <w:abstractNumId w:val="41"/>
  </w:num>
  <w:num w:numId="25">
    <w:abstractNumId w:val="7"/>
  </w:num>
  <w:num w:numId="26">
    <w:abstractNumId w:val="58"/>
  </w:num>
  <w:num w:numId="27">
    <w:abstractNumId w:val="14"/>
  </w:num>
  <w:num w:numId="28">
    <w:abstractNumId w:val="30"/>
  </w:num>
  <w:num w:numId="29">
    <w:abstractNumId w:val="34"/>
  </w:num>
  <w:num w:numId="30">
    <w:abstractNumId w:val="22"/>
  </w:num>
  <w:num w:numId="31">
    <w:abstractNumId w:val="48"/>
  </w:num>
  <w:num w:numId="32">
    <w:abstractNumId w:val="28"/>
  </w:num>
  <w:num w:numId="33">
    <w:abstractNumId w:val="57"/>
  </w:num>
  <w:num w:numId="34">
    <w:abstractNumId w:val="35"/>
  </w:num>
  <w:num w:numId="35">
    <w:abstractNumId w:val="60"/>
  </w:num>
  <w:num w:numId="36">
    <w:abstractNumId w:val="16"/>
  </w:num>
  <w:num w:numId="37">
    <w:abstractNumId w:val="6"/>
  </w:num>
  <w:num w:numId="38">
    <w:abstractNumId w:val="12"/>
  </w:num>
  <w:num w:numId="39">
    <w:abstractNumId w:val="9"/>
  </w:num>
  <w:num w:numId="40">
    <w:abstractNumId w:val="32"/>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2"/>
  </w:num>
  <w:num w:numId="55">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59"/>
  </w:num>
  <w:num w:numId="60">
    <w:abstractNumId w:val="43"/>
  </w:num>
  <w:num w:numId="61">
    <w:abstractNumId w:val="23"/>
  </w:num>
  <w:num w:numId="62">
    <w:abstractNumId w:val="29"/>
  </w:num>
  <w:num w:numId="63">
    <w:abstractNumId w:val="37"/>
  </w:num>
  <w:num w:numId="64">
    <w:abstractNumId w:val="51"/>
  </w:num>
  <w:num w:numId="65">
    <w:abstractNumId w:val="67"/>
  </w:num>
  <w:num w:numId="66">
    <w:abstractNumId w:val="13"/>
  </w:num>
  <w:num w:numId="67">
    <w:abstractNumId w:val="38"/>
  </w:num>
  <w:num w:numId="68">
    <w:abstractNumId w:val="63"/>
  </w:num>
  <w:num w:numId="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CE57B8"/>
    <w:rsid w:val="01EE71A0"/>
    <w:rsid w:val="020044B1"/>
    <w:rsid w:val="03B207B6"/>
    <w:rsid w:val="03B44E81"/>
    <w:rsid w:val="03E7460F"/>
    <w:rsid w:val="049251C3"/>
    <w:rsid w:val="04D37589"/>
    <w:rsid w:val="05921AC4"/>
    <w:rsid w:val="05A76A4C"/>
    <w:rsid w:val="05CD222A"/>
    <w:rsid w:val="060269B6"/>
    <w:rsid w:val="067F52D3"/>
    <w:rsid w:val="06A72A7B"/>
    <w:rsid w:val="07140111"/>
    <w:rsid w:val="0765096C"/>
    <w:rsid w:val="07B83B6F"/>
    <w:rsid w:val="08156475"/>
    <w:rsid w:val="081E3533"/>
    <w:rsid w:val="089B1EC4"/>
    <w:rsid w:val="08E34143"/>
    <w:rsid w:val="091742F7"/>
    <w:rsid w:val="096133B5"/>
    <w:rsid w:val="097D7536"/>
    <w:rsid w:val="09FC30DE"/>
    <w:rsid w:val="0A960E3D"/>
    <w:rsid w:val="0B002E5D"/>
    <w:rsid w:val="0B8666A8"/>
    <w:rsid w:val="0BC6115D"/>
    <w:rsid w:val="0BF56037"/>
    <w:rsid w:val="0C436DA2"/>
    <w:rsid w:val="0C4F2BA9"/>
    <w:rsid w:val="0C6A5094"/>
    <w:rsid w:val="0CA737D5"/>
    <w:rsid w:val="0CA75583"/>
    <w:rsid w:val="0CC57239"/>
    <w:rsid w:val="0CD923C2"/>
    <w:rsid w:val="0D097FEC"/>
    <w:rsid w:val="0D30650C"/>
    <w:rsid w:val="0D38442D"/>
    <w:rsid w:val="0D4258E7"/>
    <w:rsid w:val="0D58687D"/>
    <w:rsid w:val="0DC31AF9"/>
    <w:rsid w:val="0DDC125D"/>
    <w:rsid w:val="0E8652B6"/>
    <w:rsid w:val="0EF16F8A"/>
    <w:rsid w:val="0F0547E3"/>
    <w:rsid w:val="0F2904D1"/>
    <w:rsid w:val="0F47598F"/>
    <w:rsid w:val="0F4B00B9"/>
    <w:rsid w:val="0FBD6E6C"/>
    <w:rsid w:val="0FCD6BA8"/>
    <w:rsid w:val="100E1475"/>
    <w:rsid w:val="102B0279"/>
    <w:rsid w:val="108A31F2"/>
    <w:rsid w:val="110A68BF"/>
    <w:rsid w:val="11A52883"/>
    <w:rsid w:val="11DF5B42"/>
    <w:rsid w:val="12042B30"/>
    <w:rsid w:val="12103BD7"/>
    <w:rsid w:val="121E4214"/>
    <w:rsid w:val="132E651F"/>
    <w:rsid w:val="137419B4"/>
    <w:rsid w:val="13B62550"/>
    <w:rsid w:val="13D05FE8"/>
    <w:rsid w:val="14292D22"/>
    <w:rsid w:val="14885D40"/>
    <w:rsid w:val="14A80DDB"/>
    <w:rsid w:val="1520048F"/>
    <w:rsid w:val="1534197E"/>
    <w:rsid w:val="15AE2BE6"/>
    <w:rsid w:val="161517B0"/>
    <w:rsid w:val="162E62FE"/>
    <w:rsid w:val="1661121E"/>
    <w:rsid w:val="166C5148"/>
    <w:rsid w:val="175C31C5"/>
    <w:rsid w:val="18401E8C"/>
    <w:rsid w:val="18F558C8"/>
    <w:rsid w:val="19306900"/>
    <w:rsid w:val="19483C4A"/>
    <w:rsid w:val="19C71013"/>
    <w:rsid w:val="1A02204B"/>
    <w:rsid w:val="1A367F46"/>
    <w:rsid w:val="1A6F007A"/>
    <w:rsid w:val="1B85380A"/>
    <w:rsid w:val="1BC97183"/>
    <w:rsid w:val="1BD17ACD"/>
    <w:rsid w:val="1BEC2FB3"/>
    <w:rsid w:val="1C566820"/>
    <w:rsid w:val="1CA73630"/>
    <w:rsid w:val="1CAD0994"/>
    <w:rsid w:val="1CBB2985"/>
    <w:rsid w:val="1D22566A"/>
    <w:rsid w:val="1D332DC8"/>
    <w:rsid w:val="1D46139B"/>
    <w:rsid w:val="1D48392C"/>
    <w:rsid w:val="1D7403AC"/>
    <w:rsid w:val="1D7A073C"/>
    <w:rsid w:val="1DC835AB"/>
    <w:rsid w:val="1DC846D2"/>
    <w:rsid w:val="1E116D00"/>
    <w:rsid w:val="1E256308"/>
    <w:rsid w:val="1E3B1FCF"/>
    <w:rsid w:val="1E934ADA"/>
    <w:rsid w:val="1E9E5F3D"/>
    <w:rsid w:val="1ED6635C"/>
    <w:rsid w:val="1F016D75"/>
    <w:rsid w:val="1F81420A"/>
    <w:rsid w:val="20762B03"/>
    <w:rsid w:val="20916509"/>
    <w:rsid w:val="210A3EE5"/>
    <w:rsid w:val="218C669E"/>
    <w:rsid w:val="21A954A2"/>
    <w:rsid w:val="21AD0AEE"/>
    <w:rsid w:val="2298591C"/>
    <w:rsid w:val="2347632E"/>
    <w:rsid w:val="239F4DAE"/>
    <w:rsid w:val="23E10F23"/>
    <w:rsid w:val="246456B0"/>
    <w:rsid w:val="251470D6"/>
    <w:rsid w:val="251A6AD4"/>
    <w:rsid w:val="25891872"/>
    <w:rsid w:val="27101F3C"/>
    <w:rsid w:val="27C546B8"/>
    <w:rsid w:val="27CB1FDF"/>
    <w:rsid w:val="28A47E0D"/>
    <w:rsid w:val="2974579E"/>
    <w:rsid w:val="29842A7C"/>
    <w:rsid w:val="29B02CBC"/>
    <w:rsid w:val="2A7F3244"/>
    <w:rsid w:val="2A87268B"/>
    <w:rsid w:val="2B1C2A88"/>
    <w:rsid w:val="2B3C1135"/>
    <w:rsid w:val="2BAC62BA"/>
    <w:rsid w:val="2CF25D23"/>
    <w:rsid w:val="2CF33A75"/>
    <w:rsid w:val="2EE8585B"/>
    <w:rsid w:val="2F0A3A24"/>
    <w:rsid w:val="2F0F2DE8"/>
    <w:rsid w:val="2FCC2A87"/>
    <w:rsid w:val="304D13E0"/>
    <w:rsid w:val="307A7AF5"/>
    <w:rsid w:val="30BA3228"/>
    <w:rsid w:val="31AC0DC2"/>
    <w:rsid w:val="31BE3656"/>
    <w:rsid w:val="322D0C63"/>
    <w:rsid w:val="330662B0"/>
    <w:rsid w:val="335E6B36"/>
    <w:rsid w:val="336851BD"/>
    <w:rsid w:val="33F56325"/>
    <w:rsid w:val="34256C0A"/>
    <w:rsid w:val="3487669F"/>
    <w:rsid w:val="353926C2"/>
    <w:rsid w:val="358A766C"/>
    <w:rsid w:val="35D61E88"/>
    <w:rsid w:val="361E1B63"/>
    <w:rsid w:val="36CD3FAC"/>
    <w:rsid w:val="36D13079"/>
    <w:rsid w:val="37285044"/>
    <w:rsid w:val="37F47148"/>
    <w:rsid w:val="38097051"/>
    <w:rsid w:val="38404966"/>
    <w:rsid w:val="38AB7314"/>
    <w:rsid w:val="38E54BBA"/>
    <w:rsid w:val="39231D25"/>
    <w:rsid w:val="392D778D"/>
    <w:rsid w:val="39761CB6"/>
    <w:rsid w:val="39E82BB3"/>
    <w:rsid w:val="3A30455A"/>
    <w:rsid w:val="3A306505"/>
    <w:rsid w:val="3A410516"/>
    <w:rsid w:val="3A79072A"/>
    <w:rsid w:val="3ADE3FB6"/>
    <w:rsid w:val="3AE66A84"/>
    <w:rsid w:val="3BD056AD"/>
    <w:rsid w:val="3C862210"/>
    <w:rsid w:val="3CDC3488"/>
    <w:rsid w:val="3D18555E"/>
    <w:rsid w:val="3D391317"/>
    <w:rsid w:val="3D4A148F"/>
    <w:rsid w:val="3DB72FC9"/>
    <w:rsid w:val="3E706AA3"/>
    <w:rsid w:val="3E7C3E75"/>
    <w:rsid w:val="3ECC70E8"/>
    <w:rsid w:val="3F4441CA"/>
    <w:rsid w:val="3FEF631E"/>
    <w:rsid w:val="402C1320"/>
    <w:rsid w:val="404228F2"/>
    <w:rsid w:val="40A94EAD"/>
    <w:rsid w:val="416036D4"/>
    <w:rsid w:val="41A24945"/>
    <w:rsid w:val="41D279A9"/>
    <w:rsid w:val="41EC6AFB"/>
    <w:rsid w:val="42127FFC"/>
    <w:rsid w:val="422340D2"/>
    <w:rsid w:val="423053ED"/>
    <w:rsid w:val="42994282"/>
    <w:rsid w:val="42A258CA"/>
    <w:rsid w:val="42DF08CC"/>
    <w:rsid w:val="432163BA"/>
    <w:rsid w:val="437234EE"/>
    <w:rsid w:val="437B23A2"/>
    <w:rsid w:val="43833B65"/>
    <w:rsid w:val="43C114AA"/>
    <w:rsid w:val="445D5F4C"/>
    <w:rsid w:val="44C91833"/>
    <w:rsid w:val="44D04970"/>
    <w:rsid w:val="44D159A7"/>
    <w:rsid w:val="454B049A"/>
    <w:rsid w:val="457A54F1"/>
    <w:rsid w:val="457F41B2"/>
    <w:rsid w:val="458E2F8D"/>
    <w:rsid w:val="45B46B5A"/>
    <w:rsid w:val="45DB0C41"/>
    <w:rsid w:val="46794B93"/>
    <w:rsid w:val="46B61944"/>
    <w:rsid w:val="46FD367C"/>
    <w:rsid w:val="477525EB"/>
    <w:rsid w:val="477D6972"/>
    <w:rsid w:val="478C4B44"/>
    <w:rsid w:val="47BB0A1B"/>
    <w:rsid w:val="47DF4EBE"/>
    <w:rsid w:val="48094372"/>
    <w:rsid w:val="483E7E42"/>
    <w:rsid w:val="48DA43E6"/>
    <w:rsid w:val="48E629B4"/>
    <w:rsid w:val="49A56FB8"/>
    <w:rsid w:val="49D26A89"/>
    <w:rsid w:val="4A8415A5"/>
    <w:rsid w:val="4AE72B77"/>
    <w:rsid w:val="4B616322"/>
    <w:rsid w:val="4B9F6E4A"/>
    <w:rsid w:val="4BAC7C7B"/>
    <w:rsid w:val="4C23418A"/>
    <w:rsid w:val="4C3E2B07"/>
    <w:rsid w:val="4C3E6663"/>
    <w:rsid w:val="4C930FAA"/>
    <w:rsid w:val="4C9D1723"/>
    <w:rsid w:val="4CDB65A8"/>
    <w:rsid w:val="4CE54D31"/>
    <w:rsid w:val="4D7E765F"/>
    <w:rsid w:val="4D7F33D7"/>
    <w:rsid w:val="4D812CAB"/>
    <w:rsid w:val="4D9036ED"/>
    <w:rsid w:val="4DA44BEC"/>
    <w:rsid w:val="4F172EB2"/>
    <w:rsid w:val="4F381A8F"/>
    <w:rsid w:val="4F552641"/>
    <w:rsid w:val="4F624D5E"/>
    <w:rsid w:val="4F7973DD"/>
    <w:rsid w:val="4F923A7B"/>
    <w:rsid w:val="4FA40ED3"/>
    <w:rsid w:val="50067238"/>
    <w:rsid w:val="50B1220C"/>
    <w:rsid w:val="50E13A61"/>
    <w:rsid w:val="51103F74"/>
    <w:rsid w:val="51452242"/>
    <w:rsid w:val="51453FF0"/>
    <w:rsid w:val="52322221"/>
    <w:rsid w:val="526F487A"/>
    <w:rsid w:val="529E7E5B"/>
    <w:rsid w:val="52A35472"/>
    <w:rsid w:val="53670B95"/>
    <w:rsid w:val="53714D2C"/>
    <w:rsid w:val="53980D4F"/>
    <w:rsid w:val="53D578AD"/>
    <w:rsid w:val="53E2021C"/>
    <w:rsid w:val="542919A7"/>
    <w:rsid w:val="549B1E04"/>
    <w:rsid w:val="55733821"/>
    <w:rsid w:val="56231A34"/>
    <w:rsid w:val="565C6063"/>
    <w:rsid w:val="565D1DDC"/>
    <w:rsid w:val="56A7383F"/>
    <w:rsid w:val="577367A5"/>
    <w:rsid w:val="57AC4DC9"/>
    <w:rsid w:val="57C6703C"/>
    <w:rsid w:val="57FA3D86"/>
    <w:rsid w:val="58354DBE"/>
    <w:rsid w:val="584774D4"/>
    <w:rsid w:val="58B220EB"/>
    <w:rsid w:val="58E862D4"/>
    <w:rsid w:val="592856EA"/>
    <w:rsid w:val="59374B66"/>
    <w:rsid w:val="596F2F5E"/>
    <w:rsid w:val="59883613"/>
    <w:rsid w:val="59D5489E"/>
    <w:rsid w:val="59E265EA"/>
    <w:rsid w:val="59FB3DE5"/>
    <w:rsid w:val="5A025174"/>
    <w:rsid w:val="5A0709DC"/>
    <w:rsid w:val="5A3C1E2C"/>
    <w:rsid w:val="5A620455"/>
    <w:rsid w:val="5ABA40EA"/>
    <w:rsid w:val="5ACC7530"/>
    <w:rsid w:val="5B2F24B5"/>
    <w:rsid w:val="5BC433D0"/>
    <w:rsid w:val="5C4557EC"/>
    <w:rsid w:val="5CDE4FBC"/>
    <w:rsid w:val="5CF96B93"/>
    <w:rsid w:val="5DAD189A"/>
    <w:rsid w:val="5DC76A50"/>
    <w:rsid w:val="5E27164D"/>
    <w:rsid w:val="5E4A70E9"/>
    <w:rsid w:val="5E9071F2"/>
    <w:rsid w:val="5F0C25F1"/>
    <w:rsid w:val="5F1D65AC"/>
    <w:rsid w:val="5F5B083F"/>
    <w:rsid w:val="601A422B"/>
    <w:rsid w:val="60912DAE"/>
    <w:rsid w:val="612E5306"/>
    <w:rsid w:val="613F280A"/>
    <w:rsid w:val="619F774C"/>
    <w:rsid w:val="61B72CE8"/>
    <w:rsid w:val="61BC5600"/>
    <w:rsid w:val="61D70C94"/>
    <w:rsid w:val="61EF2482"/>
    <w:rsid w:val="625B7B17"/>
    <w:rsid w:val="63040D4E"/>
    <w:rsid w:val="636B1FDC"/>
    <w:rsid w:val="63800A16"/>
    <w:rsid w:val="6446136F"/>
    <w:rsid w:val="64630F05"/>
    <w:rsid w:val="64701E66"/>
    <w:rsid w:val="64C51278"/>
    <w:rsid w:val="650575AA"/>
    <w:rsid w:val="65624252"/>
    <w:rsid w:val="65965B7A"/>
    <w:rsid w:val="65B25CA0"/>
    <w:rsid w:val="667016B7"/>
    <w:rsid w:val="66A001EE"/>
    <w:rsid w:val="67130CEB"/>
    <w:rsid w:val="672957C5"/>
    <w:rsid w:val="676F7BC1"/>
    <w:rsid w:val="679E5E52"/>
    <w:rsid w:val="68580655"/>
    <w:rsid w:val="68613E1C"/>
    <w:rsid w:val="68701E42"/>
    <w:rsid w:val="68A86442"/>
    <w:rsid w:val="68C77CB4"/>
    <w:rsid w:val="68F6059A"/>
    <w:rsid w:val="690C519B"/>
    <w:rsid w:val="694A2730"/>
    <w:rsid w:val="69C81336"/>
    <w:rsid w:val="6A0C16F7"/>
    <w:rsid w:val="6A16113C"/>
    <w:rsid w:val="6A244C92"/>
    <w:rsid w:val="6AAE0F26"/>
    <w:rsid w:val="6B477EE6"/>
    <w:rsid w:val="6B851761"/>
    <w:rsid w:val="6B890AF4"/>
    <w:rsid w:val="6BDD2BA4"/>
    <w:rsid w:val="6C6972D4"/>
    <w:rsid w:val="6C9C4317"/>
    <w:rsid w:val="6CC7316E"/>
    <w:rsid w:val="6CF3231D"/>
    <w:rsid w:val="6D1045AC"/>
    <w:rsid w:val="6E13574A"/>
    <w:rsid w:val="6E3336F6"/>
    <w:rsid w:val="6E6B10E2"/>
    <w:rsid w:val="6F586836"/>
    <w:rsid w:val="70BA1EAD"/>
    <w:rsid w:val="70F94A85"/>
    <w:rsid w:val="71072C18"/>
    <w:rsid w:val="71285068"/>
    <w:rsid w:val="71593931"/>
    <w:rsid w:val="7202032D"/>
    <w:rsid w:val="72355BB2"/>
    <w:rsid w:val="72B72A29"/>
    <w:rsid w:val="72E04F19"/>
    <w:rsid w:val="72E63E7E"/>
    <w:rsid w:val="736B376C"/>
    <w:rsid w:val="742650CC"/>
    <w:rsid w:val="74375DA0"/>
    <w:rsid w:val="74D8656F"/>
    <w:rsid w:val="74DA0D6F"/>
    <w:rsid w:val="7528245B"/>
    <w:rsid w:val="755747BE"/>
    <w:rsid w:val="75C50DBF"/>
    <w:rsid w:val="75D05B45"/>
    <w:rsid w:val="761F3B91"/>
    <w:rsid w:val="762115A2"/>
    <w:rsid w:val="763769EB"/>
    <w:rsid w:val="764804B7"/>
    <w:rsid w:val="765A0A00"/>
    <w:rsid w:val="76AE24B4"/>
    <w:rsid w:val="77470212"/>
    <w:rsid w:val="778925D9"/>
    <w:rsid w:val="77B574A4"/>
    <w:rsid w:val="77E6121F"/>
    <w:rsid w:val="780103C1"/>
    <w:rsid w:val="78112CFA"/>
    <w:rsid w:val="782C63A8"/>
    <w:rsid w:val="78746DE5"/>
    <w:rsid w:val="788D434B"/>
    <w:rsid w:val="78AF42C1"/>
    <w:rsid w:val="78DD498A"/>
    <w:rsid w:val="790C1713"/>
    <w:rsid w:val="793B3DA7"/>
    <w:rsid w:val="79425135"/>
    <w:rsid w:val="79CA65E3"/>
    <w:rsid w:val="79D3446D"/>
    <w:rsid w:val="79E7681A"/>
    <w:rsid w:val="79EF6B22"/>
    <w:rsid w:val="79EF706B"/>
    <w:rsid w:val="79F74636"/>
    <w:rsid w:val="7B67425B"/>
    <w:rsid w:val="7BB97537"/>
    <w:rsid w:val="7BC95D25"/>
    <w:rsid w:val="7BE92A89"/>
    <w:rsid w:val="7BE97AEA"/>
    <w:rsid w:val="7C6B04FF"/>
    <w:rsid w:val="7D0C3A90"/>
    <w:rsid w:val="7D3C1A3B"/>
    <w:rsid w:val="7D407EEB"/>
    <w:rsid w:val="7DF74D1C"/>
    <w:rsid w:val="7DFC1D56"/>
    <w:rsid w:val="7E2D0162"/>
    <w:rsid w:val="7E394D59"/>
    <w:rsid w:val="7E3A63DB"/>
    <w:rsid w:val="7E3E411D"/>
    <w:rsid w:val="7E4533AF"/>
    <w:rsid w:val="7EF464FF"/>
    <w:rsid w:val="7F605DAE"/>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0"/>
    <w:qFormat/>
    <w:uiPriority w:val="0"/>
    <w:rPr>
      <w:rFonts w:ascii="Times New Roman" w:hAnsi="Times New Roman" w:eastAsia="宋体" w:cs="Times New Roman"/>
      <w:color w:val="FF0000"/>
      <w:sz w:val="24"/>
      <w:szCs w:val="24"/>
    </w:rPr>
  </w:style>
  <w:style w:type="paragraph" w:styleId="10">
    <w:name w:val="Body Text"/>
    <w:basedOn w:val="1"/>
    <w:link w:val="41"/>
    <w:unhideWhenUsed/>
    <w:qFormat/>
    <w:uiPriority w:val="99"/>
    <w:pPr>
      <w:spacing w:after="120"/>
    </w:pPr>
  </w:style>
  <w:style w:type="paragraph" w:styleId="11">
    <w:name w:val="Body Text Indent"/>
    <w:basedOn w:val="1"/>
    <w:next w:val="12"/>
    <w:link w:val="43"/>
    <w:qFormat/>
    <w:uiPriority w:val="0"/>
    <w:pPr>
      <w:adjustRightInd w:val="0"/>
      <w:spacing w:after="120" w:line="360" w:lineRule="atLeast"/>
      <w:ind w:left="420" w:leftChars="200"/>
      <w:jc w:val="left"/>
      <w:textAlignment w:val="baseline"/>
    </w:pPr>
    <w:rPr>
      <w:kern w:val="0"/>
      <w:sz w:val="24"/>
      <w:szCs w:val="20"/>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next w:val="8"/>
    <w:link w:val="44"/>
    <w:qFormat/>
    <w:uiPriority w:val="0"/>
    <w:rPr>
      <w:rFonts w:eastAsia="宋体"/>
      <w:sz w:val="24"/>
    </w:rPr>
  </w:style>
  <w:style w:type="paragraph" w:styleId="16">
    <w:name w:val="Date"/>
    <w:basedOn w:val="1"/>
    <w:next w:val="1"/>
    <w:link w:val="45"/>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48"/>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6"/>
    <w:semiHidden/>
    <w:unhideWhenUsed/>
    <w:qFormat/>
    <w:uiPriority w:val="99"/>
    <w:pPr>
      <w:spacing w:after="120" w:line="480" w:lineRule="auto"/>
    </w:p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1"/>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列出段落1"/>
    <w:basedOn w:val="1"/>
    <w:qFormat/>
    <w:uiPriority w:val="99"/>
    <w:pPr>
      <w:ind w:firstLine="420" w:firstLineChars="200"/>
    </w:pPr>
  </w:style>
  <w:style w:type="paragraph" w:customStyle="1" w:styleId="33">
    <w:name w:val="style4"/>
    <w:basedOn w:val="1"/>
    <w:next w:val="34"/>
    <w:qFormat/>
    <w:uiPriority w:val="99"/>
    <w:pPr>
      <w:widowControl/>
      <w:spacing w:before="280" w:after="280"/>
    </w:pPr>
    <w:rPr>
      <w:rFonts w:ascii="宋体" w:hAnsi="Times New Roman" w:eastAsia="宋体" w:cs="Times New Roman"/>
      <w:sz w:val="18"/>
    </w:rPr>
  </w:style>
  <w:style w:type="paragraph" w:customStyle="1" w:styleId="3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5">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character" w:customStyle="1" w:styleId="36">
    <w:name w:val="标题 1 Char"/>
    <w:basedOn w:val="28"/>
    <w:link w:val="2"/>
    <w:qFormat/>
    <w:uiPriority w:val="0"/>
    <w:rPr>
      <w:rFonts w:ascii="Calibri" w:hAnsi="Calibri" w:eastAsia="宋体" w:cs="Times New Roman"/>
      <w:b/>
      <w:bCs/>
      <w:kern w:val="44"/>
      <w:sz w:val="44"/>
      <w:szCs w:val="44"/>
    </w:rPr>
  </w:style>
  <w:style w:type="character" w:customStyle="1" w:styleId="37">
    <w:name w:val="标题 2 Char"/>
    <w:basedOn w:val="28"/>
    <w:link w:val="3"/>
    <w:qFormat/>
    <w:uiPriority w:val="0"/>
    <w:rPr>
      <w:rFonts w:ascii="Arial" w:hAnsi="Arial" w:eastAsia="黑体" w:cs="Times New Roman"/>
      <w:b/>
      <w:bCs/>
      <w:sz w:val="32"/>
      <w:szCs w:val="32"/>
    </w:rPr>
  </w:style>
  <w:style w:type="character" w:customStyle="1" w:styleId="38">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正文文本 3 Char"/>
    <w:basedOn w:val="28"/>
    <w:link w:val="9"/>
    <w:qFormat/>
    <w:uiPriority w:val="0"/>
    <w:rPr>
      <w:rFonts w:ascii="Times New Roman" w:hAnsi="Times New Roman" w:eastAsia="宋体" w:cs="Times New Roman"/>
      <w:color w:val="FF0000"/>
      <w:sz w:val="24"/>
      <w:szCs w:val="24"/>
    </w:rPr>
  </w:style>
  <w:style w:type="character" w:customStyle="1" w:styleId="41">
    <w:name w:val="正文文本 Char"/>
    <w:basedOn w:val="28"/>
    <w:link w:val="10"/>
    <w:qFormat/>
    <w:uiPriority w:val="99"/>
  </w:style>
  <w:style w:type="character" w:customStyle="1" w:styleId="42">
    <w:name w:val="正文文本缩进 Char"/>
    <w:basedOn w:val="28"/>
    <w:qFormat/>
    <w:uiPriority w:val="0"/>
  </w:style>
  <w:style w:type="character" w:customStyle="1" w:styleId="43">
    <w:name w:val="正文文本缩进 Char1"/>
    <w:basedOn w:val="28"/>
    <w:link w:val="11"/>
    <w:qFormat/>
    <w:uiPriority w:val="0"/>
    <w:rPr>
      <w:kern w:val="0"/>
      <w:sz w:val="24"/>
      <w:szCs w:val="20"/>
    </w:rPr>
  </w:style>
  <w:style w:type="character" w:customStyle="1" w:styleId="44">
    <w:name w:val="纯文本 Char"/>
    <w:basedOn w:val="28"/>
    <w:link w:val="15"/>
    <w:qFormat/>
    <w:uiPriority w:val="0"/>
    <w:rPr>
      <w:rFonts w:eastAsia="宋体"/>
      <w:sz w:val="24"/>
    </w:rPr>
  </w:style>
  <w:style w:type="character" w:customStyle="1" w:styleId="45">
    <w:name w:val="日期 Char"/>
    <w:basedOn w:val="28"/>
    <w:link w:val="16"/>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7"/>
    <w:semiHidden/>
    <w:qFormat/>
    <w:uiPriority w:val="99"/>
    <w:rPr>
      <w:sz w:val="18"/>
      <w:szCs w:val="18"/>
    </w:rPr>
  </w:style>
  <w:style w:type="character" w:customStyle="1" w:styleId="48">
    <w:name w:val="页脚 Char"/>
    <w:basedOn w:val="28"/>
    <w:link w:val="18"/>
    <w:qFormat/>
    <w:uiPriority w:val="99"/>
    <w:rPr>
      <w:sz w:val="18"/>
      <w:szCs w:val="18"/>
    </w:rPr>
  </w:style>
  <w:style w:type="character" w:customStyle="1" w:styleId="49">
    <w:name w:val="页眉 Char"/>
    <w:basedOn w:val="28"/>
    <w:link w:val="19"/>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21"/>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4514</Words>
  <Characters>4829</Characters>
  <Lines>319</Lines>
  <Paragraphs>89</Paragraphs>
  <TotalTime>41</TotalTime>
  <ScaleCrop>false</ScaleCrop>
  <LinksUpToDate>false</LinksUpToDate>
  <CharactersWithSpaces>4907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朱俊铭</cp:lastModifiedBy>
  <cp:lastPrinted>2025-09-04T09:35:00Z</cp:lastPrinted>
  <dcterms:modified xsi:type="dcterms:W3CDTF">2025-09-16T02:56:12Z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FBF453DA7B104E3185D27B8DDE5540B6_13</vt:lpwstr>
  </property>
  <property fmtid="{D5CDD505-2E9C-101B-9397-08002B2CF9AE}" pid="4" name="KSOTemplateDocerSaveRecord">
    <vt:lpwstr>eyJoZGlkIjoiZjFmZWIzNDg2MmIzZjExOTIzMmViNTBmYTMwYTk0ZWYiLCJ1c2VySWQiOiIyNDk3NDU2MzUifQ==</vt:lpwstr>
  </property>
</Properties>
</file>