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2"/>
        <w:ind w:firstLine="883"/>
        <w:rPr>
          <w:rFonts w:ascii="仿宋" w:hAnsi="仿宋" w:eastAsia="仿宋" w:cs="宋体"/>
          <w:b/>
          <w:bCs/>
          <w:color w:val="000000"/>
          <w:sz w:val="44"/>
          <w:szCs w:val="44"/>
        </w:rPr>
      </w:pPr>
    </w:p>
    <w:p w14:paraId="655F42E8">
      <w:pPr>
        <w:pStyle w:val="22"/>
        <w:rPr>
          <w:rFonts w:ascii="仿宋" w:hAnsi="仿宋" w:eastAsia="仿宋"/>
        </w:rPr>
      </w:pPr>
    </w:p>
    <w:p w14:paraId="2EC2DF14">
      <w:pPr>
        <w:jc w:val="center"/>
        <w:rPr>
          <w:rFonts w:hint="default" w:eastAsia="宋体"/>
          <w:b/>
          <w:sz w:val="44"/>
          <w:szCs w:val="44"/>
          <w:lang w:val="en-US" w:eastAsia="zh-CN"/>
        </w:rPr>
      </w:pPr>
      <w:r>
        <w:rPr>
          <w:rFonts w:hint="eastAsia"/>
          <w:b/>
          <w:sz w:val="44"/>
          <w:szCs w:val="44"/>
          <w:lang w:val="en-US" w:eastAsia="zh-CN"/>
        </w:rPr>
        <w:t>襄城县发展和改革委员会襄城县国民经济和社会发展第十五个五年规划纲要编制项目（二次）</w:t>
      </w:r>
    </w:p>
    <w:p w14:paraId="351C65D7">
      <w:pPr>
        <w:jc w:val="center"/>
        <w:rPr>
          <w:b/>
          <w:sz w:val="44"/>
          <w:szCs w:val="44"/>
        </w:rPr>
      </w:pP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5</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33</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33914632">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hint="eastAsia" w:ascii="仿宋" w:hAnsi="仿宋" w:eastAsia="仿宋" w:cs="仿宋"/>
          <w:b/>
          <w:bCs/>
          <w:sz w:val="32"/>
          <w:szCs w:val="36"/>
        </w:rPr>
      </w:pPr>
    </w:p>
    <w:p w14:paraId="1C4467D6">
      <w:pPr>
        <w:autoSpaceDE w:val="0"/>
        <w:autoSpaceDN w:val="0"/>
        <w:adjustRightInd w:val="0"/>
        <w:spacing w:line="700" w:lineRule="exact"/>
        <w:jc w:val="center"/>
        <w:rPr>
          <w:rFonts w:hint="eastAsia" w:ascii="仿宋" w:hAnsi="仿宋" w:eastAsia="仿宋" w:cs="仿宋"/>
          <w:b/>
          <w:bCs/>
          <w:sz w:val="32"/>
          <w:szCs w:val="36"/>
          <w:lang w:val="en-US" w:eastAsia="zh-CN"/>
        </w:rPr>
      </w:pPr>
      <w:r>
        <w:rPr>
          <w:rFonts w:hint="eastAsia" w:ascii="仿宋" w:hAnsi="仿宋" w:eastAsia="仿宋" w:cs="仿宋"/>
          <w:b/>
          <w:bCs/>
          <w:sz w:val="32"/>
          <w:szCs w:val="36"/>
        </w:rPr>
        <w:t>采购单位：</w:t>
      </w:r>
      <w:r>
        <w:rPr>
          <w:rFonts w:hint="eastAsia" w:ascii="仿宋" w:hAnsi="仿宋" w:eastAsia="仿宋" w:cs="仿宋"/>
          <w:b/>
          <w:bCs/>
          <w:sz w:val="32"/>
          <w:szCs w:val="36"/>
          <w:lang w:val="en-US" w:eastAsia="zh-CN"/>
        </w:rPr>
        <w:t>襄城县发展和改革委员会</w:t>
      </w:r>
    </w:p>
    <w:p w14:paraId="3CD7A736">
      <w:pPr>
        <w:autoSpaceDE w:val="0"/>
        <w:autoSpaceDN w:val="0"/>
        <w:adjustRightInd w:val="0"/>
        <w:spacing w:line="700" w:lineRule="exact"/>
        <w:ind w:firstLine="1928" w:firstLineChars="600"/>
        <w:jc w:val="both"/>
        <w:rPr>
          <w:rFonts w:hint="eastAsia" w:ascii="仿宋" w:hAnsi="仿宋" w:eastAsia="仿宋" w:cs="仿宋"/>
          <w:b/>
          <w:bCs/>
          <w:sz w:val="32"/>
          <w:szCs w:val="36"/>
        </w:rPr>
      </w:pP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jc w:val="center"/>
        <w:rPr>
          <w:rFonts w:ascii="仿宋" w:hAnsi="仿宋" w:eastAsia="仿宋" w:cs="仿宋"/>
          <w:b/>
          <w:bCs/>
          <w:sz w:val="32"/>
          <w:szCs w:val="36"/>
        </w:rPr>
      </w:pPr>
      <w:r>
        <w:rPr>
          <w:rFonts w:hint="eastAsia" w:ascii="仿宋" w:hAnsi="仿宋" w:eastAsia="仿宋" w:cs="仿宋"/>
          <w:b/>
          <w:bCs/>
          <w:sz w:val="32"/>
          <w:szCs w:val="36"/>
        </w:rPr>
        <w:t>日   期：二〇二五年</w:t>
      </w:r>
      <w:r>
        <w:rPr>
          <w:rFonts w:hint="eastAsia" w:ascii="仿宋" w:hAnsi="仿宋" w:eastAsia="仿宋" w:cs="仿宋"/>
          <w:b/>
          <w:bCs/>
          <w:sz w:val="32"/>
          <w:szCs w:val="36"/>
          <w:lang w:val="en-US" w:eastAsia="zh-CN"/>
        </w:rPr>
        <w:t>九</w:t>
      </w:r>
      <w:r>
        <w:rPr>
          <w:rFonts w:hint="eastAsia" w:ascii="仿宋" w:hAnsi="仿宋" w:eastAsia="仿宋" w:cs="仿宋"/>
          <w:b/>
          <w:bCs/>
          <w:sz w:val="32"/>
          <w:szCs w:val="36"/>
        </w:rPr>
        <w:t>月</w:t>
      </w:r>
    </w:p>
    <w:p w14:paraId="7E7D3750">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11"/>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0"/>
          <w:rFonts w:hint="eastAsia" w:ascii="仿宋" w:hAnsi="仿宋" w:eastAsia="仿宋"/>
          <w:kern w:val="0"/>
          <w:sz w:val="24"/>
          <w:szCs w:val="24"/>
        </w:rPr>
        <w:t>第一章 磋商邀请</w:t>
      </w:r>
      <w:r>
        <w:rPr>
          <w:rStyle w:val="20"/>
          <w:rFonts w:hint="eastAsia" w:ascii="仿宋" w:hAnsi="仿宋" w:eastAsia="仿宋"/>
          <w:kern w:val="0"/>
          <w:sz w:val="24"/>
          <w:szCs w:val="24"/>
        </w:rPr>
        <w:fldChar w:fldCharType="end"/>
      </w:r>
    </w:p>
    <w:p w14:paraId="79E03FB8">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0"/>
          <w:rFonts w:hint="eastAsia" w:ascii="仿宋" w:hAnsi="仿宋" w:eastAsia="仿宋"/>
          <w:kern w:val="0"/>
          <w:sz w:val="24"/>
          <w:szCs w:val="24"/>
        </w:rPr>
        <w:t>第二章 采购需求</w:t>
      </w:r>
      <w:r>
        <w:rPr>
          <w:rStyle w:val="20"/>
          <w:rFonts w:hint="eastAsia" w:ascii="仿宋" w:hAnsi="仿宋" w:eastAsia="仿宋"/>
          <w:kern w:val="0"/>
          <w:sz w:val="24"/>
          <w:szCs w:val="24"/>
        </w:rPr>
        <w:fldChar w:fldCharType="end"/>
      </w:r>
    </w:p>
    <w:p w14:paraId="2B01B467">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0"/>
          <w:rFonts w:hint="eastAsia" w:ascii="仿宋" w:hAnsi="仿宋" w:eastAsia="仿宋"/>
          <w:kern w:val="0"/>
          <w:sz w:val="24"/>
          <w:szCs w:val="24"/>
        </w:rPr>
        <w:t>第三章 供应商须知前附表</w:t>
      </w:r>
      <w:r>
        <w:rPr>
          <w:rStyle w:val="20"/>
          <w:rFonts w:hint="eastAsia" w:ascii="仿宋" w:hAnsi="仿宋" w:eastAsia="仿宋"/>
          <w:kern w:val="0"/>
          <w:sz w:val="24"/>
          <w:szCs w:val="24"/>
        </w:rPr>
        <w:fldChar w:fldCharType="end"/>
      </w:r>
    </w:p>
    <w:p w14:paraId="10CD3C3F">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0"/>
          <w:rFonts w:hint="eastAsia" w:ascii="仿宋" w:hAnsi="仿宋" w:eastAsia="仿宋"/>
          <w:kern w:val="0"/>
          <w:sz w:val="24"/>
          <w:szCs w:val="24"/>
        </w:rPr>
        <w:t>第四章 供应商须知</w:t>
      </w:r>
      <w:r>
        <w:rPr>
          <w:rStyle w:val="20"/>
          <w:rFonts w:hint="eastAsia" w:ascii="仿宋" w:hAnsi="仿宋" w:eastAsia="仿宋"/>
          <w:kern w:val="0"/>
          <w:sz w:val="24"/>
          <w:szCs w:val="24"/>
        </w:rPr>
        <w:fldChar w:fldCharType="end"/>
      </w:r>
    </w:p>
    <w:p w14:paraId="18E1FF0F">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0"/>
          <w:rFonts w:hint="eastAsia" w:ascii="仿宋" w:hAnsi="仿宋" w:eastAsia="仿宋" w:cs="宋体"/>
          <w:i w:val="0"/>
          <w:kern w:val="0"/>
          <w:sz w:val="24"/>
        </w:rPr>
        <w:t>一、概念释义</w:t>
      </w:r>
      <w:r>
        <w:rPr>
          <w:rStyle w:val="20"/>
          <w:rFonts w:hint="eastAsia" w:ascii="仿宋" w:hAnsi="仿宋" w:eastAsia="仿宋" w:cs="宋体"/>
          <w:i w:val="0"/>
          <w:kern w:val="0"/>
          <w:sz w:val="24"/>
        </w:rPr>
        <w:fldChar w:fldCharType="end"/>
      </w:r>
    </w:p>
    <w:p w14:paraId="7CFBF4FB">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0"/>
          <w:rFonts w:hint="eastAsia" w:ascii="仿宋" w:hAnsi="仿宋" w:eastAsia="仿宋" w:cs="宋体"/>
          <w:i w:val="0"/>
          <w:kern w:val="0"/>
          <w:sz w:val="24"/>
        </w:rPr>
        <w:t>二、磋商文件说明</w:t>
      </w:r>
      <w:r>
        <w:rPr>
          <w:rStyle w:val="20"/>
          <w:rFonts w:hint="eastAsia" w:ascii="仿宋" w:hAnsi="仿宋" w:eastAsia="仿宋" w:cs="宋体"/>
          <w:i w:val="0"/>
          <w:kern w:val="0"/>
          <w:sz w:val="24"/>
        </w:rPr>
        <w:fldChar w:fldCharType="end"/>
      </w:r>
    </w:p>
    <w:p w14:paraId="370A65E3">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0"/>
          <w:rFonts w:hint="eastAsia" w:ascii="仿宋" w:hAnsi="仿宋" w:eastAsia="仿宋" w:cs="宋体"/>
          <w:i w:val="0"/>
          <w:kern w:val="0"/>
          <w:sz w:val="24"/>
        </w:rPr>
        <w:t>三、响应文件的编制</w:t>
      </w:r>
      <w:r>
        <w:rPr>
          <w:rStyle w:val="20"/>
          <w:rFonts w:hint="eastAsia" w:ascii="仿宋" w:hAnsi="仿宋" w:eastAsia="仿宋" w:cs="宋体"/>
          <w:i w:val="0"/>
          <w:kern w:val="0"/>
          <w:sz w:val="24"/>
        </w:rPr>
        <w:fldChar w:fldCharType="end"/>
      </w:r>
    </w:p>
    <w:p w14:paraId="5F65EC86">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0"/>
          <w:rFonts w:hint="eastAsia" w:ascii="仿宋" w:hAnsi="仿宋" w:eastAsia="仿宋" w:cs="宋体"/>
          <w:i w:val="0"/>
          <w:kern w:val="0"/>
          <w:sz w:val="24"/>
        </w:rPr>
        <w:t>四、响应文件的提交</w:t>
      </w:r>
      <w:r>
        <w:rPr>
          <w:rStyle w:val="20"/>
          <w:rFonts w:hint="eastAsia" w:ascii="仿宋" w:hAnsi="仿宋" w:eastAsia="仿宋" w:cs="宋体"/>
          <w:i w:val="0"/>
          <w:kern w:val="0"/>
          <w:sz w:val="24"/>
        </w:rPr>
        <w:fldChar w:fldCharType="end"/>
      </w:r>
    </w:p>
    <w:p w14:paraId="27E0137D">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0"/>
          <w:rFonts w:hint="eastAsia" w:ascii="仿宋" w:hAnsi="仿宋" w:eastAsia="仿宋" w:cs="宋体"/>
          <w:i w:val="0"/>
          <w:kern w:val="0"/>
          <w:sz w:val="24"/>
        </w:rPr>
        <w:t>五、响应文件开启和磋商</w:t>
      </w:r>
      <w:r>
        <w:rPr>
          <w:rStyle w:val="20"/>
          <w:rFonts w:hint="eastAsia" w:ascii="仿宋" w:hAnsi="仿宋" w:eastAsia="仿宋" w:cs="宋体"/>
          <w:i w:val="0"/>
          <w:kern w:val="0"/>
          <w:sz w:val="24"/>
        </w:rPr>
        <w:fldChar w:fldCharType="end"/>
      </w:r>
    </w:p>
    <w:p w14:paraId="4DD9E622">
      <w:pPr>
        <w:pStyle w:val="12"/>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0"/>
          <w:rFonts w:hint="eastAsia" w:ascii="仿宋" w:hAnsi="仿宋" w:eastAsia="仿宋" w:cs="宋体"/>
          <w:i w:val="0"/>
          <w:kern w:val="0"/>
          <w:sz w:val="24"/>
        </w:rPr>
        <w:t>六、定标和授予合同</w:t>
      </w:r>
      <w:r>
        <w:rPr>
          <w:rStyle w:val="20"/>
          <w:rFonts w:hint="eastAsia" w:ascii="仿宋" w:hAnsi="仿宋" w:eastAsia="仿宋" w:cs="宋体"/>
          <w:i w:val="0"/>
          <w:kern w:val="0"/>
          <w:sz w:val="24"/>
        </w:rPr>
        <w:fldChar w:fldCharType="end"/>
      </w:r>
    </w:p>
    <w:p w14:paraId="35143DA3">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0"/>
          <w:rFonts w:hint="eastAsia" w:ascii="仿宋" w:hAnsi="仿宋" w:eastAsia="仿宋"/>
          <w:kern w:val="0"/>
          <w:sz w:val="24"/>
          <w:szCs w:val="24"/>
        </w:rPr>
        <w:t>第五章 政府采购政策功能</w:t>
      </w:r>
      <w:r>
        <w:rPr>
          <w:rStyle w:val="20"/>
          <w:rFonts w:hint="eastAsia" w:ascii="仿宋" w:hAnsi="仿宋" w:eastAsia="仿宋"/>
          <w:kern w:val="0"/>
          <w:sz w:val="24"/>
          <w:szCs w:val="24"/>
        </w:rPr>
        <w:fldChar w:fldCharType="end"/>
      </w:r>
    </w:p>
    <w:p w14:paraId="35681893">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0"/>
          <w:rFonts w:hint="eastAsia" w:ascii="仿宋" w:hAnsi="仿宋" w:eastAsia="仿宋"/>
          <w:kern w:val="0"/>
          <w:sz w:val="24"/>
          <w:szCs w:val="24"/>
        </w:rPr>
        <w:t>第六章 对响应文件审查与评审</w:t>
      </w:r>
      <w:r>
        <w:rPr>
          <w:rStyle w:val="20"/>
          <w:rFonts w:hint="eastAsia" w:ascii="仿宋" w:hAnsi="仿宋" w:eastAsia="仿宋"/>
          <w:kern w:val="0"/>
          <w:sz w:val="24"/>
          <w:szCs w:val="24"/>
        </w:rPr>
        <w:fldChar w:fldCharType="end"/>
      </w:r>
    </w:p>
    <w:p w14:paraId="7AB39438">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0"/>
          <w:rFonts w:hint="eastAsia" w:ascii="仿宋" w:hAnsi="仿宋" w:eastAsia="仿宋"/>
          <w:kern w:val="0"/>
          <w:sz w:val="24"/>
          <w:szCs w:val="24"/>
        </w:rPr>
        <w:t>第七章 合同条款及格式</w:t>
      </w:r>
      <w:r>
        <w:rPr>
          <w:rStyle w:val="20"/>
          <w:rFonts w:hint="eastAsia" w:ascii="仿宋" w:hAnsi="仿宋" w:eastAsia="仿宋"/>
          <w:kern w:val="0"/>
          <w:sz w:val="24"/>
          <w:szCs w:val="24"/>
        </w:rPr>
        <w:fldChar w:fldCharType="end"/>
      </w:r>
    </w:p>
    <w:p w14:paraId="680929A9">
      <w:pPr>
        <w:pStyle w:val="11"/>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0"/>
          <w:rFonts w:hint="eastAsia" w:ascii="仿宋" w:hAnsi="仿宋" w:eastAsia="仿宋"/>
          <w:kern w:val="0"/>
          <w:sz w:val="24"/>
          <w:szCs w:val="24"/>
        </w:rPr>
        <w:t>第八章 响应文件有关格式</w:t>
      </w:r>
      <w:r>
        <w:rPr>
          <w:rStyle w:val="20"/>
          <w:rFonts w:hint="eastAsia" w:ascii="仿宋" w:hAnsi="仿宋" w:eastAsia="仿宋"/>
          <w:kern w:val="0"/>
          <w:sz w:val="24"/>
          <w:szCs w:val="24"/>
        </w:rPr>
        <w:fldChar w:fldCharType="end"/>
      </w:r>
    </w:p>
    <w:p w14:paraId="23D87529">
      <w:pPr>
        <w:pStyle w:val="12"/>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19"/>
      <w:bookmarkStart w:id="2" w:name="OLE_LINK20"/>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val="en-US" w:eastAsia="zh-CN"/>
        </w:rPr>
        <w:t>襄城县发展和改革委员会襄城县国民经济和社会发展第十五个五年规划纲要编制项目（二次）</w:t>
      </w:r>
      <w:r>
        <w:rPr>
          <w:rFonts w:hint="eastAsia" w:ascii="仿宋" w:hAnsi="仿宋" w:eastAsia="仿宋"/>
          <w:bCs/>
          <w:kern w:val="0"/>
          <w:sz w:val="28"/>
          <w:szCs w:val="28"/>
        </w:rPr>
        <w:t>”的潜在投标人应在《全国公共资源交易平台（河南省·许昌市）》（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获取招标文件，并于2025年</w:t>
      </w:r>
      <w:r>
        <w:rPr>
          <w:rFonts w:hint="eastAsia" w:ascii="仿宋" w:hAnsi="仿宋" w:eastAsia="仿宋"/>
          <w:bCs/>
          <w:kern w:val="0"/>
          <w:sz w:val="28"/>
          <w:szCs w:val="28"/>
          <w:lang w:val="en-US" w:eastAsia="zh-CN"/>
        </w:rPr>
        <w:t>9</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28</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襄财磋商采购-2025-</w:t>
      </w:r>
      <w:r>
        <w:rPr>
          <w:rFonts w:hint="eastAsia" w:ascii="仿宋" w:hAnsi="仿宋" w:eastAsia="仿宋"/>
          <w:bCs/>
          <w:kern w:val="0"/>
          <w:sz w:val="28"/>
          <w:szCs w:val="28"/>
          <w:lang w:val="en-US" w:eastAsia="zh-CN"/>
        </w:rPr>
        <w:t>33</w:t>
      </w:r>
    </w:p>
    <w:p w14:paraId="321E6157">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2、项目名称：</w:t>
      </w:r>
      <w:r>
        <w:rPr>
          <w:rFonts w:hint="eastAsia" w:ascii="仿宋" w:hAnsi="仿宋" w:eastAsia="仿宋"/>
          <w:bCs/>
          <w:kern w:val="0"/>
          <w:sz w:val="28"/>
          <w:szCs w:val="28"/>
          <w:lang w:val="en-US" w:eastAsia="zh-CN"/>
        </w:rPr>
        <w:t>襄城县发展和改革委员会襄城县国民经济和社会发展第十五个五年规划纲要编制项目（二次）</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4、预算金额：</w:t>
      </w: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r>
        <w:rPr>
          <w:rFonts w:hint="eastAsia" w:ascii="仿宋" w:hAnsi="仿宋" w:eastAsia="仿宋"/>
          <w:bCs/>
          <w:kern w:val="0"/>
          <w:sz w:val="28"/>
          <w:szCs w:val="28"/>
        </w:rPr>
        <w:t>元 ；最高限价：</w:t>
      </w: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r>
        <w:rPr>
          <w:rFonts w:hint="eastAsia" w:ascii="仿宋" w:hAnsi="仿宋" w:eastAsia="仿宋"/>
          <w:bCs/>
          <w:kern w:val="0"/>
          <w:sz w:val="28"/>
          <w:szCs w:val="28"/>
        </w:rPr>
        <w:t xml:space="preserve">元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945"/>
        <w:gridCol w:w="1605"/>
        <w:gridCol w:w="1681"/>
        <w:gridCol w:w="1641"/>
        <w:gridCol w:w="1476"/>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58" w:type="dxa"/>
            <w:vAlign w:val="center"/>
          </w:tcPr>
          <w:p w14:paraId="0421330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包号</w:t>
            </w:r>
          </w:p>
        </w:tc>
        <w:tc>
          <w:tcPr>
            <w:tcW w:w="945" w:type="dxa"/>
            <w:vAlign w:val="center"/>
          </w:tcPr>
          <w:p w14:paraId="1185063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05" w:type="dxa"/>
            <w:vAlign w:val="center"/>
          </w:tcPr>
          <w:p w14:paraId="65219A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681" w:type="dxa"/>
            <w:vAlign w:val="center"/>
          </w:tcPr>
          <w:p w14:paraId="28906A72">
            <w:pPr>
              <w:spacing w:line="360" w:lineRule="auto"/>
              <w:jc w:val="both"/>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641" w:type="dxa"/>
            <w:vAlign w:val="center"/>
          </w:tcPr>
          <w:p w14:paraId="3C504CD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476" w:type="dxa"/>
            <w:vAlign w:val="center"/>
          </w:tcPr>
          <w:p w14:paraId="0A0D099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58"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-2025-</w:t>
            </w:r>
            <w:r>
              <w:rPr>
                <w:rFonts w:hint="eastAsia" w:ascii="仿宋" w:hAnsi="仿宋" w:eastAsia="仿宋"/>
                <w:bCs/>
                <w:kern w:val="0"/>
                <w:sz w:val="24"/>
                <w:szCs w:val="24"/>
                <w:lang w:val="en-US" w:eastAsia="zh-CN"/>
              </w:rPr>
              <w:t>33-A</w:t>
            </w:r>
          </w:p>
        </w:tc>
        <w:tc>
          <w:tcPr>
            <w:tcW w:w="94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A包</w:t>
            </w:r>
          </w:p>
        </w:tc>
        <w:tc>
          <w:tcPr>
            <w:tcW w:w="1605" w:type="dxa"/>
            <w:vAlign w:val="center"/>
          </w:tcPr>
          <w:p w14:paraId="5BFD8D09">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p>
        </w:tc>
        <w:tc>
          <w:tcPr>
            <w:tcW w:w="1681" w:type="dxa"/>
            <w:vAlign w:val="center"/>
          </w:tcPr>
          <w:p w14:paraId="536B856B">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p>
        </w:tc>
        <w:tc>
          <w:tcPr>
            <w:tcW w:w="1641" w:type="dxa"/>
            <w:vAlign w:val="center"/>
          </w:tcPr>
          <w:p w14:paraId="2AD8711F">
            <w:pPr>
              <w:spacing w:line="360" w:lineRule="auto"/>
              <w:ind w:firstLine="280" w:firstLineChars="100"/>
              <w:jc w:val="left"/>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476" w:type="dxa"/>
            <w:vAlign w:val="center"/>
          </w:tcPr>
          <w:p w14:paraId="621BB633">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lang w:val="en-US" w:eastAsia="zh-CN"/>
              </w:rPr>
              <w:t>800000</w:t>
            </w:r>
            <w:r>
              <w:rPr>
                <w:rFonts w:hint="eastAsia" w:ascii="仿宋" w:hAnsi="仿宋" w:eastAsia="仿宋"/>
                <w:bCs/>
                <w:kern w:val="0"/>
                <w:sz w:val="28"/>
                <w:szCs w:val="28"/>
                <w:lang w:eastAsia="zh-CN"/>
              </w:rPr>
              <w:t>.00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w:t>
      </w:r>
      <w:r>
        <w:rPr>
          <w:rFonts w:hint="eastAsia" w:ascii="仿宋" w:hAnsi="仿宋" w:eastAsia="仿宋"/>
          <w:bCs/>
          <w:kern w:val="0"/>
          <w:sz w:val="28"/>
          <w:szCs w:val="28"/>
          <w:lang w:val="en-US" w:eastAsia="zh-CN"/>
        </w:rPr>
        <w:t>襄城县发展和改革委员会襄城县国民经济和社会发展第十五个五年规划纲要编制项目</w:t>
      </w:r>
      <w:r>
        <w:rPr>
          <w:rFonts w:hint="eastAsia" w:ascii="仿宋" w:hAnsi="仿宋" w:eastAsia="仿宋" w:cs="仿宋"/>
          <w:color w:val="000000"/>
          <w:kern w:val="0"/>
          <w:sz w:val="28"/>
          <w:szCs w:val="28"/>
          <w:shd w:val="clear" w:color="auto" w:fill="FFFFFF"/>
          <w:lang w:val="en-US" w:eastAsia="zh-CN"/>
        </w:rPr>
        <w:t>。</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6、合同履行期限：自合同生效之日起</w:t>
      </w:r>
      <w:r>
        <w:rPr>
          <w:rFonts w:hint="eastAsia" w:ascii="仿宋" w:hAnsi="仿宋" w:eastAsia="仿宋"/>
          <w:bCs/>
          <w:kern w:val="0"/>
          <w:sz w:val="28"/>
          <w:szCs w:val="28"/>
          <w:lang w:val="en-US" w:eastAsia="zh-CN"/>
        </w:rPr>
        <w:t>240</w:t>
      </w:r>
      <w:r>
        <w:rPr>
          <w:rFonts w:hint="eastAsia" w:ascii="仿宋" w:hAnsi="仿宋" w:eastAsia="仿宋"/>
          <w:bCs/>
          <w:kern w:val="0"/>
          <w:sz w:val="28"/>
          <w:szCs w:val="28"/>
        </w:rPr>
        <w:t>日历天</w:t>
      </w:r>
      <w:r>
        <w:rPr>
          <w:rFonts w:hint="eastAsia" w:ascii="仿宋" w:hAnsi="仿宋" w:eastAsia="仿宋"/>
          <w:bCs/>
          <w:kern w:val="0"/>
          <w:sz w:val="28"/>
          <w:szCs w:val="28"/>
          <w:lang w:eastAsia="zh-CN"/>
        </w:rPr>
        <w:t>。</w:t>
      </w:r>
      <w:r>
        <w:rPr>
          <w:rFonts w:hint="eastAsia" w:ascii="仿宋" w:hAnsi="仿宋" w:eastAsia="仿宋"/>
          <w:bCs/>
          <w:kern w:val="0"/>
          <w:sz w:val="28"/>
          <w:szCs w:val="28"/>
        </w:rPr>
        <w:t xml:space="preserve"> </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本项目专门面对中小微企业采购；</w:t>
      </w:r>
    </w:p>
    <w:p w14:paraId="6C07472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3、本项目的特定资格要求 </w:t>
      </w:r>
    </w:p>
    <w:p w14:paraId="3D3EAADE">
      <w:pPr>
        <w:spacing w:line="360" w:lineRule="auto"/>
        <w:ind w:firstLine="1120" w:firstLineChars="400"/>
        <w:jc w:val="left"/>
        <w:rPr>
          <w:rFonts w:ascii="仿宋" w:hAnsi="仿宋" w:eastAsia="仿宋"/>
          <w:bCs/>
          <w:kern w:val="0"/>
          <w:sz w:val="28"/>
          <w:szCs w:val="28"/>
        </w:rPr>
      </w:pPr>
      <w:r>
        <w:rPr>
          <w:rFonts w:hint="eastAsia" w:ascii="仿宋" w:hAnsi="仿宋" w:eastAsia="仿宋"/>
          <w:bCs/>
          <w:kern w:val="0"/>
          <w:sz w:val="28"/>
          <w:szCs w:val="28"/>
        </w:rPr>
        <w:t>无</w:t>
      </w:r>
    </w:p>
    <w:p w14:paraId="5B642C6B">
      <w:pPr>
        <w:numPr>
          <w:ilvl w:val="0"/>
          <w:numId w:val="1"/>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1.时间：2025年</w:t>
      </w:r>
      <w:r>
        <w:rPr>
          <w:rFonts w:hint="eastAsia" w:ascii="仿宋" w:hAnsi="仿宋" w:eastAsia="仿宋"/>
          <w:bCs/>
          <w:kern w:val="0"/>
          <w:sz w:val="28"/>
          <w:szCs w:val="28"/>
          <w:lang w:val="en-US" w:eastAsia="zh-CN"/>
        </w:rPr>
        <w:t>9</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16</w:t>
      </w:r>
      <w:r>
        <w:rPr>
          <w:rFonts w:hint="eastAsia" w:ascii="仿宋" w:hAnsi="仿宋" w:eastAsia="仿宋"/>
          <w:bCs/>
          <w:kern w:val="0"/>
          <w:sz w:val="28"/>
          <w:szCs w:val="28"/>
        </w:rPr>
        <w:t>日至2025</w:t>
      </w:r>
      <w:r>
        <w:rPr>
          <w:rFonts w:ascii="仿宋" w:hAnsi="仿宋" w:eastAsia="仿宋"/>
          <w:bCs/>
          <w:kern w:val="0"/>
          <w:sz w:val="28"/>
          <w:szCs w:val="28"/>
        </w:rPr>
        <w:t>年</w:t>
      </w:r>
      <w:r>
        <w:rPr>
          <w:rFonts w:hint="eastAsia" w:ascii="仿宋" w:hAnsi="仿宋" w:eastAsia="仿宋"/>
          <w:bCs/>
          <w:kern w:val="0"/>
          <w:sz w:val="28"/>
          <w:szCs w:val="28"/>
          <w:lang w:val="en-US" w:eastAsia="zh-CN"/>
        </w:rPr>
        <w:t>9</w:t>
      </w:r>
      <w:r>
        <w:rPr>
          <w:rFonts w:ascii="仿宋" w:hAnsi="仿宋" w:eastAsia="仿宋"/>
          <w:bCs/>
          <w:kern w:val="0"/>
          <w:sz w:val="28"/>
          <w:szCs w:val="28"/>
        </w:rPr>
        <w:t>月</w:t>
      </w:r>
      <w:r>
        <w:rPr>
          <w:rFonts w:hint="eastAsia" w:ascii="仿宋" w:hAnsi="仿宋" w:eastAsia="仿宋"/>
          <w:bCs/>
          <w:kern w:val="0"/>
          <w:sz w:val="28"/>
          <w:szCs w:val="28"/>
          <w:lang w:val="en-US" w:eastAsia="zh-CN"/>
        </w:rPr>
        <w:t>28</w:t>
      </w:r>
      <w:r>
        <w:rPr>
          <w:rFonts w:ascii="仿宋" w:hAnsi="仿宋" w:eastAsia="仿宋"/>
          <w:bCs/>
          <w:kern w:val="0"/>
          <w:sz w:val="28"/>
          <w:szCs w:val="28"/>
        </w:rPr>
        <w:t>日</w:t>
      </w:r>
      <w:r>
        <w:rPr>
          <w:rFonts w:hint="eastAsia" w:ascii="仿宋" w:hAnsi="仿宋" w:eastAsia="仿宋"/>
          <w:bCs/>
          <w:kern w:val="0"/>
          <w:sz w:val="28"/>
          <w:szCs w:val="28"/>
        </w:rPr>
        <w:t xml:space="preserve">，每天上午00:00至11:59，下午12:00至23:59（北京时间，法定节假日除外。） </w:t>
      </w:r>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2.地点：即日起至投标截止时间，登录《全国公共资源交易平台（河南省·许昌市）》（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9</w:t>
      </w:r>
      <w:r>
        <w:rPr>
          <w:rFonts w:ascii="仿宋" w:hAnsi="仿宋" w:eastAsia="仿宋"/>
          <w:bCs/>
          <w:kern w:val="0"/>
          <w:sz w:val="28"/>
          <w:szCs w:val="28"/>
        </w:rPr>
        <w:t>月</w:t>
      </w:r>
      <w:r>
        <w:rPr>
          <w:rFonts w:hint="eastAsia" w:ascii="仿宋" w:hAnsi="仿宋" w:eastAsia="仿宋"/>
          <w:bCs/>
          <w:kern w:val="0"/>
          <w:sz w:val="28"/>
          <w:szCs w:val="28"/>
          <w:lang w:val="en-US" w:eastAsia="zh-CN"/>
        </w:rPr>
        <w:t>28</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1.时间：2025</w:t>
      </w:r>
      <w:r>
        <w:rPr>
          <w:rFonts w:ascii="仿宋" w:hAnsi="仿宋" w:eastAsia="仿宋"/>
          <w:bCs/>
          <w:kern w:val="0"/>
          <w:sz w:val="28"/>
          <w:szCs w:val="28"/>
        </w:rPr>
        <w:t>年</w:t>
      </w:r>
      <w:r>
        <w:rPr>
          <w:rFonts w:hint="eastAsia" w:ascii="仿宋" w:hAnsi="仿宋" w:eastAsia="仿宋"/>
          <w:bCs/>
          <w:kern w:val="0"/>
          <w:sz w:val="28"/>
          <w:szCs w:val="28"/>
          <w:lang w:val="en-US" w:eastAsia="zh-CN"/>
        </w:rPr>
        <w:t>9</w:t>
      </w:r>
      <w:r>
        <w:rPr>
          <w:rFonts w:ascii="仿宋" w:hAnsi="仿宋" w:eastAsia="仿宋"/>
          <w:bCs/>
          <w:kern w:val="0"/>
          <w:sz w:val="28"/>
          <w:szCs w:val="28"/>
        </w:rPr>
        <w:t>月</w:t>
      </w:r>
      <w:r>
        <w:rPr>
          <w:rFonts w:hint="eastAsia" w:ascii="仿宋" w:hAnsi="仿宋" w:eastAsia="仿宋"/>
          <w:bCs/>
          <w:kern w:val="0"/>
          <w:sz w:val="28"/>
          <w:szCs w:val="28"/>
          <w:lang w:val="en-US" w:eastAsia="zh-CN"/>
        </w:rPr>
        <w:t>28</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7E046474">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）—点击“项目信息—项目名称”—在系统操作导航栏点击“开标—不见面开标大厅</w:t>
      </w:r>
    </w:p>
    <w:p w14:paraId="2924E749">
      <w:pPr>
        <w:spacing w:line="360" w:lineRule="auto"/>
        <w:jc w:val="left"/>
        <w:rPr>
          <w:rFonts w:ascii="仿宋" w:hAnsi="仿宋" w:eastAsia="仿宋"/>
          <w:b/>
          <w:kern w:val="0"/>
          <w:sz w:val="28"/>
          <w:szCs w:val="28"/>
        </w:rPr>
      </w:pPr>
      <w:r>
        <w:rPr>
          <w:rFonts w:hint="eastAsia" w:ascii="仿宋" w:hAnsi="仿宋" w:eastAsia="仿宋"/>
          <w:bCs/>
          <w:kern w:val="0"/>
          <w:sz w:val="28"/>
          <w:szCs w:val="28"/>
        </w:rPr>
        <w:t>（</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BidOpening）”，在规定的开标时间内进行解密开标。 </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4"/>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4"/>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518F1B55">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w:t>
      </w:r>
      <w:r>
        <w:rPr>
          <w:rFonts w:hint="eastAsia" w:ascii="仿宋" w:hAnsi="仿宋" w:eastAsia="仿宋"/>
          <w:bCs/>
          <w:kern w:val="0"/>
          <w:sz w:val="28"/>
          <w:szCs w:val="28"/>
          <w:lang w:val="en-US" w:eastAsia="zh-CN"/>
        </w:rPr>
        <w:t>襄城县发展和改革委员会</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罗泽钰</w:t>
      </w:r>
      <w:r>
        <w:rPr>
          <w:rFonts w:hint="eastAsia" w:ascii="仿宋" w:hAnsi="仿宋" w:eastAsia="仿宋"/>
          <w:bCs/>
          <w:kern w:val="0"/>
          <w:sz w:val="28"/>
          <w:szCs w:val="28"/>
        </w:rPr>
        <w:t xml:space="preserve">     </w:t>
      </w:r>
    </w:p>
    <w:p w14:paraId="2ECE20CE">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15093373559</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3.1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4.2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本项目采用远程“不见面”开标方式，5.1投标前请详细阅读《全国公共资源交易平台（河南省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5.3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5.4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5.5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6.1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6.2 </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 Mincho" w:hAnsi="MS Mincho" w:eastAsia="MS Mincho" w:cs="MS Mincho"/>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w:t>
      </w:r>
      <w:r>
        <w:rPr>
          <w:rFonts w:hint="eastAsia" w:ascii="仿宋" w:hAnsi="仿宋" w:eastAsia="仿宋" w:cs="宋体"/>
          <w:bCs/>
          <w:color w:val="000000"/>
          <w:kern w:val="0"/>
          <w:sz w:val="24"/>
          <w:szCs w:val="24"/>
        </w:rPr>
        <w:tab/>
      </w:r>
      <w:r>
        <w:rPr>
          <w:rFonts w:hint="eastAsia" w:ascii="仿宋" w:hAnsi="仿宋" w:eastAsia="仿宋" w:cs="宋体"/>
          <w:bCs/>
          <w:color w:val="000000"/>
          <w:kern w:val="0"/>
          <w:sz w:val="24"/>
          <w:szCs w:val="24"/>
        </w:rPr>
        <w:t>《全国公共资源交易平台（河南省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42A9CC3E">
      <w:pPr>
        <w:spacing w:line="360" w:lineRule="auto"/>
        <w:ind w:firstLine="508" w:firstLineChars="196"/>
        <w:rPr>
          <w:rFonts w:ascii="宋体" w:hAnsi="宋体" w:cs="宋体"/>
          <w:b/>
          <w:bCs/>
          <w:spacing w:val="1"/>
          <w:position w:val="1"/>
          <w:sz w:val="24"/>
          <w:szCs w:val="24"/>
        </w:rPr>
      </w:pPr>
      <w:bookmarkStart w:id="4" w:name="_Toc95233838"/>
      <w:bookmarkStart w:id="5" w:name="_Toc138068717"/>
      <w:r>
        <w:rPr>
          <w:rFonts w:hint="eastAsia" w:ascii="仿宋" w:hAnsi="仿宋" w:eastAsia="仿宋" w:cs="仿宋"/>
          <w:b/>
          <w:bCs/>
          <w:spacing w:val="9"/>
          <w:sz w:val="24"/>
          <w:szCs w:val="24"/>
        </w:rPr>
        <w:t>一、</w:t>
      </w:r>
      <w:bookmarkEnd w:id="4"/>
      <w:r>
        <w:rPr>
          <w:rFonts w:hint="eastAsia" w:ascii="宋体" w:hAnsi="宋体" w:cs="宋体"/>
          <w:b/>
          <w:bCs/>
          <w:spacing w:val="1"/>
          <w:position w:val="1"/>
          <w:sz w:val="24"/>
          <w:szCs w:val="24"/>
        </w:rPr>
        <w:t>本项目需实现的功能或者目标</w:t>
      </w:r>
    </w:p>
    <w:p w14:paraId="66A4EC2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根据工作需要，引入高水平机构编制《襄城县“十五五”规划基本思路研究》《襄城县“十五五”“三个重大”研究》《襄城县国民经济和社会发展第十五个五年规划纲要》。</w:t>
      </w:r>
    </w:p>
    <w:p w14:paraId="1407811B">
      <w:pPr>
        <w:numPr>
          <w:ilvl w:val="0"/>
          <w:numId w:val="2"/>
        </w:numPr>
        <w:spacing w:line="360" w:lineRule="auto"/>
        <w:ind w:firstLine="486" w:firstLineChars="200"/>
        <w:rPr>
          <w:rFonts w:hint="eastAsia" w:ascii="宋体" w:hAnsi="宋体" w:cs="宋体"/>
          <w:b/>
          <w:bCs/>
          <w:spacing w:val="1"/>
          <w:position w:val="1"/>
          <w:sz w:val="24"/>
          <w:szCs w:val="24"/>
        </w:rPr>
      </w:pPr>
      <w:r>
        <w:rPr>
          <w:rFonts w:hint="eastAsia" w:ascii="宋体" w:hAnsi="宋体" w:cs="宋体"/>
          <w:b/>
          <w:bCs/>
          <w:spacing w:val="1"/>
          <w:position w:val="1"/>
          <w:sz w:val="24"/>
          <w:szCs w:val="24"/>
        </w:rPr>
        <w:t>采购需求</w:t>
      </w:r>
    </w:p>
    <w:p w14:paraId="449C98A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为进一步推动我县“十五五”规划工作落实落细，拟聘请</w:t>
      </w:r>
      <w:r>
        <w:rPr>
          <w:rFonts w:hint="eastAsia" w:ascii="仿宋" w:hAnsi="仿宋" w:eastAsia="仿宋" w:cs="仿宋"/>
          <w:color w:val="000000"/>
          <w:kern w:val="0"/>
          <w:sz w:val="32"/>
          <w:szCs w:val="32"/>
          <w:shd w:val="clear" w:color="auto" w:fill="FFFFFF"/>
          <w:lang w:eastAsia="zh-CN"/>
        </w:rPr>
        <w:t>专业</w:t>
      </w:r>
      <w:r>
        <w:rPr>
          <w:rFonts w:hint="eastAsia" w:ascii="仿宋" w:hAnsi="仿宋" w:eastAsia="仿宋" w:cs="仿宋"/>
          <w:color w:val="000000"/>
          <w:kern w:val="0"/>
          <w:sz w:val="32"/>
          <w:szCs w:val="32"/>
          <w:shd w:val="clear" w:color="auto" w:fill="FFFFFF"/>
        </w:rPr>
        <w:t>团队对我县编制“十五五”规划工作开展全流程指导和帮助，组织有关专家教授常态化谋划“三个重大”、开展重点课题研究、起草形成“十五五”规划《基本思路》和《纲要框架》等重</w:t>
      </w:r>
      <w:r>
        <w:rPr>
          <w:rFonts w:hint="eastAsia" w:ascii="仿宋" w:hAnsi="仿宋" w:eastAsia="仿宋" w:cs="仿宋"/>
          <w:color w:val="000000"/>
          <w:kern w:val="0"/>
          <w:sz w:val="32"/>
          <w:szCs w:val="32"/>
          <w:shd w:val="clear" w:color="auto" w:fill="FFFFFF"/>
          <w:lang w:eastAsia="zh-CN"/>
        </w:rPr>
        <w:t>点工作，</w:t>
      </w:r>
      <w:r>
        <w:rPr>
          <w:rFonts w:hint="eastAsia" w:ascii="仿宋" w:hAnsi="仿宋" w:eastAsia="仿宋" w:cs="仿宋"/>
          <w:color w:val="000000"/>
          <w:kern w:val="0"/>
          <w:sz w:val="32"/>
          <w:szCs w:val="32"/>
          <w:shd w:val="clear" w:color="auto" w:fill="FFFFFF"/>
        </w:rPr>
        <w:t>定期对乡镇(街道)和有关部门以及开发区开展实地调研，完成“十五五”规划文本起草、征求意见、修改完善、专家论证、集中审核等程序。</w:t>
      </w:r>
    </w:p>
    <w:p w14:paraId="0F919AA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工作内容：</w:t>
      </w:r>
    </w:p>
    <w:p w14:paraId="294F3C6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在对襄城县充分调研的基础上，科学编制《襄城县国民经济与社会发展第十五个五年规划纲要》。内容包括但不限于总结“十四五”时期襄城县经济社会发展主要成效、研判当前襄城县发展存在的问题与矛盾、分析襄城县“十五五”时期面临的发展形势、提出“十五五”时期襄城县国民经济和社会发展的基本思路、提出襄城县“十五五”时期经济社会发展的重点任务、研究提出襄城县“十五五”时期的重大项目、重大改革开放举措，制定相应的实施保障机制和政策建议等。</w:t>
      </w:r>
    </w:p>
    <w:p w14:paraId="338EC61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2.提交成果文件。</w:t>
      </w:r>
    </w:p>
    <w:p w14:paraId="7FC4ADC6">
      <w:pPr>
        <w:spacing w:line="360" w:lineRule="auto"/>
        <w:rPr>
          <w:rFonts w:ascii="仿宋" w:hAnsi="仿宋" w:eastAsia="仿宋" w:cs="仿宋_GB2312"/>
          <w:b/>
          <w:color w:val="000000" w:themeColor="text1"/>
          <w:sz w:val="24"/>
          <w:szCs w:val="24"/>
        </w:rPr>
      </w:pPr>
      <w:r>
        <w:rPr>
          <w:rFonts w:hint="eastAsia" w:ascii="宋体" w:hAnsi="宋体" w:cs="宋体"/>
          <w:b/>
          <w:bCs/>
          <w:color w:val="000000" w:themeColor="text1"/>
          <w:spacing w:val="1"/>
          <w:position w:val="1"/>
          <w:sz w:val="24"/>
          <w:szCs w:val="24"/>
        </w:rPr>
        <w:t>三、采购标的执行标准、服务等要求</w:t>
      </w:r>
    </w:p>
    <w:p w14:paraId="4F64EDF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本项目执行现行的国家相关标准、行业标准和地方标准。</w:t>
      </w:r>
    </w:p>
    <w:p w14:paraId="6E13165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eastAsia="zh-CN"/>
        </w:rPr>
        <w:t>根据本项目实际需求，编制出本项目的相关成果件，通过相关部门的审批并投入使用。协助采购人收集、编制、上报行政审批所需各项报件，并最终取得相关主管部门的批复文件。</w:t>
      </w:r>
    </w:p>
    <w:p w14:paraId="0D896897">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eastAsia="zh-CN"/>
        </w:rPr>
        <w:t>.投标人须无条件义务配合采购人以及与本项目所有相关的需求并对采购人后续工作的开展与进行提供服务与技术支持。投标人须对此项内容作出承诺，否则为无效投标。</w:t>
      </w:r>
    </w:p>
    <w:p w14:paraId="40E0615C">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宋体"/>
          <w:spacing w:val="7"/>
          <w:sz w:val="24"/>
          <w:szCs w:val="23"/>
          <w:lang w:val="en-US" w:eastAsia="zh-CN"/>
        </w:rPr>
      </w:pP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eastAsia="zh-CN"/>
        </w:rPr>
        <w:t>.若因中标人的原因，影响采购人的项目进度以及给采购人造成损失的，由中标人承担相应责任，投标人须对此项内容作出承诺，否则为无效投标。</w:t>
      </w:r>
    </w:p>
    <w:p w14:paraId="7637E4D9">
      <w:pPr>
        <w:spacing w:line="360" w:lineRule="auto"/>
        <w:ind w:firstLine="486" w:firstLineChars="200"/>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ascii="宋体" w:hAnsi="宋体" w:cs="宋体"/>
          <w:b/>
          <w:bCs/>
          <w:color w:val="000000" w:themeColor="text1"/>
          <w:spacing w:val="1"/>
          <w:position w:val="1"/>
          <w:sz w:val="24"/>
          <w:szCs w:val="24"/>
        </w:rPr>
        <w:t>验收标准</w:t>
      </w:r>
    </w:p>
    <w:p w14:paraId="21AA94D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09603C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1、按照国家相关标准、行业标准、地方标准或者其他标准、规范验收；</w:t>
      </w:r>
    </w:p>
    <w:p w14:paraId="5F8AA832">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2、按照招标文件要求、投标文件响应和承诺验收；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本项目预算金额（最高限价）招标控制价800000.00元；超出预算金额的磋商响应无效。</w:t>
      </w:r>
    </w:p>
    <w:p w14:paraId="6784C302">
      <w:pPr>
        <w:spacing w:line="360" w:lineRule="auto"/>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六</w:t>
      </w:r>
      <w:r>
        <w:rPr>
          <w:rFonts w:hint="eastAsia" w:ascii="宋体" w:hAnsi="宋体" w:cs="宋体"/>
          <w:b/>
          <w:bCs/>
          <w:spacing w:val="1"/>
          <w:position w:val="1"/>
          <w:sz w:val="24"/>
          <w:szCs w:val="24"/>
        </w:rPr>
        <w:t>、采购资金支付</w:t>
      </w:r>
    </w:p>
    <w:p w14:paraId="3C963A0A">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（一）支付方式：银行转账支付</w:t>
      </w:r>
    </w:p>
    <w:p w14:paraId="7A3E9636">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（二）支付时间及条件：①合同签订后，采购人收到发票后，支付本项目合同金额的</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eastAsia="zh-CN"/>
        </w:rPr>
        <w:t>0%。②完成“十五五”规划《纲要(草案)》(征求意见稿)后，采购人收到发票后，支付本项目合同金额的</w:t>
      </w:r>
      <w:r>
        <w:rPr>
          <w:rFonts w:hint="eastAsia" w:ascii="仿宋" w:hAnsi="仿宋" w:eastAsia="仿宋" w:cs="仿宋"/>
          <w:color w:val="000000"/>
          <w:kern w:val="0"/>
          <w:sz w:val="32"/>
          <w:szCs w:val="32"/>
          <w:shd w:val="clear" w:color="auto" w:fill="FFFFFF"/>
          <w:lang w:val="en-US" w:eastAsia="zh-CN"/>
        </w:rPr>
        <w:t>3</w:t>
      </w:r>
      <w:r>
        <w:rPr>
          <w:rFonts w:hint="eastAsia" w:ascii="仿宋" w:hAnsi="仿宋" w:eastAsia="仿宋" w:cs="仿宋"/>
          <w:color w:val="000000"/>
          <w:kern w:val="0"/>
          <w:sz w:val="32"/>
          <w:szCs w:val="32"/>
          <w:shd w:val="clear" w:color="auto" w:fill="FFFFFF"/>
          <w:lang w:eastAsia="zh-CN"/>
        </w:rPr>
        <w:t>0%。③最终完成襄城县“十五五”规划《纲要》，并经襄城县人民代表大会审议通过后，采购人收到发票后，支付本项目合同金额的</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lang w:eastAsia="zh-CN"/>
        </w:rPr>
        <w:t>0%。</w:t>
      </w:r>
    </w:p>
    <w:p w14:paraId="674608CC">
      <w:pPr>
        <w:pStyle w:val="15"/>
        <w:bidi w:val="0"/>
        <w:ind w:firstLine="1020" w:firstLineChars="300"/>
        <w:rPr>
          <w:rFonts w:hint="default"/>
          <w:lang w:val="en-US" w:eastAsia="zh-CN"/>
        </w:rPr>
      </w:pPr>
    </w:p>
    <w:p w14:paraId="1022B8EA">
      <w:pPr>
        <w:spacing w:line="360" w:lineRule="auto"/>
        <w:jc w:val="center"/>
        <w:outlineLvl w:val="0"/>
        <w:rPr>
          <w:rFonts w:ascii="仿宋" w:hAnsi="仿宋" w:eastAsia="仿宋"/>
          <w:b/>
          <w:kern w:val="0"/>
          <w:sz w:val="32"/>
          <w:szCs w:val="32"/>
        </w:rPr>
      </w:pPr>
    </w:p>
    <w:p w14:paraId="05D57F22">
      <w:pPr>
        <w:spacing w:line="360" w:lineRule="auto"/>
        <w:outlineLvl w:val="0"/>
        <w:rPr>
          <w:rFonts w:ascii="仿宋" w:hAnsi="仿宋" w:eastAsia="仿宋"/>
          <w:b/>
          <w:kern w:val="0"/>
          <w:sz w:val="32"/>
          <w:szCs w:val="32"/>
        </w:rPr>
      </w:pPr>
    </w:p>
    <w:p w14:paraId="43E47F00">
      <w:pPr>
        <w:spacing w:line="360" w:lineRule="auto"/>
        <w:jc w:val="center"/>
        <w:outlineLvl w:val="0"/>
        <w:rPr>
          <w:rFonts w:hint="eastAsia" w:ascii="仿宋" w:hAnsi="仿宋" w:eastAsia="仿宋"/>
          <w:b/>
          <w:kern w:val="0"/>
          <w:sz w:val="32"/>
          <w:szCs w:val="32"/>
        </w:rPr>
      </w:pPr>
    </w:p>
    <w:p w14:paraId="64192E38">
      <w:pPr>
        <w:spacing w:line="360" w:lineRule="auto"/>
        <w:jc w:val="center"/>
        <w:outlineLvl w:val="0"/>
        <w:rPr>
          <w:rFonts w:hint="eastAsia" w:ascii="仿宋" w:hAnsi="仿宋" w:eastAsia="仿宋"/>
          <w:b/>
          <w:kern w:val="0"/>
          <w:sz w:val="32"/>
          <w:szCs w:val="32"/>
        </w:rPr>
      </w:pPr>
    </w:p>
    <w:p w14:paraId="15A8A08F">
      <w:pPr>
        <w:spacing w:line="360" w:lineRule="auto"/>
        <w:jc w:val="center"/>
        <w:outlineLvl w:val="0"/>
        <w:rPr>
          <w:rFonts w:hint="eastAsia" w:ascii="仿宋" w:hAnsi="仿宋" w:eastAsia="仿宋"/>
          <w:b/>
          <w:kern w:val="0"/>
          <w:sz w:val="32"/>
          <w:szCs w:val="32"/>
        </w:rPr>
      </w:pPr>
    </w:p>
    <w:p w14:paraId="5631DE2F">
      <w:pPr>
        <w:spacing w:line="360" w:lineRule="auto"/>
        <w:jc w:val="both"/>
        <w:outlineLvl w:val="0"/>
        <w:rPr>
          <w:rFonts w:hint="eastAsia" w:ascii="仿宋" w:hAnsi="仿宋" w:eastAsia="仿宋"/>
          <w:b/>
          <w:kern w:val="0"/>
          <w:sz w:val="32"/>
          <w:szCs w:val="32"/>
        </w:rPr>
      </w:pPr>
    </w:p>
    <w:p w14:paraId="3F0B5F7E">
      <w:pPr>
        <w:spacing w:line="360" w:lineRule="auto"/>
        <w:jc w:val="both"/>
        <w:outlineLvl w:val="0"/>
        <w:rPr>
          <w:rFonts w:hint="eastAsia" w:ascii="仿宋" w:hAnsi="仿宋" w:eastAsia="仿宋"/>
          <w:b/>
          <w:kern w:val="0"/>
          <w:sz w:val="32"/>
          <w:szCs w:val="32"/>
        </w:rPr>
      </w:pPr>
    </w:p>
    <w:p w14:paraId="7934262D">
      <w:pPr>
        <w:spacing w:line="360" w:lineRule="auto"/>
        <w:jc w:val="both"/>
        <w:outlineLvl w:val="0"/>
        <w:rPr>
          <w:rFonts w:hint="eastAsia" w:ascii="仿宋" w:hAnsi="仿宋" w:eastAsia="仿宋"/>
          <w:b/>
          <w:kern w:val="0"/>
          <w:sz w:val="32"/>
          <w:szCs w:val="32"/>
        </w:rPr>
      </w:pPr>
    </w:p>
    <w:p w14:paraId="422170F2">
      <w:pPr>
        <w:spacing w:line="360" w:lineRule="auto"/>
        <w:jc w:val="both"/>
        <w:outlineLvl w:val="0"/>
        <w:rPr>
          <w:rFonts w:hint="eastAsia" w:ascii="仿宋" w:hAnsi="仿宋" w:eastAsia="仿宋"/>
          <w:b/>
          <w:kern w:val="0"/>
          <w:sz w:val="32"/>
          <w:szCs w:val="32"/>
        </w:rPr>
      </w:pPr>
    </w:p>
    <w:p w14:paraId="49831188">
      <w:pPr>
        <w:spacing w:line="360" w:lineRule="auto"/>
        <w:jc w:val="both"/>
        <w:outlineLvl w:val="0"/>
        <w:rPr>
          <w:rFonts w:hint="eastAsia" w:ascii="仿宋" w:hAnsi="仿宋" w:eastAsia="仿宋"/>
          <w:b/>
          <w:kern w:val="0"/>
          <w:sz w:val="32"/>
          <w:szCs w:val="32"/>
        </w:rPr>
      </w:pPr>
    </w:p>
    <w:p w14:paraId="3B89C162">
      <w:pPr>
        <w:spacing w:line="360" w:lineRule="auto"/>
        <w:jc w:val="both"/>
        <w:outlineLvl w:val="0"/>
        <w:rPr>
          <w:rFonts w:hint="eastAsia" w:ascii="仿宋" w:hAnsi="仿宋" w:eastAsia="仿宋"/>
          <w:b/>
          <w:kern w:val="0"/>
          <w:sz w:val="32"/>
          <w:szCs w:val="32"/>
        </w:rPr>
      </w:pPr>
    </w:p>
    <w:p w14:paraId="26BB5BAA">
      <w:pPr>
        <w:spacing w:line="360" w:lineRule="auto"/>
        <w:jc w:val="both"/>
        <w:outlineLvl w:val="0"/>
        <w:rPr>
          <w:rFonts w:hint="eastAsia" w:ascii="仿宋" w:hAnsi="仿宋" w:eastAsia="仿宋"/>
          <w:b/>
          <w:kern w:val="0"/>
          <w:sz w:val="32"/>
          <w:szCs w:val="32"/>
        </w:rPr>
      </w:pPr>
    </w:p>
    <w:p w14:paraId="32002791">
      <w:pPr>
        <w:spacing w:line="360" w:lineRule="auto"/>
        <w:jc w:val="both"/>
        <w:outlineLvl w:val="0"/>
        <w:rPr>
          <w:rFonts w:hint="eastAsia" w:ascii="仿宋" w:hAnsi="仿宋" w:eastAsia="仿宋"/>
          <w:b/>
          <w:kern w:val="0"/>
          <w:sz w:val="32"/>
          <w:szCs w:val="32"/>
        </w:rPr>
      </w:pPr>
    </w:p>
    <w:p w14:paraId="274CF5EA">
      <w:pPr>
        <w:spacing w:line="360" w:lineRule="auto"/>
        <w:jc w:val="both"/>
        <w:outlineLvl w:val="0"/>
        <w:rPr>
          <w:rFonts w:hint="eastAsia" w:ascii="仿宋" w:hAnsi="仿宋" w:eastAsia="仿宋"/>
          <w:b/>
          <w:kern w:val="0"/>
          <w:sz w:val="32"/>
          <w:szCs w:val="32"/>
        </w:rPr>
      </w:pPr>
    </w:p>
    <w:p w14:paraId="5DAB702E">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7"/>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2024C8C7">
            <w:pPr>
              <w:spacing w:line="36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项目名称：襄城县发展和改革委员会襄城县国民经济和社会发展第十五个五年规划纲要编制项目</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二次</w:t>
            </w:r>
            <w:r>
              <w:rPr>
                <w:rFonts w:hint="eastAsia" w:ascii="仿宋" w:hAnsi="仿宋" w:eastAsia="仿宋" w:cs="宋体"/>
                <w:color w:val="auto"/>
                <w:sz w:val="24"/>
                <w:szCs w:val="24"/>
                <w:lang w:eastAsia="zh-CN"/>
              </w:rPr>
              <w:t>）</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襄财磋商采购-2025-</w:t>
            </w:r>
            <w:r>
              <w:rPr>
                <w:rFonts w:hint="eastAsia" w:ascii="仿宋" w:hAnsi="仿宋" w:eastAsia="仿宋" w:cs="宋体"/>
                <w:color w:val="auto"/>
                <w:sz w:val="24"/>
                <w:szCs w:val="24"/>
                <w:lang w:val="en-US" w:eastAsia="zh-CN"/>
              </w:rPr>
              <w:t>33</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3F5BEBA8">
            <w:pPr>
              <w:spacing w:line="360" w:lineRule="auto"/>
              <w:rPr>
                <w:rFonts w:hint="eastAsia" w:ascii="仿宋" w:hAnsi="仿宋" w:eastAsia="仿宋" w:cs="宋体"/>
                <w:color w:val="auto"/>
                <w:sz w:val="24"/>
                <w:szCs w:val="24"/>
              </w:rPr>
            </w:pPr>
            <w:r>
              <w:rPr>
                <w:rFonts w:hint="eastAsia" w:ascii="仿宋" w:hAnsi="仿宋" w:eastAsia="仿宋" w:cs="宋体"/>
                <w:color w:val="auto"/>
                <w:kern w:val="0"/>
                <w:sz w:val="24"/>
                <w:szCs w:val="24"/>
              </w:rPr>
              <w:t>采购人：</w:t>
            </w:r>
            <w:r>
              <w:rPr>
                <w:rFonts w:hint="eastAsia" w:ascii="仿宋" w:hAnsi="仿宋" w:eastAsia="仿宋" w:cs="宋体"/>
                <w:color w:val="auto"/>
                <w:sz w:val="24"/>
                <w:szCs w:val="24"/>
              </w:rPr>
              <w:t>襄城县发展和改革委员会</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罗泽钰</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15093373559</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tcBorders>
              <w:top w:val="single" w:color="auto" w:sz="4" w:space="0"/>
              <w:left w:val="nil"/>
              <w:bottom w:val="single" w:color="auto" w:sz="4" w:space="0"/>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5288A8E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p w14:paraId="5AF05CBA">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2090DA9F">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38E62D3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26417EFB">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59210DA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5．参加政府采购活动前三年内，在经营活动中没有重大违法记录；</w:t>
            </w:r>
          </w:p>
        </w:tc>
      </w:tr>
      <w:tr w14:paraId="67D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540232">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07958CF6">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5F957589">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b/>
                <w:kern w:val="0"/>
                <w:sz w:val="24"/>
                <w:szCs w:val="24"/>
              </w:rPr>
              <w:t>注：</w:t>
            </w:r>
          </w:p>
          <w:p w14:paraId="7A4EACB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2089FAE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4854E2F4">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tc>
      </w:tr>
      <w:tr w14:paraId="0FA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8AFBAA">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65AEC185">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1951017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4401DA40">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800000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
                <w:bCs w:val="0"/>
                <w:color w:val="000000" w:themeColor="text1"/>
                <w:sz w:val="24"/>
                <w:szCs w:val="24"/>
              </w:rPr>
              <w:t>2025年</w:t>
            </w:r>
            <w:r>
              <w:rPr>
                <w:rFonts w:hint="eastAsia" w:ascii="仿宋" w:hAnsi="仿宋" w:eastAsia="仿宋" w:cs="宋体"/>
                <w:b/>
                <w:bCs w:val="0"/>
                <w:color w:val="000000" w:themeColor="text1"/>
                <w:sz w:val="24"/>
                <w:szCs w:val="24"/>
                <w:lang w:val="en-US" w:eastAsia="zh-CN"/>
              </w:rPr>
              <w:t>9</w:t>
            </w:r>
            <w:r>
              <w:rPr>
                <w:rFonts w:hint="eastAsia" w:ascii="仿宋" w:hAnsi="仿宋" w:eastAsia="仿宋" w:cs="宋体"/>
                <w:b/>
                <w:bCs w:val="0"/>
                <w:color w:val="000000" w:themeColor="text1"/>
                <w:sz w:val="24"/>
                <w:szCs w:val="24"/>
              </w:rPr>
              <w:t>月</w:t>
            </w:r>
            <w:r>
              <w:rPr>
                <w:rFonts w:hint="eastAsia" w:ascii="仿宋" w:hAnsi="仿宋" w:eastAsia="仿宋" w:cs="宋体"/>
                <w:b/>
                <w:bCs w:val="0"/>
                <w:color w:val="000000" w:themeColor="text1"/>
                <w:sz w:val="24"/>
                <w:szCs w:val="24"/>
                <w:lang w:val="en-US" w:eastAsia="zh-CN"/>
              </w:rPr>
              <w:t>28</w:t>
            </w:r>
            <w:bookmarkStart w:id="30" w:name="_GoBack"/>
            <w:bookmarkEnd w:id="30"/>
            <w:r>
              <w:rPr>
                <w:rFonts w:hint="eastAsia" w:ascii="仿宋" w:hAnsi="仿宋" w:eastAsia="仿宋" w:cs="宋体"/>
                <w:b/>
                <w:bCs w:val="0"/>
                <w:color w:val="000000" w:themeColor="text1"/>
                <w:sz w:val="24"/>
                <w:szCs w:val="24"/>
              </w:rPr>
              <w:t>日</w:t>
            </w:r>
            <w:r>
              <w:rPr>
                <w:rFonts w:hint="eastAsia" w:ascii="仿宋" w:hAnsi="仿宋" w:eastAsia="仿宋" w:cs="宋体"/>
                <w:b/>
                <w:bCs w:val="0"/>
                <w:color w:val="000000" w:themeColor="text1"/>
                <w:sz w:val="24"/>
                <w:szCs w:val="24"/>
                <w:lang w:val="en-US" w:eastAsia="zh-CN"/>
              </w:rPr>
              <w:t>09</w:t>
            </w:r>
            <w:r>
              <w:rPr>
                <w:rFonts w:hint="eastAsia" w:ascii="仿宋" w:hAnsi="仿宋" w:eastAsia="仿宋" w:cs="宋体"/>
                <w:b/>
                <w:bCs w:val="0"/>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襄城县公共资源交易中心（八七路东段电子商务产业园）12楼开标一室（本项目采用远程不见面开标，投标人无须到交易中心现场）。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2"/>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4"/>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邮箱：Jianzhenggu2024@123.com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val="en-US" w:eastAsia="zh-CN"/>
              </w:rPr>
              <w:t>其他未列明行业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29</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30</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31</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32</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33</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34</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14:paraId="7ADB853C">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根据磋商小组要求，供应商须使用CA数字证书登录《全国公共资源交易平台(河南省</w:t>
            </w:r>
            <w:r>
              <w:rPr>
                <w:rFonts w:hint="eastAsia" w:ascii="MS Mincho" w:hAnsi="MS Mincho" w:eastAsia="MS Mincho" w:cs="MS Mincho"/>
                <w:sz w:val="24"/>
                <w:szCs w:val="24"/>
                <w:lang w:val="zh-CN"/>
              </w:rPr>
              <w:t>▪</w:t>
            </w:r>
            <w:r>
              <w:rPr>
                <w:rFonts w:hint="eastAsia" w:ascii="仿宋" w:hAnsi="仿宋" w:eastAsia="仿宋" w:cs="仿宋"/>
                <w:sz w:val="24"/>
                <w:szCs w:val="24"/>
                <w:lang w:val="zh-CN"/>
              </w:rPr>
              <w:t>许昌市</w:t>
            </w:r>
            <w:r>
              <w:rPr>
                <w:rFonts w:hint="eastAsia" w:ascii="仿宋" w:hAnsi="仿宋" w:eastAsia="仿宋" w:cs="宋体"/>
                <w:sz w:val="24"/>
                <w:szCs w:val="24"/>
                <w:lang w:val="zh-CN"/>
              </w:rPr>
              <w:t>)》公共资源交易系统进行最后报价，最后报价应包括：</w:t>
            </w:r>
          </w:p>
          <w:p w14:paraId="6A439A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①总报价②分项报价。</w:t>
            </w:r>
          </w:p>
          <w:p w14:paraId="11A09CF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注：</w:t>
            </w:r>
          </w:p>
          <w:p w14:paraId="1AD2340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①磋商小组要求供应商提交最后报价时，在磋商小组规定时间</w:t>
            </w:r>
          </w:p>
          <w:p w14:paraId="29ED7D9E">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内，供应商应提交最后报价（包括总报价及分项报价）。最后报</w:t>
            </w:r>
          </w:p>
          <w:p w14:paraId="1E5FCEC9">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价是供应商响应文件的有效组成部分。</w:t>
            </w:r>
          </w:p>
          <w:p w14:paraId="01390B1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②磋商文件第二章“采购需求”中“采购清单”以工程量清单提</w:t>
            </w:r>
          </w:p>
          <w:p w14:paraId="662DFAD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供的，供应商应以</w:t>
            </w:r>
            <w:r>
              <w:rPr>
                <w:rFonts w:hint="eastAsia" w:ascii="仿宋" w:hAnsi="仿宋" w:eastAsia="仿宋" w:cs="宋体"/>
                <w:sz w:val="24"/>
                <w:szCs w:val="24"/>
              </w:rPr>
              <w:t>已标价</w:t>
            </w:r>
            <w:r>
              <w:rPr>
                <w:rFonts w:hint="eastAsia" w:ascii="仿宋" w:hAnsi="仿宋" w:eastAsia="仿宋" w:cs="宋体"/>
                <w:sz w:val="24"/>
                <w:szCs w:val="24"/>
                <w:lang w:val="zh-CN"/>
              </w:rPr>
              <w:t>工程量清单方式提交最后报价。</w:t>
            </w:r>
          </w:p>
          <w:p w14:paraId="079CBDC0">
            <w:pPr>
              <w:spacing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③请供应商根据项目情况，可提前准备分项报价（</w:t>
            </w:r>
            <w:r>
              <w:rPr>
                <w:rFonts w:hint="eastAsia" w:ascii="仿宋" w:hAnsi="仿宋" w:eastAsia="仿宋" w:cs="宋体"/>
                <w:sz w:val="24"/>
                <w:szCs w:val="24"/>
              </w:rPr>
              <w:t>已标价工程量清单</w:t>
            </w:r>
            <w:r>
              <w:rPr>
                <w:rFonts w:hint="eastAsia" w:ascii="仿宋" w:hAnsi="仿宋" w:eastAsia="仿宋" w:cs="宋体"/>
                <w:sz w:val="24"/>
                <w:szCs w:val="24"/>
                <w:lang w:val="zh-CN"/>
              </w:rPr>
              <w:t>）。</w:t>
            </w:r>
          </w:p>
          <w:p w14:paraId="1BC687D9">
            <w:pPr>
              <w:spacing w:line="360" w:lineRule="auto"/>
              <w:rPr>
                <w:rFonts w:hint="eastAsia" w:ascii="仿宋" w:hAnsi="仿宋" w:eastAsia="仿宋" w:cs="宋体"/>
                <w:sz w:val="24"/>
                <w:szCs w:val="24"/>
                <w:lang w:val="zh-CN"/>
              </w:rPr>
            </w:pPr>
            <w:r>
              <w:rPr>
                <w:rFonts w:hint="eastAsia" w:ascii="仿宋" w:hAnsi="仿宋" w:eastAsia="仿宋" w:cs="宋体"/>
                <w:sz w:val="24"/>
                <w:szCs w:val="24"/>
                <w:lang w:val="zh-CN"/>
              </w:rPr>
              <w:t>注：磋商小组要求供应商提交最后报价时，在磋商小组规定时间内，供应商未提交最后报价则以其初次提交响应文件报价为最后报价。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35</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 本磋商文件仅适用于本次“采购邀请”</w:t>
      </w:r>
      <w:r>
        <w:rPr>
          <w:rFonts w:hint="eastAsia" w:ascii="仿宋" w:hAnsi="仿宋" w:eastAsia="仿宋"/>
          <w:sz w:val="24"/>
          <w:szCs w:val="24"/>
        </w:rPr>
        <w:t>和“供应商须知前附表”中所述采购项目的采购。</w:t>
      </w:r>
    </w:p>
    <w:p w14:paraId="5335A4E0">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 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2"/>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2"/>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0"/>
          <w:rFonts w:hint="eastAsia" w:ascii="仿宋" w:hAnsi="仿宋" w:eastAsia="仿宋" w:cs="宋体"/>
          <w:color w:val="auto"/>
          <w:sz w:val="24"/>
          <w:szCs w:val="24"/>
        </w:rPr>
        <w:t>承担连带责任</w:t>
      </w:r>
      <w:r>
        <w:rPr>
          <w:rStyle w:val="20"/>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2"/>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2"/>
        <w:numPr>
          <w:ilvl w:val="0"/>
          <w:numId w:val="6"/>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磋商文件构成</w:t>
      </w:r>
    </w:p>
    <w:p w14:paraId="7666D900">
      <w:pPr>
        <w:pStyle w:val="22"/>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2"/>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5"/>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3"/>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2"/>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2"/>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2"/>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2"/>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2"/>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2"/>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2"/>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2"/>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C8A6A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5"/>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7"/>
        <w:spacing w:before="62" w:line="360" w:lineRule="auto"/>
        <w:rPr>
          <w:rFonts w:ascii="仿宋" w:hAnsi="仿宋" w:eastAsia="仿宋"/>
          <w:b/>
        </w:rPr>
      </w:pPr>
      <w:r>
        <w:rPr>
          <w:rFonts w:hint="eastAsia" w:ascii="仿宋" w:hAnsi="仿宋" w:eastAsia="仿宋"/>
          <w:b/>
        </w:rPr>
        <w:t>一、资格审查</w:t>
      </w:r>
    </w:p>
    <w:p w14:paraId="73212F92">
      <w:pPr>
        <w:pStyle w:val="7"/>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7"/>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7"/>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7"/>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4"/>
              <w:wordWrap w:val="0"/>
              <w:spacing w:before="62" w:beforeAutospacing="0" w:after="0" w:afterAutospacing="0" w:line="360" w:lineRule="auto"/>
              <w:contextualSpacing/>
              <w:rPr>
                <w:rFonts w:ascii="仿宋" w:hAnsi="仿宋" w:eastAsia="仿宋"/>
              </w:rPr>
            </w:pPr>
            <w:r>
              <w:rPr>
                <w:rFonts w:hint="eastAsia" w:ascii="仿宋" w:hAnsi="仿宋" w:eastAsia="仿宋"/>
              </w:rPr>
              <w:t>无</w:t>
            </w:r>
          </w:p>
        </w:tc>
      </w:tr>
    </w:tbl>
    <w:p w14:paraId="7F1B9E16">
      <w:pPr>
        <w:pStyle w:val="7"/>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7"/>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（8）技术方案（实施方案）；（</w:t>
            </w:r>
            <w:r>
              <w:rPr>
                <w:rFonts w:hint="eastAsia" w:ascii="仿宋" w:hAnsi="仿宋" w:eastAsia="仿宋" w:cs="FangSong_GB2312"/>
                <w:sz w:val="24"/>
                <w:lang w:val="en-US" w:eastAsia="zh-CN"/>
              </w:rPr>
              <w:t>若有</w:t>
            </w:r>
            <w:r>
              <w:rPr>
                <w:rFonts w:hint="eastAsia" w:ascii="仿宋" w:hAnsi="仿宋" w:eastAsia="仿宋" w:cs="FangSong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w:t>
            </w:r>
            <w:r>
              <w:rPr>
                <w:rFonts w:hint="eastAsia" w:ascii="仿宋" w:hAnsi="仿宋" w:eastAsia="仿宋" w:cs="FangSong_GB2312"/>
                <w:sz w:val="24"/>
              </w:rPr>
              <w:t>9</w:t>
            </w:r>
            <w:r>
              <w:rPr>
                <w:rFonts w:hint="eastAsia" w:ascii="仿宋" w:hAnsi="仿宋" w:eastAsia="仿宋" w:cs="FangSong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8"/>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7"/>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7"/>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31B1F69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6ABE04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(八)其它涉嫌串通的情形。</w:t>
      </w:r>
    </w:p>
    <w:p w14:paraId="707433F0">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评标标准</w:t>
      </w:r>
    </w:p>
    <w:tbl>
      <w:tblPr>
        <w:tblStyle w:val="17"/>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16"/>
        <w:gridCol w:w="5945"/>
      </w:tblGrid>
      <w:tr w14:paraId="48D9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72" w:type="dxa"/>
            <w:gridSpan w:val="2"/>
            <w:vAlign w:val="center"/>
          </w:tcPr>
          <w:p w14:paraId="644BD1B4">
            <w:pPr>
              <w:spacing w:line="360" w:lineRule="auto"/>
              <w:jc w:val="center"/>
              <w:rPr>
                <w:rFonts w:ascii="Book Antiqua" w:hAnsi="Book Antiqua" w:eastAsia="宋体" w:cs="Times New Roman"/>
                <w:b/>
                <w:sz w:val="24"/>
                <w:szCs w:val="32"/>
              </w:rPr>
            </w:pPr>
            <w:r>
              <w:rPr>
                <w:rFonts w:ascii="Book Antiqua" w:hAnsi="Book Antiqua" w:cs="Times New Roman"/>
                <w:b/>
                <w:sz w:val="24"/>
                <w:szCs w:val="32"/>
              </w:rPr>
              <w:t>条款</w:t>
            </w:r>
            <w:r>
              <w:rPr>
                <w:rFonts w:hint="eastAsia" w:ascii="Book Antiqua" w:hAnsi="Book Antiqua" w:cs="Times New Roman"/>
                <w:b/>
                <w:sz w:val="24"/>
                <w:szCs w:val="32"/>
              </w:rPr>
              <w:t>内容</w:t>
            </w:r>
          </w:p>
        </w:tc>
        <w:tc>
          <w:tcPr>
            <w:tcW w:w="5945" w:type="dxa"/>
            <w:vAlign w:val="center"/>
          </w:tcPr>
          <w:p w14:paraId="479331E3">
            <w:pPr>
              <w:spacing w:line="360" w:lineRule="auto"/>
              <w:jc w:val="center"/>
              <w:rPr>
                <w:rFonts w:ascii="Book Antiqua" w:hAnsi="Book Antiqua" w:cs="Times New Roman"/>
                <w:b/>
                <w:sz w:val="24"/>
                <w:szCs w:val="32"/>
              </w:rPr>
            </w:pPr>
            <w:r>
              <w:rPr>
                <w:rFonts w:ascii="Book Antiqua" w:hAnsi="Book Antiqua" w:cs="Times New Roman"/>
                <w:b/>
                <w:sz w:val="24"/>
                <w:szCs w:val="32"/>
              </w:rPr>
              <w:t>评</w:t>
            </w:r>
            <w:r>
              <w:rPr>
                <w:rFonts w:hint="eastAsia" w:ascii="Book Antiqua" w:hAnsi="Book Antiqua" w:cs="Times New Roman"/>
                <w:b/>
                <w:sz w:val="24"/>
                <w:szCs w:val="32"/>
              </w:rPr>
              <w:t>审</w:t>
            </w:r>
            <w:r>
              <w:rPr>
                <w:rFonts w:ascii="Book Antiqua" w:hAnsi="Book Antiqua" w:cs="Times New Roman"/>
                <w:b/>
                <w:sz w:val="24"/>
                <w:szCs w:val="32"/>
              </w:rPr>
              <w:t>标准</w:t>
            </w:r>
          </w:p>
        </w:tc>
      </w:tr>
      <w:tr w14:paraId="181D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2972" w:type="dxa"/>
            <w:gridSpan w:val="2"/>
            <w:vAlign w:val="center"/>
          </w:tcPr>
          <w:p w14:paraId="64F1AB8A">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分值构成</w:t>
            </w:r>
          </w:p>
          <w:p w14:paraId="3044035A">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（总分 100 分）</w:t>
            </w:r>
          </w:p>
        </w:tc>
        <w:tc>
          <w:tcPr>
            <w:tcW w:w="5945" w:type="dxa"/>
            <w:vAlign w:val="center"/>
          </w:tcPr>
          <w:p w14:paraId="33137FC6">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报价部分：</w:t>
            </w:r>
            <w:r>
              <w:rPr>
                <w:rFonts w:hint="eastAsia" w:ascii="Book Antiqua" w:hAnsi="Book Antiqua" w:cs="Times New Roman"/>
                <w:b/>
                <w:sz w:val="24"/>
                <w:szCs w:val="32"/>
                <w:lang w:val="en-US" w:eastAsia="zh-CN"/>
              </w:rPr>
              <w:t>20</w:t>
            </w:r>
            <w:r>
              <w:rPr>
                <w:rFonts w:hint="eastAsia" w:ascii="Book Antiqua" w:hAnsi="Book Antiqua" w:cs="Times New Roman"/>
                <w:b/>
                <w:sz w:val="24"/>
                <w:szCs w:val="32"/>
              </w:rPr>
              <w:t xml:space="preserve"> 分</w:t>
            </w:r>
          </w:p>
          <w:p w14:paraId="205146C6">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商务部分：</w:t>
            </w:r>
            <w:r>
              <w:rPr>
                <w:rFonts w:hint="eastAsia" w:ascii="Book Antiqua" w:hAnsi="Book Antiqua" w:cs="Times New Roman"/>
                <w:b/>
                <w:sz w:val="24"/>
                <w:szCs w:val="32"/>
                <w:lang w:val="en-US" w:eastAsia="zh-CN"/>
              </w:rPr>
              <w:t>30</w:t>
            </w:r>
            <w:r>
              <w:rPr>
                <w:rFonts w:hint="eastAsia" w:ascii="Book Antiqua" w:hAnsi="Book Antiqua" w:cs="Times New Roman"/>
                <w:b/>
                <w:sz w:val="24"/>
                <w:szCs w:val="32"/>
              </w:rPr>
              <w:t xml:space="preserve"> 分</w:t>
            </w:r>
          </w:p>
          <w:p w14:paraId="38EF713E">
            <w:pPr>
              <w:spacing w:line="360" w:lineRule="auto"/>
              <w:jc w:val="center"/>
              <w:rPr>
                <w:rFonts w:ascii="Book Antiqua" w:hAnsi="Book Antiqua" w:cs="Times New Roman"/>
                <w:b/>
                <w:sz w:val="24"/>
                <w:szCs w:val="32"/>
              </w:rPr>
            </w:pPr>
            <w:r>
              <w:rPr>
                <w:rFonts w:hint="eastAsia" w:ascii="Book Antiqua" w:hAnsi="Book Antiqua" w:cs="Times New Roman"/>
                <w:b/>
                <w:sz w:val="24"/>
                <w:szCs w:val="32"/>
              </w:rPr>
              <w:t>技术部分：50 分</w:t>
            </w:r>
          </w:p>
        </w:tc>
      </w:tr>
      <w:tr w14:paraId="2C4D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356" w:type="dxa"/>
            <w:vAlign w:val="center"/>
          </w:tcPr>
          <w:p w14:paraId="6086771E">
            <w:pPr>
              <w:spacing w:line="360" w:lineRule="auto"/>
              <w:jc w:val="center"/>
              <w:rPr>
                <w:rFonts w:hint="eastAsia" w:ascii="宋体" w:hAnsi="宋体" w:cs="宋体"/>
                <w:b/>
                <w:bCs/>
                <w:sz w:val="24"/>
                <w:szCs w:val="32"/>
              </w:rPr>
            </w:pPr>
            <w:r>
              <w:rPr>
                <w:rFonts w:hint="eastAsia" w:ascii="宋体" w:hAnsi="宋体" w:cs="宋体"/>
                <w:b/>
                <w:bCs/>
                <w:sz w:val="24"/>
                <w:szCs w:val="32"/>
              </w:rPr>
              <w:t>评审项目</w:t>
            </w:r>
          </w:p>
        </w:tc>
        <w:tc>
          <w:tcPr>
            <w:tcW w:w="1616" w:type="dxa"/>
            <w:vAlign w:val="center"/>
          </w:tcPr>
          <w:p w14:paraId="0C405886">
            <w:pPr>
              <w:spacing w:line="360" w:lineRule="auto"/>
              <w:jc w:val="center"/>
              <w:rPr>
                <w:rFonts w:hint="eastAsia" w:ascii="宋体" w:hAnsi="宋体" w:cs="宋体"/>
                <w:b/>
                <w:bCs/>
                <w:sz w:val="24"/>
                <w:szCs w:val="32"/>
              </w:rPr>
            </w:pPr>
            <w:r>
              <w:rPr>
                <w:rFonts w:hint="eastAsia" w:ascii="宋体" w:hAnsi="宋体" w:cs="宋体"/>
                <w:b/>
                <w:bCs/>
                <w:sz w:val="24"/>
                <w:szCs w:val="32"/>
              </w:rPr>
              <w:t>评分因素</w:t>
            </w:r>
          </w:p>
        </w:tc>
        <w:tc>
          <w:tcPr>
            <w:tcW w:w="5945" w:type="dxa"/>
            <w:vAlign w:val="center"/>
          </w:tcPr>
          <w:p w14:paraId="5F1A0628">
            <w:pPr>
              <w:spacing w:line="360" w:lineRule="auto"/>
              <w:jc w:val="center"/>
              <w:rPr>
                <w:rFonts w:hint="eastAsia" w:ascii="宋体" w:hAnsi="宋体" w:cs="宋体"/>
                <w:b/>
                <w:bCs/>
                <w:sz w:val="24"/>
                <w:szCs w:val="32"/>
              </w:rPr>
            </w:pPr>
            <w:r>
              <w:rPr>
                <w:rFonts w:hint="eastAsia" w:ascii="宋体" w:hAnsi="宋体" w:cs="宋体"/>
                <w:b/>
                <w:bCs/>
                <w:sz w:val="24"/>
                <w:szCs w:val="32"/>
              </w:rPr>
              <w:t>评分标准</w:t>
            </w:r>
          </w:p>
        </w:tc>
      </w:tr>
      <w:tr w14:paraId="394B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Align w:val="center"/>
          </w:tcPr>
          <w:p w14:paraId="727BD740">
            <w:pPr>
              <w:spacing w:line="360" w:lineRule="auto"/>
              <w:jc w:val="left"/>
              <w:rPr>
                <w:rFonts w:hint="eastAsia" w:ascii="宋体" w:hAnsi="宋体" w:cs="宋体"/>
                <w:sz w:val="24"/>
                <w:szCs w:val="32"/>
              </w:rPr>
            </w:pPr>
            <w:r>
              <w:rPr>
                <w:rFonts w:hint="eastAsia" w:ascii="宋体" w:hAnsi="宋体" w:cs="宋体"/>
                <w:sz w:val="24"/>
                <w:szCs w:val="32"/>
              </w:rPr>
              <w:t>报价部分（</w:t>
            </w:r>
            <w:r>
              <w:rPr>
                <w:rFonts w:hint="eastAsia" w:ascii="宋体" w:hAnsi="宋体" w:cs="宋体"/>
                <w:sz w:val="24"/>
                <w:szCs w:val="32"/>
                <w:lang w:val="en-US" w:eastAsia="zh-CN"/>
              </w:rPr>
              <w:t>20</w:t>
            </w:r>
            <w:r>
              <w:rPr>
                <w:rFonts w:hint="eastAsia" w:ascii="宋体" w:hAnsi="宋体" w:cs="宋体"/>
                <w:sz w:val="24"/>
                <w:szCs w:val="32"/>
              </w:rPr>
              <w:t>分）</w:t>
            </w:r>
          </w:p>
        </w:tc>
        <w:tc>
          <w:tcPr>
            <w:tcW w:w="1616" w:type="dxa"/>
            <w:vAlign w:val="center"/>
          </w:tcPr>
          <w:p w14:paraId="4E131270">
            <w:pPr>
              <w:spacing w:line="360" w:lineRule="auto"/>
              <w:jc w:val="left"/>
              <w:rPr>
                <w:rFonts w:hint="eastAsia" w:ascii="宋体" w:hAnsi="宋体" w:cs="宋体"/>
                <w:sz w:val="24"/>
                <w:szCs w:val="32"/>
              </w:rPr>
            </w:pPr>
            <w:r>
              <w:rPr>
                <w:rFonts w:hint="eastAsia" w:ascii="宋体" w:hAnsi="宋体" w:cs="宋体"/>
                <w:sz w:val="24"/>
                <w:szCs w:val="32"/>
              </w:rPr>
              <w:t>投标报价（</w:t>
            </w:r>
            <w:r>
              <w:rPr>
                <w:rFonts w:hint="eastAsia" w:ascii="宋体" w:hAnsi="宋体" w:cs="宋体"/>
                <w:sz w:val="24"/>
                <w:szCs w:val="32"/>
                <w:lang w:val="en-US" w:eastAsia="zh-CN"/>
              </w:rPr>
              <w:t>20</w:t>
            </w:r>
            <w:r>
              <w:rPr>
                <w:rFonts w:hint="eastAsia" w:ascii="宋体" w:hAnsi="宋体" w:cs="宋体"/>
                <w:sz w:val="24"/>
                <w:szCs w:val="32"/>
              </w:rPr>
              <w:t>分）</w:t>
            </w:r>
          </w:p>
        </w:tc>
        <w:tc>
          <w:tcPr>
            <w:tcW w:w="5945" w:type="dxa"/>
            <w:vAlign w:val="center"/>
          </w:tcPr>
          <w:p w14:paraId="610DB427">
            <w:pPr>
              <w:spacing w:line="360" w:lineRule="auto"/>
              <w:jc w:val="left"/>
              <w:rPr>
                <w:rFonts w:hint="eastAsia" w:ascii="宋体" w:hAnsi="宋体" w:cs="宋体"/>
                <w:sz w:val="24"/>
                <w:szCs w:val="32"/>
              </w:rPr>
            </w:pPr>
            <w:r>
              <w:rPr>
                <w:rFonts w:hint="eastAsia" w:ascii="宋体" w:hAnsi="宋体" w:cs="宋体"/>
                <w:sz w:val="24"/>
                <w:szCs w:val="32"/>
              </w:rPr>
              <w:t>投标报价得分采用低价优先法计算，即满足磋商文件要求且最低的最终磋商报价为磋商基准价，其价格分为满分</w:t>
            </w:r>
            <w:r>
              <w:rPr>
                <w:rFonts w:hint="eastAsia" w:ascii="宋体" w:hAnsi="宋体" w:cs="宋体"/>
                <w:sz w:val="24"/>
                <w:szCs w:val="32"/>
                <w:lang w:val="en-US" w:eastAsia="zh-CN"/>
              </w:rPr>
              <w:t>20</w:t>
            </w:r>
            <w:r>
              <w:rPr>
                <w:rFonts w:hint="eastAsia" w:ascii="宋体" w:hAnsi="宋体" w:cs="宋体"/>
                <w:sz w:val="24"/>
                <w:szCs w:val="32"/>
              </w:rPr>
              <w:t>分。其他供应商的报价得分计算：</w:t>
            </w:r>
          </w:p>
          <w:p w14:paraId="1A8705CC">
            <w:pPr>
              <w:spacing w:line="360" w:lineRule="auto"/>
              <w:jc w:val="left"/>
              <w:rPr>
                <w:rFonts w:hint="default" w:ascii="宋体" w:hAnsi="宋体" w:cs="宋体" w:eastAsiaTheme="minorEastAsia"/>
                <w:sz w:val="24"/>
                <w:szCs w:val="32"/>
                <w:lang w:val="en-US" w:eastAsia="zh-CN"/>
              </w:rPr>
            </w:pPr>
            <w:r>
              <w:rPr>
                <w:rFonts w:hint="eastAsia" w:ascii="宋体" w:hAnsi="宋体" w:cs="宋体"/>
                <w:sz w:val="24"/>
                <w:szCs w:val="32"/>
              </w:rPr>
              <w:t>报价得分=(磋商基准价／最终磋商报价)×</w:t>
            </w:r>
            <w:r>
              <w:rPr>
                <w:rFonts w:hint="eastAsia" w:ascii="宋体" w:hAnsi="宋体" w:cs="宋体"/>
                <w:sz w:val="24"/>
                <w:szCs w:val="32"/>
                <w:lang w:val="en-US" w:eastAsia="zh-CN"/>
              </w:rPr>
              <w:t>20</w:t>
            </w:r>
          </w:p>
          <w:p w14:paraId="25FB2638">
            <w:pPr>
              <w:spacing w:line="360" w:lineRule="auto"/>
              <w:jc w:val="left"/>
              <w:rPr>
                <w:rFonts w:hint="eastAsia" w:ascii="宋体" w:hAnsi="宋体" w:cs="宋体"/>
                <w:sz w:val="24"/>
                <w:szCs w:val="32"/>
              </w:rPr>
            </w:pPr>
            <w:r>
              <w:rPr>
                <w:rFonts w:hint="eastAsia" w:ascii="宋体" w:hAnsi="宋体" w:cs="宋体"/>
                <w:sz w:val="24"/>
                <w:szCs w:val="32"/>
              </w:rPr>
              <w:t>计算按四舍五入法则，保留小数点后两位。</w:t>
            </w:r>
          </w:p>
          <w:p w14:paraId="21FAAE96">
            <w:pPr>
              <w:spacing w:line="360" w:lineRule="auto"/>
              <w:jc w:val="left"/>
              <w:rPr>
                <w:rFonts w:hint="eastAsia" w:ascii="宋体" w:hAnsi="宋体" w:cs="宋体"/>
                <w:sz w:val="24"/>
                <w:szCs w:val="32"/>
              </w:rPr>
            </w:pPr>
            <w:r>
              <w:rPr>
                <w:rFonts w:hint="eastAsia" w:ascii="宋体" w:hAnsi="宋体" w:cs="宋体"/>
                <w:sz w:val="24"/>
                <w:szCs w:val="32"/>
              </w:rPr>
              <w:t>注：磋商小组认为供应商的报价明显低于其他通过符合性审查供应商的报价，有可能影响服务质量或者不能诚信履约的，应当要求该供应商作出书面说明并提供相关证明材料。供应商不能合理说明或者不能提供相关证明材料的，按无效标处理。</w:t>
            </w:r>
          </w:p>
        </w:tc>
      </w:tr>
      <w:tr w14:paraId="55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restart"/>
            <w:vAlign w:val="center"/>
          </w:tcPr>
          <w:p w14:paraId="48E4A182">
            <w:pPr>
              <w:spacing w:line="360" w:lineRule="auto"/>
              <w:jc w:val="left"/>
              <w:rPr>
                <w:rFonts w:hint="eastAsia" w:ascii="宋体" w:hAnsi="宋体" w:cs="宋体"/>
                <w:sz w:val="24"/>
                <w:szCs w:val="32"/>
              </w:rPr>
            </w:pPr>
            <w:r>
              <w:rPr>
                <w:rFonts w:hint="eastAsia" w:ascii="宋体" w:hAnsi="宋体" w:cs="宋体"/>
                <w:sz w:val="24"/>
                <w:szCs w:val="32"/>
              </w:rPr>
              <w:t>商务部分（</w:t>
            </w:r>
            <w:r>
              <w:rPr>
                <w:rFonts w:hint="eastAsia" w:ascii="宋体" w:hAnsi="宋体" w:cs="宋体"/>
                <w:sz w:val="24"/>
                <w:szCs w:val="32"/>
                <w:lang w:val="en-US" w:eastAsia="zh-CN"/>
              </w:rPr>
              <w:t>30</w:t>
            </w:r>
            <w:r>
              <w:rPr>
                <w:rFonts w:hint="eastAsia" w:ascii="宋体" w:hAnsi="宋体" w:cs="宋体"/>
                <w:sz w:val="24"/>
                <w:szCs w:val="32"/>
              </w:rPr>
              <w:t>分）</w:t>
            </w:r>
          </w:p>
        </w:tc>
        <w:tc>
          <w:tcPr>
            <w:tcW w:w="1616" w:type="dxa"/>
            <w:vAlign w:val="center"/>
          </w:tcPr>
          <w:p w14:paraId="5A933D11">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业绩</w:t>
            </w:r>
          </w:p>
          <w:p w14:paraId="6FECAB8B">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（1</w:t>
            </w:r>
            <w:r>
              <w:rPr>
                <w:rFonts w:hint="eastAsia" w:ascii="宋体" w:hAnsi="宋体" w:cs="宋体"/>
                <w:color w:val="000000" w:themeColor="text1"/>
                <w:sz w:val="24"/>
                <w:szCs w:val="32"/>
                <w:lang w:val="en-US" w:eastAsia="zh-CN"/>
              </w:rPr>
              <w:t>0</w:t>
            </w:r>
            <w:r>
              <w:rPr>
                <w:rFonts w:hint="eastAsia" w:ascii="宋体" w:hAnsi="宋体" w:cs="宋体"/>
                <w:color w:val="000000" w:themeColor="text1"/>
                <w:sz w:val="24"/>
                <w:szCs w:val="32"/>
              </w:rPr>
              <w:t>分）</w:t>
            </w:r>
          </w:p>
        </w:tc>
        <w:tc>
          <w:tcPr>
            <w:tcW w:w="5945" w:type="dxa"/>
            <w:vAlign w:val="center"/>
          </w:tcPr>
          <w:p w14:paraId="7078252F">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供应商提供202</w:t>
            </w:r>
            <w:r>
              <w:rPr>
                <w:rFonts w:hint="eastAsia" w:ascii="宋体" w:hAnsi="宋体" w:cs="宋体"/>
                <w:color w:val="000000" w:themeColor="text1"/>
                <w:sz w:val="24"/>
                <w:szCs w:val="32"/>
                <w:lang w:val="en-US" w:eastAsia="zh-CN"/>
              </w:rPr>
              <w:t>2</w:t>
            </w:r>
            <w:r>
              <w:rPr>
                <w:rFonts w:hint="eastAsia" w:ascii="宋体" w:hAnsi="宋体" w:cs="宋体"/>
                <w:color w:val="000000" w:themeColor="text1"/>
                <w:sz w:val="24"/>
                <w:szCs w:val="32"/>
              </w:rPr>
              <w:t>年0</w:t>
            </w:r>
            <w:r>
              <w:rPr>
                <w:rFonts w:hint="eastAsia" w:ascii="宋体" w:hAnsi="宋体" w:cs="宋体"/>
                <w:color w:val="000000" w:themeColor="text1"/>
                <w:sz w:val="24"/>
                <w:szCs w:val="32"/>
                <w:lang w:val="en-US" w:eastAsia="zh-CN"/>
              </w:rPr>
              <w:t>7</w:t>
            </w:r>
            <w:r>
              <w:rPr>
                <w:rFonts w:hint="eastAsia" w:ascii="宋体" w:hAnsi="宋体" w:cs="宋体"/>
                <w:color w:val="000000" w:themeColor="text1"/>
                <w:sz w:val="24"/>
                <w:szCs w:val="32"/>
              </w:rPr>
              <w:t>月01日以来（以合同签订时间为准），每具有1项</w:t>
            </w:r>
            <w:r>
              <w:rPr>
                <w:rFonts w:hint="eastAsia" w:ascii="宋体" w:hAnsi="宋体" w:cs="宋体"/>
                <w:color w:val="000000" w:themeColor="text1"/>
                <w:sz w:val="24"/>
                <w:szCs w:val="32"/>
                <w:lang w:eastAsia="zh-CN"/>
              </w:rPr>
              <w:t>类似项目</w:t>
            </w:r>
            <w:r>
              <w:rPr>
                <w:rFonts w:hint="eastAsia" w:ascii="宋体" w:hAnsi="宋体" w:cs="宋体"/>
                <w:color w:val="000000" w:themeColor="text1"/>
                <w:sz w:val="24"/>
                <w:szCs w:val="32"/>
              </w:rPr>
              <w:t>业绩的，得</w:t>
            </w:r>
            <w:r>
              <w:rPr>
                <w:rFonts w:hint="eastAsia" w:ascii="宋体" w:hAnsi="宋体" w:cs="宋体"/>
                <w:color w:val="000000" w:themeColor="text1"/>
                <w:sz w:val="24"/>
                <w:szCs w:val="32"/>
                <w:lang w:val="en-US" w:eastAsia="zh-CN"/>
              </w:rPr>
              <w:t>5</w:t>
            </w:r>
            <w:r>
              <w:rPr>
                <w:rFonts w:hint="eastAsia" w:ascii="宋体" w:hAnsi="宋体" w:cs="宋体"/>
                <w:color w:val="000000" w:themeColor="text1"/>
                <w:sz w:val="24"/>
                <w:szCs w:val="32"/>
              </w:rPr>
              <w:t>分，本项共</w:t>
            </w:r>
            <w:r>
              <w:rPr>
                <w:rFonts w:hint="eastAsia" w:ascii="宋体" w:hAnsi="宋体" w:cs="宋体"/>
                <w:color w:val="000000" w:themeColor="text1"/>
                <w:sz w:val="24"/>
                <w:szCs w:val="32"/>
                <w:lang w:val="en-US" w:eastAsia="zh-CN"/>
              </w:rPr>
              <w:t>10</w:t>
            </w:r>
            <w:r>
              <w:rPr>
                <w:rFonts w:hint="eastAsia" w:ascii="宋体" w:hAnsi="宋体" w:cs="宋体"/>
                <w:color w:val="000000" w:themeColor="text1"/>
                <w:sz w:val="24"/>
                <w:szCs w:val="32"/>
              </w:rPr>
              <w:t>分；（业绩应提供合同</w:t>
            </w:r>
            <w:r>
              <w:rPr>
                <w:rFonts w:hint="eastAsia" w:ascii="宋体" w:hAnsi="宋体" w:cs="宋体"/>
                <w:color w:val="000000" w:themeColor="text1"/>
                <w:sz w:val="24"/>
                <w:szCs w:val="32"/>
                <w:lang w:eastAsia="zh-CN"/>
              </w:rPr>
              <w:t>原件扫描件或图片</w:t>
            </w:r>
            <w:r>
              <w:rPr>
                <w:rFonts w:hint="eastAsia" w:ascii="宋体" w:hAnsi="宋体" w:cs="宋体"/>
                <w:color w:val="000000" w:themeColor="text1"/>
                <w:sz w:val="24"/>
                <w:szCs w:val="32"/>
              </w:rPr>
              <w:t>）</w:t>
            </w:r>
          </w:p>
          <w:p w14:paraId="7F2A8916">
            <w:pPr>
              <w:spacing w:line="360" w:lineRule="auto"/>
              <w:jc w:val="left"/>
              <w:rPr>
                <w:rFonts w:hint="eastAsia" w:ascii="宋体" w:hAnsi="宋体" w:cs="宋体" w:eastAsiaTheme="minorEastAsia"/>
                <w:color w:val="000000" w:themeColor="text1"/>
                <w:sz w:val="24"/>
                <w:szCs w:val="32"/>
                <w:lang w:eastAsia="zh-CN"/>
              </w:rPr>
            </w:pPr>
            <w:r>
              <w:rPr>
                <w:rFonts w:hint="eastAsia" w:ascii="宋体" w:hAnsi="宋体" w:cs="宋体"/>
                <w:color w:val="000000" w:themeColor="text1"/>
                <w:sz w:val="24"/>
                <w:szCs w:val="32"/>
                <w:lang w:eastAsia="zh-CN"/>
              </w:rPr>
              <w:t>注：类似项目业绩是指规划编制类业绩。</w:t>
            </w:r>
          </w:p>
        </w:tc>
      </w:tr>
      <w:tr w14:paraId="7BC7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27B21149">
            <w:pPr>
              <w:spacing w:line="360" w:lineRule="auto"/>
              <w:jc w:val="left"/>
              <w:rPr>
                <w:rFonts w:hint="eastAsia" w:ascii="宋体" w:hAnsi="宋体" w:cs="宋体"/>
                <w:sz w:val="24"/>
                <w:szCs w:val="32"/>
              </w:rPr>
            </w:pPr>
          </w:p>
        </w:tc>
        <w:tc>
          <w:tcPr>
            <w:tcW w:w="1616" w:type="dxa"/>
            <w:vAlign w:val="center"/>
          </w:tcPr>
          <w:p w14:paraId="5334732A">
            <w:pPr>
              <w:tabs>
                <w:tab w:val="left" w:pos="1470"/>
              </w:tabs>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项目管理团队配置</w:t>
            </w:r>
          </w:p>
          <w:p w14:paraId="636C156A">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（1</w:t>
            </w:r>
            <w:r>
              <w:rPr>
                <w:rFonts w:hint="eastAsia" w:ascii="宋体" w:hAnsi="宋体" w:cs="宋体"/>
                <w:color w:val="000000" w:themeColor="text1"/>
                <w:sz w:val="24"/>
                <w:szCs w:val="32"/>
                <w:lang w:val="en-US" w:eastAsia="zh-CN"/>
              </w:rPr>
              <w:t>5</w:t>
            </w:r>
            <w:r>
              <w:rPr>
                <w:rFonts w:hint="eastAsia" w:ascii="宋体" w:hAnsi="宋体" w:cs="宋体"/>
                <w:color w:val="000000" w:themeColor="text1"/>
                <w:sz w:val="24"/>
                <w:szCs w:val="32"/>
              </w:rPr>
              <w:t>分）</w:t>
            </w:r>
          </w:p>
        </w:tc>
        <w:tc>
          <w:tcPr>
            <w:tcW w:w="5945" w:type="dxa"/>
            <w:vAlign w:val="center"/>
          </w:tcPr>
          <w:p w14:paraId="7B09F6E9">
            <w:pPr>
              <w:spacing w:line="360" w:lineRule="auto"/>
              <w:jc w:val="left"/>
              <w:rPr>
                <w:rFonts w:hint="eastAsia" w:ascii="宋体" w:hAnsi="宋体" w:cs="宋体"/>
                <w:color w:val="000000" w:themeColor="text1"/>
                <w:sz w:val="24"/>
                <w:szCs w:val="32"/>
                <w:lang w:val="en-US" w:eastAsia="zh-CN"/>
              </w:rPr>
            </w:pPr>
            <w:r>
              <w:rPr>
                <w:rFonts w:hint="eastAsia" w:ascii="宋体" w:hAnsi="宋体" w:cs="宋体"/>
                <w:color w:val="000000" w:themeColor="text1"/>
                <w:sz w:val="24"/>
                <w:szCs w:val="32"/>
                <w:lang w:val="en-US" w:eastAsia="zh-CN"/>
              </w:rPr>
              <w:t>1.拟派项目负责人具有正高级及以上职称得5分；具有副高级职称得3分；本项最高得5分。</w:t>
            </w:r>
          </w:p>
          <w:p w14:paraId="35D7D2B9">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lang w:val="en-US" w:eastAsia="zh-CN"/>
              </w:rPr>
              <w:t>2.</w:t>
            </w:r>
            <w:r>
              <w:rPr>
                <w:rFonts w:hint="eastAsia" w:ascii="宋体" w:hAnsi="宋体" w:cs="宋体"/>
                <w:color w:val="000000" w:themeColor="text1"/>
                <w:sz w:val="24"/>
                <w:szCs w:val="32"/>
              </w:rPr>
              <w:t>项目团队除项目负责人外每派1名</w:t>
            </w:r>
            <w:r>
              <w:rPr>
                <w:rFonts w:hint="eastAsia" w:ascii="宋体" w:hAnsi="宋体" w:cs="宋体"/>
                <w:color w:val="000000" w:themeColor="text1"/>
                <w:sz w:val="24"/>
                <w:szCs w:val="32"/>
                <w:lang w:val="en-US" w:eastAsia="zh-CN"/>
              </w:rPr>
              <w:t>副高级</w:t>
            </w:r>
            <w:r>
              <w:rPr>
                <w:rFonts w:hint="eastAsia" w:ascii="宋体" w:hAnsi="宋体" w:cs="宋体"/>
                <w:color w:val="000000" w:themeColor="text1"/>
                <w:sz w:val="24"/>
                <w:szCs w:val="32"/>
              </w:rPr>
              <w:t>及以上职称的</w:t>
            </w:r>
            <w:r>
              <w:rPr>
                <w:rFonts w:hint="eastAsia" w:ascii="宋体" w:hAnsi="宋体" w:cs="宋体"/>
                <w:color w:val="000000" w:themeColor="text1"/>
                <w:sz w:val="24"/>
                <w:szCs w:val="32"/>
                <w:lang w:eastAsia="zh-CN"/>
              </w:rPr>
              <w:t>得</w:t>
            </w:r>
            <w:r>
              <w:rPr>
                <w:rFonts w:hint="eastAsia" w:ascii="宋体" w:hAnsi="宋体" w:cs="宋体"/>
                <w:color w:val="000000" w:themeColor="text1"/>
                <w:sz w:val="24"/>
                <w:szCs w:val="32"/>
                <w:lang w:val="en-US" w:eastAsia="zh-CN"/>
              </w:rPr>
              <w:t>2分</w:t>
            </w:r>
            <w:r>
              <w:rPr>
                <w:rFonts w:hint="eastAsia" w:ascii="宋体" w:hAnsi="宋体" w:cs="宋体"/>
                <w:color w:val="000000" w:themeColor="text1"/>
                <w:sz w:val="24"/>
                <w:szCs w:val="32"/>
              </w:rPr>
              <w:t>；本项最高得10分。</w:t>
            </w:r>
          </w:p>
          <w:p w14:paraId="652CC617">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注：以上证书须提供原件扫描件（或图片），未提供或缺项者不得分。</w:t>
            </w:r>
          </w:p>
        </w:tc>
      </w:tr>
      <w:tr w14:paraId="6901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43DD732E">
            <w:pPr>
              <w:spacing w:line="360" w:lineRule="auto"/>
              <w:jc w:val="left"/>
              <w:rPr>
                <w:rFonts w:hint="eastAsia" w:ascii="宋体" w:hAnsi="宋体" w:cs="宋体"/>
                <w:sz w:val="24"/>
                <w:szCs w:val="32"/>
              </w:rPr>
            </w:pPr>
          </w:p>
        </w:tc>
        <w:tc>
          <w:tcPr>
            <w:tcW w:w="1616" w:type="dxa"/>
            <w:vAlign w:val="center"/>
          </w:tcPr>
          <w:p w14:paraId="65525C6B">
            <w:pPr>
              <w:spacing w:line="360" w:lineRule="auto"/>
              <w:jc w:val="left"/>
              <w:rPr>
                <w:rFonts w:hint="eastAsia" w:ascii="宋体" w:hAnsi="宋体" w:cs="宋体" w:eastAsiaTheme="minorEastAsia"/>
                <w:color w:val="000000" w:themeColor="text1"/>
                <w:sz w:val="24"/>
                <w:szCs w:val="32"/>
                <w:lang w:val="en-US" w:eastAsia="zh-CN"/>
              </w:rPr>
            </w:pPr>
            <w:r>
              <w:rPr>
                <w:rFonts w:hint="eastAsia" w:ascii="宋体" w:hAnsi="宋体" w:cs="宋体"/>
                <w:color w:val="000000" w:themeColor="text1"/>
                <w:sz w:val="24"/>
                <w:szCs w:val="32"/>
              </w:rPr>
              <w:t>履职尽责承诺</w:t>
            </w:r>
            <w:r>
              <w:rPr>
                <w:rFonts w:hint="eastAsia" w:ascii="宋体" w:hAnsi="宋体" w:cs="宋体"/>
                <w:color w:val="000000" w:themeColor="text1"/>
                <w:sz w:val="24"/>
                <w:szCs w:val="32"/>
                <w:lang w:eastAsia="zh-CN"/>
              </w:rPr>
              <w:t>（</w:t>
            </w:r>
            <w:r>
              <w:rPr>
                <w:rFonts w:hint="eastAsia" w:ascii="宋体" w:hAnsi="宋体" w:cs="宋体"/>
                <w:color w:val="000000" w:themeColor="text1"/>
                <w:sz w:val="24"/>
                <w:szCs w:val="32"/>
                <w:lang w:val="en-US" w:eastAsia="zh-CN"/>
              </w:rPr>
              <w:t>5分</w:t>
            </w:r>
            <w:r>
              <w:rPr>
                <w:rFonts w:hint="eastAsia" w:ascii="宋体" w:hAnsi="宋体" w:cs="宋体"/>
                <w:color w:val="000000" w:themeColor="text1"/>
                <w:sz w:val="24"/>
                <w:szCs w:val="32"/>
                <w:lang w:eastAsia="zh-CN"/>
              </w:rPr>
              <w:t>）</w:t>
            </w:r>
          </w:p>
        </w:tc>
        <w:tc>
          <w:tcPr>
            <w:tcW w:w="5945" w:type="dxa"/>
            <w:vAlign w:val="center"/>
          </w:tcPr>
          <w:p w14:paraId="1F41A532">
            <w:pPr>
              <w:spacing w:line="360" w:lineRule="auto"/>
              <w:jc w:val="left"/>
              <w:rPr>
                <w:rFonts w:hint="eastAsia" w:ascii="宋体" w:hAnsi="宋体" w:cs="宋体"/>
                <w:color w:val="000000" w:themeColor="text1"/>
                <w:sz w:val="24"/>
                <w:szCs w:val="32"/>
              </w:rPr>
            </w:pPr>
            <w:r>
              <w:rPr>
                <w:rFonts w:hint="eastAsia" w:ascii="宋体" w:hAnsi="宋体" w:cs="宋体"/>
                <w:color w:val="000000" w:themeColor="text1"/>
                <w:sz w:val="24"/>
                <w:szCs w:val="32"/>
              </w:rPr>
              <w:t xml:space="preserve">履职尽责承诺：根据供应商在响应文件中提供的履职尽责承诺进行赋分：（1）具有全面、详实、可行、合法有效的技术保障措施承诺，其中包括各关键岗位人员的在岗、更换等履职尽责承诺，并提供供应商履约保证的得 </w:t>
            </w:r>
            <w:r>
              <w:rPr>
                <w:rFonts w:hint="eastAsia" w:ascii="宋体" w:hAnsi="宋体" w:cs="宋体"/>
                <w:color w:val="000000" w:themeColor="text1"/>
                <w:sz w:val="24"/>
                <w:szCs w:val="32"/>
                <w:lang w:val="en-US" w:eastAsia="zh-CN"/>
              </w:rPr>
              <w:t>5</w:t>
            </w:r>
            <w:r>
              <w:rPr>
                <w:rFonts w:hint="eastAsia" w:ascii="宋体" w:hAnsi="宋体" w:cs="宋体"/>
                <w:color w:val="000000" w:themeColor="text1"/>
                <w:sz w:val="24"/>
                <w:szCs w:val="32"/>
              </w:rPr>
              <w:t xml:space="preserve"> 分；（2）具有可行、合法有效的技术保障措施承诺，其中包括各关键岗位人员的在岗、更换等履职尽责承诺，并提供供应商履约保证的得 </w:t>
            </w:r>
            <w:r>
              <w:rPr>
                <w:rFonts w:hint="eastAsia" w:ascii="宋体" w:hAnsi="宋体" w:cs="宋体"/>
                <w:color w:val="000000" w:themeColor="text1"/>
                <w:sz w:val="24"/>
                <w:szCs w:val="32"/>
                <w:lang w:val="en-US" w:eastAsia="zh-CN"/>
              </w:rPr>
              <w:t>3</w:t>
            </w:r>
            <w:r>
              <w:rPr>
                <w:rFonts w:hint="eastAsia" w:ascii="宋体" w:hAnsi="宋体" w:cs="宋体"/>
                <w:color w:val="000000" w:themeColor="text1"/>
                <w:sz w:val="24"/>
                <w:szCs w:val="32"/>
              </w:rPr>
              <w:t xml:space="preserve"> 分；（3）履职尽责承诺偏离项目实际情况，可行性低的得 1 分。无履职尽责承诺的不得分，本项最高得 </w:t>
            </w:r>
            <w:r>
              <w:rPr>
                <w:rFonts w:hint="eastAsia" w:ascii="宋体" w:hAnsi="宋体" w:cs="宋体"/>
                <w:color w:val="000000" w:themeColor="text1"/>
                <w:sz w:val="24"/>
                <w:szCs w:val="32"/>
                <w:lang w:val="en-US" w:eastAsia="zh-CN"/>
              </w:rPr>
              <w:t>5</w:t>
            </w:r>
            <w:r>
              <w:rPr>
                <w:rFonts w:hint="eastAsia" w:ascii="宋体" w:hAnsi="宋体" w:cs="宋体"/>
                <w:color w:val="000000" w:themeColor="text1"/>
                <w:sz w:val="24"/>
                <w:szCs w:val="32"/>
              </w:rPr>
              <w:t xml:space="preserve"> 分。</w:t>
            </w:r>
          </w:p>
        </w:tc>
      </w:tr>
      <w:tr w14:paraId="7B04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restart"/>
            <w:vAlign w:val="center"/>
          </w:tcPr>
          <w:p w14:paraId="293A8CAF">
            <w:pPr>
              <w:spacing w:line="360" w:lineRule="auto"/>
              <w:ind w:firstLine="0" w:firstLineChars="0"/>
              <w:jc w:val="left"/>
              <w:rPr>
                <w:rFonts w:ascii="宋体" w:hAnsi="宋体" w:cs="宋体"/>
                <w:sz w:val="24"/>
                <w:szCs w:val="32"/>
              </w:rPr>
            </w:pPr>
            <w:r>
              <w:rPr>
                <w:rFonts w:hint="eastAsia" w:ascii="宋体" w:hAnsi="宋体" w:cs="宋体"/>
                <w:sz w:val="24"/>
                <w:szCs w:val="32"/>
              </w:rPr>
              <w:t>技术部分</w:t>
            </w:r>
            <w:r>
              <w:rPr>
                <w:rFonts w:hint="eastAsia" w:ascii="宋体" w:hAnsi="宋体" w:cs="宋体"/>
                <w:color w:val="000000"/>
                <w:sz w:val="24"/>
                <w:szCs w:val="32"/>
              </w:rPr>
              <w:t>（50分）</w:t>
            </w:r>
          </w:p>
        </w:tc>
        <w:tc>
          <w:tcPr>
            <w:tcW w:w="1616" w:type="dxa"/>
            <w:vAlign w:val="center"/>
          </w:tcPr>
          <w:p w14:paraId="31EEFFDC">
            <w:pPr>
              <w:spacing w:line="360" w:lineRule="auto"/>
              <w:ind w:firstLine="0" w:firstLineChars="0"/>
              <w:jc w:val="left"/>
              <w:rPr>
                <w:rFonts w:ascii="宋体" w:hAnsi="宋体" w:cs="宋体"/>
                <w:sz w:val="24"/>
                <w:szCs w:val="32"/>
              </w:rPr>
            </w:pPr>
            <w:r>
              <w:rPr>
                <w:rFonts w:hint="eastAsia" w:ascii="宋体" w:hAnsi="宋体" w:cs="宋体"/>
                <w:sz w:val="24"/>
                <w:szCs w:val="32"/>
              </w:rPr>
              <w:t>项目理解程度分析（</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61559B37">
            <w:pPr>
              <w:spacing w:line="360" w:lineRule="auto"/>
              <w:ind w:firstLine="0" w:firstLineChars="0"/>
              <w:jc w:val="left"/>
              <w:rPr>
                <w:rFonts w:ascii="宋体" w:hAnsi="宋体" w:cs="宋体"/>
                <w:sz w:val="24"/>
                <w:szCs w:val="32"/>
              </w:rPr>
            </w:pPr>
            <w:r>
              <w:rPr>
                <w:rFonts w:hint="eastAsia" w:ascii="宋体" w:hAnsi="宋体" w:cs="宋体"/>
                <w:sz w:val="24"/>
                <w:szCs w:val="32"/>
              </w:rPr>
              <w:t>项目编制的背景、目的、要求等分析全面详实、理解透彻得</w:t>
            </w:r>
            <w:r>
              <w:rPr>
                <w:rFonts w:hint="eastAsia" w:ascii="宋体" w:hAnsi="宋体" w:cs="宋体"/>
                <w:sz w:val="24"/>
                <w:szCs w:val="32"/>
                <w:lang w:val="en-US" w:eastAsia="zh-CN"/>
              </w:rPr>
              <w:t>7</w:t>
            </w:r>
            <w:r>
              <w:rPr>
                <w:rFonts w:hint="eastAsia" w:ascii="宋体" w:hAnsi="宋体" w:cs="宋体"/>
                <w:sz w:val="24"/>
                <w:szCs w:val="32"/>
              </w:rPr>
              <w:t>分；内容较全面、透彻的得</w:t>
            </w:r>
            <w:r>
              <w:rPr>
                <w:rFonts w:hint="eastAsia" w:ascii="宋体" w:hAnsi="宋体" w:cs="宋体"/>
                <w:sz w:val="24"/>
                <w:szCs w:val="32"/>
                <w:lang w:val="en-US" w:eastAsia="zh-CN"/>
              </w:rPr>
              <w:t>4</w:t>
            </w:r>
            <w:r>
              <w:rPr>
                <w:rFonts w:hint="eastAsia" w:ascii="宋体" w:hAnsi="宋体" w:cs="宋体"/>
                <w:sz w:val="24"/>
                <w:szCs w:val="32"/>
              </w:rPr>
              <w:t>分；内容基本全面、透彻的得</w:t>
            </w:r>
            <w:r>
              <w:rPr>
                <w:rFonts w:hint="eastAsia" w:ascii="宋体" w:hAnsi="宋体" w:cs="宋体"/>
                <w:sz w:val="24"/>
                <w:szCs w:val="32"/>
                <w:lang w:val="en-US" w:eastAsia="zh-CN"/>
              </w:rPr>
              <w:t>1</w:t>
            </w:r>
            <w:r>
              <w:rPr>
                <w:rFonts w:hint="eastAsia" w:ascii="宋体" w:hAnsi="宋体" w:cs="宋体"/>
                <w:sz w:val="24"/>
                <w:szCs w:val="32"/>
              </w:rPr>
              <w:t>分</w:t>
            </w:r>
            <w:r>
              <w:rPr>
                <w:rFonts w:hint="eastAsia" w:ascii="宋体" w:hAnsi="宋体" w:cs="宋体"/>
                <w:sz w:val="24"/>
                <w:szCs w:val="32"/>
                <w:lang w:eastAsia="zh-CN"/>
              </w:rPr>
              <w:t>。</w:t>
            </w:r>
            <w:r>
              <w:rPr>
                <w:rFonts w:hint="eastAsia" w:ascii="宋体" w:hAnsi="宋体" w:cs="宋体"/>
                <w:sz w:val="24"/>
                <w:szCs w:val="32"/>
              </w:rPr>
              <w:t>缺项或者不合理不得分。</w:t>
            </w:r>
          </w:p>
        </w:tc>
      </w:tr>
      <w:tr w14:paraId="46E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6E43A0BA">
            <w:pPr>
              <w:spacing w:line="360" w:lineRule="auto"/>
              <w:ind w:firstLine="0" w:firstLineChars="0"/>
              <w:jc w:val="left"/>
              <w:rPr>
                <w:rFonts w:ascii="宋体" w:hAnsi="宋体" w:cs="宋体"/>
                <w:sz w:val="24"/>
                <w:szCs w:val="32"/>
              </w:rPr>
            </w:pPr>
          </w:p>
        </w:tc>
        <w:tc>
          <w:tcPr>
            <w:tcW w:w="1616" w:type="dxa"/>
            <w:vAlign w:val="center"/>
          </w:tcPr>
          <w:p w14:paraId="71B51DA6">
            <w:pPr>
              <w:spacing w:line="360" w:lineRule="auto"/>
              <w:ind w:firstLine="0" w:firstLineChars="0"/>
              <w:jc w:val="left"/>
              <w:rPr>
                <w:rFonts w:ascii="宋体" w:hAnsi="宋体" w:cs="宋体"/>
                <w:sz w:val="24"/>
                <w:szCs w:val="32"/>
              </w:rPr>
            </w:pPr>
            <w:r>
              <w:rPr>
                <w:rFonts w:hint="eastAsia" w:ascii="宋体" w:hAnsi="宋体" w:cs="宋体"/>
                <w:sz w:val="24"/>
                <w:szCs w:val="32"/>
              </w:rPr>
              <w:t>规划大纲</w:t>
            </w:r>
            <w:r>
              <w:rPr>
                <w:rFonts w:hint="eastAsia" w:ascii="宋体" w:hAnsi="宋体" w:cs="宋体"/>
                <w:color w:val="000000"/>
                <w:sz w:val="24"/>
                <w:szCs w:val="32"/>
              </w:rPr>
              <w:t>（</w:t>
            </w:r>
            <w:r>
              <w:rPr>
                <w:rFonts w:hint="eastAsia" w:ascii="宋体" w:hAnsi="宋体" w:cs="宋体"/>
                <w:color w:val="000000"/>
                <w:sz w:val="24"/>
                <w:szCs w:val="32"/>
                <w:lang w:val="en-US" w:eastAsia="zh-CN"/>
              </w:rPr>
              <w:t>7</w:t>
            </w:r>
            <w:r>
              <w:rPr>
                <w:rFonts w:hint="eastAsia" w:ascii="宋体" w:hAnsi="宋体" w:cs="宋体"/>
                <w:color w:val="000000"/>
                <w:sz w:val="24"/>
                <w:szCs w:val="32"/>
              </w:rPr>
              <w:t>分）</w:t>
            </w:r>
          </w:p>
        </w:tc>
        <w:tc>
          <w:tcPr>
            <w:tcW w:w="5945" w:type="dxa"/>
            <w:vAlign w:val="center"/>
          </w:tcPr>
          <w:p w14:paraId="6B2E1E0A">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针对本项目规划大纲完整系统、内容详尽、条理清晰的得</w:t>
            </w:r>
            <w:r>
              <w:rPr>
                <w:rFonts w:hint="eastAsia" w:ascii="宋体" w:hAnsi="宋体" w:cs="宋体"/>
                <w:sz w:val="24"/>
                <w:szCs w:val="32"/>
                <w:lang w:val="en-US" w:eastAsia="zh-CN"/>
              </w:rPr>
              <w:t>7</w:t>
            </w:r>
            <w:r>
              <w:rPr>
                <w:rFonts w:hint="eastAsia" w:ascii="宋体" w:hAnsi="宋体" w:cs="宋体"/>
                <w:sz w:val="24"/>
                <w:szCs w:val="32"/>
                <w:lang w:val="zh-CN"/>
              </w:rPr>
              <w:t>分；大纲基本完整、内容比较详尽，条理比较清晰得</w:t>
            </w:r>
            <w:r>
              <w:rPr>
                <w:rFonts w:hint="eastAsia" w:ascii="宋体" w:hAnsi="宋体" w:cs="宋体"/>
                <w:sz w:val="24"/>
                <w:szCs w:val="32"/>
                <w:lang w:val="en-US" w:eastAsia="zh-CN"/>
              </w:rPr>
              <w:t>4</w:t>
            </w:r>
            <w:r>
              <w:rPr>
                <w:rFonts w:hint="eastAsia" w:ascii="宋体" w:hAnsi="宋体" w:cs="宋体"/>
                <w:sz w:val="24"/>
                <w:szCs w:val="32"/>
                <w:lang w:val="zh-CN"/>
              </w:rPr>
              <w:t>分；大纲不够完整，内容不够详尽，条理不够清晰得</w:t>
            </w:r>
            <w:r>
              <w:rPr>
                <w:rFonts w:hint="eastAsia" w:ascii="宋体" w:hAnsi="宋体" w:cs="宋体"/>
                <w:sz w:val="24"/>
                <w:szCs w:val="32"/>
                <w:lang w:val="en-US" w:eastAsia="zh-CN"/>
              </w:rPr>
              <w:t>1</w:t>
            </w:r>
            <w:r>
              <w:rPr>
                <w:rFonts w:hint="eastAsia" w:ascii="宋体" w:hAnsi="宋体" w:cs="宋体"/>
                <w:sz w:val="24"/>
                <w:szCs w:val="32"/>
                <w:lang w:val="zh-CN"/>
              </w:rPr>
              <w:t>分</w:t>
            </w:r>
            <w:r>
              <w:rPr>
                <w:rFonts w:hint="eastAsia" w:ascii="宋体" w:hAnsi="宋体" w:cs="宋体"/>
                <w:sz w:val="24"/>
                <w:szCs w:val="32"/>
                <w:lang w:val="en-US" w:eastAsia="zh-CN"/>
              </w:rPr>
              <w:t>.</w:t>
            </w:r>
            <w:r>
              <w:rPr>
                <w:rFonts w:hint="eastAsia" w:ascii="宋体" w:hAnsi="宋体" w:cs="宋体"/>
                <w:sz w:val="24"/>
                <w:szCs w:val="32"/>
                <w:lang w:val="zh-CN"/>
              </w:rPr>
              <w:t>缺项或者不合理不得分。</w:t>
            </w:r>
          </w:p>
        </w:tc>
      </w:tr>
      <w:tr w14:paraId="3329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544B136E">
            <w:pPr>
              <w:spacing w:line="360" w:lineRule="auto"/>
              <w:ind w:firstLine="0" w:firstLineChars="0"/>
              <w:jc w:val="left"/>
              <w:rPr>
                <w:rFonts w:ascii="宋体" w:hAnsi="宋体" w:cs="宋体"/>
                <w:sz w:val="24"/>
                <w:szCs w:val="32"/>
              </w:rPr>
            </w:pPr>
          </w:p>
        </w:tc>
        <w:tc>
          <w:tcPr>
            <w:tcW w:w="1616" w:type="dxa"/>
            <w:vAlign w:val="center"/>
          </w:tcPr>
          <w:p w14:paraId="29CE654D">
            <w:pPr>
              <w:spacing w:line="360" w:lineRule="auto"/>
              <w:ind w:firstLine="0" w:firstLineChars="0"/>
              <w:jc w:val="left"/>
              <w:rPr>
                <w:rFonts w:hint="eastAsia" w:ascii="宋体" w:hAnsi="宋体" w:cs="宋体"/>
                <w:sz w:val="24"/>
                <w:szCs w:val="32"/>
              </w:rPr>
            </w:pPr>
            <w:r>
              <w:rPr>
                <w:rFonts w:hint="eastAsia" w:ascii="宋体" w:hAnsi="宋体" w:cs="宋体"/>
                <w:sz w:val="24"/>
                <w:szCs w:val="32"/>
              </w:rPr>
              <w:t>战略定位</w:t>
            </w:r>
            <w:r>
              <w:rPr>
                <w:rFonts w:hint="eastAsia" w:ascii="宋体" w:hAnsi="宋体" w:cs="宋体"/>
                <w:color w:val="000000"/>
                <w:sz w:val="24"/>
                <w:szCs w:val="32"/>
              </w:rPr>
              <w:t>（</w:t>
            </w:r>
            <w:r>
              <w:rPr>
                <w:rFonts w:hint="eastAsia" w:ascii="宋体" w:hAnsi="宋体" w:cs="宋体"/>
                <w:color w:val="000000"/>
                <w:sz w:val="24"/>
                <w:szCs w:val="32"/>
                <w:lang w:val="en-US" w:eastAsia="zh-CN"/>
              </w:rPr>
              <w:t>7</w:t>
            </w:r>
            <w:r>
              <w:rPr>
                <w:rFonts w:hint="eastAsia" w:ascii="宋体" w:hAnsi="宋体" w:cs="宋体"/>
                <w:color w:val="000000"/>
                <w:sz w:val="24"/>
                <w:szCs w:val="32"/>
              </w:rPr>
              <w:t>分）</w:t>
            </w:r>
          </w:p>
        </w:tc>
        <w:tc>
          <w:tcPr>
            <w:tcW w:w="5945" w:type="dxa"/>
            <w:vAlign w:val="center"/>
          </w:tcPr>
          <w:p w14:paraId="4BF0AB76">
            <w:pPr>
              <w:spacing w:line="360" w:lineRule="auto"/>
              <w:ind w:firstLine="0" w:firstLineChars="0"/>
              <w:jc w:val="left"/>
              <w:rPr>
                <w:rFonts w:hint="eastAsia" w:ascii="宋体" w:hAnsi="宋体" w:cs="宋体" w:eastAsiaTheme="minorEastAsia"/>
                <w:sz w:val="24"/>
                <w:szCs w:val="32"/>
                <w:lang w:val="en-US" w:eastAsia="zh-CN"/>
              </w:rPr>
            </w:pPr>
            <w:r>
              <w:rPr>
                <w:rFonts w:hint="eastAsia" w:ascii="宋体" w:hAnsi="宋体" w:cs="宋体"/>
                <w:sz w:val="24"/>
                <w:szCs w:val="32"/>
                <w:lang w:val="zh-CN"/>
              </w:rPr>
              <w:t>项目战略定位符合实际，科学合理，体现前瞻性的，得</w:t>
            </w:r>
            <w:r>
              <w:rPr>
                <w:rFonts w:hint="eastAsia" w:ascii="宋体" w:hAnsi="宋体" w:cs="宋体"/>
                <w:sz w:val="24"/>
                <w:szCs w:val="32"/>
                <w:lang w:val="en-US" w:eastAsia="zh-CN"/>
              </w:rPr>
              <w:t>7</w:t>
            </w:r>
            <w:r>
              <w:rPr>
                <w:rFonts w:hint="eastAsia" w:ascii="宋体" w:hAnsi="宋体" w:cs="宋体"/>
                <w:sz w:val="24"/>
                <w:szCs w:val="32"/>
                <w:lang w:val="zh-CN"/>
              </w:rPr>
              <w:t>分</w:t>
            </w:r>
            <w:r>
              <w:rPr>
                <w:rFonts w:hint="eastAsia" w:ascii="宋体" w:hAnsi="宋体" w:cs="宋体"/>
                <w:sz w:val="24"/>
                <w:szCs w:val="32"/>
                <w:lang w:val="zh-CN" w:eastAsia="zh-CN"/>
              </w:rPr>
              <w:t>；项目战略定位符合实际，较合理，体现前瞻性一般的，得</w:t>
            </w:r>
            <w:r>
              <w:rPr>
                <w:rFonts w:hint="eastAsia" w:ascii="宋体" w:hAnsi="宋体" w:cs="宋体"/>
                <w:sz w:val="24"/>
                <w:szCs w:val="32"/>
                <w:lang w:val="en-US" w:eastAsia="zh-CN"/>
              </w:rPr>
              <w:t>4</w:t>
            </w:r>
            <w:r>
              <w:rPr>
                <w:rFonts w:hint="eastAsia" w:ascii="宋体" w:hAnsi="宋体" w:cs="宋体"/>
                <w:sz w:val="24"/>
                <w:szCs w:val="32"/>
                <w:lang w:val="zh-CN" w:eastAsia="zh-CN"/>
              </w:rPr>
              <w:t>分；项目战略定位分析简单，不全面，体现前瞻性较弱的，得</w:t>
            </w:r>
            <w:r>
              <w:rPr>
                <w:rFonts w:hint="eastAsia" w:ascii="宋体" w:hAnsi="宋体" w:cs="宋体"/>
                <w:sz w:val="24"/>
                <w:szCs w:val="32"/>
                <w:lang w:val="en-US" w:eastAsia="zh-CN"/>
              </w:rPr>
              <w:t>1</w:t>
            </w:r>
            <w:r>
              <w:rPr>
                <w:rFonts w:hint="eastAsia" w:ascii="宋体" w:hAnsi="宋体" w:cs="宋体"/>
                <w:sz w:val="24"/>
                <w:szCs w:val="32"/>
                <w:lang w:val="zh-CN" w:eastAsia="zh-CN"/>
              </w:rPr>
              <w:t>分。缺项或者不合理不得分。</w:t>
            </w:r>
          </w:p>
        </w:tc>
      </w:tr>
      <w:tr w14:paraId="506B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723536E6">
            <w:pPr>
              <w:spacing w:line="360" w:lineRule="auto"/>
              <w:ind w:firstLine="0" w:firstLineChars="0"/>
              <w:jc w:val="left"/>
              <w:rPr>
                <w:rFonts w:ascii="宋体" w:hAnsi="宋体" w:cs="宋体"/>
                <w:sz w:val="24"/>
                <w:szCs w:val="32"/>
              </w:rPr>
            </w:pPr>
          </w:p>
        </w:tc>
        <w:tc>
          <w:tcPr>
            <w:tcW w:w="1616" w:type="dxa"/>
            <w:vAlign w:val="center"/>
          </w:tcPr>
          <w:p w14:paraId="467965E1">
            <w:pPr>
              <w:spacing w:line="360" w:lineRule="auto"/>
              <w:ind w:firstLine="0" w:firstLineChars="0"/>
              <w:jc w:val="left"/>
              <w:rPr>
                <w:rFonts w:ascii="宋体" w:hAnsi="宋体" w:cs="宋体"/>
                <w:sz w:val="24"/>
                <w:szCs w:val="32"/>
              </w:rPr>
            </w:pPr>
            <w:r>
              <w:rPr>
                <w:rFonts w:hint="eastAsia" w:ascii="宋体" w:hAnsi="宋体" w:cs="宋体"/>
                <w:sz w:val="24"/>
                <w:szCs w:val="32"/>
              </w:rPr>
              <w:t>项目重点、难点分析及应对措施（</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6AC131D6">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对项目信息了解全面、透彻，提出的项目重点和难点中有针对性并作独立分析，应对措施优秀得</w:t>
            </w:r>
            <w:r>
              <w:rPr>
                <w:rFonts w:hint="eastAsia" w:ascii="宋体" w:hAnsi="宋体" w:cs="宋体"/>
                <w:sz w:val="24"/>
                <w:szCs w:val="32"/>
                <w:lang w:val="en-US" w:eastAsia="zh-CN"/>
              </w:rPr>
              <w:t>7</w:t>
            </w:r>
            <w:r>
              <w:rPr>
                <w:rFonts w:hint="eastAsia" w:ascii="宋体" w:hAnsi="宋体" w:cs="宋体"/>
                <w:sz w:val="24"/>
                <w:szCs w:val="32"/>
                <w:lang w:val="zh-CN"/>
              </w:rPr>
              <w:t>分；对项目信息了解基本全面，提出的项目重点和难点中有针对性，应对措施合理得</w:t>
            </w:r>
            <w:r>
              <w:rPr>
                <w:rFonts w:hint="eastAsia" w:ascii="宋体" w:hAnsi="宋体" w:cs="宋体"/>
                <w:sz w:val="24"/>
                <w:szCs w:val="32"/>
                <w:lang w:val="en-US" w:eastAsia="zh-CN"/>
              </w:rPr>
              <w:t>4</w:t>
            </w:r>
            <w:r>
              <w:rPr>
                <w:rFonts w:hint="eastAsia" w:ascii="宋体" w:hAnsi="宋体" w:cs="宋体"/>
                <w:sz w:val="24"/>
                <w:szCs w:val="32"/>
                <w:lang w:val="zh-CN"/>
              </w:rPr>
              <w:t>分；对项目信息了解一般，对项目的重点和难点作出分析，应对措施一般得</w:t>
            </w:r>
            <w:r>
              <w:rPr>
                <w:rFonts w:hint="eastAsia" w:ascii="宋体" w:hAnsi="宋体" w:cs="宋体"/>
                <w:sz w:val="24"/>
                <w:szCs w:val="32"/>
                <w:lang w:val="en-US" w:eastAsia="zh-CN"/>
              </w:rPr>
              <w:t>1</w:t>
            </w:r>
            <w:r>
              <w:rPr>
                <w:rFonts w:hint="eastAsia" w:ascii="宋体" w:hAnsi="宋体" w:cs="宋体"/>
                <w:sz w:val="24"/>
                <w:szCs w:val="32"/>
                <w:lang w:val="zh-CN"/>
              </w:rPr>
              <w:t>分，缺项或者不合理不得分。</w:t>
            </w:r>
          </w:p>
        </w:tc>
      </w:tr>
      <w:tr w14:paraId="6E93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2461BADD">
            <w:pPr>
              <w:spacing w:line="360" w:lineRule="auto"/>
              <w:ind w:firstLine="0" w:firstLineChars="0"/>
              <w:jc w:val="left"/>
              <w:rPr>
                <w:rFonts w:ascii="宋体" w:hAnsi="宋体" w:cs="宋体"/>
                <w:sz w:val="24"/>
                <w:szCs w:val="32"/>
              </w:rPr>
            </w:pPr>
          </w:p>
        </w:tc>
        <w:tc>
          <w:tcPr>
            <w:tcW w:w="1616" w:type="dxa"/>
            <w:vAlign w:val="center"/>
          </w:tcPr>
          <w:p w14:paraId="74BF27CD">
            <w:pPr>
              <w:spacing w:line="360" w:lineRule="auto"/>
              <w:ind w:firstLine="0" w:firstLineChars="0"/>
              <w:jc w:val="left"/>
              <w:rPr>
                <w:rFonts w:ascii="宋体" w:hAnsi="宋体" w:cs="宋体"/>
                <w:sz w:val="24"/>
                <w:szCs w:val="32"/>
              </w:rPr>
            </w:pPr>
            <w:r>
              <w:rPr>
                <w:rFonts w:hint="eastAsia" w:ascii="宋体" w:hAnsi="宋体" w:cs="宋体"/>
                <w:sz w:val="24"/>
                <w:szCs w:val="32"/>
              </w:rPr>
              <w:t>研究方法（</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06B8A5F9">
            <w:pPr>
              <w:spacing w:line="360" w:lineRule="auto"/>
              <w:ind w:firstLine="0" w:firstLineChars="0"/>
              <w:jc w:val="left"/>
              <w:rPr>
                <w:rFonts w:hint="eastAsia" w:ascii="宋体" w:hAnsi="宋体" w:cs="宋体"/>
                <w:sz w:val="24"/>
                <w:szCs w:val="32"/>
              </w:rPr>
            </w:pPr>
            <w:r>
              <w:rPr>
                <w:rFonts w:hint="eastAsia" w:ascii="宋体" w:hAnsi="宋体" w:cs="宋体"/>
                <w:sz w:val="24"/>
                <w:szCs w:val="32"/>
              </w:rPr>
              <w:t xml:space="preserve">项目编制研究方法科学、理论支撑强，能够契合项目 </w:t>
            </w:r>
          </w:p>
          <w:p w14:paraId="2F4A7325">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ascii="宋体" w:hAnsi="宋体" w:cs="宋体"/>
                <w:sz w:val="24"/>
                <w:szCs w:val="32"/>
              </w:rPr>
            </w:pPr>
            <w:r>
              <w:rPr>
                <w:rFonts w:hint="eastAsia" w:ascii="宋体" w:hAnsi="宋体" w:cs="宋体"/>
                <w:sz w:val="24"/>
                <w:szCs w:val="32"/>
              </w:rPr>
              <w:t>际需要的得</w:t>
            </w:r>
            <w:r>
              <w:rPr>
                <w:rFonts w:hint="eastAsia" w:ascii="宋体" w:hAnsi="宋体" w:cs="宋体"/>
                <w:sz w:val="24"/>
                <w:szCs w:val="32"/>
                <w:lang w:val="en-US" w:eastAsia="zh-CN"/>
              </w:rPr>
              <w:t>7</w:t>
            </w:r>
            <w:r>
              <w:rPr>
                <w:rFonts w:hint="eastAsia" w:ascii="宋体" w:hAnsi="宋体" w:cs="宋体"/>
                <w:sz w:val="24"/>
                <w:szCs w:val="32"/>
              </w:rPr>
              <w:t>分；项目编制研究方法较科学、有理论支撑，较好契合项目实际需要的得</w:t>
            </w:r>
            <w:r>
              <w:rPr>
                <w:rFonts w:hint="eastAsia" w:ascii="宋体" w:hAnsi="宋体" w:cs="宋体"/>
                <w:sz w:val="24"/>
                <w:szCs w:val="32"/>
                <w:lang w:val="en-US" w:eastAsia="zh-CN"/>
              </w:rPr>
              <w:t>4</w:t>
            </w:r>
            <w:r>
              <w:rPr>
                <w:rFonts w:hint="eastAsia" w:ascii="宋体" w:hAnsi="宋体" w:cs="宋体"/>
                <w:sz w:val="24"/>
                <w:szCs w:val="32"/>
              </w:rPr>
              <w:t>分；项目编制研究方法常规通用、有一定的理论支撑，在某些方面契合项目实际需要的得</w:t>
            </w:r>
            <w:r>
              <w:rPr>
                <w:rFonts w:hint="eastAsia" w:ascii="宋体" w:hAnsi="宋体" w:cs="宋体"/>
                <w:sz w:val="24"/>
                <w:szCs w:val="32"/>
                <w:lang w:val="en-US" w:eastAsia="zh-CN"/>
              </w:rPr>
              <w:t>1</w:t>
            </w:r>
            <w:r>
              <w:rPr>
                <w:rFonts w:hint="eastAsia" w:ascii="宋体" w:hAnsi="宋体" w:cs="宋体"/>
                <w:sz w:val="24"/>
                <w:szCs w:val="32"/>
              </w:rPr>
              <w:t>分，缺项或者不合理不得分。</w:t>
            </w:r>
          </w:p>
        </w:tc>
      </w:tr>
      <w:tr w14:paraId="69C3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782AE92B">
            <w:pPr>
              <w:spacing w:line="360" w:lineRule="auto"/>
              <w:ind w:firstLine="0" w:firstLineChars="0"/>
              <w:jc w:val="left"/>
              <w:rPr>
                <w:rFonts w:ascii="宋体" w:hAnsi="宋体" w:cs="宋体"/>
                <w:sz w:val="24"/>
                <w:szCs w:val="32"/>
              </w:rPr>
            </w:pPr>
          </w:p>
        </w:tc>
        <w:tc>
          <w:tcPr>
            <w:tcW w:w="1616" w:type="dxa"/>
            <w:vAlign w:val="center"/>
          </w:tcPr>
          <w:p w14:paraId="3F594D4B">
            <w:pPr>
              <w:spacing w:line="360" w:lineRule="auto"/>
              <w:ind w:firstLine="0" w:firstLineChars="0"/>
              <w:jc w:val="left"/>
              <w:rPr>
                <w:rFonts w:ascii="宋体" w:hAnsi="宋体" w:cs="宋体"/>
                <w:sz w:val="24"/>
                <w:szCs w:val="32"/>
              </w:rPr>
            </w:pPr>
            <w:r>
              <w:rPr>
                <w:rFonts w:hint="eastAsia" w:ascii="宋体" w:hAnsi="宋体" w:cs="宋体"/>
                <w:sz w:val="24"/>
                <w:szCs w:val="32"/>
              </w:rPr>
              <w:t>项目进度计划及保障措施（</w:t>
            </w:r>
            <w:r>
              <w:rPr>
                <w:rFonts w:hint="eastAsia" w:ascii="宋体" w:hAnsi="宋体" w:cs="宋体"/>
                <w:sz w:val="24"/>
                <w:szCs w:val="32"/>
                <w:lang w:val="en-US" w:eastAsia="zh-CN"/>
              </w:rPr>
              <w:t>7</w:t>
            </w:r>
            <w:r>
              <w:rPr>
                <w:rFonts w:hint="eastAsia" w:ascii="宋体" w:hAnsi="宋体" w:cs="宋体"/>
                <w:sz w:val="24"/>
                <w:szCs w:val="32"/>
              </w:rPr>
              <w:t>分）</w:t>
            </w:r>
          </w:p>
        </w:tc>
        <w:tc>
          <w:tcPr>
            <w:tcW w:w="5945" w:type="dxa"/>
            <w:vAlign w:val="center"/>
          </w:tcPr>
          <w:p w14:paraId="47D5BFC8">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项目进度计划及保障措施优秀的得</w:t>
            </w:r>
            <w:r>
              <w:rPr>
                <w:rFonts w:hint="eastAsia" w:ascii="宋体" w:hAnsi="宋体" w:cs="宋体"/>
                <w:sz w:val="24"/>
                <w:szCs w:val="32"/>
                <w:lang w:val="en-US" w:eastAsia="zh-CN"/>
              </w:rPr>
              <w:t>7</w:t>
            </w:r>
            <w:r>
              <w:rPr>
                <w:rFonts w:hint="eastAsia" w:ascii="宋体" w:hAnsi="宋体" w:cs="宋体"/>
                <w:sz w:val="24"/>
                <w:szCs w:val="32"/>
                <w:lang w:val="zh-CN"/>
              </w:rPr>
              <w:t>分；项目进度计划及保障措施合理的得</w:t>
            </w:r>
            <w:r>
              <w:rPr>
                <w:rFonts w:hint="eastAsia" w:ascii="宋体" w:hAnsi="宋体" w:cs="宋体"/>
                <w:sz w:val="24"/>
                <w:szCs w:val="32"/>
                <w:lang w:val="en-US" w:eastAsia="zh-CN"/>
              </w:rPr>
              <w:t>4</w:t>
            </w:r>
            <w:r>
              <w:rPr>
                <w:rFonts w:hint="eastAsia" w:ascii="宋体" w:hAnsi="宋体" w:cs="宋体"/>
                <w:sz w:val="24"/>
                <w:szCs w:val="32"/>
                <w:lang w:val="zh-CN"/>
              </w:rPr>
              <w:t>分；项目进度计划及保障措施一般的得</w:t>
            </w:r>
            <w:r>
              <w:rPr>
                <w:rFonts w:hint="eastAsia" w:ascii="宋体" w:hAnsi="宋体" w:cs="宋体"/>
                <w:sz w:val="24"/>
                <w:szCs w:val="32"/>
                <w:lang w:val="en-US" w:eastAsia="zh-CN"/>
              </w:rPr>
              <w:t>1</w:t>
            </w:r>
            <w:r>
              <w:rPr>
                <w:rFonts w:hint="eastAsia" w:ascii="宋体" w:hAnsi="宋体" w:cs="宋体"/>
                <w:sz w:val="24"/>
                <w:szCs w:val="32"/>
                <w:lang w:val="zh-CN"/>
              </w:rPr>
              <w:t>分，缺项或者不合理不得分。</w:t>
            </w:r>
          </w:p>
        </w:tc>
      </w:tr>
      <w:tr w14:paraId="3A08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vMerge w:val="continue"/>
            <w:vAlign w:val="center"/>
          </w:tcPr>
          <w:p w14:paraId="1A91C7C8">
            <w:pPr>
              <w:spacing w:line="360" w:lineRule="auto"/>
              <w:ind w:firstLine="0" w:firstLineChars="0"/>
              <w:jc w:val="left"/>
              <w:rPr>
                <w:rFonts w:ascii="宋体" w:hAnsi="宋体" w:cs="宋体"/>
                <w:sz w:val="24"/>
                <w:szCs w:val="32"/>
              </w:rPr>
            </w:pPr>
          </w:p>
        </w:tc>
        <w:tc>
          <w:tcPr>
            <w:tcW w:w="1616" w:type="dxa"/>
            <w:vAlign w:val="center"/>
          </w:tcPr>
          <w:p w14:paraId="6466A5BE">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服务承诺方案</w:t>
            </w:r>
            <w:r>
              <w:rPr>
                <w:rFonts w:hint="eastAsia" w:ascii="宋体" w:hAnsi="宋体" w:cs="宋体"/>
                <w:color w:val="000000"/>
                <w:sz w:val="24"/>
                <w:szCs w:val="32"/>
              </w:rPr>
              <w:t>（</w:t>
            </w:r>
            <w:r>
              <w:rPr>
                <w:rFonts w:hint="eastAsia" w:ascii="宋体" w:hAnsi="宋体" w:cs="宋体"/>
                <w:color w:val="000000"/>
                <w:sz w:val="24"/>
                <w:szCs w:val="32"/>
                <w:lang w:val="en-US" w:eastAsia="zh-CN"/>
              </w:rPr>
              <w:t>8</w:t>
            </w:r>
            <w:r>
              <w:rPr>
                <w:rFonts w:hint="eastAsia" w:ascii="宋体" w:hAnsi="宋体" w:cs="宋体"/>
                <w:color w:val="000000"/>
                <w:sz w:val="24"/>
                <w:szCs w:val="32"/>
              </w:rPr>
              <w:t>分）</w:t>
            </w:r>
          </w:p>
        </w:tc>
        <w:tc>
          <w:tcPr>
            <w:tcW w:w="5945" w:type="dxa"/>
            <w:vAlign w:val="center"/>
          </w:tcPr>
          <w:p w14:paraId="2B968DEA">
            <w:pPr>
              <w:spacing w:line="360" w:lineRule="auto"/>
              <w:ind w:firstLine="0" w:firstLineChars="0"/>
              <w:jc w:val="left"/>
              <w:rPr>
                <w:rFonts w:ascii="宋体" w:hAnsi="宋体" w:cs="宋体"/>
                <w:sz w:val="24"/>
                <w:szCs w:val="32"/>
              </w:rPr>
            </w:pPr>
            <w:r>
              <w:rPr>
                <w:rFonts w:hint="eastAsia" w:ascii="宋体" w:hAnsi="宋体" w:cs="宋体"/>
                <w:sz w:val="24"/>
                <w:szCs w:val="32"/>
                <w:lang w:val="zh-CN"/>
              </w:rPr>
              <w:t>服务方案详细、具体、合理。能保证规划服务高质量完成，并且方案详尽，得</w:t>
            </w:r>
            <w:r>
              <w:rPr>
                <w:rFonts w:hint="eastAsia" w:ascii="宋体" w:hAnsi="宋体" w:cs="宋体"/>
                <w:sz w:val="24"/>
                <w:szCs w:val="32"/>
                <w:lang w:val="en-US" w:eastAsia="zh-CN"/>
              </w:rPr>
              <w:t>8</w:t>
            </w:r>
            <w:r>
              <w:rPr>
                <w:rFonts w:hint="eastAsia" w:ascii="宋体" w:hAnsi="宋体" w:cs="宋体"/>
                <w:sz w:val="24"/>
                <w:szCs w:val="32"/>
                <w:lang w:val="zh-CN"/>
              </w:rPr>
              <w:t>分；基本满足需求，方案较详尽的得</w:t>
            </w:r>
            <w:r>
              <w:rPr>
                <w:rFonts w:hint="eastAsia" w:ascii="宋体" w:hAnsi="宋体" w:cs="宋体"/>
                <w:sz w:val="24"/>
                <w:szCs w:val="32"/>
                <w:lang w:val="en-US" w:eastAsia="zh-CN"/>
              </w:rPr>
              <w:t>5</w:t>
            </w:r>
            <w:r>
              <w:rPr>
                <w:rFonts w:hint="eastAsia" w:ascii="宋体" w:hAnsi="宋体" w:cs="宋体"/>
                <w:sz w:val="24"/>
                <w:szCs w:val="32"/>
                <w:lang w:val="zh-CN"/>
              </w:rPr>
              <w:t>分；方案基本详尽的得</w:t>
            </w:r>
            <w:r>
              <w:rPr>
                <w:rFonts w:hint="eastAsia" w:ascii="宋体" w:hAnsi="宋体" w:cs="宋体"/>
                <w:sz w:val="24"/>
                <w:szCs w:val="32"/>
                <w:lang w:val="en-US" w:eastAsia="zh-CN"/>
              </w:rPr>
              <w:t>2</w:t>
            </w:r>
            <w:r>
              <w:rPr>
                <w:rFonts w:hint="eastAsia" w:ascii="宋体" w:hAnsi="宋体" w:cs="宋体"/>
                <w:sz w:val="24"/>
                <w:szCs w:val="32"/>
                <w:lang w:val="zh-CN"/>
              </w:rPr>
              <w:t>分；缺项或者不合理不得分。</w:t>
            </w:r>
          </w:p>
        </w:tc>
      </w:tr>
    </w:tbl>
    <w:p w14:paraId="43876D0A">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7"/>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21782F08">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76CCCBF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3EB006AF">
      <w:pPr>
        <w:spacing w:before="224" w:line="273" w:lineRule="auto"/>
        <w:ind w:left="238" w:hanging="187"/>
        <w:rPr>
          <w:rFonts w:ascii="宋体" w:hAnsi="宋体" w:eastAsia="宋体" w:cs="宋体"/>
          <w:b/>
          <w:bCs/>
          <w:spacing w:val="6"/>
          <w:sz w:val="36"/>
          <w:szCs w:val="36"/>
        </w:rPr>
      </w:pPr>
    </w:p>
    <w:p w14:paraId="5587FE69">
      <w:pPr>
        <w:spacing w:before="224" w:line="273" w:lineRule="auto"/>
        <w:ind w:left="238" w:hanging="187"/>
        <w:rPr>
          <w:rFonts w:ascii="宋体" w:hAnsi="宋体" w:eastAsia="宋体" w:cs="宋体"/>
          <w:b/>
          <w:bCs/>
          <w:spacing w:val="6"/>
          <w:sz w:val="36"/>
          <w:szCs w:val="36"/>
        </w:rPr>
      </w:pPr>
    </w:p>
    <w:p w14:paraId="3B18AF11">
      <w:pPr>
        <w:spacing w:before="224" w:line="273" w:lineRule="auto"/>
        <w:ind w:left="238" w:hanging="187"/>
        <w:rPr>
          <w:rFonts w:ascii="宋体" w:hAnsi="宋体" w:eastAsia="宋体" w:cs="宋体"/>
          <w:b/>
          <w:bCs/>
          <w:spacing w:val="6"/>
          <w:sz w:val="36"/>
          <w:szCs w:val="36"/>
        </w:rPr>
      </w:pPr>
    </w:p>
    <w:p w14:paraId="1D059A0D">
      <w:pPr>
        <w:spacing w:before="224" w:line="273" w:lineRule="auto"/>
        <w:ind w:left="238" w:hanging="187"/>
        <w:rPr>
          <w:rFonts w:ascii="宋体" w:hAnsi="宋体" w:eastAsia="宋体" w:cs="宋体"/>
          <w:b/>
          <w:bCs/>
          <w:spacing w:val="6"/>
          <w:sz w:val="36"/>
          <w:szCs w:val="36"/>
        </w:rPr>
      </w:pPr>
    </w:p>
    <w:p w14:paraId="56FAA66E">
      <w:pPr>
        <w:spacing w:before="224" w:line="273" w:lineRule="auto"/>
        <w:ind w:left="238" w:hanging="187"/>
        <w:rPr>
          <w:rFonts w:ascii="宋体" w:hAnsi="宋体" w:eastAsia="宋体" w:cs="宋体"/>
          <w:b/>
          <w:bCs/>
          <w:spacing w:val="6"/>
          <w:sz w:val="36"/>
          <w:szCs w:val="36"/>
        </w:rPr>
      </w:pPr>
    </w:p>
    <w:p w14:paraId="0053CED1">
      <w:pPr>
        <w:spacing w:before="224" w:line="273" w:lineRule="auto"/>
        <w:ind w:left="238" w:hanging="187"/>
        <w:rPr>
          <w:rFonts w:ascii="宋体" w:hAnsi="宋体" w:eastAsia="宋体" w:cs="宋体"/>
          <w:b/>
          <w:bCs/>
          <w:spacing w:val="6"/>
          <w:sz w:val="36"/>
          <w:szCs w:val="36"/>
        </w:rPr>
      </w:pPr>
    </w:p>
    <w:p w14:paraId="5247B1AC">
      <w:pPr>
        <w:spacing w:before="224" w:line="273" w:lineRule="auto"/>
        <w:ind w:left="238" w:hanging="187"/>
        <w:rPr>
          <w:rFonts w:ascii="宋体" w:hAnsi="宋体" w:eastAsia="宋体" w:cs="宋体"/>
          <w:sz w:val="36"/>
          <w:szCs w:val="36"/>
        </w:rPr>
      </w:pPr>
      <w:r>
        <w:rPr>
          <w:rFonts w:ascii="宋体" w:hAnsi="宋体" w:eastAsia="宋体" w:cs="宋体"/>
          <w:b/>
          <w:bCs/>
          <w:spacing w:val="6"/>
          <w:sz w:val="36"/>
          <w:szCs w:val="36"/>
        </w:rPr>
        <w:t>《</w:t>
      </w:r>
      <w:r>
        <w:rPr>
          <w:rFonts w:hint="eastAsia" w:ascii="宋体" w:hAnsi="宋体" w:eastAsia="宋体" w:cs="宋体"/>
          <w:b/>
          <w:bCs/>
          <w:spacing w:val="6"/>
          <w:sz w:val="36"/>
          <w:szCs w:val="36"/>
        </w:rPr>
        <w:t>襄城县发展和改革委员会襄城县国民经济和社会发展第十五个五年规划纲要编制项目</w:t>
      </w:r>
      <w:r>
        <w:rPr>
          <w:rFonts w:ascii="宋体" w:hAnsi="宋体" w:eastAsia="宋体" w:cs="宋体"/>
          <w:b/>
          <w:bCs/>
          <w:spacing w:val="5"/>
          <w:sz w:val="36"/>
          <w:szCs w:val="36"/>
        </w:rPr>
        <w:t>》合同</w:t>
      </w:r>
    </w:p>
    <w:p w14:paraId="50AC1979">
      <w:pPr>
        <w:spacing w:line="248" w:lineRule="auto"/>
        <w:rPr>
          <w:rFonts w:ascii="Arial"/>
          <w:sz w:val="21"/>
        </w:rPr>
      </w:pPr>
    </w:p>
    <w:p w14:paraId="564AF45E">
      <w:pPr>
        <w:spacing w:line="248" w:lineRule="auto"/>
        <w:rPr>
          <w:rFonts w:ascii="Arial"/>
          <w:sz w:val="21"/>
        </w:rPr>
      </w:pPr>
    </w:p>
    <w:p w14:paraId="158B7278">
      <w:pPr>
        <w:spacing w:line="248" w:lineRule="auto"/>
        <w:rPr>
          <w:rFonts w:ascii="Arial"/>
          <w:sz w:val="21"/>
        </w:rPr>
      </w:pPr>
    </w:p>
    <w:p w14:paraId="415DB859">
      <w:pPr>
        <w:spacing w:line="248" w:lineRule="auto"/>
        <w:rPr>
          <w:rFonts w:ascii="Arial"/>
          <w:sz w:val="21"/>
        </w:rPr>
      </w:pPr>
    </w:p>
    <w:p w14:paraId="406EFCF1">
      <w:pPr>
        <w:spacing w:line="248" w:lineRule="auto"/>
        <w:rPr>
          <w:rFonts w:ascii="Arial"/>
          <w:sz w:val="21"/>
        </w:rPr>
      </w:pPr>
    </w:p>
    <w:p w14:paraId="61A61718">
      <w:pPr>
        <w:spacing w:line="248" w:lineRule="auto"/>
        <w:rPr>
          <w:rFonts w:ascii="Arial"/>
          <w:sz w:val="21"/>
        </w:rPr>
      </w:pPr>
    </w:p>
    <w:p w14:paraId="1798CAF0">
      <w:pPr>
        <w:spacing w:line="248" w:lineRule="auto"/>
        <w:rPr>
          <w:rFonts w:ascii="Arial"/>
          <w:sz w:val="21"/>
        </w:rPr>
      </w:pPr>
    </w:p>
    <w:p w14:paraId="6F10CB41">
      <w:pPr>
        <w:spacing w:line="248" w:lineRule="auto"/>
        <w:rPr>
          <w:rFonts w:ascii="Arial"/>
          <w:sz w:val="21"/>
        </w:rPr>
      </w:pPr>
    </w:p>
    <w:p w14:paraId="3466B858">
      <w:pPr>
        <w:spacing w:line="248" w:lineRule="auto"/>
        <w:rPr>
          <w:rFonts w:ascii="Arial"/>
          <w:sz w:val="21"/>
        </w:rPr>
      </w:pPr>
    </w:p>
    <w:p w14:paraId="00349231">
      <w:pPr>
        <w:spacing w:line="248" w:lineRule="auto"/>
        <w:rPr>
          <w:rFonts w:ascii="Arial"/>
          <w:sz w:val="21"/>
        </w:rPr>
      </w:pPr>
    </w:p>
    <w:p w14:paraId="2A5E427B">
      <w:pPr>
        <w:pStyle w:val="4"/>
        <w:tabs>
          <w:tab w:val="left" w:pos="1993"/>
        </w:tabs>
        <w:spacing w:before="98" w:line="345" w:lineRule="auto"/>
        <w:ind w:left="1810" w:right="621" w:hanging="1487"/>
      </w:pPr>
      <w:r>
        <w:rPr>
          <w:spacing w:val="-1"/>
        </w:rPr>
        <w:t>项目名称：</w:t>
      </w:r>
      <w:r>
        <w:rPr>
          <w:rFonts w:hint="eastAsia"/>
          <w:spacing w:val="-1"/>
          <w:u w:val="single" w:color="auto"/>
        </w:rPr>
        <w:t>襄城县发展和改革委员会襄城县国民经济和社会发展第十五个五年规划纲要编制项目</w:t>
      </w:r>
    </w:p>
    <w:p w14:paraId="03DA2ED0">
      <w:pPr>
        <w:pStyle w:val="4"/>
        <w:spacing w:before="1" w:line="220" w:lineRule="auto"/>
        <w:ind w:left="325"/>
      </w:pPr>
      <w:r>
        <w:rPr>
          <w:spacing w:val="-3"/>
        </w:rPr>
        <w:t>委 托 人：</w:t>
      </w:r>
      <w:r>
        <w:rPr>
          <w:spacing w:val="6"/>
          <w:u w:val="single" w:color="auto"/>
        </w:rPr>
        <w:t xml:space="preserve">  </w:t>
      </w:r>
      <w:r>
        <w:rPr>
          <w:rFonts w:hint="eastAsia"/>
          <w:spacing w:val="-3"/>
          <w:u w:val="single" w:color="auto"/>
          <w:lang w:eastAsia="zh-CN"/>
        </w:rPr>
        <w:t>襄城县</w:t>
      </w:r>
      <w:r>
        <w:rPr>
          <w:spacing w:val="-3"/>
          <w:u w:val="single" w:color="auto"/>
        </w:rPr>
        <w:t xml:space="preserve">发展和改革委员会           </w:t>
      </w:r>
      <w:r>
        <w:rPr>
          <w:spacing w:val="-4"/>
          <w:u w:val="single" w:color="auto"/>
        </w:rPr>
        <w:t xml:space="preserve">         </w:t>
      </w:r>
    </w:p>
    <w:p w14:paraId="2B2145EB">
      <w:pPr>
        <w:pStyle w:val="4"/>
        <w:spacing w:before="200" w:line="224" w:lineRule="auto"/>
        <w:ind w:left="338"/>
      </w:pPr>
      <w:r>
        <w:rPr>
          <w:spacing w:val="-14"/>
        </w:rPr>
        <w:t>受</w:t>
      </w:r>
      <w:r>
        <w:rPr>
          <w:spacing w:val="12"/>
        </w:rPr>
        <w:t xml:space="preserve"> </w:t>
      </w:r>
      <w:r>
        <w:rPr>
          <w:spacing w:val="-14"/>
        </w:rPr>
        <w:t>托</w:t>
      </w:r>
      <w:r>
        <w:rPr>
          <w:spacing w:val="15"/>
        </w:rPr>
        <w:t xml:space="preserve"> </w:t>
      </w:r>
      <w:r>
        <w:rPr>
          <w:spacing w:val="-14"/>
        </w:rPr>
        <w:t>人：</w:t>
      </w:r>
      <w:r>
        <w:rPr>
          <w:u w:val="single" w:color="auto"/>
        </w:rPr>
        <w:t xml:space="preserve">                                            </w:t>
      </w:r>
    </w:p>
    <w:p w14:paraId="2E6E0B9D">
      <w:pPr>
        <w:pStyle w:val="4"/>
        <w:spacing w:before="197" w:line="224" w:lineRule="auto"/>
        <w:ind w:left="323"/>
      </w:pPr>
      <w:r>
        <w:rPr>
          <w:spacing w:val="-3"/>
        </w:rPr>
        <w:t>签订日期：</w:t>
      </w:r>
      <w:r>
        <w:rPr>
          <w:u w:val="single" w:color="auto"/>
        </w:rPr>
        <w:t xml:space="preserve">                                          </w:t>
      </w:r>
    </w:p>
    <w:p w14:paraId="124DC296">
      <w:pPr>
        <w:spacing w:line="224" w:lineRule="auto"/>
        <w:sectPr>
          <w:pgSz w:w="11906" w:h="16839"/>
          <w:pgMar w:top="1440" w:right="1800" w:bottom="1440" w:left="1800" w:header="0" w:footer="1134" w:gutter="0"/>
          <w:cols w:space="720" w:num="1"/>
        </w:sectPr>
      </w:pPr>
    </w:p>
    <w:p w14:paraId="7F736A43">
      <w:pPr>
        <w:spacing w:before="78" w:line="219" w:lineRule="auto"/>
        <w:ind w:left="489"/>
        <w:rPr>
          <w:rFonts w:ascii="宋体" w:hAnsi="宋体" w:eastAsia="宋体" w:cs="宋体"/>
          <w:sz w:val="24"/>
          <w:szCs w:val="24"/>
        </w:rPr>
      </w:pPr>
      <w:r>
        <w:rPr>
          <w:rFonts w:ascii="宋体" w:hAnsi="宋体" w:eastAsia="宋体" w:cs="宋体"/>
          <w:spacing w:val="-2"/>
          <w:sz w:val="24"/>
          <w:szCs w:val="24"/>
        </w:rPr>
        <w:t>委托方（甲方</w:t>
      </w:r>
      <w:r>
        <w:rPr>
          <w:rFonts w:ascii="宋体" w:hAnsi="宋体" w:eastAsia="宋体" w:cs="宋体"/>
          <w:spacing w:val="-54"/>
          <w:sz w:val="24"/>
          <w:szCs w:val="24"/>
        </w:rPr>
        <w:t>）：</w:t>
      </w:r>
      <w:r>
        <w:rPr>
          <w:rFonts w:ascii="宋体" w:hAnsi="宋体" w:eastAsia="宋体" w:cs="宋体"/>
          <w:spacing w:val="12"/>
          <w:sz w:val="24"/>
          <w:szCs w:val="24"/>
          <w:u w:val="single" w:color="auto"/>
        </w:rPr>
        <w:t xml:space="preserve"> </w:t>
      </w:r>
      <w:r>
        <w:rPr>
          <w:rFonts w:hint="eastAsia" w:ascii="宋体" w:hAnsi="宋体" w:eastAsia="宋体" w:cs="宋体"/>
          <w:spacing w:val="-2"/>
          <w:sz w:val="24"/>
          <w:szCs w:val="24"/>
          <w:u w:val="single" w:color="auto"/>
          <w:lang w:eastAsia="zh-CN"/>
        </w:rPr>
        <w:t>襄城县</w:t>
      </w:r>
      <w:r>
        <w:rPr>
          <w:rFonts w:ascii="宋体" w:hAnsi="宋体" w:eastAsia="宋体" w:cs="宋体"/>
          <w:spacing w:val="-2"/>
          <w:sz w:val="24"/>
          <w:szCs w:val="24"/>
          <w:u w:val="single" w:color="auto"/>
        </w:rPr>
        <w:t>发展和改革委员会</w:t>
      </w:r>
      <w:r>
        <w:rPr>
          <w:rFonts w:ascii="宋体" w:hAnsi="宋体" w:eastAsia="宋体" w:cs="宋体"/>
          <w:sz w:val="24"/>
          <w:szCs w:val="24"/>
          <w:u w:val="single" w:color="auto"/>
        </w:rPr>
        <w:t xml:space="preserve"> </w:t>
      </w:r>
    </w:p>
    <w:p w14:paraId="24E3C5A4">
      <w:pPr>
        <w:spacing w:before="179" w:line="222" w:lineRule="auto"/>
        <w:ind w:left="494"/>
        <w:rPr>
          <w:rFonts w:ascii="宋体" w:hAnsi="宋体" w:eastAsia="宋体" w:cs="宋体"/>
          <w:sz w:val="24"/>
          <w:szCs w:val="24"/>
        </w:rPr>
      </w:pPr>
      <w:r>
        <w:rPr>
          <w:rFonts w:ascii="宋体" w:hAnsi="宋体" w:eastAsia="宋体" w:cs="宋体"/>
          <w:spacing w:val="-3"/>
          <w:sz w:val="24"/>
          <w:szCs w:val="24"/>
        </w:rPr>
        <w:t>受托方（乙方</w:t>
      </w:r>
      <w:r>
        <w:rPr>
          <w:rFonts w:ascii="宋体" w:hAnsi="宋体" w:eastAsia="宋体" w:cs="宋体"/>
          <w:spacing w:val="-59"/>
          <w:sz w:val="24"/>
          <w:szCs w:val="24"/>
        </w:rPr>
        <w:t>）：</w:t>
      </w:r>
      <w:r>
        <w:rPr>
          <w:rFonts w:ascii="宋体" w:hAnsi="宋体" w:eastAsia="宋体" w:cs="宋体"/>
          <w:sz w:val="24"/>
          <w:szCs w:val="24"/>
          <w:u w:val="single" w:color="auto"/>
        </w:rPr>
        <w:t xml:space="preserve">                                  </w:t>
      </w:r>
    </w:p>
    <w:p w14:paraId="586F693D">
      <w:pPr>
        <w:tabs>
          <w:tab w:val="left" w:pos="136"/>
        </w:tabs>
        <w:spacing w:before="184" w:line="359" w:lineRule="auto"/>
        <w:ind w:right="63" w:firstLine="491"/>
        <w:jc w:val="both"/>
        <w:rPr>
          <w:rFonts w:ascii="宋体" w:hAnsi="宋体" w:eastAsia="宋体" w:cs="宋体"/>
          <w:sz w:val="24"/>
          <w:szCs w:val="24"/>
        </w:rPr>
      </w:pPr>
      <w:r>
        <w:rPr>
          <w:rFonts w:ascii="宋体" w:hAnsi="宋体" w:eastAsia="宋体" w:cs="宋体"/>
          <w:spacing w:val="-8"/>
          <w:sz w:val="24"/>
          <w:szCs w:val="24"/>
        </w:rPr>
        <w:t>本</w:t>
      </w:r>
      <w:r>
        <w:rPr>
          <w:rFonts w:ascii="宋体" w:hAnsi="宋体" w:eastAsia="宋体" w:cs="宋体"/>
          <w:spacing w:val="-66"/>
          <w:sz w:val="24"/>
          <w:szCs w:val="24"/>
        </w:rPr>
        <w:t xml:space="preserve"> </w:t>
      </w:r>
      <w:r>
        <w:rPr>
          <w:rFonts w:ascii="宋体" w:hAnsi="宋体" w:eastAsia="宋体" w:cs="宋体"/>
          <w:spacing w:val="-8"/>
          <w:sz w:val="24"/>
          <w:szCs w:val="24"/>
        </w:rPr>
        <w:t>合</w:t>
      </w:r>
      <w:r>
        <w:rPr>
          <w:rFonts w:ascii="宋体" w:hAnsi="宋体" w:eastAsia="宋体" w:cs="宋体"/>
          <w:spacing w:val="-49"/>
          <w:sz w:val="24"/>
          <w:szCs w:val="24"/>
        </w:rPr>
        <w:t xml:space="preserve"> </w:t>
      </w:r>
      <w:r>
        <w:rPr>
          <w:rFonts w:ascii="宋体" w:hAnsi="宋体" w:eastAsia="宋体" w:cs="宋体"/>
          <w:spacing w:val="-8"/>
          <w:sz w:val="24"/>
          <w:szCs w:val="24"/>
        </w:rPr>
        <w:t>同</w:t>
      </w:r>
      <w:r>
        <w:rPr>
          <w:rFonts w:ascii="宋体" w:hAnsi="宋体" w:eastAsia="宋体" w:cs="宋体"/>
          <w:spacing w:val="-38"/>
          <w:sz w:val="24"/>
          <w:szCs w:val="24"/>
        </w:rPr>
        <w:t xml:space="preserve"> </w:t>
      </w:r>
      <w:r>
        <w:rPr>
          <w:rFonts w:ascii="宋体" w:hAnsi="宋体" w:eastAsia="宋体" w:cs="宋体"/>
          <w:spacing w:val="-8"/>
          <w:sz w:val="24"/>
          <w:szCs w:val="24"/>
        </w:rPr>
        <w:t>甲</w:t>
      </w:r>
      <w:r>
        <w:rPr>
          <w:rFonts w:ascii="宋体" w:hAnsi="宋体" w:eastAsia="宋体" w:cs="宋体"/>
          <w:spacing w:val="-69"/>
          <w:sz w:val="24"/>
          <w:szCs w:val="24"/>
        </w:rPr>
        <w:t xml:space="preserve"> </w:t>
      </w:r>
      <w:r>
        <w:rPr>
          <w:rFonts w:ascii="宋体" w:hAnsi="宋体" w:eastAsia="宋体" w:cs="宋体"/>
          <w:spacing w:val="-8"/>
          <w:sz w:val="24"/>
          <w:szCs w:val="24"/>
        </w:rPr>
        <w:t>方</w:t>
      </w:r>
      <w:r>
        <w:rPr>
          <w:rFonts w:ascii="宋体" w:hAnsi="宋体" w:eastAsia="宋体" w:cs="宋体"/>
          <w:spacing w:val="-71"/>
          <w:sz w:val="24"/>
          <w:szCs w:val="24"/>
        </w:rPr>
        <w:t xml:space="preserve"> </w:t>
      </w:r>
      <w:r>
        <w:rPr>
          <w:rFonts w:ascii="宋体" w:hAnsi="宋体" w:eastAsia="宋体" w:cs="宋体"/>
          <w:spacing w:val="-8"/>
          <w:sz w:val="24"/>
          <w:szCs w:val="24"/>
        </w:rPr>
        <w:t>委托</w:t>
      </w:r>
      <w:r>
        <w:rPr>
          <w:rFonts w:ascii="宋体" w:hAnsi="宋体" w:eastAsia="宋体" w:cs="宋体"/>
          <w:spacing w:val="-50"/>
          <w:sz w:val="24"/>
          <w:szCs w:val="24"/>
        </w:rPr>
        <w:t xml:space="preserve"> </w:t>
      </w:r>
      <w:r>
        <w:rPr>
          <w:rFonts w:ascii="宋体" w:hAnsi="宋体" w:eastAsia="宋体" w:cs="宋体"/>
          <w:spacing w:val="-8"/>
          <w:sz w:val="24"/>
          <w:szCs w:val="24"/>
        </w:rPr>
        <w:t>乙</w:t>
      </w:r>
      <w:r>
        <w:rPr>
          <w:rFonts w:ascii="宋体" w:hAnsi="宋体" w:eastAsia="宋体" w:cs="宋体"/>
          <w:spacing w:val="-69"/>
          <w:sz w:val="24"/>
          <w:szCs w:val="24"/>
        </w:rPr>
        <w:t xml:space="preserve"> </w:t>
      </w:r>
      <w:r>
        <w:rPr>
          <w:rFonts w:ascii="宋体" w:hAnsi="宋体" w:eastAsia="宋体" w:cs="宋体"/>
          <w:spacing w:val="-8"/>
          <w:sz w:val="24"/>
          <w:szCs w:val="24"/>
        </w:rPr>
        <w:t>方</w:t>
      </w:r>
      <w:r>
        <w:rPr>
          <w:rFonts w:ascii="宋体" w:hAnsi="宋体" w:eastAsia="宋体" w:cs="宋体"/>
          <w:spacing w:val="-68"/>
          <w:sz w:val="24"/>
          <w:szCs w:val="24"/>
        </w:rPr>
        <w:t xml:space="preserve"> </w:t>
      </w:r>
      <w:r>
        <w:rPr>
          <w:rFonts w:ascii="宋体" w:hAnsi="宋体" w:eastAsia="宋体" w:cs="宋体"/>
          <w:spacing w:val="-8"/>
          <w:sz w:val="24"/>
          <w:szCs w:val="24"/>
        </w:rPr>
        <w:t>就</w:t>
      </w:r>
      <w:r>
        <w:rPr>
          <w:rFonts w:hint="eastAsia" w:ascii="宋体" w:hAnsi="宋体" w:eastAsia="宋体" w:cs="宋体"/>
          <w:spacing w:val="-8"/>
          <w:sz w:val="24"/>
          <w:szCs w:val="24"/>
          <w:u w:val="single" w:color="auto"/>
        </w:rPr>
        <w:t>襄城县发展和改革委员会襄城县国民经济和社会发展第十五个五年规划纲要编制项目</w:t>
      </w:r>
      <w:r>
        <w:rPr>
          <w:rFonts w:ascii="宋体" w:hAnsi="宋体" w:eastAsia="宋体" w:cs="宋体"/>
          <w:spacing w:val="-3"/>
          <w:sz w:val="24"/>
          <w:szCs w:val="24"/>
        </w:rPr>
        <w:t>的提供规划编制服务，根据《中华</w:t>
      </w:r>
      <w:r>
        <w:rPr>
          <w:rFonts w:ascii="宋体" w:hAnsi="宋体" w:eastAsia="宋体" w:cs="宋体"/>
          <w:spacing w:val="-4"/>
          <w:sz w:val="24"/>
          <w:szCs w:val="24"/>
        </w:rPr>
        <w:t>人民共和国民法典》</w:t>
      </w:r>
      <w:r>
        <w:rPr>
          <w:rFonts w:ascii="宋体" w:hAnsi="宋体" w:eastAsia="宋体" w:cs="宋体"/>
          <w:sz w:val="24"/>
          <w:szCs w:val="24"/>
        </w:rPr>
        <w:t xml:space="preserve"> </w:t>
      </w:r>
      <w:r>
        <w:rPr>
          <w:rFonts w:ascii="宋体" w:hAnsi="宋体" w:eastAsia="宋体" w:cs="宋体"/>
          <w:spacing w:val="-1"/>
          <w:sz w:val="24"/>
          <w:szCs w:val="24"/>
        </w:rPr>
        <w:t>的规定，结合本项目的具体情况，为明确双方责任，确保本项目的服务质量，经双方</w:t>
      </w:r>
      <w:r>
        <w:rPr>
          <w:rFonts w:ascii="宋体" w:hAnsi="宋体" w:eastAsia="宋体" w:cs="宋体"/>
          <w:sz w:val="24"/>
          <w:szCs w:val="24"/>
        </w:rPr>
        <w:t xml:space="preserve"> 协商一致，签订本合同，并由双方共同遵守。</w:t>
      </w:r>
    </w:p>
    <w:p w14:paraId="672346AA">
      <w:pPr>
        <w:spacing w:line="220" w:lineRule="auto"/>
        <w:ind w:left="494"/>
        <w:rPr>
          <w:rFonts w:ascii="宋体" w:hAnsi="宋体" w:eastAsia="宋体" w:cs="宋体"/>
          <w:sz w:val="24"/>
          <w:szCs w:val="24"/>
        </w:rPr>
      </w:pPr>
      <w:r>
        <w:rPr>
          <w:rFonts w:ascii="宋体" w:hAnsi="宋体" w:eastAsia="宋体" w:cs="宋体"/>
          <w:spacing w:val="-3"/>
          <w:sz w:val="24"/>
          <w:szCs w:val="24"/>
        </w:rPr>
        <w:t>一、项目概况</w:t>
      </w:r>
    </w:p>
    <w:p w14:paraId="0E6F04A1">
      <w:pPr>
        <w:spacing w:before="179" w:line="360" w:lineRule="auto"/>
        <w:ind w:left="23" w:right="65" w:firstLine="470"/>
        <w:rPr>
          <w:rFonts w:ascii="宋体" w:hAnsi="宋体" w:eastAsia="宋体" w:cs="宋体"/>
          <w:sz w:val="24"/>
          <w:szCs w:val="24"/>
        </w:rPr>
      </w:pPr>
      <w:r>
        <w:rPr>
          <w:rFonts w:ascii="宋体" w:hAnsi="宋体" w:eastAsia="宋体" w:cs="宋体"/>
          <w:sz w:val="24"/>
          <w:szCs w:val="24"/>
        </w:rPr>
        <w:t>项目名称：</w:t>
      </w:r>
      <w:r>
        <w:rPr>
          <w:rFonts w:hint="eastAsia" w:ascii="宋体" w:hAnsi="宋体" w:eastAsia="宋体" w:cs="宋体"/>
          <w:sz w:val="24"/>
          <w:szCs w:val="24"/>
          <w:u w:val="single" w:color="auto"/>
        </w:rPr>
        <w:t>襄城县发展和改革委员会襄城县国民经济和社会发展第十五个五年规划纲要编制项目</w:t>
      </w:r>
    </w:p>
    <w:p w14:paraId="4F0EEB3E">
      <w:pPr>
        <w:spacing w:before="1" w:line="219" w:lineRule="auto"/>
        <w:ind w:left="491"/>
        <w:rPr>
          <w:rFonts w:hint="eastAsia" w:ascii="宋体" w:hAnsi="宋体" w:eastAsia="宋体" w:cs="宋体"/>
          <w:sz w:val="24"/>
          <w:szCs w:val="24"/>
          <w:lang w:eastAsia="zh-CN"/>
        </w:rPr>
      </w:pPr>
      <w:r>
        <w:rPr>
          <w:rFonts w:ascii="宋体" w:hAnsi="宋体" w:eastAsia="宋体" w:cs="宋体"/>
          <w:spacing w:val="-1"/>
          <w:sz w:val="24"/>
          <w:szCs w:val="24"/>
        </w:rPr>
        <w:t>合同履行地点：</w:t>
      </w:r>
      <w:r>
        <w:rPr>
          <w:rFonts w:hint="eastAsia" w:ascii="宋体" w:hAnsi="宋体" w:eastAsia="宋体" w:cs="宋体"/>
          <w:spacing w:val="-1"/>
          <w:sz w:val="24"/>
          <w:szCs w:val="24"/>
          <w:u w:val="single" w:color="auto"/>
          <w:lang w:eastAsia="zh-CN"/>
        </w:rPr>
        <w:t>襄城县</w:t>
      </w:r>
    </w:p>
    <w:p w14:paraId="5A42B562">
      <w:pPr>
        <w:spacing w:before="180" w:line="220" w:lineRule="auto"/>
        <w:ind w:left="494"/>
        <w:rPr>
          <w:rFonts w:ascii="宋体" w:hAnsi="宋体" w:eastAsia="宋体" w:cs="宋体"/>
          <w:sz w:val="24"/>
          <w:szCs w:val="24"/>
        </w:rPr>
      </w:pPr>
      <w:r>
        <w:rPr>
          <w:rFonts w:ascii="宋体" w:hAnsi="宋体" w:eastAsia="宋体" w:cs="宋体"/>
          <w:spacing w:val="-2"/>
          <w:sz w:val="24"/>
          <w:szCs w:val="24"/>
        </w:rPr>
        <w:t>二、委托工作内容</w:t>
      </w:r>
    </w:p>
    <w:p w14:paraId="7AE4BA35">
      <w:pPr>
        <w:spacing w:before="78" w:line="360" w:lineRule="auto"/>
        <w:ind w:left="8" w:firstLine="460" w:firstLineChars="200"/>
        <w:rPr>
          <w:rFonts w:hint="eastAsia" w:ascii="宋体" w:hAnsi="宋体" w:eastAsia="宋体" w:cs="宋体"/>
          <w:spacing w:val="-5"/>
          <w:sz w:val="24"/>
          <w:szCs w:val="24"/>
          <w:u w:val="single" w:color="auto"/>
        </w:rPr>
      </w:pPr>
      <w:r>
        <w:rPr>
          <w:rFonts w:ascii="宋体" w:hAnsi="宋体" w:eastAsia="宋体" w:cs="宋体"/>
          <w:spacing w:val="-5"/>
          <w:sz w:val="24"/>
          <w:szCs w:val="24"/>
          <w:u w:val="single" w:color="auto"/>
        </w:rPr>
        <w:t>主要内容为</w:t>
      </w:r>
      <w:r>
        <w:rPr>
          <w:rFonts w:hint="eastAsia" w:ascii="宋体" w:hAnsi="宋体" w:eastAsia="宋体" w:cs="宋体"/>
          <w:spacing w:val="-5"/>
          <w:sz w:val="24"/>
          <w:szCs w:val="24"/>
          <w:u w:val="single" w:color="auto"/>
        </w:rPr>
        <w:t>1.在对襄城县充分调研的基础上，科学编制《襄城县国民经济与社会发展第十五个五年规划纲要》。内容包括但不限于总结“十四五”时期襄城县经济社会发展主要成效、研判当前襄城县发展存在的问题与矛盾、分析襄城县“十五五”时期面临的发展形势、提出“十五五”时期襄城县国民经济和社会发展的基本思路、提出襄城县“十五五”时期经济社会发展的重点任务、研究提出襄城县“十五五”时期的重大项目、重大改革开放举措，制定相应的实施保障机制和政策建议等。</w:t>
      </w:r>
    </w:p>
    <w:p w14:paraId="3D3E98CA">
      <w:pPr>
        <w:spacing w:before="78" w:line="360" w:lineRule="auto"/>
        <w:ind w:left="8" w:firstLine="460" w:firstLineChars="200"/>
        <w:rPr>
          <w:rFonts w:ascii="宋体" w:hAnsi="宋体" w:eastAsia="宋体" w:cs="宋体"/>
          <w:sz w:val="24"/>
          <w:szCs w:val="24"/>
        </w:rPr>
      </w:pPr>
      <w:r>
        <w:rPr>
          <w:rFonts w:hint="eastAsia" w:ascii="宋体" w:hAnsi="宋体" w:eastAsia="宋体" w:cs="宋体"/>
          <w:spacing w:val="-5"/>
          <w:sz w:val="24"/>
          <w:szCs w:val="24"/>
          <w:u w:val="single" w:color="auto"/>
        </w:rPr>
        <w:t>2.提交成果文件</w:t>
      </w:r>
      <w:r>
        <w:rPr>
          <w:rFonts w:ascii="宋体" w:hAnsi="宋体" w:eastAsia="宋体" w:cs="宋体"/>
          <w:sz w:val="24"/>
          <w:szCs w:val="24"/>
          <w:u w:val="single" w:color="auto"/>
        </w:rPr>
        <w:t>。</w:t>
      </w:r>
    </w:p>
    <w:p w14:paraId="07A369DC">
      <w:pPr>
        <w:spacing w:before="179" w:line="221" w:lineRule="auto"/>
        <w:ind w:left="480"/>
        <w:rPr>
          <w:rFonts w:ascii="宋体" w:hAnsi="宋体" w:eastAsia="宋体" w:cs="宋体"/>
          <w:sz w:val="24"/>
          <w:szCs w:val="24"/>
        </w:rPr>
      </w:pPr>
      <w:r>
        <w:rPr>
          <w:rFonts w:ascii="宋体" w:hAnsi="宋体" w:eastAsia="宋体" w:cs="宋体"/>
          <w:spacing w:val="-2"/>
          <w:sz w:val="24"/>
          <w:szCs w:val="24"/>
        </w:rPr>
        <w:t>三、工作时间</w:t>
      </w:r>
    </w:p>
    <w:p w14:paraId="4D89E5AB">
      <w:pPr>
        <w:spacing w:before="179" w:line="219" w:lineRule="auto"/>
        <w:ind w:left="481"/>
        <w:rPr>
          <w:rFonts w:ascii="宋体" w:hAnsi="宋体" w:eastAsia="宋体" w:cs="宋体"/>
          <w:sz w:val="24"/>
          <w:szCs w:val="24"/>
        </w:rPr>
      </w:pPr>
      <w:r>
        <w:rPr>
          <w:rFonts w:ascii="宋体" w:hAnsi="宋体" w:eastAsia="宋体" w:cs="宋体"/>
          <w:spacing w:val="-6"/>
          <w:sz w:val="24"/>
          <w:szCs w:val="24"/>
        </w:rPr>
        <w:t>本合同计划工作时间：</w:t>
      </w:r>
      <w:r>
        <w:rPr>
          <w:rFonts w:ascii="宋体" w:hAnsi="宋体" w:eastAsia="宋体" w:cs="宋体"/>
          <w:spacing w:val="-6"/>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日至</w:t>
      </w:r>
      <w:r>
        <w:rPr>
          <w:rFonts w:ascii="宋体" w:hAnsi="宋体" w:eastAsia="宋体" w:cs="宋体"/>
          <w:spacing w:val="2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年</w:t>
      </w:r>
      <w:r>
        <w:rPr>
          <w:rFonts w:ascii="宋体" w:hAnsi="宋体" w:eastAsia="宋体" w:cs="宋体"/>
          <w:spacing w:val="4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月</w:t>
      </w:r>
      <w:r>
        <w:rPr>
          <w:rFonts w:ascii="宋体" w:hAnsi="宋体" w:eastAsia="宋体" w:cs="宋体"/>
          <w:spacing w:val="39"/>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6"/>
          <w:sz w:val="24"/>
          <w:szCs w:val="24"/>
        </w:rPr>
        <w:t>日。</w:t>
      </w:r>
    </w:p>
    <w:p w14:paraId="17DC0937">
      <w:pPr>
        <w:spacing w:before="183" w:line="359" w:lineRule="auto"/>
        <w:ind w:left="3" w:right="63" w:firstLine="480"/>
        <w:rPr>
          <w:rFonts w:ascii="宋体" w:hAnsi="宋体" w:eastAsia="宋体" w:cs="宋体"/>
          <w:sz w:val="24"/>
          <w:szCs w:val="24"/>
        </w:rPr>
      </w:pPr>
      <w:r>
        <w:rPr>
          <w:rFonts w:ascii="宋体" w:hAnsi="宋体" w:eastAsia="宋体" w:cs="宋体"/>
          <w:spacing w:val="-1"/>
          <w:sz w:val="24"/>
          <w:szCs w:val="24"/>
        </w:rPr>
        <w:t>如遇特殊情况（工作量变化、不可抗力影响</w:t>
      </w:r>
      <w:r>
        <w:rPr>
          <w:rFonts w:ascii="宋体" w:hAnsi="宋体" w:eastAsia="宋体" w:cs="宋体"/>
          <w:spacing w:val="-2"/>
          <w:sz w:val="24"/>
          <w:szCs w:val="24"/>
        </w:rPr>
        <w:t>以及其他非乙方原因造成的停工、窝</w:t>
      </w:r>
      <w:r>
        <w:rPr>
          <w:rFonts w:ascii="宋体" w:hAnsi="宋体" w:eastAsia="宋体" w:cs="宋体"/>
          <w:sz w:val="24"/>
          <w:szCs w:val="24"/>
        </w:rPr>
        <w:t xml:space="preserve"> </w:t>
      </w:r>
      <w:r>
        <w:rPr>
          <w:rFonts w:ascii="宋体" w:hAnsi="宋体" w:eastAsia="宋体" w:cs="宋体"/>
          <w:spacing w:val="-1"/>
          <w:sz w:val="24"/>
          <w:szCs w:val="24"/>
        </w:rPr>
        <w:t>工等）时，甲乙双方可商议顺延工期。</w:t>
      </w:r>
    </w:p>
    <w:p w14:paraId="2BE4B405">
      <w:pPr>
        <w:spacing w:before="1" w:line="220" w:lineRule="auto"/>
        <w:ind w:left="503"/>
        <w:rPr>
          <w:rFonts w:ascii="宋体" w:hAnsi="宋体" w:eastAsia="宋体" w:cs="宋体"/>
          <w:sz w:val="24"/>
          <w:szCs w:val="24"/>
        </w:rPr>
      </w:pPr>
      <w:r>
        <w:rPr>
          <w:rFonts w:ascii="宋体" w:hAnsi="宋体" w:eastAsia="宋体" w:cs="宋体"/>
          <w:spacing w:val="-6"/>
          <w:sz w:val="24"/>
          <w:szCs w:val="24"/>
        </w:rPr>
        <w:t>四、工作成果</w:t>
      </w:r>
    </w:p>
    <w:p w14:paraId="746A7EAB">
      <w:pPr>
        <w:spacing w:before="180" w:line="358" w:lineRule="auto"/>
        <w:ind w:right="63" w:firstLine="499"/>
        <w:rPr>
          <w:rFonts w:ascii="宋体" w:hAnsi="宋体" w:eastAsia="宋体" w:cs="宋体"/>
          <w:sz w:val="24"/>
          <w:szCs w:val="24"/>
        </w:rPr>
      </w:pPr>
      <w:r>
        <w:rPr>
          <w:rFonts w:ascii="宋体" w:hAnsi="宋体" w:eastAsia="宋体" w:cs="宋体"/>
          <w:spacing w:val="-2"/>
          <w:sz w:val="24"/>
          <w:szCs w:val="24"/>
        </w:rPr>
        <w:t>乙方应按照甲方的要求提交相应的工作成果，包括：</w:t>
      </w:r>
      <w:r>
        <w:rPr>
          <w:rFonts w:ascii="宋体" w:hAnsi="宋体" w:eastAsia="宋体" w:cs="宋体"/>
          <w:spacing w:val="-2"/>
          <w:sz w:val="24"/>
          <w:szCs w:val="24"/>
          <w:u w:val="single" w:color="auto"/>
        </w:rPr>
        <w:t>规划方案</w:t>
      </w:r>
      <w:r>
        <w:rPr>
          <w:rFonts w:ascii="宋体" w:hAnsi="宋体" w:eastAsia="宋体" w:cs="宋体"/>
          <w:spacing w:val="-6"/>
          <w:sz w:val="24"/>
          <w:szCs w:val="24"/>
          <w:u w:val="single" w:color="auto"/>
        </w:rPr>
        <w:t>等。</w:t>
      </w:r>
    </w:p>
    <w:p w14:paraId="5C7EC1A1">
      <w:pPr>
        <w:spacing w:before="3" w:line="220" w:lineRule="auto"/>
        <w:ind w:left="484"/>
        <w:rPr>
          <w:rFonts w:ascii="宋体" w:hAnsi="宋体" w:eastAsia="宋体" w:cs="宋体"/>
          <w:sz w:val="24"/>
          <w:szCs w:val="24"/>
        </w:rPr>
      </w:pPr>
      <w:r>
        <w:rPr>
          <w:rFonts w:ascii="宋体" w:hAnsi="宋体" w:eastAsia="宋体" w:cs="宋体"/>
          <w:spacing w:val="-2"/>
          <w:sz w:val="24"/>
          <w:szCs w:val="24"/>
        </w:rPr>
        <w:t>五、合同金额及支付方式</w:t>
      </w:r>
    </w:p>
    <w:p w14:paraId="0380A0C6">
      <w:pPr>
        <w:spacing w:before="180" w:line="219" w:lineRule="auto"/>
        <w:ind w:left="498"/>
        <w:rPr>
          <w:rFonts w:ascii="宋体" w:hAnsi="宋体" w:eastAsia="宋体" w:cs="宋体"/>
          <w:sz w:val="24"/>
          <w:szCs w:val="24"/>
        </w:rPr>
      </w:pPr>
      <w:r>
        <w:rPr>
          <w:rFonts w:ascii="宋体" w:hAnsi="宋体" w:eastAsia="宋体" w:cs="宋体"/>
          <w:spacing w:val="-3"/>
          <w:sz w:val="24"/>
          <w:szCs w:val="24"/>
        </w:rPr>
        <w:t>1、合同金额：人民币</w:t>
      </w:r>
      <w:r>
        <w:rPr>
          <w:rFonts w:ascii="宋体" w:hAnsi="宋体" w:eastAsia="宋体" w:cs="宋体"/>
          <w:spacing w:val="-3"/>
          <w:sz w:val="24"/>
          <w:szCs w:val="24"/>
          <w:u w:val="single" w:color="auto"/>
        </w:rPr>
        <w:t xml:space="preserve">  大写 </w:t>
      </w:r>
      <w:r>
        <w:rPr>
          <w:rFonts w:ascii="宋体" w:hAnsi="宋体" w:eastAsia="宋体" w:cs="宋体"/>
          <w:spacing w:val="-3"/>
          <w:sz w:val="24"/>
          <w:szCs w:val="24"/>
        </w:rPr>
        <w:t>元整。(￥</w:t>
      </w:r>
      <w:r>
        <w:rPr>
          <w:rFonts w:ascii="宋体" w:hAnsi="宋体" w:eastAsia="宋体" w:cs="宋体"/>
          <w:spacing w:val="46"/>
          <w:sz w:val="24"/>
          <w:szCs w:val="24"/>
          <w:u w:val="single" w:color="auto"/>
        </w:rPr>
        <w:t xml:space="preserve"> </w:t>
      </w:r>
      <w:r>
        <w:rPr>
          <w:rFonts w:ascii="宋体" w:hAnsi="宋体" w:eastAsia="宋体" w:cs="宋体"/>
          <w:spacing w:val="-3"/>
          <w:sz w:val="24"/>
          <w:szCs w:val="24"/>
          <w:u w:val="single" w:color="auto"/>
        </w:rPr>
        <w:t xml:space="preserve">小写  </w:t>
      </w:r>
      <w:r>
        <w:rPr>
          <w:rFonts w:ascii="宋体" w:hAnsi="宋体" w:eastAsia="宋体" w:cs="宋体"/>
          <w:spacing w:val="-3"/>
          <w:sz w:val="24"/>
          <w:szCs w:val="24"/>
        </w:rPr>
        <w:t>）</w:t>
      </w:r>
    </w:p>
    <w:p w14:paraId="03FDA174">
      <w:pPr>
        <w:spacing w:before="182" w:line="220" w:lineRule="auto"/>
        <w:ind w:left="483"/>
        <w:rPr>
          <w:rFonts w:ascii="宋体" w:hAnsi="宋体" w:eastAsia="宋体" w:cs="宋体"/>
          <w:sz w:val="24"/>
          <w:szCs w:val="24"/>
        </w:rPr>
      </w:pPr>
      <w:r>
        <w:rPr>
          <w:rFonts w:ascii="宋体" w:hAnsi="宋体" w:eastAsia="宋体" w:cs="宋体"/>
          <w:spacing w:val="-3"/>
          <w:sz w:val="24"/>
          <w:szCs w:val="24"/>
        </w:rPr>
        <w:t>2、支付方式</w:t>
      </w:r>
    </w:p>
    <w:p w14:paraId="0AC7B32C">
      <w:pPr>
        <w:spacing w:before="180" w:line="359" w:lineRule="auto"/>
        <w:ind w:firstLine="483"/>
        <w:jc w:val="both"/>
        <w:rPr>
          <w:rFonts w:ascii="宋体" w:hAnsi="宋体" w:eastAsia="宋体" w:cs="宋体"/>
          <w:sz w:val="24"/>
          <w:szCs w:val="24"/>
        </w:rPr>
      </w:pPr>
      <w:r>
        <w:rPr>
          <w:rFonts w:hint="eastAsia" w:ascii="宋体" w:hAnsi="宋体" w:eastAsia="宋体" w:cs="宋体"/>
          <w:spacing w:val="-10"/>
          <w:sz w:val="24"/>
          <w:szCs w:val="24"/>
          <w:u w:val="single" w:color="auto"/>
        </w:rPr>
        <w:t>①合同签订后，采购人收到发票后，支付本项目合同金额的30%。②完成“十五五”规划《纲要(草案)》(征求意见稿)后，采购人收到发票后，支付本项目合同金额的30%。③最终完成襄城县“十五五”规划《纲要》，并经襄城县人民代表大会审议通过后，采购人收到发票后，支付本项目合同金额的40%</w:t>
      </w:r>
      <w:r>
        <w:rPr>
          <w:rFonts w:ascii="宋体" w:hAnsi="宋体" w:eastAsia="宋体" w:cs="宋体"/>
          <w:sz w:val="24"/>
          <w:szCs w:val="24"/>
          <w:u w:val="single" w:color="auto"/>
        </w:rPr>
        <w:t>。</w:t>
      </w:r>
    </w:p>
    <w:p w14:paraId="482FAB5C">
      <w:pPr>
        <w:spacing w:line="290" w:lineRule="auto"/>
        <w:ind w:left="31" w:right="66" w:firstLine="453"/>
        <w:rPr>
          <w:rFonts w:ascii="宋体" w:hAnsi="宋体" w:eastAsia="宋体" w:cs="宋体"/>
          <w:sz w:val="24"/>
          <w:szCs w:val="24"/>
        </w:rPr>
      </w:pPr>
      <w:r>
        <w:rPr>
          <w:rFonts w:ascii="宋体" w:hAnsi="宋体" w:eastAsia="宋体" w:cs="宋体"/>
          <w:spacing w:val="2"/>
          <w:sz w:val="24"/>
          <w:szCs w:val="24"/>
        </w:rPr>
        <w:t>3、乙方需提供中华人民共和国大陆地区合法有效的等额正规发票给甲</w:t>
      </w:r>
      <w:r>
        <w:rPr>
          <w:rFonts w:ascii="宋体" w:hAnsi="宋体" w:eastAsia="宋体" w:cs="宋体"/>
          <w:spacing w:val="1"/>
          <w:sz w:val="24"/>
          <w:szCs w:val="24"/>
        </w:rPr>
        <w:t>方，否则</w:t>
      </w:r>
      <w:r>
        <w:rPr>
          <w:rFonts w:ascii="宋体" w:hAnsi="宋体" w:eastAsia="宋体" w:cs="宋体"/>
          <w:sz w:val="24"/>
          <w:szCs w:val="24"/>
        </w:rPr>
        <w:t xml:space="preserve"> </w:t>
      </w:r>
      <w:r>
        <w:rPr>
          <w:rFonts w:ascii="宋体" w:hAnsi="宋体" w:eastAsia="宋体" w:cs="宋体"/>
          <w:spacing w:val="-6"/>
          <w:sz w:val="24"/>
          <w:szCs w:val="24"/>
        </w:rPr>
        <w:t>甲方可顺延付款。</w:t>
      </w:r>
    </w:p>
    <w:p w14:paraId="1E7E8F5D">
      <w:pPr>
        <w:spacing w:before="180" w:line="221" w:lineRule="auto"/>
        <w:ind w:left="480"/>
        <w:rPr>
          <w:rFonts w:ascii="宋体" w:hAnsi="宋体" w:eastAsia="宋体" w:cs="宋体"/>
          <w:sz w:val="24"/>
          <w:szCs w:val="24"/>
        </w:rPr>
      </w:pPr>
      <w:r>
        <w:rPr>
          <w:rFonts w:ascii="宋体" w:hAnsi="宋体" w:eastAsia="宋体" w:cs="宋体"/>
          <w:spacing w:val="-1"/>
          <w:sz w:val="24"/>
          <w:szCs w:val="24"/>
        </w:rPr>
        <w:t>4、乙方开户银行名称、地址和账号为：</w:t>
      </w:r>
    </w:p>
    <w:p w14:paraId="55E19086">
      <w:pPr>
        <w:spacing w:before="181" w:line="179" w:lineRule="auto"/>
        <w:ind w:left="721"/>
        <w:rPr>
          <w:rFonts w:ascii="宋体" w:hAnsi="宋体" w:eastAsia="宋体" w:cs="宋体"/>
          <w:sz w:val="24"/>
          <w:szCs w:val="24"/>
        </w:rPr>
      </w:pPr>
      <w:r>
        <w:pict>
          <v:shape id="_x0000_s2050" o:spid="_x0000_s2050" o:spt="202" type="#_x0000_t202" style="position:absolute;left:0pt;margin-left:35pt;margin-top:31.3pt;height:39.8pt;width:58.55pt;z-index:251659264;mso-width-relative:page;mso-height-relative:page;" filled="f" stroked="f" coordsize="21600,21600">
            <v:path/>
            <v:fill on="f" focussize="0,0"/>
            <v:stroke on="f"/>
            <v:imagedata o:title=""/>
            <o:lock v:ext="edit" aspectratio="f"/>
            <v:textbox inset="0mm,0mm,0mm,0mm">
              <w:txbxContent>
                <w:p w14:paraId="032D7008">
                  <w:pPr>
                    <w:spacing w:before="20" w:line="229" w:lineRule="auto"/>
                    <w:jc w:val="right"/>
                    <w:rPr>
                      <w:rFonts w:ascii="宋体" w:hAnsi="宋体" w:eastAsia="宋体" w:cs="宋体"/>
                      <w:sz w:val="24"/>
                      <w:szCs w:val="24"/>
                    </w:rPr>
                  </w:pPr>
                  <w:r>
                    <w:rPr>
                      <w:rFonts w:ascii="宋体" w:hAnsi="宋体" w:eastAsia="宋体" w:cs="宋体"/>
                      <w:spacing w:val="-27"/>
                      <w:sz w:val="24"/>
                      <w:szCs w:val="24"/>
                    </w:rPr>
                    <w:t>地</w:t>
                  </w:r>
                  <w:r>
                    <w:rPr>
                      <w:rFonts w:ascii="宋体" w:hAnsi="宋体" w:eastAsia="宋体" w:cs="宋体"/>
                      <w:spacing w:val="2"/>
                      <w:sz w:val="24"/>
                      <w:szCs w:val="24"/>
                    </w:rPr>
                    <w:t xml:space="preserve">    </w:t>
                  </w:r>
                  <w:r>
                    <w:rPr>
                      <w:rFonts w:ascii="宋体" w:hAnsi="宋体" w:eastAsia="宋体" w:cs="宋体"/>
                      <w:spacing w:val="-27"/>
                      <w:sz w:val="24"/>
                      <w:szCs w:val="24"/>
                    </w:rPr>
                    <w:t>址：</w:t>
                  </w:r>
                </w:p>
                <w:p w14:paraId="148996A8">
                  <w:pPr>
                    <w:spacing w:before="169" w:line="222" w:lineRule="auto"/>
                    <w:jc w:val="right"/>
                    <w:rPr>
                      <w:rFonts w:ascii="宋体" w:hAnsi="宋体" w:eastAsia="宋体" w:cs="宋体"/>
                      <w:sz w:val="24"/>
                      <w:szCs w:val="24"/>
                    </w:rPr>
                  </w:pPr>
                  <w:r>
                    <w:rPr>
                      <w:rFonts w:ascii="宋体" w:hAnsi="宋体" w:eastAsia="宋体" w:cs="宋体"/>
                      <w:spacing w:val="-30"/>
                      <w:sz w:val="24"/>
                      <w:szCs w:val="24"/>
                    </w:rPr>
                    <w:t>账</w:t>
                  </w:r>
                  <w:r>
                    <w:rPr>
                      <w:rFonts w:ascii="宋体" w:hAnsi="宋体" w:eastAsia="宋体" w:cs="宋体"/>
                      <w:spacing w:val="3"/>
                      <w:sz w:val="24"/>
                      <w:szCs w:val="24"/>
                    </w:rPr>
                    <w:t xml:space="preserve">    </w:t>
                  </w:r>
                  <w:r>
                    <w:rPr>
                      <w:rFonts w:ascii="宋体" w:hAnsi="宋体" w:eastAsia="宋体" w:cs="宋体"/>
                      <w:spacing w:val="-30"/>
                      <w:sz w:val="24"/>
                      <w:szCs w:val="24"/>
                    </w:rPr>
                    <w:t>号：</w:t>
                  </w:r>
                </w:p>
              </w:txbxContent>
            </v:textbox>
          </v:shape>
        </w:pict>
      </w:r>
      <w:r>
        <w:rPr>
          <w:rFonts w:ascii="宋体" w:hAnsi="宋体" w:eastAsia="宋体" w:cs="宋体"/>
          <w:spacing w:val="-3"/>
          <w:sz w:val="24"/>
          <w:szCs w:val="24"/>
        </w:rPr>
        <w:t>开户银行：</w:t>
      </w:r>
    </w:p>
    <w:tbl>
      <w:tblPr>
        <w:tblStyle w:val="40"/>
        <w:tblW w:w="2040" w:type="dxa"/>
        <w:tblInd w:w="191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40"/>
      </w:tblGrid>
      <w:tr w14:paraId="37F4E6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5" w:hRule="atLeast"/>
        </w:trPr>
        <w:tc>
          <w:tcPr>
            <w:tcW w:w="2040" w:type="dxa"/>
            <w:tcBorders>
              <w:top w:val="single" w:color="000000" w:sz="4" w:space="0"/>
              <w:bottom w:val="single" w:color="000000" w:sz="4" w:space="0"/>
            </w:tcBorders>
            <w:vAlign w:val="top"/>
          </w:tcPr>
          <w:p w14:paraId="7808ABDE">
            <w:pPr>
              <w:rPr>
                <w:rFonts w:ascii="Arial"/>
                <w:sz w:val="21"/>
              </w:rPr>
            </w:pPr>
          </w:p>
        </w:tc>
      </w:tr>
      <w:tr w14:paraId="2C1864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5" w:hRule="atLeast"/>
        </w:trPr>
        <w:tc>
          <w:tcPr>
            <w:tcW w:w="2040" w:type="dxa"/>
            <w:tcBorders>
              <w:top w:val="single" w:color="000000" w:sz="4" w:space="0"/>
              <w:bottom w:val="single" w:color="000000" w:sz="4" w:space="0"/>
            </w:tcBorders>
            <w:vAlign w:val="top"/>
          </w:tcPr>
          <w:p w14:paraId="468DB20E">
            <w:pPr>
              <w:rPr>
                <w:rFonts w:ascii="Arial"/>
                <w:sz w:val="21"/>
              </w:rPr>
            </w:pPr>
          </w:p>
        </w:tc>
      </w:tr>
    </w:tbl>
    <w:p w14:paraId="3AA77F37">
      <w:pPr>
        <w:spacing w:before="229" w:line="220" w:lineRule="auto"/>
        <w:ind w:left="482"/>
        <w:rPr>
          <w:rFonts w:ascii="宋体" w:hAnsi="宋体" w:eastAsia="宋体" w:cs="宋体"/>
          <w:sz w:val="24"/>
          <w:szCs w:val="24"/>
        </w:rPr>
      </w:pPr>
      <w:r>
        <w:rPr>
          <w:rFonts w:ascii="宋体" w:hAnsi="宋体" w:eastAsia="宋体" w:cs="宋体"/>
          <w:spacing w:val="-2"/>
          <w:sz w:val="24"/>
          <w:szCs w:val="24"/>
        </w:rPr>
        <w:t>六、双方责任</w:t>
      </w:r>
    </w:p>
    <w:p w14:paraId="1EE7D497">
      <w:pPr>
        <w:spacing w:before="179" w:line="220" w:lineRule="auto"/>
        <w:ind w:left="492"/>
        <w:rPr>
          <w:rFonts w:ascii="宋体" w:hAnsi="宋体" w:eastAsia="宋体" w:cs="宋体"/>
          <w:sz w:val="24"/>
          <w:szCs w:val="24"/>
        </w:rPr>
      </w:pPr>
      <w:r>
        <w:rPr>
          <w:rFonts w:ascii="宋体" w:hAnsi="宋体" w:eastAsia="宋体" w:cs="宋体"/>
          <w:spacing w:val="-3"/>
          <w:sz w:val="24"/>
          <w:szCs w:val="24"/>
        </w:rPr>
        <w:t>（一）甲方责任</w:t>
      </w:r>
    </w:p>
    <w:p w14:paraId="4C6DF199">
      <w:pPr>
        <w:spacing w:before="182" w:line="220" w:lineRule="auto"/>
        <w:ind w:left="498"/>
        <w:rPr>
          <w:rFonts w:ascii="宋体" w:hAnsi="宋体" w:eastAsia="宋体" w:cs="宋体"/>
          <w:sz w:val="24"/>
          <w:szCs w:val="24"/>
        </w:rPr>
      </w:pPr>
      <w:r>
        <w:rPr>
          <w:rFonts w:ascii="宋体" w:hAnsi="宋体" w:eastAsia="宋体" w:cs="宋体"/>
          <w:spacing w:val="-1"/>
          <w:sz w:val="24"/>
          <w:szCs w:val="24"/>
        </w:rPr>
        <w:t>1、甲方应作好事先技术指导、中间检查、事后审核验收等工作；</w:t>
      </w:r>
    </w:p>
    <w:p w14:paraId="36599AFE">
      <w:pPr>
        <w:spacing w:before="180" w:line="219" w:lineRule="auto"/>
        <w:ind w:left="483"/>
        <w:rPr>
          <w:rFonts w:ascii="宋体" w:hAnsi="宋体" w:eastAsia="宋体" w:cs="宋体"/>
          <w:sz w:val="24"/>
          <w:szCs w:val="24"/>
        </w:rPr>
      </w:pPr>
      <w:r>
        <w:rPr>
          <w:rFonts w:ascii="宋体" w:hAnsi="宋体" w:eastAsia="宋体" w:cs="宋体"/>
          <w:spacing w:val="-1"/>
          <w:sz w:val="24"/>
          <w:szCs w:val="24"/>
        </w:rPr>
        <w:t>2、甲方提供乙方做规划编制必要的基础资料；</w:t>
      </w:r>
    </w:p>
    <w:p w14:paraId="1DE04194">
      <w:pPr>
        <w:spacing w:before="181" w:line="220" w:lineRule="auto"/>
        <w:ind w:left="485"/>
        <w:rPr>
          <w:rFonts w:ascii="宋体" w:hAnsi="宋体" w:eastAsia="宋体" w:cs="宋体"/>
          <w:sz w:val="24"/>
          <w:szCs w:val="24"/>
        </w:rPr>
      </w:pPr>
      <w:r>
        <w:rPr>
          <w:rFonts w:ascii="宋体" w:hAnsi="宋体" w:eastAsia="宋体" w:cs="宋体"/>
          <w:spacing w:val="-1"/>
          <w:sz w:val="24"/>
          <w:szCs w:val="24"/>
        </w:rPr>
        <w:t>3、甲方指定专职人员负责项目对接工作；</w:t>
      </w:r>
    </w:p>
    <w:p w14:paraId="5DB7AE0E">
      <w:pPr>
        <w:spacing w:before="182" w:line="220" w:lineRule="auto"/>
        <w:ind w:left="480"/>
        <w:rPr>
          <w:rFonts w:ascii="宋体" w:hAnsi="宋体" w:eastAsia="宋体" w:cs="宋体"/>
          <w:sz w:val="24"/>
          <w:szCs w:val="24"/>
        </w:rPr>
      </w:pPr>
      <w:r>
        <w:rPr>
          <w:rFonts w:ascii="宋体" w:hAnsi="宋体" w:eastAsia="宋体" w:cs="宋体"/>
          <w:spacing w:val="-1"/>
          <w:sz w:val="24"/>
          <w:szCs w:val="24"/>
        </w:rPr>
        <w:t>4、甲方应按照合同规定向乙方付款。</w:t>
      </w:r>
    </w:p>
    <w:p w14:paraId="111D8DE4">
      <w:pPr>
        <w:spacing w:before="78" w:line="220" w:lineRule="auto"/>
        <w:ind w:left="491"/>
        <w:rPr>
          <w:rFonts w:ascii="宋体" w:hAnsi="宋体" w:eastAsia="宋体" w:cs="宋体"/>
          <w:sz w:val="24"/>
          <w:szCs w:val="24"/>
        </w:rPr>
      </w:pPr>
      <w:r>
        <w:rPr>
          <w:rFonts w:ascii="宋体" w:hAnsi="宋体" w:eastAsia="宋体" w:cs="宋体"/>
          <w:spacing w:val="-3"/>
          <w:sz w:val="24"/>
          <w:szCs w:val="24"/>
        </w:rPr>
        <w:t>（二）乙方责任</w:t>
      </w:r>
    </w:p>
    <w:p w14:paraId="786F8997">
      <w:pPr>
        <w:spacing w:before="179" w:line="220" w:lineRule="auto"/>
        <w:ind w:left="497"/>
        <w:rPr>
          <w:rFonts w:ascii="宋体" w:hAnsi="宋体" w:eastAsia="宋体" w:cs="宋体"/>
          <w:sz w:val="24"/>
          <w:szCs w:val="24"/>
        </w:rPr>
      </w:pPr>
      <w:r>
        <w:rPr>
          <w:rFonts w:ascii="宋体" w:hAnsi="宋体" w:eastAsia="宋体" w:cs="宋体"/>
          <w:spacing w:val="-2"/>
          <w:sz w:val="24"/>
          <w:szCs w:val="24"/>
        </w:rPr>
        <w:t>1、乙方须自备工作所需的办公用品；</w:t>
      </w:r>
    </w:p>
    <w:p w14:paraId="11487255">
      <w:pPr>
        <w:spacing w:before="178" w:line="291" w:lineRule="auto"/>
        <w:ind w:left="6" w:right="2" w:firstLine="476"/>
        <w:rPr>
          <w:rFonts w:ascii="宋体" w:hAnsi="宋体" w:eastAsia="宋体" w:cs="宋体"/>
          <w:sz w:val="24"/>
          <w:szCs w:val="24"/>
        </w:rPr>
      </w:pPr>
      <w:r>
        <w:rPr>
          <w:rFonts w:ascii="宋体" w:hAnsi="宋体" w:eastAsia="宋体" w:cs="宋体"/>
          <w:spacing w:val="2"/>
          <w:sz w:val="24"/>
          <w:szCs w:val="24"/>
        </w:rPr>
        <w:t>2、乙方应保证成果满足甲方使用要求，对不符合的部分免费修改，直至甲</w:t>
      </w:r>
      <w:r>
        <w:rPr>
          <w:rFonts w:ascii="宋体" w:hAnsi="宋体" w:eastAsia="宋体" w:cs="宋体"/>
          <w:spacing w:val="1"/>
          <w:sz w:val="24"/>
          <w:szCs w:val="24"/>
        </w:rPr>
        <w:t>方满</w:t>
      </w:r>
      <w:r>
        <w:rPr>
          <w:rFonts w:ascii="宋体" w:hAnsi="宋体" w:eastAsia="宋体" w:cs="宋体"/>
          <w:sz w:val="24"/>
          <w:szCs w:val="24"/>
        </w:rPr>
        <w:t xml:space="preserve"> </w:t>
      </w:r>
      <w:r>
        <w:rPr>
          <w:rFonts w:ascii="宋体" w:hAnsi="宋体" w:eastAsia="宋体" w:cs="宋体"/>
          <w:spacing w:val="-4"/>
          <w:sz w:val="24"/>
          <w:szCs w:val="24"/>
        </w:rPr>
        <w:t>意为止；</w:t>
      </w:r>
    </w:p>
    <w:p w14:paraId="43785278">
      <w:pPr>
        <w:spacing w:before="178" w:line="219" w:lineRule="auto"/>
        <w:ind w:left="484"/>
        <w:rPr>
          <w:rFonts w:ascii="Arial"/>
          <w:sz w:val="21"/>
        </w:rPr>
      </w:pPr>
      <w:r>
        <w:rPr>
          <w:rFonts w:ascii="宋体" w:hAnsi="宋体" w:eastAsia="宋体" w:cs="宋体"/>
          <w:spacing w:val="-1"/>
          <w:sz w:val="24"/>
          <w:szCs w:val="24"/>
        </w:rPr>
        <w:t>3、乙方保证严格遵守保密协议，对甲方提供的有关数据不私自复制转卖。</w:t>
      </w:r>
    </w:p>
    <w:p w14:paraId="24DA3891">
      <w:pPr>
        <w:spacing w:line="285" w:lineRule="auto"/>
        <w:rPr>
          <w:rFonts w:ascii="Arial"/>
          <w:sz w:val="21"/>
        </w:rPr>
      </w:pPr>
    </w:p>
    <w:p w14:paraId="3E32CF0E">
      <w:pPr>
        <w:spacing w:before="79" w:line="219" w:lineRule="auto"/>
        <w:ind w:left="480"/>
        <w:rPr>
          <w:rFonts w:ascii="宋体" w:hAnsi="宋体" w:eastAsia="宋体" w:cs="宋体"/>
          <w:sz w:val="24"/>
          <w:szCs w:val="24"/>
        </w:rPr>
      </w:pPr>
      <w:r>
        <w:rPr>
          <w:rFonts w:ascii="宋体" w:hAnsi="宋体" w:eastAsia="宋体" w:cs="宋体"/>
          <w:spacing w:val="-1"/>
          <w:sz w:val="24"/>
          <w:szCs w:val="24"/>
        </w:rPr>
        <w:t>第七条 双方确定因履行本合同应遵守的保密义务如下：</w:t>
      </w:r>
    </w:p>
    <w:p w14:paraId="5C74E0F3">
      <w:pPr>
        <w:spacing w:before="181" w:line="336" w:lineRule="auto"/>
        <w:ind w:firstLine="497"/>
        <w:rPr>
          <w:rFonts w:ascii="宋体" w:hAnsi="宋体" w:eastAsia="宋体" w:cs="宋体"/>
          <w:sz w:val="24"/>
          <w:szCs w:val="24"/>
        </w:rPr>
      </w:pPr>
      <w:r>
        <w:rPr>
          <w:rFonts w:ascii="宋体" w:hAnsi="宋体" w:eastAsia="宋体" w:cs="宋体"/>
          <w:spacing w:val="-2"/>
          <w:sz w:val="24"/>
          <w:szCs w:val="24"/>
        </w:rPr>
        <w:t>1.甲乙双方在本合同签订、履行过程中接受或知悉的对方资料、数据和工作秘密</w:t>
      </w:r>
      <w:r>
        <w:rPr>
          <w:rFonts w:ascii="宋体" w:hAnsi="宋体" w:eastAsia="宋体" w:cs="宋体"/>
          <w:spacing w:val="7"/>
          <w:sz w:val="24"/>
          <w:szCs w:val="24"/>
        </w:rPr>
        <w:t xml:space="preserve"> </w:t>
      </w:r>
      <w:r>
        <w:rPr>
          <w:rFonts w:ascii="宋体" w:hAnsi="宋体" w:eastAsia="宋体" w:cs="宋体"/>
          <w:spacing w:val="-1"/>
          <w:sz w:val="24"/>
          <w:szCs w:val="24"/>
        </w:rPr>
        <w:t>等信息，均视为保密信息。未经另一方书面同意，不得向任何</w:t>
      </w:r>
      <w:r>
        <w:rPr>
          <w:rFonts w:ascii="宋体" w:hAnsi="宋体" w:eastAsia="宋体" w:cs="宋体"/>
          <w:spacing w:val="-2"/>
          <w:sz w:val="24"/>
          <w:szCs w:val="24"/>
        </w:rPr>
        <w:t>第三方披露本合同项下</w:t>
      </w:r>
      <w:r>
        <w:rPr>
          <w:rFonts w:ascii="宋体" w:hAnsi="宋体" w:eastAsia="宋体" w:cs="宋体"/>
          <w:sz w:val="24"/>
          <w:szCs w:val="24"/>
        </w:rPr>
        <w:t xml:space="preserve"> </w:t>
      </w:r>
      <w:r>
        <w:rPr>
          <w:rFonts w:ascii="宋体" w:hAnsi="宋体" w:eastAsia="宋体" w:cs="宋体"/>
          <w:spacing w:val="-1"/>
          <w:sz w:val="24"/>
          <w:szCs w:val="24"/>
        </w:rPr>
        <w:t>的任何信息。本合同项下一方依照有关法律法规的规定或者对</w:t>
      </w:r>
      <w:r>
        <w:rPr>
          <w:rFonts w:ascii="宋体" w:hAnsi="宋体" w:eastAsia="宋体" w:cs="宋体"/>
          <w:spacing w:val="-2"/>
          <w:sz w:val="24"/>
          <w:szCs w:val="24"/>
        </w:rPr>
        <w:t>其有管辖权的机关的要</w:t>
      </w:r>
      <w:r>
        <w:rPr>
          <w:rFonts w:ascii="宋体" w:hAnsi="宋体" w:eastAsia="宋体" w:cs="宋体"/>
          <w:sz w:val="24"/>
          <w:szCs w:val="24"/>
        </w:rPr>
        <w:t xml:space="preserve"> </w:t>
      </w:r>
      <w:r>
        <w:rPr>
          <w:rFonts w:ascii="宋体" w:hAnsi="宋体" w:eastAsia="宋体" w:cs="宋体"/>
          <w:spacing w:val="-1"/>
          <w:sz w:val="24"/>
          <w:szCs w:val="24"/>
        </w:rPr>
        <w:t>求而进行披露的，或者为本合同之目的合理披露给该方的审计</w:t>
      </w:r>
      <w:r>
        <w:rPr>
          <w:rFonts w:ascii="宋体" w:hAnsi="宋体" w:eastAsia="宋体" w:cs="宋体"/>
          <w:spacing w:val="-2"/>
          <w:sz w:val="24"/>
          <w:szCs w:val="24"/>
        </w:rPr>
        <w:t>师、法律顾问或其他中</w:t>
      </w:r>
      <w:r>
        <w:rPr>
          <w:rFonts w:ascii="宋体" w:hAnsi="宋体" w:eastAsia="宋体" w:cs="宋体"/>
          <w:sz w:val="24"/>
          <w:szCs w:val="24"/>
        </w:rPr>
        <w:t xml:space="preserve"> </w:t>
      </w:r>
      <w:r>
        <w:rPr>
          <w:rFonts w:ascii="宋体" w:hAnsi="宋体" w:eastAsia="宋体" w:cs="宋体"/>
          <w:spacing w:val="1"/>
          <w:sz w:val="24"/>
          <w:szCs w:val="24"/>
        </w:rPr>
        <w:t>介机构的（该方应当要求和监督上述中介机构和人士承担保密义务</w:t>
      </w:r>
      <w:r>
        <w:rPr>
          <w:rFonts w:ascii="宋体" w:hAnsi="宋体" w:eastAsia="宋体" w:cs="宋体"/>
          <w:spacing w:val="-41"/>
          <w:sz w:val="24"/>
          <w:szCs w:val="24"/>
        </w:rPr>
        <w:t>），</w:t>
      </w:r>
      <w:r>
        <w:rPr>
          <w:rFonts w:ascii="宋体" w:hAnsi="宋体" w:eastAsia="宋体" w:cs="宋体"/>
          <w:spacing w:val="1"/>
          <w:sz w:val="24"/>
          <w:szCs w:val="24"/>
        </w:rPr>
        <w:t>不视为违反保</w:t>
      </w:r>
      <w:r>
        <w:rPr>
          <w:rFonts w:ascii="宋体" w:hAnsi="宋体" w:eastAsia="宋体" w:cs="宋体"/>
          <w:sz w:val="24"/>
          <w:szCs w:val="24"/>
        </w:rPr>
        <w:t xml:space="preserve"> </w:t>
      </w:r>
      <w:r>
        <w:rPr>
          <w:rFonts w:ascii="宋体" w:hAnsi="宋体" w:eastAsia="宋体" w:cs="宋体"/>
          <w:spacing w:val="-3"/>
          <w:sz w:val="24"/>
          <w:szCs w:val="24"/>
        </w:rPr>
        <w:t>密义务。</w:t>
      </w:r>
    </w:p>
    <w:p w14:paraId="1A151108">
      <w:pPr>
        <w:spacing w:before="180" w:line="219" w:lineRule="auto"/>
        <w:ind w:left="482"/>
        <w:rPr>
          <w:rFonts w:ascii="宋体" w:hAnsi="宋体" w:eastAsia="宋体" w:cs="宋体"/>
          <w:sz w:val="24"/>
          <w:szCs w:val="24"/>
        </w:rPr>
      </w:pPr>
      <w:r>
        <w:rPr>
          <w:rFonts w:ascii="宋体" w:hAnsi="宋体" w:eastAsia="宋体" w:cs="宋体"/>
          <w:spacing w:val="-1"/>
          <w:sz w:val="24"/>
          <w:szCs w:val="24"/>
        </w:rPr>
        <w:t>2.本保密条款不因本合同的变更、解除或终止而失效。</w:t>
      </w:r>
    </w:p>
    <w:p w14:paraId="2EEE31F3">
      <w:pPr>
        <w:spacing w:before="183" w:line="219" w:lineRule="auto"/>
        <w:ind w:left="480"/>
        <w:rPr>
          <w:rFonts w:ascii="宋体" w:hAnsi="宋体" w:eastAsia="宋体" w:cs="宋体"/>
          <w:sz w:val="24"/>
          <w:szCs w:val="24"/>
        </w:rPr>
      </w:pPr>
      <w:r>
        <w:rPr>
          <w:rFonts w:ascii="宋体" w:hAnsi="宋体" w:eastAsia="宋体" w:cs="宋体"/>
          <w:spacing w:val="-1"/>
          <w:sz w:val="24"/>
          <w:szCs w:val="24"/>
        </w:rPr>
        <w:t>第八条 本合同的变更必须由双方协商一致，并以书面形式确定。</w:t>
      </w:r>
    </w:p>
    <w:p w14:paraId="513D3E64">
      <w:pPr>
        <w:spacing w:before="180" w:line="220" w:lineRule="auto"/>
        <w:ind w:left="480"/>
        <w:rPr>
          <w:rFonts w:ascii="宋体" w:hAnsi="宋体" w:eastAsia="宋体" w:cs="宋体"/>
          <w:sz w:val="24"/>
          <w:szCs w:val="24"/>
        </w:rPr>
      </w:pPr>
      <w:r>
        <w:rPr>
          <w:rFonts w:ascii="宋体" w:hAnsi="宋体" w:eastAsia="宋体" w:cs="宋体"/>
          <w:spacing w:val="-1"/>
          <w:sz w:val="24"/>
          <w:szCs w:val="24"/>
        </w:rPr>
        <w:t>第九条 双方确定，按以下约定承担各自的违约责任：</w:t>
      </w:r>
    </w:p>
    <w:p w14:paraId="60225038">
      <w:pPr>
        <w:spacing w:before="183" w:line="289" w:lineRule="auto"/>
        <w:ind w:left="18" w:firstLine="479"/>
        <w:rPr>
          <w:rFonts w:ascii="宋体" w:hAnsi="宋体" w:eastAsia="宋体" w:cs="宋体"/>
          <w:sz w:val="24"/>
          <w:szCs w:val="24"/>
        </w:rPr>
      </w:pPr>
      <w:r>
        <w:rPr>
          <w:rFonts w:ascii="宋体" w:hAnsi="宋体" w:eastAsia="宋体" w:cs="宋体"/>
          <w:spacing w:val="-2"/>
          <w:sz w:val="24"/>
          <w:szCs w:val="24"/>
        </w:rPr>
        <w:t>1.甲方如不按本合同规定向乙方提供项目资料和工作条件的，乙方可按耽误的时</w:t>
      </w:r>
      <w:r>
        <w:rPr>
          <w:rFonts w:ascii="宋体" w:hAnsi="宋体" w:eastAsia="宋体" w:cs="宋体"/>
          <w:spacing w:val="7"/>
          <w:sz w:val="24"/>
          <w:szCs w:val="24"/>
        </w:rPr>
        <w:t xml:space="preserve"> </w:t>
      </w:r>
      <w:r>
        <w:rPr>
          <w:rFonts w:ascii="宋体" w:hAnsi="宋体" w:eastAsia="宋体" w:cs="宋体"/>
          <w:spacing w:val="-4"/>
          <w:sz w:val="24"/>
          <w:szCs w:val="24"/>
        </w:rPr>
        <w:t>间顺延交付成果。</w:t>
      </w:r>
    </w:p>
    <w:p w14:paraId="100C2869">
      <w:pPr>
        <w:spacing w:before="182" w:line="313" w:lineRule="auto"/>
        <w:ind w:firstLine="483"/>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.因乙方原因，导致项目工作未能按期完成</w:t>
      </w:r>
      <w:r>
        <w:rPr>
          <w:rFonts w:ascii="宋体" w:hAnsi="宋体" w:eastAsia="宋体" w:cs="宋体"/>
          <w:spacing w:val="-2"/>
          <w:sz w:val="24"/>
          <w:szCs w:val="24"/>
        </w:rPr>
        <w:t>，或者项目成果未能达到合同约定要</w:t>
      </w:r>
      <w:r>
        <w:rPr>
          <w:rFonts w:ascii="宋体" w:hAnsi="宋体" w:eastAsia="宋体" w:cs="宋体"/>
          <w:sz w:val="24"/>
          <w:szCs w:val="24"/>
        </w:rPr>
        <w:t xml:space="preserve"> </w:t>
      </w:r>
      <w:r>
        <w:rPr>
          <w:rFonts w:ascii="宋体" w:hAnsi="宋体" w:eastAsia="宋体" w:cs="宋体"/>
          <w:spacing w:val="-1"/>
          <w:sz w:val="24"/>
          <w:szCs w:val="24"/>
        </w:rPr>
        <w:t>求的，乙方应当采取措施尽快完成项目工作或者使项目成果</w:t>
      </w:r>
      <w:r>
        <w:rPr>
          <w:rFonts w:ascii="宋体" w:hAnsi="宋体" w:eastAsia="宋体" w:cs="宋体"/>
          <w:spacing w:val="-2"/>
          <w:sz w:val="24"/>
          <w:szCs w:val="24"/>
        </w:rPr>
        <w:t>达到合同要求，并承担由此而增加的费用。</w:t>
      </w:r>
    </w:p>
    <w:p w14:paraId="4A72AD55">
      <w:pPr>
        <w:spacing w:before="181" w:line="289" w:lineRule="auto"/>
        <w:ind w:left="4" w:firstLine="474"/>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.乙方提交的项目成果应符合本合同的规定及相关法律规</w:t>
      </w:r>
      <w:r>
        <w:rPr>
          <w:rFonts w:ascii="宋体" w:hAnsi="宋体" w:eastAsia="宋体" w:cs="宋体"/>
          <w:spacing w:val="-2"/>
          <w:sz w:val="24"/>
          <w:szCs w:val="24"/>
        </w:rPr>
        <w:t>定和行业规范，并对成</w:t>
      </w:r>
      <w:r>
        <w:rPr>
          <w:rFonts w:ascii="宋体" w:hAnsi="宋体" w:eastAsia="宋体" w:cs="宋体"/>
          <w:sz w:val="24"/>
          <w:szCs w:val="24"/>
        </w:rPr>
        <w:t xml:space="preserve"> </w:t>
      </w:r>
      <w:r>
        <w:rPr>
          <w:rFonts w:ascii="宋体" w:hAnsi="宋体" w:eastAsia="宋体" w:cs="宋体"/>
          <w:spacing w:val="-1"/>
          <w:sz w:val="24"/>
          <w:szCs w:val="24"/>
        </w:rPr>
        <w:t>果文件负责，如有违反由乙方承担全部责任。</w:t>
      </w:r>
    </w:p>
    <w:p w14:paraId="6959C0E1">
      <w:pPr>
        <w:spacing w:line="275" w:lineRule="auto"/>
        <w:rPr>
          <w:rFonts w:ascii="Arial"/>
          <w:sz w:val="21"/>
        </w:rPr>
      </w:pPr>
    </w:p>
    <w:p w14:paraId="30BE1D37">
      <w:pPr>
        <w:spacing w:before="79" w:line="402" w:lineRule="auto"/>
        <w:ind w:left="1" w:right="59" w:firstLine="478"/>
        <w:rPr>
          <w:rFonts w:ascii="宋体" w:hAnsi="宋体" w:eastAsia="宋体" w:cs="宋体"/>
          <w:sz w:val="24"/>
          <w:szCs w:val="24"/>
        </w:rPr>
      </w:pPr>
      <w:r>
        <w:rPr>
          <w:rFonts w:ascii="宋体" w:hAnsi="宋体" w:eastAsia="宋体" w:cs="宋体"/>
          <w:sz w:val="24"/>
          <w:szCs w:val="24"/>
        </w:rPr>
        <w:t>第十条 双方确定，出现下列情形，致使本合同的履行成为不必要或不可能的，</w:t>
      </w:r>
      <w:r>
        <w:rPr>
          <w:rFonts w:ascii="宋体" w:hAnsi="宋体" w:eastAsia="宋体" w:cs="宋体"/>
          <w:spacing w:val="14"/>
          <w:sz w:val="24"/>
          <w:szCs w:val="24"/>
        </w:rPr>
        <w:t xml:space="preserve"> </w:t>
      </w:r>
      <w:r>
        <w:rPr>
          <w:rFonts w:ascii="宋体" w:hAnsi="宋体" w:eastAsia="宋体" w:cs="宋体"/>
          <w:spacing w:val="-2"/>
          <w:sz w:val="24"/>
          <w:szCs w:val="24"/>
        </w:rPr>
        <w:t>可以解除本合同：</w:t>
      </w:r>
    </w:p>
    <w:p w14:paraId="25AA8398">
      <w:pPr>
        <w:spacing w:before="78" w:line="220" w:lineRule="auto"/>
        <w:ind w:left="85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4"/>
          <w:sz w:val="24"/>
          <w:szCs w:val="24"/>
          <w:u w:val="single" w:color="auto"/>
        </w:rPr>
        <w:t>发生不可抗力；</w:t>
      </w:r>
    </w:p>
    <w:p w14:paraId="4CF42793">
      <w:pPr>
        <w:spacing w:before="234" w:line="220" w:lineRule="auto"/>
        <w:ind w:left="841"/>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
          <w:sz w:val="24"/>
          <w:szCs w:val="24"/>
          <w:u w:val="single" w:color="auto"/>
        </w:rPr>
        <w:t>双方协议解除。</w:t>
      </w:r>
    </w:p>
    <w:p w14:paraId="1B71467F">
      <w:pPr>
        <w:spacing w:before="235" w:line="219" w:lineRule="auto"/>
        <w:ind w:left="479"/>
        <w:rPr>
          <w:rFonts w:ascii="宋体" w:hAnsi="宋体" w:eastAsia="宋体" w:cs="宋体"/>
          <w:sz w:val="24"/>
          <w:szCs w:val="24"/>
        </w:rPr>
      </w:pPr>
      <w:r>
        <w:rPr>
          <w:rFonts w:ascii="宋体" w:hAnsi="宋体" w:eastAsia="宋体" w:cs="宋体"/>
          <w:spacing w:val="-1"/>
          <w:sz w:val="24"/>
          <w:szCs w:val="24"/>
        </w:rPr>
        <w:t>第十一条 双方因履行本合同而发生的争议，应协商、调解解决。</w:t>
      </w:r>
    </w:p>
    <w:p w14:paraId="31F385B6">
      <w:pPr>
        <w:spacing w:before="233" w:line="219" w:lineRule="auto"/>
        <w:jc w:val="right"/>
        <w:rPr>
          <w:rFonts w:ascii="宋体" w:hAnsi="宋体" w:eastAsia="宋体" w:cs="宋体"/>
          <w:sz w:val="24"/>
          <w:szCs w:val="24"/>
        </w:rPr>
      </w:pPr>
      <w:r>
        <w:rPr>
          <w:rFonts w:ascii="宋体" w:hAnsi="宋体" w:eastAsia="宋体" w:cs="宋体"/>
          <w:spacing w:val="-5"/>
          <w:sz w:val="24"/>
          <w:szCs w:val="24"/>
        </w:rPr>
        <w:t>协商、调解不成的，双方均可向仲裁委员会申请</w:t>
      </w:r>
      <w:r>
        <w:rPr>
          <w:rFonts w:ascii="宋体" w:hAnsi="宋体" w:eastAsia="宋体" w:cs="宋体"/>
          <w:spacing w:val="-6"/>
          <w:sz w:val="24"/>
          <w:szCs w:val="24"/>
        </w:rPr>
        <w:t>仲裁，或向有管辖权的人民法院起诉。</w:t>
      </w:r>
    </w:p>
    <w:p w14:paraId="5B0D2767">
      <w:pPr>
        <w:spacing w:before="236" w:line="219" w:lineRule="auto"/>
        <w:ind w:left="479"/>
        <w:rPr>
          <w:rFonts w:ascii="宋体" w:hAnsi="宋体" w:eastAsia="宋体" w:cs="宋体"/>
          <w:sz w:val="24"/>
          <w:szCs w:val="24"/>
        </w:rPr>
      </w:pPr>
      <w:r>
        <w:rPr>
          <w:rFonts w:ascii="宋体" w:hAnsi="宋体" w:eastAsia="宋体" w:cs="宋体"/>
          <w:sz w:val="24"/>
          <w:szCs w:val="24"/>
        </w:rPr>
        <w:t>第十二条 双方约定本合同其他相关事项为：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C67FC01">
      <w:pPr>
        <w:spacing w:before="236" w:line="219" w:lineRule="auto"/>
        <w:ind w:left="479"/>
        <w:rPr>
          <w:rFonts w:ascii="宋体" w:hAnsi="宋体" w:eastAsia="宋体" w:cs="宋体"/>
          <w:sz w:val="24"/>
          <w:szCs w:val="24"/>
        </w:rPr>
      </w:pPr>
      <w:r>
        <w:rPr>
          <w:rFonts w:ascii="宋体" w:hAnsi="宋体" w:eastAsia="宋体" w:cs="宋体"/>
          <w:spacing w:val="-1"/>
          <w:sz w:val="24"/>
          <w:szCs w:val="24"/>
        </w:rPr>
        <w:t>第十三条 本合同一式</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份，甲乙双方各执</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份，具有同等法律效力。</w:t>
      </w:r>
    </w:p>
    <w:p w14:paraId="0D7E3A62">
      <w:pPr>
        <w:spacing w:before="234" w:line="219" w:lineRule="auto"/>
        <w:ind w:left="599"/>
        <w:rPr>
          <w:rFonts w:ascii="宋体" w:hAnsi="宋体" w:eastAsia="宋体" w:cs="宋体"/>
          <w:sz w:val="24"/>
          <w:szCs w:val="24"/>
        </w:rPr>
      </w:pPr>
      <w:r>
        <w:rPr>
          <w:rFonts w:ascii="宋体" w:hAnsi="宋体" w:eastAsia="宋体" w:cs="宋体"/>
          <w:spacing w:val="-1"/>
          <w:sz w:val="24"/>
          <w:szCs w:val="24"/>
        </w:rPr>
        <w:t>第十四条 本合同经双方签字盖章后生效。</w:t>
      </w:r>
    </w:p>
    <w:p w14:paraId="273EFBE1">
      <w:pPr>
        <w:spacing w:line="337" w:lineRule="auto"/>
        <w:rPr>
          <w:rFonts w:ascii="Arial"/>
          <w:sz w:val="21"/>
        </w:rPr>
      </w:pPr>
    </w:p>
    <w:p w14:paraId="7C121F02">
      <w:pPr>
        <w:spacing w:line="337" w:lineRule="auto"/>
        <w:rPr>
          <w:rFonts w:ascii="Arial"/>
          <w:sz w:val="21"/>
        </w:rPr>
      </w:pPr>
    </w:p>
    <w:p w14:paraId="4C227EFD">
      <w:pPr>
        <w:spacing w:before="78" w:line="219" w:lineRule="auto"/>
        <w:ind w:left="510"/>
        <w:rPr>
          <w:rFonts w:ascii="宋体" w:hAnsi="宋体" w:eastAsia="宋体" w:cs="宋体"/>
          <w:sz w:val="24"/>
          <w:szCs w:val="24"/>
        </w:rPr>
      </w:pPr>
      <w:r>
        <w:rPr>
          <w:rFonts w:ascii="宋体" w:hAnsi="宋体" w:eastAsia="宋体" w:cs="宋体"/>
          <w:spacing w:val="-2"/>
          <w:sz w:val="24"/>
          <w:szCs w:val="24"/>
        </w:rPr>
        <w:t>甲方</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盖章）</w:t>
      </w:r>
    </w:p>
    <w:p w14:paraId="2F0B0EF2">
      <w:pPr>
        <w:spacing w:before="234" w:line="220" w:lineRule="auto"/>
        <w:ind w:left="480"/>
        <w:rPr>
          <w:rFonts w:ascii="宋体" w:hAnsi="宋体" w:eastAsia="宋体" w:cs="宋体"/>
          <w:sz w:val="24"/>
          <w:szCs w:val="24"/>
        </w:rPr>
      </w:pPr>
      <w:r>
        <w:rPr>
          <w:rFonts w:ascii="宋体" w:hAnsi="宋体" w:eastAsia="宋体" w:cs="宋体"/>
          <w:spacing w:val="1"/>
          <w:sz w:val="24"/>
          <w:szCs w:val="24"/>
        </w:rPr>
        <w:t>法定代表人／委托代理人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签名）</w:t>
      </w:r>
    </w:p>
    <w:p w14:paraId="61664F20">
      <w:pPr>
        <w:spacing w:before="235" w:line="220" w:lineRule="auto"/>
        <w:ind w:left="444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31B9C3C2">
      <w:pPr>
        <w:spacing w:before="235" w:line="219" w:lineRule="auto"/>
        <w:ind w:left="498"/>
        <w:rPr>
          <w:rFonts w:ascii="宋体" w:hAnsi="宋体" w:eastAsia="宋体" w:cs="宋体"/>
          <w:sz w:val="24"/>
          <w:szCs w:val="24"/>
        </w:rPr>
      </w:pPr>
      <w:r>
        <w:rPr>
          <w:rFonts w:ascii="宋体" w:hAnsi="宋体" w:eastAsia="宋体" w:cs="宋体"/>
          <w:spacing w:val="1"/>
          <w:sz w:val="24"/>
          <w:szCs w:val="24"/>
        </w:rPr>
        <w:t>乙方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1"/>
          <w:sz w:val="24"/>
          <w:szCs w:val="24"/>
        </w:rPr>
        <w:t>盖章）</w:t>
      </w:r>
    </w:p>
    <w:p w14:paraId="72877C0C">
      <w:pPr>
        <w:spacing w:before="233" w:line="220" w:lineRule="auto"/>
        <w:ind w:left="360"/>
        <w:rPr>
          <w:rFonts w:ascii="宋体" w:hAnsi="宋体" w:eastAsia="宋体" w:cs="宋体"/>
          <w:sz w:val="24"/>
          <w:szCs w:val="24"/>
        </w:rPr>
      </w:pPr>
      <w:r>
        <w:rPr>
          <w:rFonts w:ascii="宋体" w:hAnsi="宋体" w:eastAsia="宋体" w:cs="宋体"/>
          <w:spacing w:val="1"/>
          <w:sz w:val="24"/>
          <w:szCs w:val="24"/>
        </w:rPr>
        <w:t>法定代表人／委托代理人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签名）</w:t>
      </w:r>
    </w:p>
    <w:p w14:paraId="05ACFB29">
      <w:pPr>
        <w:spacing w:before="235" w:line="220" w:lineRule="auto"/>
        <w:ind w:left="45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0ED11432">
      <w:pPr>
        <w:rPr>
          <w:rFonts w:hint="eastAsia"/>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588EEBB4">
      <w:pPr>
        <w:spacing w:before="62"/>
        <w:jc w:val="left"/>
        <w:rPr>
          <w:rFonts w:ascii="仿宋" w:hAnsi="仿宋" w:eastAsia="仿宋"/>
          <w:b/>
          <w:sz w:val="32"/>
        </w:rPr>
      </w:pPr>
      <w:bookmarkStart w:id="19" w:name="_Toc138068729"/>
      <w:bookmarkStart w:id="20" w:name="_Toc184023138"/>
      <w:bookmarkStart w:id="21" w:name="_Toc174185203"/>
      <w:bookmarkStart w:id="22" w:name="_Toc186274126"/>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23"/>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7"/>
        <w:spacing w:before="62" w:line="360" w:lineRule="auto"/>
        <w:jc w:val="center"/>
        <w:outlineLvl w:val="1"/>
        <w:rPr>
          <w:rFonts w:hint="eastAsia" w:ascii="仿宋" w:hAnsi="仿宋" w:eastAsia="仿宋"/>
          <w:b/>
          <w:bCs/>
          <w:snapToGrid w:val="0"/>
          <w:sz w:val="28"/>
          <w:szCs w:val="28"/>
        </w:rPr>
      </w:pPr>
    </w:p>
    <w:p w14:paraId="7D46F790">
      <w:pPr>
        <w:pStyle w:val="7"/>
        <w:spacing w:before="62" w:line="360" w:lineRule="auto"/>
        <w:jc w:val="center"/>
        <w:outlineLvl w:val="1"/>
        <w:rPr>
          <w:rFonts w:hint="eastAsia" w:ascii="仿宋" w:hAnsi="仿宋" w:eastAsia="仿宋"/>
          <w:b/>
          <w:bCs/>
          <w:snapToGrid w:val="0"/>
          <w:sz w:val="28"/>
          <w:szCs w:val="28"/>
        </w:rPr>
      </w:pPr>
    </w:p>
    <w:p w14:paraId="689E1E8E">
      <w:pPr>
        <w:pStyle w:val="7"/>
        <w:spacing w:before="62" w:line="360" w:lineRule="auto"/>
        <w:jc w:val="center"/>
        <w:outlineLvl w:val="1"/>
        <w:rPr>
          <w:rFonts w:hint="eastAsia" w:ascii="仿宋" w:hAnsi="仿宋" w:eastAsia="仿宋"/>
          <w:b/>
          <w:bCs/>
          <w:snapToGrid w:val="0"/>
          <w:sz w:val="28"/>
          <w:szCs w:val="28"/>
        </w:rPr>
      </w:pPr>
    </w:p>
    <w:p w14:paraId="64DC9605">
      <w:pPr>
        <w:pStyle w:val="7"/>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7"/>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7"/>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7"/>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7"/>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7"/>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7"/>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7"/>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7"/>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7"/>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4"/>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4"/>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7"/>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4"/>
        <w:spacing w:before="62" w:beforeAutospacing="0" w:after="210" w:afterAutospacing="0" w:line="360" w:lineRule="auto"/>
        <w:rPr>
          <w:rFonts w:ascii="仿宋" w:hAnsi="仿宋" w:eastAsia="仿宋"/>
        </w:rPr>
      </w:pPr>
    </w:p>
    <w:p w14:paraId="5DC8DE5A">
      <w:pPr>
        <w:pStyle w:val="14"/>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7"/>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 标函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根据贵方 （项目名称、招标编号）采购的采购公告及磋商邀请，_______（姓名和职务）被正式授权并代表供应商（供应商名称、地址）提交。</w:t>
      </w:r>
    </w:p>
    <w:p w14:paraId="64899977">
      <w:pPr>
        <w:pStyle w:val="7"/>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7"/>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4"/>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4"/>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7"/>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7"/>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7"/>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7"/>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7"/>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7"/>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4"/>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4"/>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4"/>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4"/>
        <w:spacing w:before="62"/>
        <w:ind w:firstLine="472" w:firstLineChars="225"/>
        <w:jc w:val="left"/>
        <w:rPr>
          <w:rFonts w:ascii="仿宋" w:hAnsi="仿宋" w:eastAsia="仿宋"/>
          <w:sz w:val="21"/>
          <w:szCs w:val="21"/>
        </w:rPr>
      </w:pPr>
    </w:p>
    <w:p w14:paraId="19C3111A">
      <w:pPr>
        <w:pStyle w:val="34"/>
        <w:spacing w:before="62"/>
        <w:ind w:firstLine="472" w:firstLineChars="225"/>
        <w:jc w:val="left"/>
        <w:rPr>
          <w:rFonts w:ascii="仿宋" w:hAnsi="仿宋" w:eastAsia="仿宋"/>
          <w:sz w:val="21"/>
          <w:szCs w:val="21"/>
        </w:rPr>
      </w:pPr>
    </w:p>
    <w:p w14:paraId="5AE0D018">
      <w:pPr>
        <w:pStyle w:val="34"/>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4"/>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5"/>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6"/>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9"/>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00B7B1C1">
      <w:pPr>
        <w:autoSpaceDE w:val="0"/>
        <w:autoSpaceDN w:val="0"/>
        <w:spacing w:before="62" w:line="360" w:lineRule="auto"/>
        <w:jc w:val="center"/>
        <w:outlineLvl w:val="2"/>
        <w:rPr>
          <w:rFonts w:ascii="仿宋" w:hAnsi="仿宋" w:eastAsia="仿宋"/>
          <w:b/>
          <w:sz w:val="28"/>
          <w:szCs w:val="24"/>
        </w:rPr>
      </w:pP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4B48D31A">
      <w:pPr>
        <w:autoSpaceDE w:val="0"/>
        <w:autoSpaceDN w:val="0"/>
        <w:spacing w:before="62" w:line="360" w:lineRule="auto"/>
        <w:jc w:val="center"/>
        <w:outlineLvl w:val="2"/>
        <w:rPr>
          <w:rFonts w:ascii="仿宋" w:hAnsi="仿宋" w:eastAsia="仿宋" w:cs="宋体"/>
          <w:b/>
          <w:sz w:val="28"/>
          <w:szCs w:val="24"/>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10FF5BFC">
      <w:pPr>
        <w:widowControl/>
        <w:spacing w:before="62" w:line="360" w:lineRule="auto"/>
        <w:ind w:firstLine="315" w:firstLineChars="150"/>
        <w:jc w:val="left"/>
        <w:rPr>
          <w:rFonts w:ascii="仿宋" w:hAnsi="仿宋" w:eastAsia="仿宋" w:cs="宋体"/>
        </w:rPr>
      </w:pPr>
    </w:p>
    <w:p w14:paraId="43BF70C0">
      <w:pPr>
        <w:widowControl/>
        <w:spacing w:before="62" w:line="360" w:lineRule="auto"/>
        <w:ind w:firstLine="315" w:firstLineChars="150"/>
        <w:jc w:val="left"/>
        <w:rPr>
          <w:rFonts w:ascii="仿宋" w:hAnsi="仿宋" w:eastAsia="仿宋" w:cs="宋体"/>
        </w:rPr>
      </w:pPr>
      <w:r>
        <w:rPr>
          <w:rFonts w:hint="eastAsia" w:ascii="仿宋" w:hAnsi="仿宋" w:eastAsia="仿宋" w:cs="宋体"/>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1.</w:t>
      </w:r>
      <w:r>
        <w:rPr>
          <w:rFonts w:hint="eastAsia" w:ascii="仿宋" w:hAnsi="仿宋" w:eastAsia="仿宋" w:cs="宋体"/>
          <w:i/>
          <w:u w:val="single"/>
        </w:rPr>
        <w:t xml:space="preserve"> （标的名称）</w:t>
      </w:r>
      <w:r>
        <w:rPr>
          <w:rFonts w:hint="eastAsia" w:ascii="仿宋" w:hAnsi="仿宋" w:eastAsia="仿宋" w:cs="宋体"/>
        </w:rPr>
        <w:t xml:space="preserve"> ，属于</w:t>
      </w:r>
      <w:r>
        <w:rPr>
          <w:rFonts w:hint="eastAsia" w:ascii="仿宋" w:hAnsi="仿宋" w:eastAsia="仿宋" w:cs="宋体"/>
          <w:i/>
          <w:u w:val="single"/>
        </w:rPr>
        <w:t>（采购文件中明确的所属行业）</w:t>
      </w:r>
      <w:r>
        <w:rPr>
          <w:rFonts w:hint="eastAsia" w:ascii="仿宋" w:hAnsi="仿宋" w:eastAsia="仿宋" w:cs="宋体"/>
        </w:rPr>
        <w:t>； 承建（承接）企业为</w:t>
      </w:r>
      <w:r>
        <w:rPr>
          <w:rFonts w:hint="eastAsia" w:ascii="仿宋" w:hAnsi="仿宋" w:eastAsia="仿宋" w:cs="宋体"/>
          <w:i/>
          <w:u w:val="single"/>
        </w:rPr>
        <w:t>（企业名称）</w:t>
      </w:r>
      <w:r>
        <w:rPr>
          <w:rFonts w:hint="eastAsia" w:ascii="仿宋" w:hAnsi="仿宋" w:eastAsia="仿宋" w:cs="宋体"/>
        </w:rPr>
        <w:t>，从业人员 人，营业 收入为万元，资产总额为万元，属于</w:t>
      </w:r>
      <w:r>
        <w:rPr>
          <w:rFonts w:hint="eastAsia" w:ascii="仿宋" w:hAnsi="仿宋" w:eastAsia="仿宋" w:cs="宋体"/>
          <w:i/>
          <w:u w:val="single"/>
        </w:rPr>
        <w:t>（中型企业、 小型企业、微型企业</w:t>
      </w:r>
      <w:r>
        <w:rPr>
          <w:rFonts w:hint="eastAsia" w:ascii="仿宋" w:hAnsi="仿宋" w:eastAsia="仿宋" w:cs="宋体"/>
        </w:rPr>
        <w:t>）；</w:t>
      </w:r>
    </w:p>
    <w:p w14:paraId="08C27B69">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2. </w:t>
      </w:r>
      <w:r>
        <w:rPr>
          <w:rFonts w:hint="eastAsia" w:ascii="仿宋" w:hAnsi="仿宋" w:eastAsia="仿宋" w:cs="宋体"/>
          <w:i/>
        </w:rPr>
        <w:t>（标的名称）</w:t>
      </w:r>
      <w:r>
        <w:rPr>
          <w:rFonts w:hint="eastAsia" w:ascii="仿宋" w:hAnsi="仿宋" w:eastAsia="仿宋" w:cs="宋体"/>
        </w:rPr>
        <w:t xml:space="preserve"> ，属于</w:t>
      </w:r>
      <w:r>
        <w:rPr>
          <w:rFonts w:hint="eastAsia" w:ascii="仿宋" w:hAnsi="仿宋" w:eastAsia="仿宋" w:cs="宋体"/>
          <w:i/>
        </w:rPr>
        <w:t>（采购文件中明确的所属行业）</w:t>
      </w:r>
      <w:r>
        <w:rPr>
          <w:rFonts w:hint="eastAsia" w:ascii="仿宋" w:hAnsi="仿宋" w:eastAsia="仿宋" w:cs="宋体"/>
        </w:rPr>
        <w:t>； 承建（承接）企业为</w:t>
      </w:r>
      <w:r>
        <w:rPr>
          <w:rFonts w:hint="eastAsia" w:ascii="仿宋" w:hAnsi="仿宋" w:eastAsia="仿宋" w:cs="宋体"/>
          <w:i/>
        </w:rPr>
        <w:t>（企业名称）</w:t>
      </w:r>
      <w:r>
        <w:rPr>
          <w:rFonts w:hint="eastAsia" w:ascii="仿宋" w:hAnsi="仿宋" w:eastAsia="仿宋" w:cs="宋体"/>
        </w:rPr>
        <w:t>，从业人员人，营业 收入为万元，资产总额为万元，属于</w:t>
      </w:r>
      <w:r>
        <w:rPr>
          <w:rFonts w:hint="eastAsia" w:ascii="仿宋" w:hAnsi="仿宋" w:eastAsia="仿宋" w:cs="宋体"/>
          <w:i/>
        </w:rPr>
        <w:t>（中型企业、 小型企业、微型企业）</w:t>
      </w:r>
      <w:r>
        <w:rPr>
          <w:rFonts w:hint="eastAsia" w:ascii="仿宋" w:hAnsi="仿宋" w:eastAsia="仿宋" w:cs="宋体"/>
        </w:rPr>
        <w:t>；</w:t>
      </w:r>
    </w:p>
    <w:p w14:paraId="070B856A">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w:t>
      </w:r>
    </w:p>
    <w:p w14:paraId="57E44387">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 以上企业，不属于大企业的分支机构，不存在控股股东 为大企业的情形，也不存在与大企业的负责人为同一人的情 形。 </w:t>
      </w:r>
    </w:p>
    <w:p w14:paraId="03CFAD32">
      <w:pPr>
        <w:widowControl/>
        <w:spacing w:before="62" w:line="360" w:lineRule="auto"/>
        <w:ind w:firstLine="315" w:firstLineChars="150"/>
        <w:jc w:val="left"/>
        <w:rPr>
          <w:rFonts w:ascii="仿宋" w:hAnsi="仿宋" w:eastAsia="仿宋" w:cs="宋体"/>
        </w:rPr>
      </w:pPr>
      <w:r>
        <w:rPr>
          <w:rFonts w:hint="eastAsia" w:ascii="仿宋" w:hAnsi="仿宋" w:eastAsia="仿宋" w:cs="宋体"/>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widowControl/>
        <w:spacing w:before="62" w:line="360" w:lineRule="auto"/>
        <w:ind w:right="1155" w:firstLine="315" w:firstLineChars="150"/>
        <w:jc w:val="center"/>
        <w:rPr>
          <w:rFonts w:ascii="仿宋" w:hAnsi="仿宋" w:eastAsia="仿宋" w:cs="宋体"/>
        </w:rPr>
      </w:pPr>
      <w:r>
        <w:rPr>
          <w:rFonts w:hint="eastAsia" w:ascii="仿宋" w:hAnsi="仿宋" w:eastAsia="仿宋" w:cs="宋体"/>
        </w:rPr>
        <w:t xml:space="preserve"> 日 期： </w:t>
      </w:r>
    </w:p>
    <w:p w14:paraId="5EB8F6E6">
      <w:pPr>
        <w:autoSpaceDE w:val="0"/>
        <w:autoSpaceDN w:val="0"/>
        <w:adjustRightInd w:val="0"/>
        <w:spacing w:before="62" w:line="360" w:lineRule="auto"/>
        <w:jc w:val="center"/>
        <w:rPr>
          <w:rFonts w:ascii="仿宋" w:hAnsi="仿宋" w:eastAsia="仿宋" w:cs="宋体"/>
          <w:lang w:val="zh-CN"/>
        </w:rPr>
      </w:pPr>
    </w:p>
    <w:p w14:paraId="440266B1">
      <w:pPr>
        <w:widowControl/>
        <w:spacing w:before="62" w:beforeAutospacing="1" w:after="100" w:afterAutospacing="1" w:line="360" w:lineRule="auto"/>
        <w:contextualSpacing/>
        <w:jc w:val="left"/>
        <w:rPr>
          <w:rFonts w:ascii="仿宋" w:hAnsi="仿宋" w:eastAsia="仿宋" w:cs="宋体"/>
        </w:rPr>
      </w:pPr>
      <w:r>
        <w:rPr>
          <w:rFonts w:hint="eastAsia" w:ascii="仿宋" w:hAnsi="仿宋" w:eastAsia="仿宋" w:cs="宋体"/>
        </w:rPr>
        <w:t>说明：</w:t>
      </w:r>
    </w:p>
    <w:p w14:paraId="124EF00F">
      <w:pPr>
        <w:widowControl/>
        <w:spacing w:before="62" w:beforeAutospacing="1" w:after="100" w:afterAutospacing="1" w:line="360" w:lineRule="auto"/>
        <w:contextualSpacing/>
        <w:jc w:val="left"/>
        <w:rPr>
          <w:rFonts w:ascii="仿宋" w:hAnsi="仿宋" w:eastAsia="仿宋" w:cs="宋体"/>
          <w:kern w:val="0"/>
        </w:rPr>
      </w:pPr>
      <w:r>
        <w:rPr>
          <w:rFonts w:hint="eastAsia" w:ascii="仿宋" w:hAnsi="仿宋" w:eastAsia="仿宋" w:cs="宋体"/>
          <w:kern w:val="0"/>
        </w:rPr>
        <w:t>1、</w:t>
      </w:r>
      <w:r>
        <w:rPr>
          <w:rFonts w:hint="eastAsia" w:ascii="仿宋" w:hAnsi="仿宋" w:eastAsia="仿宋" w:cs="宋体"/>
        </w:rPr>
        <w:t>从业人员、营业收入、资产总额填报上一年度数据，无上一年度数据的新成立企业可不填报。</w:t>
      </w:r>
    </w:p>
    <w:p w14:paraId="2AB2E385">
      <w:pPr>
        <w:widowControl/>
        <w:spacing w:before="62" w:beforeAutospacing="1" w:after="100" w:afterAutospacing="1" w:line="360" w:lineRule="auto"/>
        <w:contextualSpacing/>
        <w:jc w:val="left"/>
        <w:rPr>
          <w:rFonts w:ascii="仿宋" w:hAnsi="仿宋" w:eastAsia="仿宋" w:cs="宋体"/>
          <w:b/>
          <w:bCs/>
          <w:sz w:val="24"/>
          <w:szCs w:val="24"/>
        </w:rPr>
      </w:pPr>
      <w:r>
        <w:rPr>
          <w:rFonts w:hint="eastAsia" w:ascii="仿宋" w:hAnsi="仿宋" w:eastAsia="仿宋" w:cs="宋体"/>
          <w:kern w:val="0"/>
        </w:rPr>
        <w:t>2、中小企业参加政府采购活动，应当出具</w:t>
      </w:r>
      <w:r>
        <w:rPr>
          <w:rFonts w:hint="eastAsia" w:ascii="仿宋" w:hAnsi="仿宋" w:eastAsia="仿宋" w:cs="宋体"/>
        </w:rPr>
        <w:t>《中小企业声明函》，否则不得享受相关中小企业扶持政</w:t>
      </w:r>
      <w:r>
        <w:rPr>
          <w:rFonts w:hint="eastAsia" w:ascii="仿宋" w:hAnsi="仿宋" w:eastAsia="仿宋" w:cs="宋体"/>
          <w:kern w:val="0"/>
        </w:rPr>
        <w:t>策。</w:t>
      </w:r>
    </w:p>
    <w:p w14:paraId="35B1195D">
      <w:pPr>
        <w:widowControl/>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3.9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3.10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3.11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4D6BCD0E">
      <w:pPr>
        <w:pStyle w:val="7"/>
        <w:spacing w:before="62" w:line="360" w:lineRule="auto"/>
        <w:jc w:val="center"/>
        <w:outlineLvl w:val="1"/>
        <w:rPr>
          <w:rFonts w:hint="eastAsia" w:ascii="仿宋" w:hAnsi="仿宋" w:eastAsia="仿宋"/>
          <w:b/>
          <w:bCs/>
          <w:snapToGrid w:val="0"/>
          <w:sz w:val="28"/>
          <w:szCs w:val="28"/>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6905B40E">
      <w:pPr>
        <w:snapToGrid w:val="0"/>
        <w:spacing w:line="360" w:lineRule="auto"/>
        <w:jc w:val="both"/>
        <w:rPr>
          <w:rFonts w:hint="eastAsia" w:ascii="宋体" w:hAnsi="宋体" w:eastAsiaTheme="minorEastAsia"/>
          <w:b/>
          <w:bCs/>
          <w:sz w:val="32"/>
          <w:szCs w:val="32"/>
          <w:lang w:eastAsia="zh-CN"/>
        </w:rPr>
      </w:pPr>
    </w:p>
    <w:p w14:paraId="57E87B99">
      <w:pPr>
        <w:spacing w:before="62" w:line="360" w:lineRule="auto"/>
        <w:jc w:val="center"/>
        <w:rPr>
          <w:rFonts w:hint="eastAsia" w:ascii="仿宋" w:hAnsi="仿宋" w:eastAsia="仿宋"/>
          <w:b/>
          <w:sz w:val="28"/>
          <w:szCs w:val="24"/>
        </w:rPr>
      </w:pPr>
      <w:r>
        <w:rPr>
          <w:rFonts w:hint="eastAsia" w:ascii="仿宋" w:hAnsi="仿宋" w:eastAsia="仿宋"/>
          <w:b/>
          <w:sz w:val="28"/>
          <w:szCs w:val="24"/>
          <w:lang w:val="en-US" w:eastAsia="zh-CN"/>
        </w:rPr>
        <w:t>4.1</w:t>
      </w:r>
      <w:r>
        <w:rPr>
          <w:rFonts w:hint="eastAsia" w:ascii="仿宋" w:hAnsi="仿宋" w:eastAsia="仿宋"/>
          <w:b/>
          <w:sz w:val="28"/>
          <w:szCs w:val="24"/>
        </w:rPr>
        <w:t>分项报价表</w:t>
      </w:r>
    </w:p>
    <w:p w14:paraId="0A3F6917">
      <w:pPr>
        <w:autoSpaceDE w:val="0"/>
        <w:autoSpaceDN w:val="0"/>
        <w:adjustRightInd w:val="0"/>
        <w:spacing w:line="480" w:lineRule="auto"/>
        <w:jc w:val="center"/>
        <w:rPr>
          <w:rFonts w:cs="宋体" w:asciiTheme="minorEastAsia" w:hAnsiTheme="minorEastAsia"/>
          <w:sz w:val="24"/>
          <w:szCs w:val="24"/>
          <w:lang w:val="zh-CN"/>
        </w:rPr>
      </w:pPr>
    </w:p>
    <w:p w14:paraId="70189611">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7D5775CA">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17"/>
        <w:tblW w:w="9400" w:type="dxa"/>
        <w:tblInd w:w="0" w:type="dxa"/>
        <w:tblLayout w:type="fixed"/>
        <w:tblCellMar>
          <w:top w:w="0" w:type="dxa"/>
          <w:left w:w="108" w:type="dxa"/>
          <w:bottom w:w="0" w:type="dxa"/>
          <w:right w:w="108" w:type="dxa"/>
        </w:tblCellMar>
      </w:tblPr>
      <w:tblGrid>
        <w:gridCol w:w="534"/>
        <w:gridCol w:w="1842"/>
        <w:gridCol w:w="3402"/>
        <w:gridCol w:w="851"/>
        <w:gridCol w:w="992"/>
        <w:gridCol w:w="851"/>
        <w:gridCol w:w="928"/>
      </w:tblGrid>
      <w:tr w14:paraId="321AC07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7BEFE9">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DFCE27">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34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F158B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厂家、品牌、</w:t>
            </w:r>
          </w:p>
          <w:p w14:paraId="04A4BBF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042D1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9A2F245">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85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F60912">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92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564897">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r>
      <w:tr w14:paraId="2CF31FAB">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67F8F2D">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842" w:type="dxa"/>
            <w:tcBorders>
              <w:top w:val="single" w:color="auto" w:sz="6" w:space="0"/>
              <w:left w:val="single" w:color="auto" w:sz="6" w:space="0"/>
              <w:bottom w:val="single" w:color="auto" w:sz="6" w:space="0"/>
              <w:right w:val="single" w:color="auto" w:sz="6" w:space="0"/>
            </w:tcBorders>
          </w:tcPr>
          <w:p w14:paraId="675D516D">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6EACCE6B">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4193AC37">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940290B">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0F6B34AA">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64D6E5C5">
            <w:pPr>
              <w:autoSpaceDE w:val="0"/>
              <w:autoSpaceDN w:val="0"/>
              <w:adjustRightInd w:val="0"/>
              <w:spacing w:line="360" w:lineRule="auto"/>
              <w:rPr>
                <w:rFonts w:asciiTheme="minorEastAsia" w:hAnsiTheme="minorEastAsia"/>
                <w:szCs w:val="21"/>
              </w:rPr>
            </w:pPr>
          </w:p>
        </w:tc>
      </w:tr>
      <w:tr w14:paraId="0FD7CFF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421E1DB">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842" w:type="dxa"/>
            <w:tcBorders>
              <w:top w:val="single" w:color="auto" w:sz="6" w:space="0"/>
              <w:left w:val="single" w:color="auto" w:sz="6" w:space="0"/>
              <w:bottom w:val="single" w:color="auto" w:sz="6" w:space="0"/>
              <w:right w:val="single" w:color="auto" w:sz="6" w:space="0"/>
            </w:tcBorders>
          </w:tcPr>
          <w:p w14:paraId="0FF079B2">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3A6B2DF1">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7B53ABC6">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75E5C3E0">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4EC9BB89">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7BB06375">
            <w:pPr>
              <w:autoSpaceDE w:val="0"/>
              <w:autoSpaceDN w:val="0"/>
              <w:adjustRightInd w:val="0"/>
              <w:spacing w:line="360" w:lineRule="auto"/>
              <w:rPr>
                <w:rFonts w:asciiTheme="minorEastAsia" w:hAnsiTheme="minorEastAsia"/>
                <w:szCs w:val="21"/>
              </w:rPr>
            </w:pPr>
          </w:p>
        </w:tc>
      </w:tr>
      <w:tr w14:paraId="68C99DF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43721945">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842" w:type="dxa"/>
            <w:tcBorders>
              <w:top w:val="single" w:color="auto" w:sz="6" w:space="0"/>
              <w:left w:val="single" w:color="auto" w:sz="6" w:space="0"/>
              <w:bottom w:val="single" w:color="auto" w:sz="6" w:space="0"/>
              <w:right w:val="single" w:color="auto" w:sz="6" w:space="0"/>
            </w:tcBorders>
          </w:tcPr>
          <w:p w14:paraId="500D7E21">
            <w:pPr>
              <w:autoSpaceDE w:val="0"/>
              <w:autoSpaceDN w:val="0"/>
              <w:adjustRightInd w:val="0"/>
              <w:spacing w:line="360" w:lineRule="auto"/>
              <w:rPr>
                <w:rFonts w:asciiTheme="minorEastAsia" w:hAnsiTheme="minorEastAsia"/>
                <w:szCs w:val="21"/>
              </w:rPr>
            </w:pPr>
          </w:p>
        </w:tc>
        <w:tc>
          <w:tcPr>
            <w:tcW w:w="3402" w:type="dxa"/>
            <w:tcBorders>
              <w:top w:val="single" w:color="auto" w:sz="6" w:space="0"/>
              <w:left w:val="single" w:color="auto" w:sz="6" w:space="0"/>
              <w:bottom w:val="single" w:color="auto" w:sz="6" w:space="0"/>
              <w:right w:val="single" w:color="auto" w:sz="6" w:space="0"/>
            </w:tcBorders>
          </w:tcPr>
          <w:p w14:paraId="683A4760">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463FF07F">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5454C4C">
            <w:pPr>
              <w:autoSpaceDE w:val="0"/>
              <w:autoSpaceDN w:val="0"/>
              <w:adjustRightInd w:val="0"/>
              <w:spacing w:line="360" w:lineRule="auto"/>
              <w:rPr>
                <w:rFonts w:asciiTheme="minorEastAsia" w:hAnsiTheme="minorEastAsia"/>
                <w:szCs w:val="21"/>
              </w:rPr>
            </w:pPr>
          </w:p>
        </w:tc>
        <w:tc>
          <w:tcPr>
            <w:tcW w:w="851" w:type="dxa"/>
            <w:tcBorders>
              <w:top w:val="single" w:color="auto" w:sz="6" w:space="0"/>
              <w:left w:val="single" w:color="auto" w:sz="6" w:space="0"/>
              <w:bottom w:val="single" w:color="auto" w:sz="6" w:space="0"/>
              <w:right w:val="single" w:color="auto" w:sz="6" w:space="0"/>
            </w:tcBorders>
          </w:tcPr>
          <w:p w14:paraId="5798BB04">
            <w:pPr>
              <w:autoSpaceDE w:val="0"/>
              <w:autoSpaceDN w:val="0"/>
              <w:adjustRightInd w:val="0"/>
              <w:spacing w:line="360" w:lineRule="auto"/>
              <w:rPr>
                <w:rFonts w:asciiTheme="minorEastAsia" w:hAnsiTheme="minorEastAsia"/>
                <w:szCs w:val="21"/>
              </w:rPr>
            </w:pPr>
          </w:p>
        </w:tc>
        <w:tc>
          <w:tcPr>
            <w:tcW w:w="928" w:type="dxa"/>
            <w:tcBorders>
              <w:top w:val="single" w:color="auto" w:sz="6" w:space="0"/>
              <w:left w:val="single" w:color="auto" w:sz="6" w:space="0"/>
              <w:bottom w:val="single" w:color="auto" w:sz="6" w:space="0"/>
              <w:right w:val="single" w:color="auto" w:sz="6" w:space="0"/>
            </w:tcBorders>
          </w:tcPr>
          <w:p w14:paraId="319E393F">
            <w:pPr>
              <w:autoSpaceDE w:val="0"/>
              <w:autoSpaceDN w:val="0"/>
              <w:adjustRightInd w:val="0"/>
              <w:spacing w:line="360" w:lineRule="auto"/>
              <w:rPr>
                <w:rFonts w:asciiTheme="minorEastAsia" w:hAnsiTheme="minorEastAsia"/>
                <w:szCs w:val="21"/>
              </w:rPr>
            </w:pPr>
          </w:p>
        </w:tc>
      </w:tr>
      <w:tr w14:paraId="5470EBAF">
        <w:tblPrEx>
          <w:tblCellMar>
            <w:top w:w="0" w:type="dxa"/>
            <w:left w:w="108" w:type="dxa"/>
            <w:bottom w:w="0" w:type="dxa"/>
            <w:right w:w="108" w:type="dxa"/>
          </w:tblCellMar>
        </w:tblPrEx>
        <w:trPr>
          <w:trHeight w:val="851" w:hRule="atLeast"/>
        </w:trPr>
        <w:tc>
          <w:tcPr>
            <w:tcW w:w="2376" w:type="dxa"/>
            <w:gridSpan w:val="2"/>
            <w:tcBorders>
              <w:top w:val="single" w:color="auto" w:sz="6" w:space="0"/>
              <w:left w:val="single" w:color="auto" w:sz="6" w:space="0"/>
              <w:bottom w:val="single" w:color="auto" w:sz="6" w:space="0"/>
              <w:right w:val="single" w:color="auto" w:sz="6" w:space="0"/>
            </w:tcBorders>
            <w:vAlign w:val="center"/>
          </w:tcPr>
          <w:p w14:paraId="04A81179">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024" w:type="dxa"/>
            <w:gridSpan w:val="5"/>
            <w:tcBorders>
              <w:top w:val="single" w:color="auto" w:sz="6" w:space="0"/>
              <w:left w:val="single" w:color="auto" w:sz="6" w:space="0"/>
              <w:bottom w:val="single" w:color="auto" w:sz="6" w:space="0"/>
              <w:right w:val="single" w:color="auto" w:sz="6" w:space="0"/>
            </w:tcBorders>
            <w:vAlign w:val="center"/>
          </w:tcPr>
          <w:p w14:paraId="52A106BA">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5E410875">
      <w:pPr>
        <w:autoSpaceDE w:val="0"/>
        <w:autoSpaceDN w:val="0"/>
        <w:adjustRightInd w:val="0"/>
        <w:spacing w:line="480" w:lineRule="auto"/>
        <w:rPr>
          <w:rFonts w:cs="宋体" w:asciiTheme="minorEastAsia" w:hAnsiTheme="minorEastAsia"/>
          <w:szCs w:val="21"/>
        </w:rPr>
      </w:pPr>
    </w:p>
    <w:p w14:paraId="4074844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DCCF9EB">
      <w:pPr>
        <w:pStyle w:val="7"/>
        <w:spacing w:before="62" w:line="360" w:lineRule="auto"/>
        <w:jc w:val="center"/>
        <w:outlineLvl w:val="1"/>
        <w:rPr>
          <w:rFonts w:hint="eastAsia" w:ascii="仿宋" w:hAnsi="仿宋" w:eastAsia="仿宋"/>
          <w:b/>
          <w:bCs/>
          <w:snapToGrid w:val="0"/>
          <w:sz w:val="28"/>
          <w:szCs w:val="28"/>
          <w:lang w:val="zh-CN"/>
        </w:rPr>
      </w:pPr>
    </w:p>
    <w:p w14:paraId="6212E5E9">
      <w:pPr>
        <w:pStyle w:val="7"/>
        <w:spacing w:before="62" w:line="360" w:lineRule="auto"/>
        <w:jc w:val="center"/>
        <w:outlineLvl w:val="1"/>
        <w:rPr>
          <w:rFonts w:hint="eastAsia" w:ascii="仿宋" w:hAnsi="仿宋" w:eastAsia="仿宋"/>
          <w:b/>
          <w:bCs/>
          <w:snapToGrid w:val="0"/>
          <w:sz w:val="28"/>
          <w:szCs w:val="28"/>
          <w:lang w:val="zh-CN"/>
        </w:rPr>
      </w:pPr>
    </w:p>
    <w:p w14:paraId="2E277F08">
      <w:pPr>
        <w:pStyle w:val="7"/>
        <w:spacing w:before="62" w:line="360" w:lineRule="auto"/>
        <w:jc w:val="center"/>
        <w:outlineLvl w:val="1"/>
        <w:rPr>
          <w:rFonts w:hint="eastAsia" w:ascii="仿宋" w:hAnsi="仿宋" w:eastAsia="仿宋"/>
          <w:b/>
          <w:bCs/>
          <w:snapToGrid w:val="0"/>
          <w:sz w:val="28"/>
          <w:szCs w:val="28"/>
          <w:lang w:val="zh-CN"/>
        </w:rPr>
      </w:pPr>
    </w:p>
    <w:p w14:paraId="22A1634D">
      <w:pPr>
        <w:pStyle w:val="7"/>
        <w:spacing w:before="62" w:line="360" w:lineRule="auto"/>
        <w:jc w:val="center"/>
        <w:outlineLvl w:val="1"/>
        <w:rPr>
          <w:rFonts w:hint="eastAsia" w:ascii="仿宋" w:hAnsi="仿宋" w:eastAsia="仿宋"/>
          <w:b/>
          <w:bCs/>
          <w:snapToGrid w:val="0"/>
          <w:sz w:val="28"/>
          <w:szCs w:val="28"/>
          <w:lang w:val="zh-CN"/>
        </w:rPr>
      </w:pPr>
    </w:p>
    <w:p w14:paraId="49DFB36D">
      <w:pPr>
        <w:pStyle w:val="7"/>
        <w:spacing w:before="62" w:line="360" w:lineRule="auto"/>
        <w:jc w:val="center"/>
        <w:outlineLvl w:val="1"/>
        <w:rPr>
          <w:rFonts w:hint="eastAsia" w:ascii="仿宋" w:hAnsi="仿宋" w:eastAsia="仿宋"/>
          <w:b/>
          <w:bCs/>
          <w:snapToGrid w:val="0"/>
          <w:sz w:val="28"/>
          <w:szCs w:val="28"/>
          <w:lang w:val="zh-CN"/>
        </w:rPr>
      </w:pPr>
    </w:p>
    <w:p w14:paraId="1A6DD33D">
      <w:pPr>
        <w:pStyle w:val="7"/>
        <w:spacing w:before="62" w:line="360" w:lineRule="auto"/>
        <w:jc w:val="center"/>
        <w:outlineLvl w:val="1"/>
        <w:rPr>
          <w:rFonts w:hint="eastAsia" w:ascii="仿宋" w:hAnsi="仿宋" w:eastAsia="仿宋"/>
          <w:b/>
          <w:bCs/>
          <w:snapToGrid w:val="0"/>
          <w:sz w:val="28"/>
          <w:szCs w:val="28"/>
          <w:lang w:val="zh-CN"/>
        </w:rPr>
      </w:pPr>
    </w:p>
    <w:p w14:paraId="63EB859B">
      <w:pPr>
        <w:pStyle w:val="7"/>
        <w:spacing w:before="62" w:line="360" w:lineRule="auto"/>
        <w:jc w:val="center"/>
        <w:outlineLvl w:val="1"/>
        <w:rPr>
          <w:rFonts w:hint="eastAsia" w:ascii="仿宋" w:hAnsi="仿宋" w:eastAsia="仿宋"/>
          <w:b/>
          <w:bCs/>
          <w:snapToGrid w:val="0"/>
          <w:sz w:val="28"/>
          <w:szCs w:val="28"/>
          <w:lang w:val="zh-CN"/>
        </w:rPr>
      </w:pPr>
    </w:p>
    <w:p w14:paraId="15CD682B">
      <w:pPr>
        <w:spacing w:before="62" w:line="360" w:lineRule="auto"/>
        <w:jc w:val="center"/>
        <w:rPr>
          <w:rFonts w:ascii="仿宋" w:hAnsi="仿宋" w:eastAsia="仿宋"/>
          <w:b/>
          <w:sz w:val="28"/>
          <w:szCs w:val="24"/>
        </w:rPr>
      </w:pPr>
      <w:r>
        <w:rPr>
          <w:rFonts w:hint="eastAsia" w:ascii="仿宋" w:hAnsi="仿宋" w:eastAsia="仿宋"/>
          <w:b/>
          <w:sz w:val="28"/>
          <w:szCs w:val="24"/>
        </w:rPr>
        <w:t>4.</w:t>
      </w:r>
      <w:r>
        <w:rPr>
          <w:rFonts w:hint="eastAsia" w:ascii="仿宋" w:hAnsi="仿宋" w:eastAsia="仿宋"/>
          <w:b/>
          <w:sz w:val="28"/>
          <w:szCs w:val="24"/>
          <w:lang w:val="en-US" w:eastAsia="zh-CN"/>
        </w:rPr>
        <w:t>2</w:t>
      </w:r>
      <w:r>
        <w:rPr>
          <w:rFonts w:hint="eastAsia" w:ascii="仿宋" w:hAnsi="仿宋" w:eastAsia="仿宋"/>
          <w:b/>
          <w:sz w:val="28"/>
          <w:szCs w:val="24"/>
        </w:rPr>
        <w:t xml:space="preserve"> 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1992CA88">
      <w:pPr>
        <w:pStyle w:val="8"/>
        <w:rPr>
          <w:rFonts w:ascii="仿宋" w:hAnsi="仿宋" w:eastAsia="仿宋"/>
          <w:b/>
          <w:sz w:val="28"/>
          <w:szCs w:val="24"/>
        </w:rPr>
      </w:pPr>
    </w:p>
    <w:p w14:paraId="09C55CBD">
      <w:pPr>
        <w:pStyle w:val="8"/>
        <w:rPr>
          <w:rFonts w:ascii="仿宋" w:hAnsi="仿宋" w:eastAsia="仿宋"/>
          <w:b/>
          <w:sz w:val="28"/>
          <w:szCs w:val="24"/>
        </w:rPr>
      </w:pPr>
    </w:p>
    <w:p w14:paraId="5F93D627">
      <w:pPr>
        <w:autoSpaceDE w:val="0"/>
        <w:autoSpaceDN w:val="0"/>
        <w:spacing w:before="62" w:line="360" w:lineRule="auto"/>
        <w:outlineLvl w:val="2"/>
        <w:rPr>
          <w:rFonts w:ascii="仿宋" w:hAnsi="仿宋" w:eastAsia="仿宋"/>
          <w:b/>
          <w:sz w:val="28"/>
          <w:szCs w:val="24"/>
        </w:rPr>
      </w:pPr>
    </w:p>
    <w:p w14:paraId="2E6DE60D">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4.</w:t>
      </w:r>
      <w:r>
        <w:rPr>
          <w:rFonts w:hint="eastAsia" w:ascii="仿宋" w:hAnsi="仿宋" w:eastAsia="仿宋"/>
          <w:b/>
          <w:sz w:val="28"/>
          <w:szCs w:val="24"/>
          <w:lang w:val="en-US" w:eastAsia="zh-CN"/>
        </w:rPr>
        <w:t>3</w:t>
      </w:r>
      <w:r>
        <w:rPr>
          <w:rFonts w:hint="eastAsia" w:ascii="仿宋" w:hAnsi="仿宋" w:eastAsia="仿宋"/>
          <w:b/>
          <w:sz w:val="28"/>
          <w:szCs w:val="24"/>
        </w:rPr>
        <w:t xml:space="preserve"> 业绩情况表</w:t>
      </w:r>
    </w:p>
    <w:p w14:paraId="36B62F6D">
      <w:pPr>
        <w:autoSpaceDE w:val="0"/>
        <w:autoSpaceDN w:val="0"/>
        <w:adjustRightInd w:val="0"/>
        <w:spacing w:before="62" w:line="360" w:lineRule="auto"/>
        <w:jc w:val="center"/>
        <w:rPr>
          <w:rFonts w:ascii="仿宋" w:hAnsi="仿宋" w:eastAsia="仿宋" w:cs="宋体"/>
          <w:lang w:val="zh-CN"/>
        </w:rPr>
      </w:pP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10BCFB26">
      <w:pPr>
        <w:snapToGrid w:val="0"/>
        <w:spacing w:before="62" w:line="360" w:lineRule="auto"/>
        <w:rPr>
          <w:rFonts w:ascii="仿宋" w:hAnsi="仿宋" w:eastAsia="仿宋"/>
        </w:rPr>
      </w:pPr>
      <w:r>
        <w:rPr>
          <w:rFonts w:hint="eastAsia" w:ascii="仿宋" w:hAnsi="仿宋" w:eastAsia="仿宋"/>
        </w:rPr>
        <w:t xml:space="preserve">项目名称：   </w:t>
      </w:r>
    </w:p>
    <w:p w14:paraId="6BA47536">
      <w:pPr>
        <w:snapToGrid w:val="0"/>
        <w:spacing w:before="62" w:line="360" w:lineRule="auto"/>
        <w:rPr>
          <w:rFonts w:ascii="仿宋" w:hAnsi="仿宋" w:eastAsia="仿宋"/>
          <w:b/>
          <w:snapToGrid w:val="0"/>
          <w:kern w:val="0"/>
        </w:rPr>
      </w:pPr>
    </w:p>
    <w:tbl>
      <w:tblPr>
        <w:tblStyle w:val="1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2"/>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2"/>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2"/>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2"/>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2"/>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2"/>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2"/>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2"/>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2"/>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2"/>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4</w:t>
      </w:r>
      <w:r>
        <w:rPr>
          <w:rFonts w:hint="eastAsia" w:ascii="仿宋" w:hAnsi="仿宋" w:eastAsia="仿宋"/>
          <w:b/>
          <w:sz w:val="28"/>
          <w:szCs w:val="24"/>
        </w:rPr>
        <w:t>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3"/>
      <w:bookmarkStart w:id="28" w:name="OLE_LINK14"/>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5</w:t>
      </w:r>
      <w:r>
        <w:rPr>
          <w:rFonts w:hint="eastAsia" w:ascii="仿宋" w:hAnsi="仿宋" w:eastAsia="仿宋"/>
          <w:b/>
          <w:sz w:val="28"/>
          <w:szCs w:val="24"/>
        </w:rPr>
        <w:t xml:space="preserve">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7"/>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5"/>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3F3ECFE3">
      <w:pPr>
        <w:pStyle w:val="7"/>
        <w:spacing w:before="62" w:line="360" w:lineRule="auto"/>
        <w:jc w:val="center"/>
        <w:outlineLvl w:val="1"/>
        <w:rPr>
          <w:rFonts w:ascii="仿宋" w:hAnsi="仿宋" w:eastAsia="仿宋"/>
          <w:b/>
          <w:bCs/>
          <w:snapToGrid w:val="0"/>
          <w:sz w:val="28"/>
          <w:szCs w:val="28"/>
        </w:rPr>
      </w:pPr>
      <w:bookmarkStart w:id="29" w:name="_Toc138068733"/>
      <w:r>
        <w:rPr>
          <w:rFonts w:hint="eastAsia" w:ascii="仿宋" w:hAnsi="仿宋" w:eastAsia="仿宋"/>
          <w:b/>
          <w:bCs/>
          <w:snapToGrid w:val="0"/>
          <w:sz w:val="28"/>
          <w:szCs w:val="28"/>
        </w:rPr>
        <w:t>五、其他资料（若有）</w:t>
      </w:r>
      <w:bookmarkEnd w:id="29"/>
    </w:p>
    <w:p w14:paraId="27CC99D8">
      <w:pPr>
        <w:spacing w:before="62" w:line="360" w:lineRule="auto"/>
        <w:rPr>
          <w:rFonts w:ascii="仿宋" w:hAnsi="仿宋" w:eastAsia="仿宋"/>
        </w:rPr>
      </w:pPr>
    </w:p>
    <w:p w14:paraId="63698CEC">
      <w:pPr>
        <w:spacing w:before="62" w:line="360" w:lineRule="auto"/>
        <w:rPr>
          <w:rFonts w:ascii="仿宋" w:hAnsi="仿宋" w:eastAsia="仿宋"/>
        </w:rPr>
      </w:pPr>
    </w:p>
    <w:p w14:paraId="4E901388">
      <w:pPr>
        <w:spacing w:before="62" w:line="360" w:lineRule="auto"/>
        <w:rPr>
          <w:rFonts w:ascii="仿宋" w:hAnsi="仿宋" w:eastAsia="仿宋"/>
        </w:rPr>
      </w:pPr>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783E85C3">
                <w:pPr>
                  <w:pStyle w:val="9"/>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C4BFC133"/>
    <w:multiLevelType w:val="singleLevel"/>
    <w:tmpl w:val="C4BFC133"/>
    <w:lvl w:ilvl="0" w:tentative="0">
      <w:start w:val="2"/>
      <w:numFmt w:val="chineseCounting"/>
      <w:suff w:val="nothing"/>
      <w:lvlText w:val="%1、"/>
      <w:lvlJc w:val="left"/>
      <w:rPr>
        <w:rFonts w:hint="eastAsia"/>
      </w:rPr>
    </w:lvl>
  </w:abstractNum>
  <w:abstractNum w:abstractNumId="2">
    <w:nsid w:val="D190E883"/>
    <w:multiLevelType w:val="singleLevel"/>
    <w:tmpl w:val="D190E883"/>
    <w:lvl w:ilvl="0" w:tentative="0">
      <w:start w:val="3"/>
      <w:numFmt w:val="chineseCounting"/>
      <w:suff w:val="nothing"/>
      <w:lvlText w:val="%1、"/>
      <w:lvlJc w:val="left"/>
      <w:rPr>
        <w:rFonts w:hint="eastAsia"/>
      </w:rPr>
    </w:lvl>
  </w:abstractNum>
  <w:abstractNum w:abstractNumId="3">
    <w:nsid w:val="EAAAA520"/>
    <w:multiLevelType w:val="singleLevel"/>
    <w:tmpl w:val="EAAAA520"/>
    <w:lvl w:ilvl="0" w:tentative="0">
      <w:start w:val="2"/>
      <w:numFmt w:val="decimal"/>
      <w:lvlText w:val="%1."/>
      <w:lvlJc w:val="left"/>
      <w:pPr>
        <w:tabs>
          <w:tab w:val="left" w:pos="312"/>
        </w:tabs>
      </w:pPr>
    </w:lvl>
  </w:abstractNum>
  <w:abstractNum w:abstractNumId="4">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6">
    <w:nsid w:val="00000008"/>
    <w:multiLevelType w:val="singleLevel"/>
    <w:tmpl w:val="00000008"/>
    <w:lvl w:ilvl="0" w:tentative="0">
      <w:start w:val="3"/>
      <w:numFmt w:val="decimal"/>
      <w:suff w:val="nothing"/>
      <w:lvlText w:val="%1、"/>
      <w:lvlJc w:val="left"/>
      <w:pPr>
        <w:ind w:left="0" w:firstLine="0"/>
      </w:pPr>
    </w:lvl>
  </w:abstractNum>
  <w:abstractNum w:abstractNumId="7">
    <w:nsid w:val="1858B200"/>
    <w:multiLevelType w:val="singleLevel"/>
    <w:tmpl w:val="1858B200"/>
    <w:lvl w:ilvl="0" w:tentative="0">
      <w:start w:val="1"/>
      <w:numFmt w:val="decimal"/>
      <w:suff w:val="nothing"/>
      <w:lvlText w:val="%1、"/>
      <w:lvlJc w:val="left"/>
    </w:lvl>
  </w:abstractNum>
  <w:abstractNum w:abstractNumId="8">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7"/>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4E0863"/>
    <w:rsid w:val="00610597"/>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66D64FB"/>
    <w:rsid w:val="07300CC3"/>
    <w:rsid w:val="08BF40AC"/>
    <w:rsid w:val="092A1480"/>
    <w:rsid w:val="09AE24CC"/>
    <w:rsid w:val="0F421593"/>
    <w:rsid w:val="10FD1C16"/>
    <w:rsid w:val="12A10CC7"/>
    <w:rsid w:val="13A740BB"/>
    <w:rsid w:val="13BF1404"/>
    <w:rsid w:val="17FE0021"/>
    <w:rsid w:val="18952734"/>
    <w:rsid w:val="19426E42"/>
    <w:rsid w:val="1ACE63D1"/>
    <w:rsid w:val="1B6F3710"/>
    <w:rsid w:val="1CFF0C2C"/>
    <w:rsid w:val="1D3A1AFC"/>
    <w:rsid w:val="1DFA58D0"/>
    <w:rsid w:val="1ED55F80"/>
    <w:rsid w:val="20572F6A"/>
    <w:rsid w:val="20FB5A46"/>
    <w:rsid w:val="224F1BA5"/>
    <w:rsid w:val="22574EFE"/>
    <w:rsid w:val="226D35D5"/>
    <w:rsid w:val="23064572"/>
    <w:rsid w:val="23897339"/>
    <w:rsid w:val="24392B0D"/>
    <w:rsid w:val="245B0CD5"/>
    <w:rsid w:val="24970C9D"/>
    <w:rsid w:val="28216603"/>
    <w:rsid w:val="2BB92785"/>
    <w:rsid w:val="2D76092E"/>
    <w:rsid w:val="2DB9081B"/>
    <w:rsid w:val="2FE853E7"/>
    <w:rsid w:val="319A5EB7"/>
    <w:rsid w:val="324B446B"/>
    <w:rsid w:val="32F50547"/>
    <w:rsid w:val="34056568"/>
    <w:rsid w:val="355F7F9B"/>
    <w:rsid w:val="35705EC7"/>
    <w:rsid w:val="35FD2A74"/>
    <w:rsid w:val="36C31071"/>
    <w:rsid w:val="37A278A0"/>
    <w:rsid w:val="37FF7772"/>
    <w:rsid w:val="39253208"/>
    <w:rsid w:val="3A190E75"/>
    <w:rsid w:val="3B854309"/>
    <w:rsid w:val="3CCE0E20"/>
    <w:rsid w:val="3CDD2778"/>
    <w:rsid w:val="3ECF60F0"/>
    <w:rsid w:val="3F1735F3"/>
    <w:rsid w:val="3F5860E5"/>
    <w:rsid w:val="40E009A6"/>
    <w:rsid w:val="4288282E"/>
    <w:rsid w:val="446916E8"/>
    <w:rsid w:val="4584306D"/>
    <w:rsid w:val="485A5FF2"/>
    <w:rsid w:val="488241D3"/>
    <w:rsid w:val="48DE2605"/>
    <w:rsid w:val="493279A7"/>
    <w:rsid w:val="49C01457"/>
    <w:rsid w:val="4CF11927"/>
    <w:rsid w:val="4E003548"/>
    <w:rsid w:val="4E0B6A19"/>
    <w:rsid w:val="4FA709C3"/>
    <w:rsid w:val="4FEE03A0"/>
    <w:rsid w:val="525F5585"/>
    <w:rsid w:val="53650C10"/>
    <w:rsid w:val="541F4FCC"/>
    <w:rsid w:val="54752E3E"/>
    <w:rsid w:val="57872F22"/>
    <w:rsid w:val="57A87E15"/>
    <w:rsid w:val="583B614D"/>
    <w:rsid w:val="58F76517"/>
    <w:rsid w:val="5A841058"/>
    <w:rsid w:val="5AE64A95"/>
    <w:rsid w:val="5BCF72D8"/>
    <w:rsid w:val="5C646D8E"/>
    <w:rsid w:val="5EB338BF"/>
    <w:rsid w:val="5FB261A6"/>
    <w:rsid w:val="60956D42"/>
    <w:rsid w:val="611A0FF5"/>
    <w:rsid w:val="625B18C5"/>
    <w:rsid w:val="63204195"/>
    <w:rsid w:val="636D5D54"/>
    <w:rsid w:val="63820560"/>
    <w:rsid w:val="63E678B4"/>
    <w:rsid w:val="661E1587"/>
    <w:rsid w:val="663369CA"/>
    <w:rsid w:val="668F53A2"/>
    <w:rsid w:val="67ED5BAE"/>
    <w:rsid w:val="680C3C5A"/>
    <w:rsid w:val="689E075E"/>
    <w:rsid w:val="6A505A87"/>
    <w:rsid w:val="6AC629E3"/>
    <w:rsid w:val="6CB00A5F"/>
    <w:rsid w:val="6CB93DB8"/>
    <w:rsid w:val="6DE36C13"/>
    <w:rsid w:val="6E62222D"/>
    <w:rsid w:val="71321C1D"/>
    <w:rsid w:val="713752AB"/>
    <w:rsid w:val="7322250E"/>
    <w:rsid w:val="740463B1"/>
    <w:rsid w:val="7601232C"/>
    <w:rsid w:val="79823784"/>
    <w:rsid w:val="7C6B0CBF"/>
    <w:rsid w:val="7D871368"/>
    <w:rsid w:val="7D8F021D"/>
    <w:rsid w:val="7E00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annotation text"/>
    <w:basedOn w:val="1"/>
    <w:next w:val="1"/>
    <w:qFormat/>
    <w:uiPriority w:val="0"/>
    <w:pPr>
      <w:jc w:val="left"/>
    </w:pPr>
  </w:style>
  <w:style w:type="paragraph" w:styleId="4">
    <w:name w:val="Body Text"/>
    <w:basedOn w:val="1"/>
    <w:semiHidden/>
    <w:unhideWhenUsed/>
    <w:qFormat/>
    <w:uiPriority w:val="99"/>
    <w:pPr>
      <w:spacing w:after="120"/>
    </w:pPr>
    <w:rPr>
      <w:rFonts w:ascii="Calibri" w:hAnsi="Calibri" w:cs="Times New Roman"/>
      <w:kern w:val="0"/>
      <w:sz w:val="20"/>
    </w:rPr>
  </w:style>
  <w:style w:type="paragraph" w:styleId="5">
    <w:name w:val="Body Text Indent"/>
    <w:basedOn w:val="1"/>
    <w:next w:val="6"/>
    <w:unhideWhenUsed/>
    <w:qFormat/>
    <w:uiPriority w:val="99"/>
    <w:pPr>
      <w:spacing w:before="100" w:beforeAutospacing="1" w:after="120"/>
      <w:ind w:left="420" w:leftChars="200"/>
    </w:pPr>
    <w:rPr>
      <w:kern w:val="0"/>
      <w:sz w:val="20"/>
      <w:szCs w:val="20"/>
    </w:rPr>
  </w:style>
  <w:style w:type="paragraph" w:styleId="6">
    <w:name w:val="envelope return"/>
    <w:basedOn w:val="1"/>
    <w:unhideWhenUsed/>
    <w:qFormat/>
    <w:uiPriority w:val="99"/>
    <w:pPr>
      <w:snapToGrid w:val="0"/>
    </w:pPr>
    <w:rPr>
      <w:rFonts w:ascii="Arial" w:hAnsi="Arial"/>
    </w:rPr>
  </w:style>
  <w:style w:type="paragraph" w:styleId="7">
    <w:name w:val="Plain Text"/>
    <w:basedOn w:val="1"/>
    <w:semiHidden/>
    <w:unhideWhenUsed/>
    <w:qFormat/>
    <w:uiPriority w:val="99"/>
    <w:rPr>
      <w:rFonts w:cs="Times New Roman"/>
      <w:kern w:val="0"/>
      <w:sz w:val="24"/>
      <w:szCs w:val="24"/>
    </w:rPr>
  </w:style>
  <w:style w:type="paragraph" w:styleId="8">
    <w:name w:val="Body Text Indent 2"/>
    <w:basedOn w:val="1"/>
    <w:semiHidden/>
    <w:unhideWhenUsed/>
    <w:qFormat/>
    <w:uiPriority w:val="99"/>
    <w:pPr>
      <w:spacing w:after="120" w:line="480" w:lineRule="auto"/>
      <w:ind w:left="420" w:leftChars="200"/>
    </w:pPr>
  </w:style>
  <w:style w:type="paragraph" w:styleId="9">
    <w:name w:val="footer"/>
    <w:basedOn w:val="1"/>
    <w:unhideWhenUsed/>
    <w:qFormat/>
    <w:uiPriority w:val="99"/>
    <w:pPr>
      <w:snapToGrid w:val="0"/>
      <w:jc w:val="left"/>
    </w:pPr>
    <w:rPr>
      <w:rFonts w:cs="Times New Roman"/>
      <w:kern w:val="0"/>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spacing w:before="120"/>
      <w:ind w:left="210"/>
      <w:jc w:val="left"/>
    </w:pPr>
    <w:rPr>
      <w:rFonts w:cs="Times New Roman"/>
      <w:i/>
      <w:iCs/>
      <w:sz w:val="20"/>
      <w:szCs w:val="24"/>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4"/>
    <w:next w:val="16"/>
    <w:unhideWhenUsed/>
    <w:qFormat/>
    <w:uiPriority w:val="99"/>
    <w:pPr>
      <w:spacing w:before="100" w:beforeAutospacing="1"/>
      <w:ind w:firstLine="420" w:firstLineChars="100"/>
    </w:pPr>
    <w:rPr>
      <w:rFonts w:ascii="宋体" w:hAnsi="Times New Roman"/>
      <w:sz w:val="34"/>
      <w:szCs w:val="34"/>
    </w:rPr>
  </w:style>
  <w:style w:type="paragraph" w:styleId="16">
    <w:name w:val="Body Text First Indent 2"/>
    <w:basedOn w:val="5"/>
    <w:next w:val="1"/>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semiHidden/>
    <w:unhideWhenUsed/>
    <w:qFormat/>
    <w:uiPriority w:val="99"/>
    <w:rPr>
      <w:color w:val="000000"/>
      <w:u w:val="none"/>
    </w:rPr>
  </w:style>
  <w:style w:type="paragraph" w:customStyle="1" w:styleId="21">
    <w:name w:val="Default"/>
    <w:next w:val="22"/>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22">
    <w:name w:val="List Paragraph"/>
    <w:basedOn w:val="1"/>
    <w:autoRedefine/>
    <w:qFormat/>
    <w:uiPriority w:val="99"/>
    <w:pPr>
      <w:ind w:firstLine="420" w:firstLineChars="200"/>
    </w:pPr>
  </w:style>
  <w:style w:type="paragraph" w:customStyle="1" w:styleId="23">
    <w:name w:val="List Paragraph1"/>
    <w:basedOn w:val="1"/>
    <w:next w:val="1"/>
    <w:autoRedefine/>
    <w:qFormat/>
    <w:uiPriority w:val="0"/>
    <w:pPr>
      <w:ind w:left="420" w:firstLine="3748"/>
    </w:pPr>
  </w:style>
  <w:style w:type="character" w:customStyle="1" w:styleId="24">
    <w:name w:val="font101"/>
    <w:basedOn w:val="19"/>
    <w:qFormat/>
    <w:uiPriority w:val="0"/>
    <w:rPr>
      <w:rFonts w:hint="eastAsia" w:ascii="宋体" w:hAnsi="宋体" w:eastAsia="宋体" w:cs="宋体"/>
      <w:b/>
      <w:bCs/>
      <w:color w:val="000000"/>
      <w:sz w:val="18"/>
      <w:szCs w:val="18"/>
      <w:u w:val="none"/>
    </w:rPr>
  </w:style>
  <w:style w:type="character" w:customStyle="1" w:styleId="25">
    <w:name w:val="font31"/>
    <w:basedOn w:val="19"/>
    <w:qFormat/>
    <w:uiPriority w:val="0"/>
    <w:rPr>
      <w:rFonts w:hint="eastAsia" w:ascii="宋体" w:hAnsi="宋体" w:eastAsia="宋体" w:cs="宋体"/>
      <w:color w:val="000000"/>
      <w:sz w:val="18"/>
      <w:szCs w:val="18"/>
      <w:u w:val="none"/>
    </w:rPr>
  </w:style>
  <w:style w:type="character" w:customStyle="1" w:styleId="26">
    <w:name w:val="font112"/>
    <w:basedOn w:val="19"/>
    <w:qFormat/>
    <w:uiPriority w:val="0"/>
    <w:rPr>
      <w:rFonts w:hint="eastAsia" w:ascii="宋体" w:hAnsi="宋体" w:eastAsia="宋体" w:cs="宋体"/>
      <w:b/>
      <w:bCs/>
      <w:color w:val="000000"/>
      <w:sz w:val="18"/>
      <w:szCs w:val="18"/>
      <w:u w:val="none"/>
    </w:rPr>
  </w:style>
  <w:style w:type="character" w:customStyle="1" w:styleId="27">
    <w:name w:val="font61"/>
    <w:basedOn w:val="19"/>
    <w:qFormat/>
    <w:uiPriority w:val="0"/>
    <w:rPr>
      <w:rFonts w:hint="eastAsia" w:ascii="宋体" w:hAnsi="宋体" w:eastAsia="宋体" w:cs="宋体"/>
      <w:color w:val="000000"/>
      <w:sz w:val="18"/>
      <w:szCs w:val="18"/>
      <w:u w:val="none"/>
    </w:rPr>
  </w:style>
  <w:style w:type="character" w:customStyle="1" w:styleId="28">
    <w:name w:val="font121"/>
    <w:basedOn w:val="19"/>
    <w:qFormat/>
    <w:uiPriority w:val="0"/>
    <w:rPr>
      <w:rFonts w:hint="eastAsia" w:ascii="宋体" w:hAnsi="宋体" w:eastAsia="宋体" w:cs="宋体"/>
      <w:b/>
      <w:bCs/>
      <w:color w:val="333333"/>
      <w:sz w:val="20"/>
      <w:szCs w:val="20"/>
      <w:u w:val="none"/>
    </w:rPr>
  </w:style>
  <w:style w:type="character" w:customStyle="1" w:styleId="29">
    <w:name w:val="font131"/>
    <w:basedOn w:val="19"/>
    <w:qFormat/>
    <w:uiPriority w:val="0"/>
    <w:rPr>
      <w:rFonts w:hint="eastAsia" w:ascii="宋体" w:hAnsi="宋体" w:eastAsia="宋体" w:cs="宋体"/>
      <w:color w:val="333333"/>
      <w:sz w:val="20"/>
      <w:szCs w:val="20"/>
      <w:u w:val="none"/>
    </w:rPr>
  </w:style>
  <w:style w:type="character" w:customStyle="1" w:styleId="30">
    <w:name w:val="font141"/>
    <w:basedOn w:val="19"/>
    <w:qFormat/>
    <w:uiPriority w:val="0"/>
    <w:rPr>
      <w:rFonts w:hint="eastAsia" w:ascii="宋体" w:hAnsi="宋体" w:eastAsia="宋体" w:cs="宋体"/>
      <w:b/>
      <w:bCs/>
      <w:color w:val="000000"/>
      <w:sz w:val="20"/>
      <w:szCs w:val="20"/>
      <w:u w:val="none"/>
    </w:rPr>
  </w:style>
  <w:style w:type="character" w:customStyle="1" w:styleId="31">
    <w:name w:val="font71"/>
    <w:basedOn w:val="19"/>
    <w:qFormat/>
    <w:uiPriority w:val="0"/>
    <w:rPr>
      <w:rFonts w:hint="eastAsia" w:ascii="宋体" w:hAnsi="宋体" w:eastAsia="宋体" w:cs="宋体"/>
      <w:color w:val="000000"/>
      <w:sz w:val="20"/>
      <w:szCs w:val="20"/>
      <w:u w:val="none"/>
    </w:rPr>
  </w:style>
  <w:style w:type="paragraph" w:customStyle="1" w:styleId="32">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paragraph" w:customStyle="1" w:styleId="34">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5">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6">
    <w:name w:val="日期1"/>
    <w:basedOn w:val="1"/>
    <w:next w:val="1"/>
    <w:autoRedefine/>
    <w:qFormat/>
    <w:uiPriority w:val="99"/>
    <w:rPr>
      <w:rFonts w:cs="Times New Roman"/>
      <w:kern w:val="0"/>
      <w:sz w:val="24"/>
      <w:szCs w:val="24"/>
    </w:rPr>
  </w:style>
  <w:style w:type="character" w:customStyle="1" w:styleId="37">
    <w:name w:val="页眉 Char"/>
    <w:basedOn w:val="19"/>
    <w:link w:val="10"/>
    <w:qFormat/>
    <w:uiPriority w:val="0"/>
    <w:rPr>
      <w:rFonts w:cs="Calibri"/>
      <w:kern w:val="2"/>
      <w:sz w:val="18"/>
      <w:szCs w:val="18"/>
    </w:rPr>
  </w:style>
  <w:style w:type="paragraph" w:customStyle="1" w:styleId="38">
    <w:name w:val="列出段落1"/>
    <w:basedOn w:val="1"/>
    <w:qFormat/>
    <w:uiPriority w:val="34"/>
    <w:pPr>
      <w:ind w:firstLine="420" w:firstLineChars="200"/>
    </w:pPr>
  </w:style>
  <w:style w:type="paragraph" w:customStyle="1" w:styleId="39">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27598</Words>
  <Characters>29021</Characters>
  <Lines>277</Lines>
  <Paragraphs>78</Paragraphs>
  <TotalTime>2</TotalTime>
  <ScaleCrop>false</ScaleCrop>
  <LinksUpToDate>false</LinksUpToDate>
  <CharactersWithSpaces>29314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dcterms:modified xsi:type="dcterms:W3CDTF">2025-09-16T02:28:23Z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eyJoZGlkIjoiNGJhMTM0ODQ4MjYwMzEwMWE4ZmNlNGY5YWM3ZTE4MjEiLCJ1c2VySWQiOiIxNTYwNDIyNTA1In0=</vt:lpwstr>
  </property>
</Properties>
</file>